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List Paragraph"/>
        <w:ind w:left="0" w:firstLine="720"/>
        <w:jc w:val="both"/>
        <w:rPr>
          <w:rFonts w:ascii="Arial" w:cs="Arial" w:hAnsi="Arial" w:eastAsia="Arial"/>
          <w:b w:val="1"/>
          <w:bCs w:val="1"/>
          <w:sz w:val="22"/>
          <w:szCs w:val="22"/>
        </w:rPr>
      </w:pPr>
      <w:r>
        <w:rPr>
          <w:rFonts w:ascii="Arial" w:hAnsi="Arial"/>
          <w:b w:val="1"/>
          <w:bCs w:val="1"/>
          <w:sz w:val="22"/>
          <w:szCs w:val="22"/>
          <w:rtl w:val="0"/>
          <w:lang w:val="en-US"/>
        </w:rPr>
        <w:t>TASK 1</w:t>
      </w:r>
    </w:p>
    <w:p>
      <w:pPr>
        <w:pStyle w:val="List Paragraph"/>
        <w:ind w:left="0" w:firstLine="720"/>
        <w:jc w:val="both"/>
        <w:rPr>
          <w:rFonts w:ascii="Arial" w:cs="Arial" w:hAnsi="Arial" w:eastAsia="Arial"/>
          <w:b w:val="1"/>
          <w:bCs w:val="1"/>
          <w:sz w:val="22"/>
          <w:szCs w:val="22"/>
        </w:rPr>
      </w:pPr>
    </w:p>
    <w:p>
      <w:pPr>
        <w:pStyle w:val="List Paragraph"/>
        <w:spacing w:after="160" w:line="259" w:lineRule="auto"/>
        <w:ind w:left="0" w:firstLine="720"/>
        <w:jc w:val="both"/>
        <w:rPr>
          <w:rFonts w:ascii="Arial" w:cs="Arial" w:hAnsi="Arial" w:eastAsia="Arial"/>
          <w:sz w:val="22"/>
          <w:szCs w:val="22"/>
        </w:rPr>
      </w:pPr>
      <w:r>
        <w:rPr>
          <w:rFonts w:ascii="Arial" w:hAnsi="Arial"/>
          <w:sz w:val="22"/>
          <w:szCs w:val="22"/>
          <w:rtl w:val="0"/>
          <w:lang w:val="en-US"/>
        </w:rPr>
        <w:t>The law on defamation strikes a just balance between protecting an individual</w:t>
      </w:r>
      <w:r>
        <w:rPr>
          <w:rFonts w:ascii="Arial" w:hAnsi="Arial" w:hint="default"/>
          <w:sz w:val="22"/>
          <w:szCs w:val="22"/>
          <w:rtl w:val="0"/>
          <w:lang w:val="en-US"/>
        </w:rPr>
        <w:t>’</w:t>
      </w:r>
      <w:r>
        <w:rPr>
          <w:rFonts w:ascii="Arial" w:hAnsi="Arial"/>
          <w:sz w:val="22"/>
          <w:szCs w:val="22"/>
          <w:rtl w:val="0"/>
          <w:lang w:val="en-US"/>
        </w:rPr>
        <w:t>s reputation and allowing freedom of expression by the press to a certain extent as the law largely focuses on the individual reputation and the co-operations aims in their publishings. Defamation is when a</w:t>
      </w:r>
      <w:r>
        <w:rPr>
          <w:rFonts w:ascii="Arial" w:hAnsi="Arial"/>
          <w:sz w:val="22"/>
          <w:szCs w:val="22"/>
          <w:rtl w:val="0"/>
          <w:lang w:val="en-US"/>
        </w:rPr>
        <w:t>ny intentional false communication, written or spoken, that harms a person's reputation; decreases the respect, regard, or confidence in which a person is held; or induces disparaging, hostile, or disagreeable opinions or feelings against a person</w:t>
      </w:r>
      <w:r>
        <w:rPr>
          <w:rFonts w:ascii="Arial" w:hAnsi="Arial"/>
          <w:sz w:val="22"/>
          <w:szCs w:val="22"/>
          <w:rtl w:val="0"/>
          <w:lang w:val="en-US"/>
        </w:rPr>
        <w:t xml:space="preserve">. The law aims to protect an individuals reputation with the </w:t>
      </w:r>
      <w:r>
        <w:rPr>
          <w:rFonts w:ascii="Arial" w:hAnsi="Arial"/>
          <w:sz w:val="22"/>
          <w:szCs w:val="22"/>
          <w:rtl w:val="0"/>
          <w:lang w:val="en-US"/>
        </w:rPr>
        <w:t>Defamation</w:t>
      </w:r>
      <w:r>
        <w:rPr>
          <w:rFonts w:ascii="Arial" w:hAnsi="Arial"/>
          <w:sz w:val="22"/>
          <w:szCs w:val="22"/>
          <w:rtl w:val="0"/>
          <w:lang w:val="en-US"/>
        </w:rPr>
        <w:t xml:space="preserve"> </w:t>
      </w:r>
      <w:r>
        <w:rPr>
          <w:rFonts w:ascii="Arial" w:hAnsi="Arial"/>
          <w:sz w:val="22"/>
          <w:szCs w:val="22"/>
          <w:rtl w:val="0"/>
          <w:lang w:val="en-US"/>
        </w:rPr>
        <w:t>Act</w:t>
      </w:r>
      <w:r>
        <w:rPr>
          <w:rFonts w:ascii="Arial" w:hAnsi="Arial"/>
          <w:sz w:val="22"/>
          <w:szCs w:val="22"/>
          <w:rtl w:val="0"/>
          <w:lang w:val="en-US"/>
        </w:rPr>
        <w:t xml:space="preserve"> </w:t>
      </w:r>
      <w:r>
        <w:rPr>
          <w:rFonts w:ascii="Arial" w:hAnsi="Arial"/>
          <w:sz w:val="22"/>
          <w:szCs w:val="22"/>
          <w:rtl w:val="0"/>
          <w:lang w:val="en-US"/>
        </w:rPr>
        <w:t>(2013)</w:t>
      </w:r>
      <w:r>
        <w:rPr>
          <w:rFonts w:ascii="Arial" w:hAnsi="Arial"/>
          <w:sz w:val="22"/>
          <w:szCs w:val="22"/>
          <w:rtl w:val="0"/>
          <w:lang w:val="en-US"/>
        </w:rPr>
        <w:t xml:space="preserve">, s(1) states </w:t>
      </w:r>
      <w:r>
        <w:rPr>
          <w:rFonts w:ascii="Arial" w:hAnsi="Arial" w:hint="default"/>
          <w:sz w:val="22"/>
          <w:szCs w:val="22"/>
          <w:rtl w:val="0"/>
          <w:lang w:val="en-US"/>
        </w:rPr>
        <w:t>‘</w:t>
      </w:r>
      <w:r>
        <w:rPr>
          <w:rFonts w:ascii="Arial" w:hAnsi="Arial"/>
          <w:sz w:val="22"/>
          <w:szCs w:val="22"/>
          <w:rtl w:val="0"/>
          <w:lang w:val="en-US"/>
        </w:rPr>
        <w:t>A statement is not defamatory unless its publication has caused or is likely to cause serious harm to the reputation of the claimant</w:t>
      </w:r>
      <w:r>
        <w:rPr>
          <w:rFonts w:ascii="Arial" w:hAnsi="Arial" w:hint="default"/>
          <w:sz w:val="22"/>
          <w:szCs w:val="22"/>
          <w:rtl w:val="0"/>
          <w:lang w:val="en-US"/>
        </w:rPr>
        <w:t>’</w:t>
      </w:r>
      <w:r>
        <w:rPr>
          <w:rFonts w:ascii="Arial" w:hAnsi="Arial"/>
          <w:sz w:val="22"/>
          <w:szCs w:val="22"/>
          <w:rtl w:val="0"/>
          <w:lang w:val="en-US"/>
        </w:rPr>
        <w:t>, s(2) depicts how</w:t>
      </w:r>
      <w:r>
        <w:rPr>
          <w:rFonts w:ascii="Arial" w:hAnsi="Arial"/>
          <w:sz w:val="22"/>
          <w:szCs w:val="22"/>
          <w:rtl w:val="0"/>
          <w:lang w:val="en-US"/>
        </w:rPr>
        <w:t xml:space="preserve"> harm to the reputation of a body that trades for profit is not </w:t>
      </w:r>
      <w:r>
        <w:rPr>
          <w:rFonts w:ascii="Arial" w:hAnsi="Arial" w:hint="default"/>
          <w:sz w:val="22"/>
          <w:szCs w:val="22"/>
          <w:rtl w:val="0"/>
          <w:lang w:val="en-US"/>
        </w:rPr>
        <w:t>“</w:t>
      </w:r>
      <w:r>
        <w:rPr>
          <w:rFonts w:ascii="Arial" w:hAnsi="Arial"/>
          <w:sz w:val="22"/>
          <w:szCs w:val="22"/>
          <w:rtl w:val="0"/>
          <w:lang w:val="en-US"/>
        </w:rPr>
        <w:t>serious harm</w:t>
      </w:r>
      <w:r>
        <w:rPr>
          <w:rFonts w:ascii="Arial" w:hAnsi="Arial" w:hint="default"/>
          <w:sz w:val="22"/>
          <w:szCs w:val="22"/>
          <w:rtl w:val="0"/>
          <w:lang w:val="en-US"/>
        </w:rPr>
        <w:t xml:space="preserve">” </w:t>
      </w:r>
      <w:r>
        <w:rPr>
          <w:rFonts w:ascii="Arial" w:hAnsi="Arial"/>
          <w:sz w:val="22"/>
          <w:szCs w:val="22"/>
          <w:rtl w:val="0"/>
          <w:lang w:val="en-US"/>
        </w:rPr>
        <w:t>unless it has caused or is likely to cause the body serious financial loss.</w:t>
      </w:r>
      <w:r>
        <w:rPr>
          <w:rFonts w:ascii="Arial" w:cs="Arial" w:hAnsi="Arial" w:eastAsia="Arial"/>
          <w:sz w:val="22"/>
          <w:szCs w:val="22"/>
          <w:vertAlign w:val="superscript"/>
        </w:rPr>
        <w:footnoteReference w:id="1"/>
      </w:r>
      <w:r>
        <w:rPr>
          <w:rFonts w:ascii="Arial" w:hAnsi="Arial"/>
          <w:sz w:val="22"/>
          <w:szCs w:val="22"/>
          <w:rtl w:val="0"/>
          <w:lang w:val="en-US"/>
        </w:rPr>
        <w:t xml:space="preserve"> Proportionately, e</w:t>
      </w:r>
      <w:r>
        <w:rPr>
          <w:rFonts w:ascii="Arial" w:hAnsi="Arial"/>
          <w:sz w:val="22"/>
          <w:szCs w:val="22"/>
          <w:rtl w:val="0"/>
          <w:lang w:val="en-US"/>
        </w:rPr>
        <w:t>veryone has the right to freedom of expression</w:t>
      </w:r>
      <w:r>
        <w:rPr>
          <w:rFonts w:ascii="Arial" w:hAnsi="Arial"/>
          <w:sz w:val="22"/>
          <w:szCs w:val="22"/>
          <w:rtl w:val="0"/>
          <w:lang w:val="en-US"/>
        </w:rPr>
        <w:t xml:space="preserve"> such as </w:t>
      </w:r>
      <w:r>
        <w:rPr>
          <w:rFonts w:ascii="Arial" w:hAnsi="Arial"/>
          <w:sz w:val="22"/>
          <w:szCs w:val="22"/>
          <w:rtl w:val="0"/>
          <w:lang w:val="en-US"/>
        </w:rPr>
        <w:t>hold</w:t>
      </w:r>
      <w:r>
        <w:rPr>
          <w:rFonts w:ascii="Arial" w:hAnsi="Arial"/>
          <w:sz w:val="22"/>
          <w:szCs w:val="22"/>
          <w:rtl w:val="0"/>
          <w:lang w:val="en-US"/>
        </w:rPr>
        <w:t>ing</w:t>
      </w:r>
      <w:r>
        <w:rPr>
          <w:rFonts w:ascii="Arial" w:hAnsi="Arial"/>
          <w:sz w:val="22"/>
          <w:szCs w:val="22"/>
          <w:rtl w:val="0"/>
          <w:lang w:val="en-US"/>
        </w:rPr>
        <w:t xml:space="preserve"> opinions</w:t>
      </w:r>
      <w:r>
        <w:rPr>
          <w:rFonts w:ascii="Arial" w:hAnsi="Arial"/>
          <w:sz w:val="22"/>
          <w:szCs w:val="22"/>
          <w:rtl w:val="0"/>
          <w:lang w:val="en-US"/>
        </w:rPr>
        <w:t xml:space="preserve">, </w:t>
      </w:r>
      <w:r>
        <w:rPr>
          <w:rFonts w:ascii="Arial" w:hAnsi="Arial"/>
          <w:sz w:val="22"/>
          <w:szCs w:val="22"/>
          <w:rtl w:val="0"/>
          <w:lang w:val="en-US"/>
        </w:rPr>
        <w:t>receiv</w:t>
      </w:r>
      <w:r>
        <w:rPr>
          <w:rFonts w:ascii="Arial" w:hAnsi="Arial"/>
          <w:sz w:val="22"/>
          <w:szCs w:val="22"/>
          <w:rtl w:val="0"/>
          <w:lang w:val="en-US"/>
        </w:rPr>
        <w:t xml:space="preserve">ing </w:t>
      </w:r>
      <w:r>
        <w:rPr>
          <w:rFonts w:ascii="Arial" w:hAnsi="Arial"/>
          <w:sz w:val="22"/>
          <w:szCs w:val="22"/>
          <w:rtl w:val="0"/>
          <w:lang w:val="en-US"/>
        </w:rPr>
        <w:t>information and ideas without interference by public authority</w:t>
      </w:r>
      <w:r>
        <w:rPr>
          <w:rFonts w:ascii="Arial" w:hAnsi="Arial"/>
          <w:sz w:val="22"/>
          <w:szCs w:val="22"/>
          <w:rtl w:val="0"/>
          <w:lang w:val="en-US"/>
        </w:rPr>
        <w:t>; t</w:t>
      </w:r>
      <w:r>
        <w:rPr>
          <w:rFonts w:ascii="Arial" w:hAnsi="Arial"/>
          <w:sz w:val="22"/>
          <w:szCs w:val="22"/>
          <w:rtl w:val="0"/>
          <w:lang w:val="en-US"/>
        </w:rPr>
        <w:t xml:space="preserve">he exercise of these freedoms, carries with it duties and responsibilities, </w:t>
      </w:r>
      <w:r>
        <w:rPr>
          <w:rFonts w:ascii="Arial" w:hAnsi="Arial"/>
          <w:sz w:val="22"/>
          <w:szCs w:val="22"/>
          <w:rtl w:val="0"/>
          <w:lang w:val="en-US"/>
        </w:rPr>
        <w:t xml:space="preserve">which </w:t>
      </w:r>
      <w:r>
        <w:rPr>
          <w:rFonts w:ascii="Arial" w:hAnsi="Arial"/>
          <w:sz w:val="22"/>
          <w:szCs w:val="22"/>
          <w:rtl w:val="0"/>
          <w:lang w:val="en-US"/>
        </w:rPr>
        <w:t>may be subject to such formalities, conditions, restrictions or penalties as are prescribed by law and are necessary in a democratic society, in the interests of national security, territorial integrity or public safety, for the prevention of disorder or crime, for the protection of morals</w:t>
      </w:r>
      <w:r>
        <w:rPr>
          <w:rFonts w:ascii="Arial" w:hAnsi="Arial"/>
          <w:sz w:val="22"/>
          <w:szCs w:val="22"/>
          <w:rtl w:val="0"/>
          <w:lang w:val="en-US"/>
        </w:rPr>
        <w:t xml:space="preserve"> and </w:t>
      </w:r>
      <w:r>
        <w:rPr>
          <w:rFonts w:ascii="Arial" w:hAnsi="Arial"/>
          <w:sz w:val="22"/>
          <w:szCs w:val="22"/>
          <w:rtl w:val="0"/>
          <w:lang w:val="en-US"/>
        </w:rPr>
        <w:t xml:space="preserve"> of the reputation or rights of others, for preventing the disclosure of information received in confidence, or for maintaining the authority and impartiality of the judiciary.</w:t>
      </w:r>
      <w:r>
        <w:rPr>
          <w:rFonts w:ascii="Arial" w:cs="Arial" w:hAnsi="Arial" w:eastAsia="Arial"/>
          <w:sz w:val="22"/>
          <w:szCs w:val="22"/>
          <w:vertAlign w:val="superscript"/>
        </w:rPr>
        <w:footnoteReference w:id="2"/>
      </w:r>
      <w:r>
        <w:rPr>
          <w:rFonts w:ascii="Arial" w:hAnsi="Arial"/>
          <w:sz w:val="22"/>
          <w:szCs w:val="22"/>
          <w:rtl w:val="0"/>
          <w:lang w:val="en-US"/>
        </w:rPr>
        <w:t xml:space="preserve"> It is clear that freedom of expression has its limitations and the press must abide by these in order to avoid defamation. </w:t>
      </w: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r>
        <w:rPr>
          <w:rFonts w:ascii="Arial" w:hAnsi="Arial"/>
          <w:sz w:val="22"/>
          <w:szCs w:val="22"/>
          <w:shd w:val="clear" w:color="auto" w:fill="ffffff"/>
          <w:rtl w:val="0"/>
          <w:lang w:val="en-US"/>
        </w:rPr>
        <w:t xml:space="preserve">To a small extent the law on defamation strikes a just balance between protecting an individuals reputation and allowing freedom of expression, the case of </w:t>
      </w:r>
      <w:r>
        <w:rPr>
          <w:rFonts w:ascii="Arial" w:hAnsi="Arial"/>
          <w:sz w:val="22"/>
          <w:szCs w:val="22"/>
          <w:shd w:val="clear" w:color="auto" w:fill="ffffff"/>
          <w:rtl w:val="0"/>
          <w:lang w:val="en-US"/>
        </w:rPr>
        <w:t>Reynolds v Times Newspapers</w:t>
      </w:r>
      <w:r>
        <w:rPr>
          <w:rFonts w:ascii="Arial" w:hAnsi="Arial"/>
          <w:sz w:val="22"/>
          <w:szCs w:val="22"/>
          <w:shd w:val="clear" w:color="auto" w:fill="ffffff"/>
          <w:rtl w:val="0"/>
          <w:lang w:val="en-US"/>
        </w:rPr>
        <w:t xml:space="preserve"> (1999)</w:t>
      </w:r>
      <w:r>
        <w:rPr>
          <w:rFonts w:ascii="Arial" w:cs="Arial" w:hAnsi="Arial" w:eastAsia="Arial"/>
          <w:sz w:val="22"/>
          <w:szCs w:val="22"/>
          <w:shd w:val="clear" w:color="auto" w:fill="ffffff"/>
          <w:vertAlign w:val="superscript"/>
          <w:rtl w:val="0"/>
        </w:rPr>
        <w:footnoteReference w:id="3"/>
      </w:r>
      <w:r>
        <w:rPr>
          <w:rFonts w:ascii="Arial" w:hAnsi="Arial"/>
          <w:sz w:val="22"/>
          <w:szCs w:val="22"/>
          <w:shd w:val="clear" w:color="auto" w:fill="ffffff"/>
          <w:rtl w:val="0"/>
          <w:lang w:val="en-US"/>
        </w:rPr>
        <w:t xml:space="preserve"> is a key indication of this. </w:t>
      </w:r>
      <w:r>
        <w:rPr>
          <w:rFonts w:ascii="Arial" w:hAnsi="Arial"/>
          <w:sz w:val="22"/>
          <w:szCs w:val="22"/>
          <w:shd w:val="clear" w:color="auto" w:fill="ffffff"/>
          <w:rtl w:val="0"/>
          <w:lang w:val="en-US"/>
        </w:rPr>
        <w:t xml:space="preserve">Mr. Reynolds' </w:t>
      </w:r>
      <w:r>
        <w:rPr>
          <w:rFonts w:ascii="Arial" w:hAnsi="Arial"/>
          <w:sz w:val="22"/>
          <w:szCs w:val="22"/>
          <w:shd w:val="clear" w:color="auto" w:fill="ffffff"/>
          <w:rtl w:val="0"/>
          <w:lang w:val="en-US"/>
        </w:rPr>
        <w:t xml:space="preserve">reasons for </w:t>
      </w:r>
      <w:r>
        <w:rPr>
          <w:rFonts w:ascii="Arial" w:hAnsi="Arial"/>
          <w:sz w:val="22"/>
          <w:szCs w:val="22"/>
          <w:shd w:val="clear" w:color="auto" w:fill="ffffff"/>
          <w:rtl w:val="0"/>
          <w:lang w:val="en-US"/>
        </w:rPr>
        <w:t xml:space="preserve">resignation </w:t>
      </w:r>
      <w:r>
        <w:rPr>
          <w:rFonts w:ascii="Arial" w:hAnsi="Arial"/>
          <w:sz w:val="22"/>
          <w:szCs w:val="22"/>
          <w:shd w:val="clear" w:color="auto" w:fill="ffffff"/>
          <w:rtl w:val="0"/>
          <w:lang w:val="en-US"/>
        </w:rPr>
        <w:t>(</w:t>
      </w:r>
      <w:r>
        <w:rPr>
          <w:rFonts w:ascii="Arial" w:hAnsi="Arial"/>
          <w:sz w:val="22"/>
          <w:szCs w:val="22"/>
          <w:shd w:val="clear" w:color="auto" w:fill="ffffff"/>
          <w:rtl w:val="0"/>
        </w:rPr>
        <w:t>17 November 199</w:t>
      </w:r>
      <w:r>
        <w:rPr>
          <w:rFonts w:ascii="Arial" w:hAnsi="Arial"/>
          <w:sz w:val="22"/>
          <w:szCs w:val="22"/>
          <w:shd w:val="clear" w:color="auto" w:fill="ffffff"/>
          <w:rtl w:val="0"/>
          <w:lang w:val="en-US"/>
        </w:rPr>
        <w:t xml:space="preserve">4), </w:t>
      </w:r>
      <w:r>
        <w:rPr>
          <w:rFonts w:ascii="Arial" w:hAnsi="Arial"/>
          <w:sz w:val="22"/>
          <w:szCs w:val="22"/>
          <w:shd w:val="clear" w:color="auto" w:fill="ffffff"/>
          <w:rtl w:val="0"/>
          <w:lang w:val="en-US"/>
        </w:rPr>
        <w:t>were of public interest in the UK</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 xml:space="preserve">because of his </w:t>
      </w:r>
      <w:r>
        <w:rPr>
          <w:rFonts w:ascii="Arial" w:hAnsi="Arial"/>
          <w:sz w:val="22"/>
          <w:szCs w:val="22"/>
          <w:shd w:val="clear" w:color="auto" w:fill="ffffff"/>
          <w:rtl w:val="0"/>
          <w:lang w:val="en-US"/>
        </w:rPr>
        <w:t>being one of the</w:t>
      </w:r>
      <w:r>
        <w:rPr>
          <w:rFonts w:ascii="Arial" w:hAnsi="Arial"/>
          <w:sz w:val="22"/>
          <w:szCs w:val="22"/>
          <w:shd w:val="clear" w:color="auto" w:fill="ffffff"/>
          <w:rtl w:val="0"/>
          <w:lang w:val="en-US"/>
        </w:rPr>
        <w:t xml:space="preserve"> chief architects</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with</w:t>
      </w:r>
      <w:r>
        <w:rPr>
          <w:rFonts w:ascii="Arial" w:hAnsi="Arial"/>
          <w:sz w:val="22"/>
          <w:szCs w:val="22"/>
          <w:shd w:val="clear" w:color="auto" w:fill="ffffff"/>
          <w:rtl w:val="0"/>
          <w:lang w:val="en-US"/>
        </w:rPr>
        <w:t>in</w:t>
      </w:r>
      <w:r>
        <w:rPr>
          <w:rFonts w:ascii="Arial" w:hAnsi="Arial"/>
          <w:sz w:val="22"/>
          <w:szCs w:val="22"/>
          <w:shd w:val="clear" w:color="auto" w:fill="ffffff"/>
          <w:rtl w:val="0"/>
          <w:lang w:val="en-US"/>
        </w:rPr>
        <w:t xml:space="preserve"> the Northern Ireland peace process.</w:t>
      </w:r>
      <w:r>
        <w:rPr>
          <w:rFonts w:ascii="Arial" w:hAnsi="Arial"/>
          <w:sz w:val="22"/>
          <w:szCs w:val="22"/>
          <w:shd w:val="clear" w:color="auto" w:fill="ffffff"/>
          <w:rtl w:val="0"/>
          <w:lang w:val="en-US"/>
        </w:rPr>
        <w:t>The</w:t>
      </w:r>
      <w:r>
        <w:rPr>
          <w:rFonts w:ascii="Arial" w:hAnsi="Arial"/>
          <w:sz w:val="22"/>
          <w:szCs w:val="22"/>
          <w:shd w:val="clear" w:color="auto" w:fill="ffffff"/>
          <w:rtl w:val="0"/>
          <w:lang w:val="en-US"/>
        </w:rPr>
        <w:t xml:space="preserve"> 'Sunday Times' published</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an article entitled 'Goodbye gombeen man.</w:t>
      </w:r>
      <w:r>
        <w:rPr>
          <w:rFonts w:ascii="Arial" w:hAnsi="Arial" w:hint="default"/>
          <w:sz w:val="22"/>
          <w:szCs w:val="22"/>
          <w:shd w:val="clear" w:color="auto" w:fill="ffffff"/>
          <w:rtl w:val="0"/>
          <w:lang w:val="en-US"/>
        </w:rPr>
        <w:t>’</w:t>
      </w:r>
      <w:r>
        <w:rPr>
          <w:rFonts w:ascii="Arial" w:cs="Arial" w:hAnsi="Arial" w:eastAsia="Arial"/>
          <w:sz w:val="22"/>
          <w:szCs w:val="22"/>
          <w:shd w:val="clear" w:color="auto" w:fill="ffffff"/>
          <w:vertAlign w:val="superscript"/>
          <w:rtl w:val="0"/>
        </w:rPr>
        <w:footnoteReference w:id="4"/>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 xml:space="preserve">The jury </w:t>
      </w:r>
      <w:r>
        <w:rPr>
          <w:rFonts w:ascii="Arial" w:hAnsi="Arial"/>
          <w:sz w:val="22"/>
          <w:szCs w:val="22"/>
          <w:shd w:val="clear" w:color="auto" w:fill="ffffff"/>
          <w:rtl w:val="0"/>
          <w:lang w:val="en-US"/>
        </w:rPr>
        <w:t xml:space="preserve">concluded </w:t>
      </w:r>
      <w:r>
        <w:rPr>
          <w:rFonts w:ascii="Arial" w:hAnsi="Arial"/>
          <w:sz w:val="22"/>
          <w:szCs w:val="22"/>
          <w:shd w:val="clear" w:color="auto" w:fill="ffffff"/>
          <w:rtl w:val="0"/>
          <w:lang w:val="en-US"/>
        </w:rPr>
        <w:t>that the defamatory allegation</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 xml:space="preserve">complained was </w:t>
      </w:r>
      <w:r>
        <w:rPr>
          <w:rFonts w:ascii="Arial" w:hAnsi="Arial"/>
          <w:sz w:val="22"/>
          <w:szCs w:val="22"/>
          <w:shd w:val="clear" w:color="auto" w:fill="ffffff"/>
          <w:rtl w:val="0"/>
          <w:lang w:val="en-US"/>
        </w:rPr>
        <w:t xml:space="preserve">false, as well as deducing neither </w:t>
      </w:r>
      <w:r>
        <w:rPr>
          <w:rFonts w:ascii="Arial" w:hAnsi="Arial"/>
          <w:sz w:val="22"/>
          <w:szCs w:val="22"/>
          <w:shd w:val="clear" w:color="auto" w:fill="ffffff"/>
          <w:rtl w:val="0"/>
          <w:lang w:val="it-IT"/>
        </w:rPr>
        <w:t>Mr. Ruddock</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nor Mr. Witherow w</w:t>
      </w:r>
      <w:r>
        <w:rPr>
          <w:rFonts w:ascii="Arial" w:hAnsi="Arial"/>
          <w:sz w:val="22"/>
          <w:szCs w:val="22"/>
          <w:shd w:val="clear" w:color="auto" w:fill="ffffff"/>
          <w:rtl w:val="0"/>
          <w:lang w:val="en-US"/>
        </w:rPr>
        <w:t>ere</w:t>
      </w:r>
      <w:r>
        <w:rPr>
          <w:rFonts w:ascii="Arial" w:hAnsi="Arial"/>
          <w:sz w:val="22"/>
          <w:szCs w:val="22"/>
          <w:shd w:val="clear" w:color="auto" w:fill="ffffff"/>
          <w:rtl w:val="0"/>
          <w:lang w:val="en-US"/>
        </w:rPr>
        <w:t xml:space="preserve"> acting maliciously in writing and publishing the words complained of. </w:t>
      </w:r>
      <w:r>
        <w:rPr>
          <w:rFonts w:ascii="Arial" w:hAnsi="Arial"/>
          <w:sz w:val="22"/>
          <w:szCs w:val="22"/>
          <w:shd w:val="clear" w:color="auto" w:fill="ffffff"/>
          <w:rtl w:val="0"/>
          <w:lang w:val="en-US"/>
        </w:rPr>
        <w:t>Lord Nicholls of Birkenhead significantly concluded that future cases should utilise his 10 categories in which defamation claims must depend upon for example: timing,</w:t>
      </w:r>
      <w:r>
        <w:rPr>
          <w:rFonts w:ascii="Arial" w:hAnsi="Arial"/>
          <w:sz w:val="22"/>
          <w:szCs w:val="22"/>
          <w:shd w:val="clear" w:color="auto" w:fill="ffffff"/>
          <w:rtl w:val="0"/>
          <w:lang w:val="en-US"/>
        </w:rPr>
        <w:t xml:space="preserve"> tone of the article</w:t>
      </w:r>
      <w:r>
        <w:rPr>
          <w:rFonts w:ascii="Arial" w:hAnsi="Arial"/>
          <w:sz w:val="22"/>
          <w:szCs w:val="22"/>
          <w:shd w:val="clear" w:color="auto" w:fill="ffffff"/>
          <w:rtl w:val="0"/>
          <w:lang w:val="en-US"/>
        </w:rPr>
        <w:t>, t</w:t>
      </w:r>
      <w:r>
        <w:rPr>
          <w:rFonts w:ascii="Arial" w:hAnsi="Arial"/>
          <w:sz w:val="22"/>
          <w:szCs w:val="22"/>
          <w:shd w:val="clear" w:color="auto" w:fill="ffffff"/>
          <w:rtl w:val="0"/>
          <w:lang w:val="en-US"/>
        </w:rPr>
        <w:t>he urgency of the matter.</w:t>
      </w:r>
      <w:r>
        <w:rPr>
          <w:rFonts w:ascii="Arial" w:hAnsi="Arial"/>
          <w:sz w:val="22"/>
          <w:szCs w:val="22"/>
          <w:shd w:val="clear" w:color="auto" w:fill="ffffff"/>
          <w:rtl w:val="0"/>
          <w:lang w:val="en-US"/>
        </w:rPr>
        <w:t xml:space="preserve"> Accordingly, the law on defamation is just in protecting an individuals reputation rather than allowing the press to have freedom of expression. Consequently, this case substantially was later used in </w:t>
      </w:r>
      <w:r>
        <w:rPr>
          <w:rFonts w:ascii="Arial" w:hAnsi="Arial"/>
          <w:sz w:val="22"/>
          <w:szCs w:val="22"/>
          <w:shd w:val="clear" w:color="auto" w:fill="ffffff"/>
          <w:rtl w:val="0"/>
          <w:lang w:val="en-US"/>
        </w:rPr>
        <w:t>Flood v Times Newspapers Ltd</w:t>
      </w:r>
      <w:r>
        <w:rPr>
          <w:rFonts w:ascii="Arial" w:cs="Arial" w:hAnsi="Arial" w:eastAsia="Arial"/>
          <w:sz w:val="22"/>
          <w:szCs w:val="22"/>
          <w:shd w:val="clear" w:color="auto" w:fill="ffffff"/>
          <w:vertAlign w:val="superscript"/>
          <w:rtl w:val="0"/>
        </w:rPr>
        <w:footnoteReference w:id="5"/>
      </w:r>
      <w:r>
        <w:rPr>
          <w:rFonts w:ascii="Arial" w:hAnsi="Arial"/>
          <w:sz w:val="22"/>
          <w:szCs w:val="22"/>
          <w:shd w:val="clear" w:color="auto" w:fill="ffffff"/>
          <w:rtl w:val="0"/>
          <w:lang w:val="en-US"/>
        </w:rPr>
        <w:t xml:space="preserve"> involving an article stating </w:t>
      </w:r>
      <w:r>
        <w:rPr>
          <w:rFonts w:ascii="Arial" w:hAnsi="Arial"/>
          <w:sz w:val="22"/>
          <w:szCs w:val="22"/>
          <w:shd w:val="clear" w:color="auto" w:fill="ffffff"/>
          <w:rtl w:val="0"/>
          <w:lang w:val="en-US"/>
        </w:rPr>
        <w:t xml:space="preserve">allegations </w:t>
      </w:r>
      <w:r>
        <w:rPr>
          <w:rFonts w:ascii="Arial" w:hAnsi="Arial"/>
          <w:sz w:val="22"/>
          <w:szCs w:val="22"/>
          <w:shd w:val="clear" w:color="auto" w:fill="ffffff"/>
          <w:rtl w:val="0"/>
          <w:lang w:val="en-US"/>
        </w:rPr>
        <w:t xml:space="preserve">of corruption </w:t>
      </w:r>
      <w:r>
        <w:rPr>
          <w:rFonts w:ascii="Arial" w:hAnsi="Arial"/>
          <w:sz w:val="22"/>
          <w:szCs w:val="22"/>
          <w:shd w:val="clear" w:color="auto" w:fill="ffffff"/>
          <w:rtl w:val="0"/>
          <w:lang w:val="en-US"/>
        </w:rPr>
        <w:t xml:space="preserve">against Sergeant Flood that </w:t>
      </w:r>
      <w:r>
        <w:rPr>
          <w:rFonts w:ascii="Arial" w:hAnsi="Arial"/>
          <w:sz w:val="22"/>
          <w:szCs w:val="22"/>
          <w:shd w:val="clear" w:color="auto" w:fill="ffffff"/>
          <w:rtl w:val="0"/>
          <w:lang w:val="en-US"/>
        </w:rPr>
        <w:t xml:space="preserve">resulted in a </w:t>
      </w:r>
      <w:r>
        <w:rPr>
          <w:rFonts w:ascii="Arial" w:hAnsi="Arial"/>
          <w:sz w:val="22"/>
          <w:szCs w:val="22"/>
          <w:shd w:val="clear" w:color="auto" w:fill="ffffff"/>
          <w:rtl w:val="0"/>
          <w:lang w:val="en-US"/>
        </w:rPr>
        <w:t>Scotland Yard investigat</w:t>
      </w:r>
      <w:r>
        <w:rPr>
          <w:rFonts w:ascii="Arial" w:hAnsi="Arial"/>
          <w:sz w:val="22"/>
          <w:szCs w:val="22"/>
          <w:shd w:val="clear" w:color="auto" w:fill="ffffff"/>
          <w:rtl w:val="0"/>
          <w:lang w:val="en-US"/>
        </w:rPr>
        <w:t>ion</w:t>
      </w:r>
      <w:r>
        <w:rPr>
          <w:rFonts w:ascii="Arial" w:hAnsi="Arial"/>
          <w:sz w:val="22"/>
          <w:szCs w:val="22"/>
          <w:shd w:val="clear" w:color="auto" w:fill="ffffff"/>
          <w:rtl w:val="0"/>
          <w:lang w:val="en-US"/>
        </w:rPr>
        <w:t xml:space="preserve">. The investigation </w:t>
      </w:r>
      <w:r>
        <w:rPr>
          <w:rFonts w:ascii="Arial" w:hAnsi="Arial"/>
          <w:sz w:val="22"/>
          <w:szCs w:val="22"/>
          <w:shd w:val="clear" w:color="auto" w:fill="ffffff"/>
          <w:rtl w:val="0"/>
          <w:lang w:val="en-US"/>
        </w:rPr>
        <w:t xml:space="preserve">and </w:t>
      </w:r>
      <w:r>
        <w:rPr>
          <w:rFonts w:ascii="Arial" w:hAnsi="Arial"/>
          <w:sz w:val="22"/>
          <w:szCs w:val="22"/>
          <w:shd w:val="clear" w:color="auto" w:fill="ffffff"/>
          <w:rtl w:val="0"/>
          <w:lang w:val="en-US"/>
        </w:rPr>
        <w:t>the trial judge, Tugendhat J accepted evidence that he was not guilty of corruption</w:t>
      </w:r>
      <w:r>
        <w:rPr>
          <w:rFonts w:ascii="Arial" w:hAnsi="Arial"/>
          <w:sz w:val="22"/>
          <w:szCs w:val="22"/>
          <w:shd w:val="clear" w:color="auto" w:fill="ffffff"/>
          <w:rtl w:val="0"/>
          <w:lang w:val="en-US"/>
        </w:rPr>
        <w:t>. Accordingly, t</w:t>
      </w:r>
      <w:r>
        <w:rPr>
          <w:rFonts w:ascii="Arial" w:hAnsi="Arial"/>
          <w:sz w:val="22"/>
          <w:szCs w:val="22"/>
          <w:shd w:val="clear" w:color="auto" w:fill="ffffff"/>
          <w:rtl w:val="0"/>
          <w:lang w:val="en-US"/>
        </w:rPr>
        <w:t>he</w:t>
      </w:r>
      <w:r>
        <w:rPr>
          <w:rFonts w:ascii="Arial" w:hAnsi="Arial"/>
          <w:sz w:val="22"/>
          <w:szCs w:val="22"/>
          <w:shd w:val="clear" w:color="auto" w:fill="ffffff"/>
          <w:rtl w:val="0"/>
          <w:lang w:val="en-US"/>
        </w:rPr>
        <w:t xml:space="preserve"> Court was debating</w:t>
      </w:r>
      <w:r>
        <w:rPr>
          <w:rFonts w:ascii="Arial" w:hAnsi="Arial"/>
          <w:sz w:val="22"/>
          <w:szCs w:val="22"/>
          <w:shd w:val="clear" w:color="auto" w:fill="ffffff"/>
          <w:rtl w:val="0"/>
          <w:lang w:val="en-US"/>
        </w:rPr>
        <w:t xml:space="preserve"> whether T</w:t>
      </w:r>
      <w:r>
        <w:rPr>
          <w:rFonts w:ascii="Arial" w:hAnsi="Arial"/>
          <w:sz w:val="22"/>
          <w:szCs w:val="22"/>
          <w:shd w:val="clear" w:color="auto" w:fill="ffffff"/>
          <w:rtl w:val="0"/>
          <w:lang w:val="en-US"/>
        </w:rPr>
        <w:t xml:space="preserve">imes </w:t>
      </w:r>
      <w:r>
        <w:rPr>
          <w:rFonts w:ascii="Arial" w:hAnsi="Arial"/>
          <w:sz w:val="22"/>
          <w:szCs w:val="22"/>
          <w:shd w:val="clear" w:color="auto" w:fill="ffffff"/>
          <w:rtl w:val="0"/>
        </w:rPr>
        <w:t>N</w:t>
      </w:r>
      <w:r>
        <w:rPr>
          <w:rFonts w:ascii="Arial" w:hAnsi="Arial"/>
          <w:sz w:val="22"/>
          <w:szCs w:val="22"/>
          <w:shd w:val="clear" w:color="auto" w:fill="ffffff"/>
          <w:rtl w:val="0"/>
          <w:lang w:val="en-US"/>
        </w:rPr>
        <w:t xml:space="preserve">ewspapers </w:t>
      </w:r>
      <w:r>
        <w:rPr>
          <w:rFonts w:ascii="Arial" w:hAnsi="Arial"/>
          <w:sz w:val="22"/>
          <w:szCs w:val="22"/>
          <w:shd w:val="clear" w:color="auto" w:fill="ffffff"/>
          <w:rtl w:val="0"/>
        </w:rPr>
        <w:t>L</w:t>
      </w:r>
      <w:r>
        <w:rPr>
          <w:rFonts w:ascii="Arial" w:hAnsi="Arial"/>
          <w:sz w:val="22"/>
          <w:szCs w:val="22"/>
          <w:shd w:val="clear" w:color="auto" w:fill="ffffff"/>
          <w:rtl w:val="0"/>
          <w:lang w:val="en-US"/>
        </w:rPr>
        <w:t>td</w:t>
      </w:r>
      <w:r>
        <w:rPr>
          <w:rFonts w:ascii="Arial" w:hAnsi="Arial"/>
          <w:sz w:val="22"/>
          <w:szCs w:val="22"/>
          <w:shd w:val="clear" w:color="auto" w:fill="ffffff"/>
          <w:rtl w:val="0"/>
        </w:rPr>
        <w:t xml:space="preserve"> </w:t>
      </w:r>
      <w:r>
        <w:rPr>
          <w:rFonts w:ascii="Arial" w:hAnsi="Arial"/>
          <w:sz w:val="22"/>
          <w:szCs w:val="22"/>
          <w:shd w:val="clear" w:color="auto" w:fill="ffffff"/>
          <w:rtl w:val="0"/>
          <w:lang w:val="en-US"/>
        </w:rPr>
        <w:t>were</w:t>
      </w:r>
      <w:r>
        <w:rPr>
          <w:rFonts w:ascii="Arial" w:hAnsi="Arial"/>
          <w:sz w:val="22"/>
          <w:szCs w:val="22"/>
          <w:shd w:val="clear" w:color="auto" w:fill="ffffff"/>
          <w:rtl w:val="0"/>
          <w:lang w:val="en-US"/>
        </w:rPr>
        <w:t xml:space="preserve"> protected from liability to Sergeant Flood in defamation under the doctrine</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Reynolds privilege</w:t>
      </w:r>
      <w:r>
        <w:rPr>
          <w:rFonts w:ascii="Arial" w:hAnsi="Arial"/>
          <w:sz w:val="22"/>
          <w:szCs w:val="22"/>
          <w:shd w:val="clear" w:color="auto" w:fill="ffffff"/>
          <w:rtl w:val="0"/>
          <w:lang w:val="en-US"/>
        </w:rPr>
        <w:t>, which does not involve the exercise of discretion</w:t>
      </w:r>
      <w:r>
        <w:rPr>
          <w:rFonts w:ascii="Arial" w:hAnsi="Arial"/>
          <w:sz w:val="22"/>
          <w:szCs w:val="22"/>
          <w:shd w:val="clear" w:color="auto" w:fill="ffffff"/>
          <w:rtl w:val="0"/>
        </w:rPr>
        <w:t xml:space="preserve">. </w:t>
      </w:r>
      <w:r>
        <w:rPr>
          <w:rFonts w:ascii="Arial" w:hAnsi="Arial"/>
          <w:sz w:val="22"/>
          <w:szCs w:val="22"/>
          <w:shd w:val="clear" w:color="auto" w:fill="ffffff"/>
          <w:rtl w:val="0"/>
          <w:lang w:val="en-US"/>
        </w:rPr>
        <w:t xml:space="preserve">By using the Reynolds privilege they were successful in their appeal. The Court deciphered that </w:t>
      </w:r>
      <w:r>
        <w:rPr>
          <w:rFonts w:ascii="Arial" w:hAnsi="Arial"/>
          <w:sz w:val="22"/>
          <w:szCs w:val="22"/>
          <w:shd w:val="clear" w:color="auto" w:fill="ffffff"/>
          <w:rtl w:val="0"/>
          <w:lang w:val="en-US"/>
        </w:rPr>
        <w:t xml:space="preserve">TNL journalists investigated sources and reasons for the allegations over a substantial period as far as they could </w:t>
      </w:r>
      <w:r>
        <w:rPr>
          <w:rFonts w:ascii="Arial" w:hAnsi="Arial"/>
          <w:sz w:val="22"/>
          <w:szCs w:val="22"/>
          <w:shd w:val="clear" w:color="auto" w:fill="ffffff"/>
          <w:rtl w:val="0"/>
          <w:lang w:val="en-US"/>
        </w:rPr>
        <w:t xml:space="preserve">and that they </w:t>
      </w:r>
      <w:r>
        <w:rPr>
          <w:rFonts w:ascii="Arial" w:hAnsi="Arial"/>
          <w:sz w:val="22"/>
          <w:szCs w:val="22"/>
          <w:shd w:val="clear" w:color="auto" w:fill="ffffff"/>
          <w:rtl w:val="0"/>
        </w:rPr>
        <w:t>w</w:t>
      </w:r>
      <w:r>
        <w:rPr>
          <w:rFonts w:ascii="Arial" w:hAnsi="Arial"/>
          <w:sz w:val="22"/>
          <w:szCs w:val="22"/>
          <w:shd w:val="clear" w:color="auto" w:fill="ffffff"/>
          <w:rtl w:val="0"/>
          <w:lang w:val="en-US"/>
        </w:rPr>
        <w:t>anted to ensure that the Scotland Yard investigation was being properly conducted against Sergeant Flood</w:t>
      </w:r>
      <w:r>
        <w:rPr>
          <w:rFonts w:ascii="Arial" w:hAnsi="Arial"/>
          <w:sz w:val="22"/>
          <w:szCs w:val="22"/>
          <w:shd w:val="clear" w:color="auto" w:fill="ffffff"/>
          <w:rtl w:val="0"/>
        </w:rPr>
        <w:t>.</w:t>
      </w:r>
      <w:r>
        <w:rPr>
          <w:rFonts w:ascii="Arial" w:hAnsi="Arial"/>
          <w:sz w:val="22"/>
          <w:szCs w:val="22"/>
          <w:shd w:val="clear" w:color="auto" w:fill="ffffff"/>
          <w:rtl w:val="0"/>
          <w:lang w:val="en-US"/>
        </w:rPr>
        <w:t xml:space="preserve"> Furthermore,</w:t>
      </w:r>
      <w:r>
        <w:rPr>
          <w:rFonts w:ascii="Arial" w:hAnsi="Arial"/>
          <w:sz w:val="22"/>
          <w:szCs w:val="22"/>
          <w:shd w:val="clear" w:color="auto" w:fill="ffffff"/>
          <w:rtl w:val="0"/>
        </w:rPr>
        <w:t xml:space="preserve"> </w:t>
      </w:r>
      <w:r>
        <w:rPr>
          <w:rFonts w:ascii="Arial" w:hAnsi="Arial"/>
          <w:sz w:val="22"/>
          <w:szCs w:val="22"/>
          <w:shd w:val="clear" w:color="auto" w:fill="ffffff"/>
          <w:rtl w:val="0"/>
          <w:lang w:val="en-US"/>
        </w:rPr>
        <w:t>t</w:t>
      </w:r>
      <w:r>
        <w:rPr>
          <w:rFonts w:ascii="Arial" w:hAnsi="Arial"/>
          <w:sz w:val="22"/>
          <w:szCs w:val="22"/>
          <w:shd w:val="clear" w:color="auto" w:fill="ffffff"/>
          <w:rtl w:val="0"/>
          <w:lang w:val="en-US"/>
        </w:rPr>
        <w:t xml:space="preserve">he article would have been </w:t>
      </w:r>
      <w:r>
        <w:rPr>
          <w:rFonts w:ascii="Arial" w:hAnsi="Arial"/>
          <w:sz w:val="22"/>
          <w:szCs w:val="22"/>
          <w:shd w:val="clear" w:color="auto" w:fill="ffffff"/>
          <w:rtl w:val="0"/>
          <w:lang w:val="en-US"/>
        </w:rPr>
        <w:t>un</w:t>
      </w:r>
      <w:r>
        <w:rPr>
          <w:rFonts w:ascii="Arial" w:hAnsi="Arial"/>
          <w:sz w:val="22"/>
          <w:szCs w:val="22"/>
          <w:shd w:val="clear" w:color="auto" w:fill="ffffff"/>
          <w:rtl w:val="0"/>
          <w:lang w:val="en-US"/>
        </w:rPr>
        <w:t xml:space="preserve">publishable without details of the names and transactions involved in the alleged corruption. The facts </w:t>
      </w:r>
      <w:r>
        <w:rPr>
          <w:rFonts w:ascii="Arial" w:hAnsi="Arial"/>
          <w:sz w:val="22"/>
          <w:szCs w:val="22"/>
          <w:shd w:val="clear" w:color="auto" w:fill="ffffff"/>
          <w:rtl w:val="0"/>
          <w:lang w:val="en-US"/>
        </w:rPr>
        <w:t xml:space="preserve">in relation to the </w:t>
      </w:r>
      <w:r>
        <w:rPr>
          <w:rFonts w:ascii="Arial" w:hAnsi="Arial"/>
          <w:sz w:val="22"/>
          <w:szCs w:val="22"/>
          <w:shd w:val="clear" w:color="auto" w:fill="ffffff"/>
          <w:rtl w:val="0"/>
          <w:lang w:val="en-US"/>
        </w:rPr>
        <w:t>transactions were accurately stated</w:t>
      </w:r>
      <w:r>
        <w:rPr>
          <w:rFonts w:ascii="Arial" w:hAnsi="Arial"/>
          <w:sz w:val="22"/>
          <w:szCs w:val="22"/>
          <w:shd w:val="clear" w:color="auto" w:fill="ffffff"/>
          <w:rtl w:val="0"/>
          <w:lang w:val="en-US"/>
        </w:rPr>
        <w:t xml:space="preserve"> which is in accordance to </w:t>
      </w:r>
      <w:r>
        <w:rPr>
          <w:rFonts w:ascii="Arial" w:hAnsi="Arial"/>
          <w:sz w:val="22"/>
          <w:szCs w:val="22"/>
          <w:shd w:val="clear" w:color="auto" w:fill="ffffff"/>
          <w:rtl w:val="0"/>
        </w:rPr>
        <w:t xml:space="preserve">s4 </w:t>
      </w:r>
      <w:r>
        <w:rPr>
          <w:rFonts w:ascii="Arial" w:hAnsi="Arial"/>
          <w:sz w:val="22"/>
          <w:szCs w:val="22"/>
          <w:shd w:val="clear" w:color="auto" w:fill="ffffff"/>
          <w:rtl w:val="0"/>
          <w:lang w:val="en-US"/>
        </w:rPr>
        <w:t xml:space="preserve">(a) </w:t>
      </w:r>
      <w:r>
        <w:rPr>
          <w:rFonts w:ascii="Arial" w:hAnsi="Arial"/>
          <w:sz w:val="22"/>
          <w:szCs w:val="22"/>
          <w:shd w:val="clear" w:color="auto" w:fill="ffffff"/>
          <w:rtl w:val="0"/>
          <w:lang w:val="en-US"/>
        </w:rPr>
        <w:t>of the Defamation Act (2013)</w:t>
      </w:r>
      <w:r>
        <w:rPr>
          <w:rFonts w:ascii="Arial" w:hAnsi="Arial"/>
          <w:sz w:val="22"/>
          <w:szCs w:val="22"/>
          <w:shd w:val="clear" w:color="auto" w:fill="ffffff"/>
          <w:rtl w:val="0"/>
          <w:lang w:val="en-US"/>
        </w:rPr>
        <w:t>. Moreover, t</w:t>
      </w:r>
      <w:r>
        <w:rPr>
          <w:rFonts w:ascii="Arial" w:hAnsi="Arial"/>
          <w:sz w:val="22"/>
          <w:szCs w:val="22"/>
          <w:shd w:val="clear" w:color="auto" w:fill="ffffff"/>
          <w:rtl w:val="0"/>
          <w:lang w:val="en-US"/>
        </w:rPr>
        <w:t>he article, although damaging to DS Flood</w:t>
      </w:r>
      <w:r>
        <w:rPr>
          <w:rFonts w:ascii="Arial" w:hAnsi="Arial" w:hint="default"/>
          <w:sz w:val="22"/>
          <w:szCs w:val="22"/>
          <w:shd w:val="clear" w:color="auto" w:fill="ffffff"/>
          <w:rtl w:val="1"/>
        </w:rPr>
        <w:t>’</w:t>
      </w:r>
      <w:r>
        <w:rPr>
          <w:rFonts w:ascii="Arial" w:hAnsi="Arial"/>
          <w:sz w:val="22"/>
          <w:szCs w:val="22"/>
          <w:shd w:val="clear" w:color="auto" w:fill="ffffff"/>
          <w:rtl w:val="0"/>
          <w:lang w:val="en-US"/>
        </w:rPr>
        <w:t>s immediate reputation, was balanced in content and tone</w:t>
      </w:r>
      <w:r>
        <w:rPr>
          <w:rFonts w:ascii="Arial" w:hAnsi="Arial"/>
          <w:sz w:val="22"/>
          <w:szCs w:val="22"/>
          <w:shd w:val="clear" w:color="auto" w:fill="ffffff"/>
          <w:rtl w:val="0"/>
          <w:lang w:val="en-US"/>
        </w:rPr>
        <w:t xml:space="preserve"> adhering to Lord Nicholls </w:t>
      </w:r>
      <w:r>
        <w:rPr>
          <w:rFonts w:ascii="Arial" w:hAnsi="Arial"/>
          <w:sz w:val="22"/>
          <w:szCs w:val="22"/>
          <w:shd w:val="clear" w:color="auto" w:fill="ffffff"/>
          <w:rtl w:val="0"/>
          <w:lang w:val="it-IT"/>
        </w:rPr>
        <w:t>10 categories</w:t>
      </w:r>
      <w:r>
        <w:rPr>
          <w:rFonts w:ascii="Arial" w:hAnsi="Arial"/>
          <w:sz w:val="22"/>
          <w:szCs w:val="22"/>
          <w:shd w:val="clear" w:color="auto" w:fill="ffffff"/>
          <w:rtl w:val="0"/>
          <w:lang w:val="en-US"/>
        </w:rPr>
        <w:t xml:space="preserve">. Therefore, it can be concluded that the law on defamation strikes a just balance between freedom of expression in the press and protecting an individuals reputation to a great extent. </w:t>
      </w:r>
    </w:p>
    <w:p>
      <w:pPr>
        <w:pStyle w:val="List Paragraph"/>
        <w:ind w:left="0" w:firstLine="720"/>
        <w:jc w:val="both"/>
        <w:rPr>
          <w:rFonts w:ascii="Arial" w:cs="Arial" w:hAnsi="Arial" w:eastAsia="Arial"/>
          <w:sz w:val="22"/>
          <w:szCs w:val="22"/>
        </w:rPr>
      </w:pPr>
    </w:p>
    <w:p>
      <w:pPr>
        <w:pStyle w:val="List Paragraph"/>
        <w:ind w:left="0" w:firstLine="720"/>
        <w:jc w:val="both"/>
        <w:rPr>
          <w:rFonts w:ascii="Arial" w:cs="Arial" w:hAnsi="Arial" w:eastAsia="Arial"/>
          <w:sz w:val="22"/>
          <w:szCs w:val="22"/>
        </w:rPr>
      </w:pPr>
    </w:p>
    <w:p>
      <w:pPr>
        <w:pStyle w:val="Default"/>
        <w:bidi w:val="0"/>
        <w:spacing w:before="0"/>
        <w:ind w:left="0" w:right="0" w:firstLine="720"/>
        <w:jc w:val="both"/>
        <w:rPr>
          <w:rFonts w:ascii="Arial" w:cs="Arial" w:hAnsi="Arial" w:eastAsia="Arial"/>
          <w:sz w:val="22"/>
          <w:szCs w:val="22"/>
          <w:shd w:val="clear" w:color="auto" w:fill="ffffff"/>
          <w:rtl w:val="0"/>
        </w:rPr>
      </w:pPr>
      <w:r>
        <w:rPr>
          <w:rFonts w:ascii="Arial" w:hAnsi="Arial"/>
          <w:sz w:val="22"/>
          <w:szCs w:val="22"/>
          <w:shd w:val="clear" w:color="auto" w:fill="ffffff"/>
          <w:rtl w:val="0"/>
          <w:lang w:val="en-US"/>
        </w:rPr>
        <w:t xml:space="preserve">Contrastingly, the law appears to be more balanced in favour of freedom of expression in the case of </w:t>
      </w:r>
      <w:r>
        <w:rPr>
          <w:rFonts w:ascii="Arial" w:hAnsi="Arial"/>
          <w:sz w:val="22"/>
          <w:szCs w:val="22"/>
          <w:shd w:val="clear" w:color="auto" w:fill="ffffff"/>
          <w:rtl w:val="0"/>
          <w:lang w:val="en-US"/>
        </w:rPr>
        <w:t>Blackshaw v. Lord</w:t>
      </w:r>
      <w:r>
        <w:rPr>
          <w:rFonts w:ascii="Arial" w:cs="Arial" w:hAnsi="Arial" w:eastAsia="Arial"/>
          <w:sz w:val="22"/>
          <w:szCs w:val="22"/>
          <w:shd w:val="clear" w:color="auto" w:fill="ffffff"/>
          <w:vertAlign w:val="superscript"/>
          <w:rtl w:val="0"/>
        </w:rPr>
        <w:footnoteReference w:id="6"/>
      </w:r>
      <w:r>
        <w:rPr>
          <w:rFonts w:ascii="Arial" w:hAnsi="Arial"/>
          <w:sz w:val="22"/>
          <w:szCs w:val="22"/>
          <w:shd w:val="clear" w:color="auto" w:fill="ffffff"/>
          <w:rtl w:val="0"/>
          <w:lang w:val="en-US"/>
        </w:rPr>
        <w:t xml:space="preserve">, the Court of Appeal rejected a claim to generic protection for a widely stated category: 'fair information on a matter of public interest'. </w:t>
      </w:r>
      <w:r>
        <w:rPr>
          <w:rFonts w:ascii="Arial" w:hAnsi="Arial"/>
          <w:sz w:val="22"/>
          <w:szCs w:val="22"/>
          <w:shd w:val="clear" w:color="auto" w:fill="ffffff"/>
          <w:rtl w:val="0"/>
          <w:lang w:val="en-US"/>
        </w:rPr>
        <w:t xml:space="preserve">It was concluded that a </w:t>
      </w:r>
      <w:r>
        <w:rPr>
          <w:rFonts w:ascii="Arial" w:hAnsi="Arial"/>
          <w:sz w:val="22"/>
          <w:szCs w:val="22"/>
          <w:shd w:val="clear" w:color="auto" w:fill="ffffff"/>
          <w:rtl w:val="0"/>
          <w:lang w:val="en-US"/>
        </w:rPr>
        <w:t xml:space="preserve">claim to privilege must be more precisely focused. Whether a publication is in the public interest </w:t>
      </w:r>
      <w:r>
        <w:rPr>
          <w:rFonts w:ascii="Arial" w:hAnsi="Arial"/>
          <w:sz w:val="22"/>
          <w:szCs w:val="22"/>
          <w:shd w:val="clear" w:color="auto" w:fill="ffffff"/>
          <w:rtl w:val="0"/>
          <w:lang w:val="en-US"/>
        </w:rPr>
        <w:t xml:space="preserve"> or </w:t>
      </w:r>
      <w:r>
        <w:rPr>
          <w:rFonts w:ascii="Arial" w:hAnsi="Arial"/>
          <w:sz w:val="22"/>
          <w:szCs w:val="22"/>
          <w:shd w:val="clear" w:color="auto" w:fill="ffffff"/>
          <w:rtl w:val="0"/>
          <w:lang w:val="en-US"/>
        </w:rPr>
        <w:t>whether there</w:t>
      </w:r>
      <w:r>
        <w:rPr>
          <w:rFonts w:ascii="Arial" w:hAnsi="Arial" w:hint="default"/>
          <w:sz w:val="22"/>
          <w:szCs w:val="22"/>
          <w:shd w:val="clear" w:color="auto" w:fill="ffffff"/>
          <w:rtl w:val="0"/>
          <w:lang w:val="en-US"/>
        </w:rPr>
        <w:t>’</w:t>
      </w:r>
      <w:r>
        <w:rPr>
          <w:rFonts w:ascii="Arial" w:hAnsi="Arial"/>
          <w:sz w:val="22"/>
          <w:szCs w:val="22"/>
          <w:shd w:val="clear" w:color="auto" w:fill="ffffff"/>
          <w:rtl w:val="0"/>
          <w:lang w:val="en-US"/>
        </w:rPr>
        <w:t>s a duty to publish</w:t>
      </w:r>
      <w:r>
        <w:rPr>
          <w:rFonts w:ascii="Arial" w:hAnsi="Arial"/>
          <w:sz w:val="22"/>
          <w:szCs w:val="22"/>
          <w:shd w:val="clear" w:color="auto" w:fill="ffffff"/>
          <w:rtl w:val="0"/>
          <w:lang w:val="en-US"/>
        </w:rPr>
        <w:t xml:space="preserve"> to</w:t>
      </w:r>
      <w:r>
        <w:rPr>
          <w:rFonts w:ascii="Arial" w:hAnsi="Arial"/>
          <w:sz w:val="22"/>
          <w:szCs w:val="22"/>
          <w:shd w:val="clear" w:color="auto" w:fill="ffffff"/>
          <w:rtl w:val="0"/>
          <w:lang w:val="en-US"/>
        </w:rPr>
        <w:t xml:space="preserve"> the readers of the 'Daily Telegraph', depends upon the circumstances</w:t>
      </w:r>
      <w:r>
        <w:rPr>
          <w:rFonts w:ascii="Arial" w:hAnsi="Arial"/>
          <w:sz w:val="22"/>
          <w:szCs w:val="22"/>
          <w:shd w:val="clear" w:color="auto" w:fill="ffffff"/>
          <w:rtl w:val="0"/>
          <w:lang w:val="en-US"/>
        </w:rPr>
        <w:t>;</w:t>
      </w:r>
      <w:r>
        <w:rPr>
          <w:rFonts w:ascii="Arial" w:hAnsi="Arial"/>
          <w:sz w:val="22"/>
          <w:szCs w:val="22"/>
          <w:shd w:val="clear" w:color="auto" w:fill="ffffff"/>
          <w:rtl w:val="0"/>
          <w:lang w:val="en-US"/>
        </w:rPr>
        <w:t xml:space="preserve"> the nature of publi</w:t>
      </w:r>
      <w:r>
        <w:rPr>
          <w:rFonts w:ascii="Arial" w:hAnsi="Arial"/>
          <w:sz w:val="22"/>
          <w:szCs w:val="22"/>
          <w:shd w:val="clear" w:color="auto" w:fill="ffffff"/>
          <w:rtl w:val="0"/>
          <w:lang w:val="en-US"/>
        </w:rPr>
        <w:t>cation</w:t>
      </w:r>
      <w:r>
        <w:rPr>
          <w:rFonts w:ascii="Arial" w:hAnsi="Arial"/>
          <w:sz w:val="22"/>
          <w:szCs w:val="22"/>
          <w:shd w:val="clear" w:color="auto" w:fill="ffffff"/>
          <w:rtl w:val="0"/>
          <w:lang w:val="en-US"/>
        </w:rPr>
        <w:t xml:space="preserve"> and its source or status</w:t>
      </w:r>
      <w:r>
        <w:rPr>
          <w:rFonts w:ascii="Arial" w:hAnsi="Arial"/>
          <w:sz w:val="22"/>
          <w:szCs w:val="22"/>
          <w:shd w:val="clear" w:color="auto" w:fill="ffffff"/>
          <w:rtl w:val="0"/>
          <w:lang w:val="en-US"/>
        </w:rPr>
        <w:t>. This is according to</w:t>
      </w:r>
      <w:r>
        <w:rPr>
          <w:rFonts w:ascii="Arial" w:hAnsi="Arial"/>
          <w:sz w:val="22"/>
          <w:szCs w:val="22"/>
          <w:shd w:val="clear" w:color="auto" w:fill="ffffff"/>
          <w:rtl w:val="0"/>
        </w:rPr>
        <w:t xml:space="preserve"> s4 </w:t>
      </w:r>
      <w:r>
        <w:rPr>
          <w:rFonts w:ascii="Arial" w:hAnsi="Arial"/>
          <w:sz w:val="22"/>
          <w:szCs w:val="22"/>
          <w:shd w:val="clear" w:color="auto" w:fill="ffffff"/>
          <w:rtl w:val="0"/>
          <w:lang w:val="en-US"/>
        </w:rPr>
        <w:t xml:space="preserve">(a) </w:t>
      </w:r>
      <w:r>
        <w:rPr>
          <w:rFonts w:ascii="Arial" w:hAnsi="Arial"/>
          <w:sz w:val="22"/>
          <w:szCs w:val="22"/>
          <w:shd w:val="clear" w:color="auto" w:fill="ffffff"/>
          <w:rtl w:val="0"/>
          <w:lang w:val="en-US"/>
        </w:rPr>
        <w:t>of the Defamation Act (2013)</w:t>
      </w:r>
      <w:r>
        <w:rPr>
          <w:rFonts w:ascii="Arial" w:hAnsi="Arial"/>
          <w:sz w:val="22"/>
          <w:szCs w:val="22"/>
          <w:shd w:val="clear" w:color="auto" w:fill="ffffff"/>
          <w:rtl w:val="0"/>
          <w:lang w:val="en-US"/>
        </w:rPr>
        <w:t xml:space="preserve"> in which </w:t>
      </w:r>
      <w:r>
        <w:rPr>
          <w:rFonts w:ascii="Arial" w:hAnsi="Arial"/>
          <w:sz w:val="22"/>
          <w:szCs w:val="22"/>
          <w:shd w:val="clear" w:color="auto" w:fill="ffffff"/>
          <w:rtl w:val="0"/>
          <w:lang w:val="en-US"/>
        </w:rPr>
        <w:t>the statement complained of was, or formed part of, a statement on a matter of public interest; and</w:t>
      </w:r>
      <w:r>
        <w:rPr>
          <w:rFonts w:ascii="Arial" w:hAnsi="Arial"/>
          <w:sz w:val="22"/>
          <w:szCs w:val="22"/>
          <w:shd w:val="clear" w:color="auto" w:fill="ffffff"/>
          <w:rtl w:val="0"/>
          <w:lang w:val="en-US"/>
        </w:rPr>
        <w:t xml:space="preserve"> s4</w:t>
      </w:r>
      <w:r>
        <w:rPr>
          <w:rFonts w:ascii="Arial" w:hAnsi="Arial"/>
          <w:sz w:val="22"/>
          <w:szCs w:val="22"/>
          <w:shd w:val="clear" w:color="auto" w:fill="ffffff"/>
          <w:rtl w:val="0"/>
        </w:rPr>
        <w:t>(b)</w:t>
      </w:r>
      <w:r>
        <w:rPr>
          <w:rFonts w:ascii="Arial" w:hAnsi="Arial"/>
          <w:sz w:val="22"/>
          <w:szCs w:val="22"/>
          <w:shd w:val="clear" w:color="auto" w:fill="ffffff"/>
          <w:rtl w:val="0"/>
          <w:lang w:val="en-US"/>
        </w:rPr>
        <w:t xml:space="preserve"> in which </w:t>
      </w:r>
      <w:r>
        <w:rPr>
          <w:rFonts w:ascii="Arial" w:hAnsi="Arial"/>
          <w:sz w:val="22"/>
          <w:szCs w:val="22"/>
          <w:shd w:val="clear" w:color="auto" w:fill="ffffff"/>
          <w:rtl w:val="0"/>
          <w:lang w:val="en-US"/>
        </w:rPr>
        <w:t>the defendant reasonably believed that publishing the statement complained of was in the public interest.</w:t>
      </w:r>
      <w:r>
        <w:rPr>
          <w:rFonts w:ascii="Arial" w:hAnsi="Arial"/>
          <w:sz w:val="22"/>
          <w:szCs w:val="22"/>
          <w:shd w:val="clear" w:color="auto" w:fill="ffffff"/>
          <w:rtl w:val="0"/>
          <w:lang w:val="en-US"/>
        </w:rPr>
        <w:t xml:space="preserve"> In conclusion it can be seen that the law can be just upon defamation to an extent but is seen to be ensuring freedom of expression is allowed.</w:t>
      </w:r>
    </w:p>
    <w:p>
      <w:pPr>
        <w:pStyle w:val="Default"/>
        <w:bidi w:val="0"/>
        <w:spacing w:before="0"/>
        <w:ind w:left="0" w:right="0" w:firstLine="720"/>
        <w:jc w:val="both"/>
        <w:rPr>
          <w:rFonts w:ascii="Arial" w:cs="Arial" w:hAnsi="Arial" w:eastAsia="Arial"/>
          <w:outline w:val="0"/>
          <w:color w:val="282828"/>
          <w:sz w:val="22"/>
          <w:szCs w:val="22"/>
          <w:shd w:val="clear" w:color="auto" w:fill="ffffff"/>
          <w:rtl w:val="0"/>
          <w14:textFill>
            <w14:solidFill>
              <w14:srgbClr w14:val="292929"/>
            </w14:solidFill>
          </w14:textFill>
        </w:rPr>
      </w:pPr>
    </w:p>
    <w:p>
      <w:pPr>
        <w:pStyle w:val="List Paragraph"/>
        <w:ind w:left="0" w:firstLine="720"/>
        <w:jc w:val="both"/>
        <w:rPr>
          <w:rFonts w:ascii="Arial" w:cs="Arial" w:hAnsi="Arial" w:eastAsia="Arial"/>
          <w:sz w:val="22"/>
          <w:szCs w:val="22"/>
        </w:rPr>
      </w:pPr>
    </w:p>
    <w:p>
      <w:pPr>
        <w:pStyle w:val="Default"/>
        <w:bidi w:val="0"/>
        <w:spacing w:before="0"/>
        <w:ind w:left="0" w:right="0" w:firstLine="720"/>
        <w:jc w:val="both"/>
        <w:rPr>
          <w:rFonts w:ascii="Arial" w:cs="Arial" w:hAnsi="Arial" w:eastAsia="Arial"/>
          <w:outline w:val="0"/>
          <w:color w:val="009192"/>
          <w:sz w:val="22"/>
          <w:szCs w:val="22"/>
          <w:shd w:val="clear" w:color="auto" w:fill="ffffff"/>
          <w:rtl w:val="0"/>
          <w14:textFill>
            <w14:solidFill>
              <w14:srgbClr w14:val="009193"/>
            </w14:solidFill>
          </w14:textFill>
        </w:rPr>
      </w:pPr>
      <w:r>
        <w:rPr>
          <w:rFonts w:ascii="Arial" w:hAnsi="Arial"/>
          <w:sz w:val="22"/>
          <w:szCs w:val="22"/>
          <w:shd w:val="clear" w:color="auto" w:fill="ffffff"/>
          <w:rtl w:val="0"/>
          <w:lang w:val="en-US"/>
        </w:rPr>
        <w:t>The law on defamation strikes a just balance between allowing freedom of expression in the press and protecting an individual</w:t>
      </w:r>
      <w:r>
        <w:rPr>
          <w:rFonts w:ascii="Arial" w:hAnsi="Arial" w:hint="default"/>
          <w:sz w:val="22"/>
          <w:szCs w:val="22"/>
          <w:shd w:val="clear" w:color="auto" w:fill="ffffff"/>
          <w:rtl w:val="0"/>
          <w:lang w:val="en-US"/>
        </w:rPr>
        <w:t>’</w:t>
      </w:r>
      <w:r>
        <w:rPr>
          <w:rFonts w:ascii="Arial" w:hAnsi="Arial"/>
          <w:sz w:val="22"/>
          <w:szCs w:val="22"/>
          <w:shd w:val="clear" w:color="auto" w:fill="ffffff"/>
          <w:rtl w:val="0"/>
          <w:lang w:val="en-US"/>
        </w:rPr>
        <w:t xml:space="preserve">s reputation to a great extent as seen in </w:t>
      </w:r>
      <w:r>
        <w:rPr>
          <w:rFonts w:ascii="Arial" w:hAnsi="Arial"/>
          <w:sz w:val="22"/>
          <w:szCs w:val="22"/>
          <w:shd w:val="clear" w:color="auto" w:fill="ffffff"/>
          <w:rtl w:val="0"/>
          <w:lang w:val="de-DE"/>
        </w:rPr>
        <w:t>Interbrew SA v Financial Times Ltd (2002)</w:t>
      </w:r>
      <w:r>
        <w:rPr>
          <w:rFonts w:ascii="Arial" w:hAnsi="Arial"/>
          <w:sz w:val="22"/>
          <w:szCs w:val="22"/>
          <w:shd w:val="clear" w:color="auto" w:fill="ffffff"/>
          <w:rtl w:val="0"/>
          <w:lang w:val="en-US"/>
        </w:rPr>
        <w:t>. The Court e</w:t>
      </w:r>
      <w:r>
        <w:rPr>
          <w:rFonts w:ascii="Arial" w:hAnsi="Arial"/>
          <w:sz w:val="22"/>
          <w:szCs w:val="22"/>
          <w:shd w:val="clear" w:color="auto" w:fill="ffffff"/>
          <w:rtl w:val="0"/>
          <w:lang w:val="en-US"/>
        </w:rPr>
        <w:t>mphas</w:t>
      </w:r>
      <w:r>
        <w:rPr>
          <w:rFonts w:ascii="Arial" w:hAnsi="Arial"/>
          <w:sz w:val="22"/>
          <w:szCs w:val="22"/>
          <w:shd w:val="clear" w:color="auto" w:fill="ffffff"/>
          <w:rtl w:val="0"/>
          <w:lang w:val="en-US"/>
        </w:rPr>
        <w:t>ised</w:t>
      </w:r>
      <w:r>
        <w:rPr>
          <w:rFonts w:ascii="Arial" w:hAnsi="Arial"/>
          <w:sz w:val="22"/>
          <w:szCs w:val="22"/>
          <w:shd w:val="clear" w:color="auto" w:fill="ffffff"/>
          <w:rtl w:val="0"/>
          <w:lang w:val="en-US"/>
        </w:rPr>
        <w:t xml:space="preserve"> the effect of journalist</w:t>
      </w:r>
      <w:r>
        <w:rPr>
          <w:rFonts w:ascii="Arial" w:hAnsi="Arial"/>
          <w:sz w:val="22"/>
          <w:szCs w:val="22"/>
          <w:shd w:val="clear" w:color="auto" w:fill="ffffff"/>
          <w:rtl w:val="0"/>
          <w:lang w:val="en-US"/>
        </w:rPr>
        <w:t xml:space="preserve">s </w:t>
      </w:r>
      <w:r>
        <w:rPr>
          <w:rFonts w:ascii="Arial" w:hAnsi="Arial"/>
          <w:sz w:val="22"/>
          <w:szCs w:val="22"/>
          <w:shd w:val="clear" w:color="auto" w:fill="ffffff"/>
          <w:rtl w:val="0"/>
          <w:lang w:val="en-US"/>
        </w:rPr>
        <w:t>being seen to assist in the identification of anonymous sources, the</w:t>
      </w:r>
      <w:r>
        <w:rPr>
          <w:rFonts w:ascii="Arial" w:hAnsi="Arial"/>
          <w:sz w:val="22"/>
          <w:szCs w:val="22"/>
          <w:shd w:val="clear" w:color="auto" w:fill="ffffff"/>
          <w:rtl w:val="0"/>
          <w:lang w:val="en-US"/>
        </w:rPr>
        <w:t>y</w:t>
      </w:r>
      <w:r>
        <w:rPr>
          <w:rFonts w:ascii="Arial" w:hAnsi="Arial"/>
          <w:sz w:val="22"/>
          <w:szCs w:val="22"/>
          <w:shd w:val="clear" w:color="auto" w:fill="ffffff"/>
          <w:rtl w:val="0"/>
          <w:lang w:val="en-US"/>
        </w:rPr>
        <w:t xml:space="preserve"> found that Interbrew</w:t>
      </w:r>
      <w:r>
        <w:rPr>
          <w:rFonts w:ascii="Arial" w:hAnsi="Arial" w:hint="default"/>
          <w:sz w:val="22"/>
          <w:szCs w:val="22"/>
          <w:shd w:val="clear" w:color="auto" w:fill="ffffff"/>
          <w:rtl w:val="1"/>
        </w:rPr>
        <w:t>’</w:t>
      </w:r>
      <w:r>
        <w:rPr>
          <w:rFonts w:ascii="Arial" w:hAnsi="Arial"/>
          <w:sz w:val="22"/>
          <w:szCs w:val="22"/>
          <w:shd w:val="clear" w:color="auto" w:fill="ffffff"/>
          <w:rtl w:val="0"/>
          <w:lang w:val="en-US"/>
        </w:rPr>
        <w:t>s interests in eliminating the threat of damage through future dissemination of confidential information were insufficient to outweigh the public interest in the protection of journalists</w:t>
      </w:r>
      <w:r>
        <w:rPr>
          <w:rFonts w:ascii="Arial" w:hAnsi="Arial" w:hint="default"/>
          <w:sz w:val="22"/>
          <w:szCs w:val="22"/>
          <w:shd w:val="clear" w:color="auto" w:fill="ffffff"/>
          <w:rtl w:val="1"/>
        </w:rPr>
        <w:t xml:space="preserve">’ </w:t>
      </w:r>
      <w:r>
        <w:rPr>
          <w:rFonts w:ascii="Arial" w:hAnsi="Arial"/>
          <w:sz w:val="22"/>
          <w:szCs w:val="22"/>
          <w:shd w:val="clear" w:color="auto" w:fill="ffffff"/>
          <w:rtl w:val="0"/>
          <w:lang w:val="en-US"/>
        </w:rPr>
        <w:t xml:space="preserve">sources. The Court </w:t>
      </w:r>
      <w:r>
        <w:rPr>
          <w:rFonts w:ascii="Arial" w:hAnsi="Arial"/>
          <w:sz w:val="22"/>
          <w:szCs w:val="22"/>
          <w:shd w:val="clear" w:color="auto" w:fill="ffffff"/>
          <w:rtl w:val="0"/>
          <w:lang w:val="en-US"/>
        </w:rPr>
        <w:t xml:space="preserve">held unanimously </w:t>
      </w:r>
      <w:r>
        <w:rPr>
          <w:rFonts w:ascii="Arial" w:hAnsi="Arial"/>
          <w:sz w:val="22"/>
          <w:szCs w:val="22"/>
          <w:shd w:val="clear" w:color="auto" w:fill="ffffff"/>
          <w:rtl w:val="0"/>
          <w:lang w:val="en-US"/>
        </w:rPr>
        <w:t>there had been an unjustified interference with A</w:t>
      </w:r>
      <w:r>
        <w:rPr>
          <w:rFonts w:ascii="Arial" w:hAnsi="Arial"/>
          <w:sz w:val="22"/>
          <w:szCs w:val="22"/>
          <w:shd w:val="clear" w:color="auto" w:fill="ffffff"/>
          <w:rtl w:val="0"/>
          <w:lang w:val="en-US"/>
        </w:rPr>
        <w:t xml:space="preserve">rticle </w:t>
      </w:r>
      <w:r>
        <w:rPr>
          <w:rFonts w:ascii="Arial" w:hAnsi="Arial"/>
          <w:sz w:val="22"/>
          <w:szCs w:val="22"/>
          <w:shd w:val="clear" w:color="auto" w:fill="ffffff"/>
          <w:rtl w:val="0"/>
        </w:rPr>
        <w:t>10</w:t>
      </w:r>
      <w:r>
        <w:rPr>
          <w:rFonts w:ascii="Arial" w:hAnsi="Arial"/>
          <w:sz w:val="22"/>
          <w:szCs w:val="22"/>
          <w:shd w:val="clear" w:color="auto" w:fill="ffffff"/>
          <w:rtl w:val="0"/>
          <w:lang w:val="en-US"/>
        </w:rPr>
        <w:t xml:space="preserve"> of the ECHR Act, referring to the recommendation of the Committee of Ministers of the Council of Europe (2000) emphasising the importance of journalists not disclosing their sources. Moreover, the Court emphasised </w:t>
      </w:r>
      <w:r>
        <w:rPr>
          <w:rFonts w:ascii="Arial" w:hAnsi="Arial" w:hint="default"/>
          <w:sz w:val="22"/>
          <w:szCs w:val="22"/>
          <w:shd w:val="clear" w:color="auto" w:fill="ffffff"/>
          <w:rtl w:val="1"/>
          <w:lang w:val="ar-SA" w:bidi="ar-SA"/>
        </w:rPr>
        <w:t>“</w:t>
      </w:r>
      <w:r>
        <w:rPr>
          <w:rFonts w:ascii="Arial" w:hAnsi="Arial"/>
          <w:sz w:val="22"/>
          <w:szCs w:val="22"/>
          <w:shd w:val="clear" w:color="auto" w:fill="ffffff"/>
          <w:rtl w:val="0"/>
          <w:lang w:val="en-US"/>
        </w:rPr>
        <w:t>that freedom of expression constitutes one of the essential foundations of a democratic society and that, in that</w:t>
      </w:r>
      <w:r>
        <w:rPr>
          <w:rFonts w:ascii="Arial" w:hAnsi="Arial" w:hint="default"/>
          <w:sz w:val="22"/>
          <w:szCs w:val="22"/>
          <w:shd w:val="clear" w:color="auto" w:fill="ffffff"/>
          <w:rtl w:val="0"/>
        </w:rPr>
        <w:t>  </w:t>
      </w:r>
      <w:r>
        <w:rPr>
          <w:rFonts w:ascii="Arial" w:hAnsi="Arial"/>
          <w:sz w:val="22"/>
          <w:szCs w:val="22"/>
          <w:shd w:val="clear" w:color="auto" w:fill="ffffff"/>
          <w:rtl w:val="0"/>
          <w:lang w:val="fr-FR"/>
        </w:rPr>
        <w:t>context,</w:t>
      </w:r>
      <w:r>
        <w:rPr>
          <w:rFonts w:ascii="Arial" w:hAnsi="Arial" w:hint="default"/>
          <w:sz w:val="22"/>
          <w:szCs w:val="22"/>
          <w:shd w:val="clear" w:color="auto" w:fill="ffffff"/>
          <w:rtl w:val="0"/>
        </w:rPr>
        <w:t> </w:t>
      </w:r>
      <w:r>
        <w:rPr>
          <w:rFonts w:ascii="Arial" w:hAnsi="Arial"/>
          <w:sz w:val="22"/>
          <w:szCs w:val="22"/>
          <w:shd w:val="clear" w:color="auto" w:fill="ffffff"/>
          <w:rtl w:val="0"/>
          <w:lang w:val="en-US"/>
        </w:rPr>
        <w:t>the safeguards guaranteed to the press are particularly important.</w:t>
      </w:r>
      <w:r>
        <w:rPr>
          <w:rFonts w:ascii="Arial" w:hAnsi="Arial" w:hint="default"/>
          <w:sz w:val="22"/>
          <w:szCs w:val="22"/>
          <w:shd w:val="clear" w:color="auto" w:fill="ffffff"/>
          <w:rtl w:val="0"/>
          <w:lang w:val="en-US"/>
        </w:rPr>
        <w:t xml:space="preserve">” </w:t>
      </w:r>
      <w:r>
        <w:rPr>
          <w:rFonts w:ascii="Arial" w:hAnsi="Arial"/>
          <w:sz w:val="22"/>
          <w:szCs w:val="22"/>
          <w:shd w:val="clear" w:color="auto" w:fill="ffffff"/>
          <w:rtl w:val="0"/>
          <w:lang w:val="en-US"/>
        </w:rPr>
        <w:t xml:space="preserve">The Courts recognise that for there to be freedom of speech there must be limitations in order to protect the peoples reputation therefore </w:t>
      </w:r>
      <w:r>
        <w:rPr>
          <w:rFonts w:ascii="Arial" w:hAnsi="Arial"/>
          <w:sz w:val="22"/>
          <w:szCs w:val="22"/>
          <w:shd w:val="clear" w:color="auto" w:fill="ffffff"/>
          <w:rtl w:val="0"/>
          <w:lang w:val="en-US"/>
        </w:rPr>
        <w:t>the source of information contained in a publication for which he is responsible, unless it be established to the satisfaction of the court that disclosure is necessary in the interests of justice or national security or for the prevention of disorder or crime</w:t>
      </w:r>
      <w:r>
        <w:rPr>
          <w:rFonts w:ascii="Arial" w:hAnsi="Arial"/>
          <w:sz w:val="22"/>
          <w:szCs w:val="22"/>
          <w:shd w:val="clear" w:color="auto" w:fill="ffffff"/>
          <w:rtl w:val="0"/>
          <w:lang w:val="en-US"/>
        </w:rPr>
        <w:t>,</w:t>
      </w:r>
      <w:r>
        <w:rPr>
          <w:rFonts w:ascii="Arial" w:hAnsi="Arial"/>
          <w:outline w:val="0"/>
          <w:color w:val="009192"/>
          <w:sz w:val="22"/>
          <w:szCs w:val="22"/>
          <w:shd w:val="clear" w:color="auto" w:fill="ffffff"/>
          <w:rtl w:val="0"/>
          <w:lang w:val="en-US"/>
          <w14:textFill>
            <w14:solidFill>
              <w14:srgbClr w14:val="009193"/>
            </w14:solidFill>
          </w14:textFill>
        </w:rPr>
        <w:t xml:space="preserve"> </w:t>
      </w:r>
      <w:r>
        <w:rPr>
          <w:rFonts w:ascii="Arial" w:hAnsi="Arial"/>
          <w:sz w:val="22"/>
          <w:szCs w:val="22"/>
          <w:shd w:val="clear" w:color="auto" w:fill="ffffff"/>
          <w:rtl w:val="0"/>
          <w:lang w:val="en-US"/>
        </w:rPr>
        <w:t>n</w:t>
      </w:r>
      <w:r>
        <w:rPr>
          <w:rFonts w:ascii="Arial" w:hAnsi="Arial"/>
          <w:sz w:val="22"/>
          <w:szCs w:val="22"/>
          <w:shd w:val="clear" w:color="auto" w:fill="ffffff"/>
          <w:rtl w:val="0"/>
          <w:lang w:val="en-US"/>
        </w:rPr>
        <w:t>o court may require a person to disclose</w:t>
      </w:r>
      <w:r>
        <w:rPr>
          <w:rFonts w:ascii="Arial" w:hAnsi="Arial"/>
          <w:sz w:val="22"/>
          <w:szCs w:val="22"/>
          <w:shd w:val="clear" w:color="auto" w:fill="ffffff"/>
          <w:rtl w:val="0"/>
          <w:lang w:val="en-US"/>
        </w:rPr>
        <w:t xml:space="preserve"> (</w:t>
      </w:r>
      <w:r>
        <w:rPr>
          <w:rFonts w:ascii="Arial" w:hAnsi="Arial"/>
          <w:sz w:val="22"/>
          <w:szCs w:val="22"/>
          <w:shd w:val="clear" w:color="auto" w:fill="ffffff"/>
          <w:rtl w:val="0"/>
          <w:lang w:val="en-US"/>
        </w:rPr>
        <w:t>s.10 Contempt of Court Act (1981)</w:t>
      </w:r>
      <w:r>
        <w:rPr>
          <w:rFonts w:ascii="Arial" w:hAnsi="Arial"/>
          <w:sz w:val="22"/>
          <w:szCs w:val="22"/>
          <w:shd w:val="clear" w:color="auto" w:fill="ffffff"/>
          <w:rtl w:val="0"/>
          <w:lang w:val="en-US"/>
        </w:rPr>
        <w:t xml:space="preserve">). </w:t>
      </w:r>
    </w:p>
    <w:p>
      <w:pPr>
        <w:pStyle w:val="Default"/>
        <w:bidi w:val="0"/>
        <w:spacing w:before="0"/>
        <w:ind w:left="0" w:right="0" w:firstLine="720"/>
        <w:jc w:val="both"/>
        <w:rPr>
          <w:rFonts w:ascii="Arial" w:cs="Arial" w:hAnsi="Arial" w:eastAsia="Arial"/>
          <w:outline w:val="0"/>
          <w:color w:val="009192"/>
          <w:sz w:val="22"/>
          <w:szCs w:val="22"/>
          <w:shd w:val="clear" w:color="auto" w:fill="ffffff"/>
          <w:rtl w:val="0"/>
          <w14:textFill>
            <w14:solidFill>
              <w14:srgbClr w14:val="009193"/>
            </w14:solidFill>
          </w14:textFill>
        </w:rPr>
      </w:pPr>
    </w:p>
    <w:p>
      <w:pPr>
        <w:pStyle w:val="List Paragraph"/>
        <w:ind w:left="0" w:firstLine="720"/>
        <w:jc w:val="both"/>
        <w:rPr>
          <w:rFonts w:ascii="Arial" w:cs="Arial" w:hAnsi="Arial" w:eastAsia="Arial"/>
          <w:sz w:val="22"/>
          <w:szCs w:val="22"/>
        </w:rPr>
      </w:pPr>
    </w:p>
    <w:p>
      <w:pPr>
        <w:pStyle w:val="Default"/>
        <w:bidi w:val="0"/>
        <w:spacing w:before="0"/>
        <w:ind w:left="0" w:right="0" w:firstLine="720"/>
        <w:jc w:val="both"/>
        <w:rPr>
          <w:rFonts w:ascii="Arial" w:cs="Arial" w:hAnsi="Arial" w:eastAsia="Arial"/>
          <w:sz w:val="22"/>
          <w:szCs w:val="22"/>
          <w:shd w:val="clear" w:color="auto" w:fill="ffffff"/>
          <w:rtl w:val="0"/>
        </w:rPr>
      </w:pPr>
      <w:r>
        <w:rPr>
          <w:rFonts w:ascii="Arial" w:hAnsi="Arial"/>
          <w:sz w:val="22"/>
          <w:szCs w:val="22"/>
          <w:shd w:val="clear" w:color="auto" w:fill="ffffff"/>
          <w:rtl w:val="0"/>
          <w:lang w:val="en-US"/>
        </w:rPr>
        <w:t>In conclusion the law on defamation strikes a just balance between protecting an individual</w:t>
      </w:r>
      <w:r>
        <w:rPr>
          <w:rFonts w:ascii="Arial" w:hAnsi="Arial" w:hint="default"/>
          <w:sz w:val="22"/>
          <w:szCs w:val="22"/>
          <w:shd w:val="clear" w:color="auto" w:fill="ffffff"/>
          <w:rtl w:val="0"/>
          <w:lang w:val="en-US"/>
        </w:rPr>
        <w:t>’</w:t>
      </w:r>
      <w:r>
        <w:rPr>
          <w:rFonts w:ascii="Arial" w:hAnsi="Arial"/>
          <w:sz w:val="22"/>
          <w:szCs w:val="22"/>
          <w:shd w:val="clear" w:color="auto" w:fill="ffffff"/>
          <w:rtl w:val="0"/>
          <w:lang w:val="en-US"/>
        </w:rPr>
        <w:t xml:space="preserve">s reputation and allowing freedom of expression by the press to a great extent. </w:t>
      </w:r>
      <w:r>
        <w:rPr>
          <w:rFonts w:ascii="Arial" w:hAnsi="Arial"/>
          <w:sz w:val="22"/>
          <w:szCs w:val="22"/>
          <w:shd w:val="clear" w:color="auto" w:fill="ffffff"/>
          <w:rtl w:val="0"/>
          <w:lang w:val="en-US"/>
        </w:rPr>
        <w:t>Depending on the circumstances, the matters to be taken into account include the</w:t>
      </w:r>
      <w:r>
        <w:rPr>
          <w:rFonts w:ascii="Arial" w:hAnsi="Arial"/>
          <w:sz w:val="22"/>
          <w:szCs w:val="22"/>
          <w:shd w:val="clear" w:color="auto" w:fill="ffffff"/>
          <w:rtl w:val="0"/>
          <w:lang w:val="en-US"/>
        </w:rPr>
        <w:t xml:space="preserve"> seriousness of the allegation and whether it is in the public interest to know this information. Moreover, it is stressed that significant steps must be taken to verify these allegations made in order to ensure the press are using their freedom of speech in accordance with the Defamation Act and not to directly damage someones reputation for no good reason</w:t>
      </w:r>
      <w:r>
        <w:rPr>
          <w:rFonts w:ascii="Arial" w:hAnsi="Arial"/>
          <w:sz w:val="22"/>
          <w:szCs w:val="22"/>
          <w:shd w:val="clear" w:color="auto" w:fill="ffffff"/>
          <w:rtl w:val="0"/>
        </w:rPr>
        <w:t xml:space="preserve">. </w:t>
      </w:r>
      <w:r>
        <w:rPr>
          <w:rFonts w:ascii="Arial" w:hAnsi="Arial"/>
          <w:sz w:val="22"/>
          <w:szCs w:val="22"/>
          <w:shd w:val="clear" w:color="auto" w:fill="ffffff"/>
          <w:rtl w:val="0"/>
          <w:lang w:val="en-US"/>
        </w:rPr>
        <w:t xml:space="preserve">The Courts can be seen to strike a balance between protecting the public against the press abusing the right to freedom of expression by ensuring </w:t>
      </w:r>
      <w:r>
        <w:rPr>
          <w:rFonts w:ascii="Arial" w:hAnsi="Arial" w:hint="default"/>
          <w:sz w:val="22"/>
          <w:szCs w:val="22"/>
          <w:shd w:val="clear" w:color="auto" w:fill="ffffff"/>
          <w:rtl w:val="0"/>
          <w:lang w:val="en-US"/>
        </w:rPr>
        <w:t>‘</w:t>
      </w:r>
      <w:r>
        <w:rPr>
          <w:rFonts w:ascii="Arial" w:hAnsi="Arial"/>
          <w:sz w:val="22"/>
          <w:szCs w:val="22"/>
          <w:shd w:val="clear" w:color="auto" w:fill="ffffff"/>
          <w:rtl w:val="0"/>
          <w:lang w:val="en-US"/>
        </w:rPr>
        <w:t xml:space="preserve">If the statement complained of was, or formed part of, an accurate and impartial account of a dispute to which the claimant was a party, the </w:t>
      </w:r>
      <w:r>
        <w:rPr>
          <w:rFonts w:ascii="Arial" w:hAnsi="Arial"/>
          <w:sz w:val="22"/>
          <w:szCs w:val="22"/>
          <w:shd w:val="clear" w:color="auto" w:fill="ffffff"/>
          <w:rtl w:val="0"/>
          <w:lang w:val="en-US"/>
        </w:rPr>
        <w:t>C</w:t>
      </w:r>
      <w:r>
        <w:rPr>
          <w:rFonts w:ascii="Arial" w:hAnsi="Arial"/>
          <w:sz w:val="22"/>
          <w:szCs w:val="22"/>
          <w:shd w:val="clear" w:color="auto" w:fill="ffffff"/>
          <w:rtl w:val="0"/>
          <w:lang w:val="en-US"/>
        </w:rPr>
        <w:t>ourt must in determining whether it was reasonable for the defendant to believe that publishing the statement was in the public interest disregard any omission of the defendant to take steps to verify the truth of the imputation conveyed by it</w:t>
      </w:r>
      <w:r>
        <w:rPr>
          <w:rFonts w:ascii="Arial" w:hAnsi="Arial" w:hint="default"/>
          <w:sz w:val="22"/>
          <w:szCs w:val="22"/>
          <w:shd w:val="clear" w:color="auto" w:fill="ffffff"/>
          <w:rtl w:val="0"/>
          <w:lang w:val="en-US"/>
        </w:rPr>
        <w:t xml:space="preserve">’ </w:t>
      </w:r>
      <w:r>
        <w:rPr>
          <w:rFonts w:ascii="Arial" w:hAnsi="Arial"/>
          <w:sz w:val="22"/>
          <w:szCs w:val="22"/>
          <w:shd w:val="clear" w:color="auto" w:fill="ffffff"/>
          <w:rtl w:val="0"/>
          <w:lang w:val="en-US"/>
        </w:rPr>
        <w:t>(Defamation Act 2013), is upheld.</w:t>
      </w: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Default"/>
        <w:bidi w:val="0"/>
        <w:spacing w:before="0"/>
        <w:ind w:left="0" w:right="0" w:firstLine="720"/>
        <w:jc w:val="both"/>
        <w:rPr>
          <w:rFonts w:ascii="Arial" w:cs="Arial" w:hAnsi="Arial" w:eastAsia="Arial"/>
          <w:sz w:val="22"/>
          <w:szCs w:val="22"/>
          <w:shd w:val="clear" w:color="auto" w:fill="ffffff"/>
          <w:rtl w:val="0"/>
        </w:rPr>
      </w:pPr>
    </w:p>
    <w:p>
      <w:pPr>
        <w:pStyle w:val="Body"/>
        <w:ind w:firstLine="720"/>
        <w:rPr>
          <w:rFonts w:ascii="Arial" w:cs="Arial" w:hAnsi="Arial" w:eastAsia="Arial"/>
          <w:b w:val="1"/>
          <w:bCs w:val="1"/>
          <w:sz w:val="22"/>
          <w:szCs w:val="22"/>
          <w:u w:val="single"/>
        </w:rPr>
      </w:pPr>
      <w:r>
        <w:rPr>
          <w:rFonts w:ascii="Arial" w:hAnsi="Arial"/>
          <w:b w:val="1"/>
          <w:bCs w:val="1"/>
          <w:sz w:val="22"/>
          <w:szCs w:val="22"/>
          <w:u w:val="single"/>
          <w:rtl w:val="0"/>
        </w:rPr>
        <w:t>TASK 2</w:t>
      </w:r>
    </w:p>
    <w:p>
      <w:pPr>
        <w:pStyle w:val="List Paragraph"/>
        <w:ind w:left="1080" w:firstLine="0"/>
        <w:rPr>
          <w:outline w:val="0"/>
          <w:color w:val="ff2600"/>
          <w:sz w:val="22"/>
          <w:szCs w:val="22"/>
          <w14:textOutline>
            <w14:noFill/>
          </w14:textOutline>
          <w14:textFill>
            <w14:solidFill>
              <w14:srgbClr w14:val="FF2600"/>
            </w14:solidFill>
          </w14:textFill>
        </w:rPr>
      </w:pPr>
    </w:p>
    <w:p>
      <w:pPr>
        <w:pStyle w:val="Default"/>
        <w:bidi w:val="0"/>
        <w:spacing w:before="0"/>
        <w:ind w:left="0" w:right="0" w:firstLine="0"/>
        <w:jc w:val="left"/>
        <w:rPr>
          <w:rFonts w:ascii="Helvetica" w:cs="Helvetica" w:hAnsi="Helvetica" w:eastAsia="Helvetica"/>
          <w:outline w:val="0"/>
          <w:color w:val="005392"/>
          <w:sz w:val="40"/>
          <w:szCs w:val="40"/>
          <w:rtl w:val="0"/>
          <w14:textFill>
            <w14:solidFill>
              <w14:srgbClr w14:val="005493"/>
            </w14:solidFill>
          </w14:textFill>
        </w:rPr>
      </w:pPr>
    </w:p>
    <w:p>
      <w:pPr>
        <w:pStyle w:val="Default"/>
        <w:bidi w:val="0"/>
        <w:spacing w:before="0"/>
        <w:ind w:left="0" w:right="0" w:firstLine="0"/>
        <w:jc w:val="left"/>
        <w:rPr>
          <w:rFonts w:ascii="Arial" w:cs="Arial" w:hAnsi="Arial" w:eastAsia="Arial"/>
          <w:outline w:val="0"/>
          <w:color w:val="005392"/>
          <w:sz w:val="22"/>
          <w:szCs w:val="22"/>
          <w:rtl w:val="0"/>
          <w14:textFill>
            <w14:solidFill>
              <w14:srgbClr w14:val="005493"/>
            </w14:solidFill>
          </w14:textFill>
        </w:rPr>
      </w:pPr>
      <w:r>
        <w:rPr>
          <w:rFonts w:ascii="Arial" w:hAnsi="Arial"/>
          <w:sz w:val="22"/>
          <w:szCs w:val="22"/>
          <w:rtl w:val="0"/>
          <w:lang w:val="en-US"/>
        </w:rPr>
        <w:t xml:space="preserve">Public bodies </w:t>
      </w:r>
      <w:r>
        <w:rPr>
          <w:rFonts w:ascii="Arial" w:hAnsi="Arial"/>
          <w:sz w:val="22"/>
          <w:szCs w:val="22"/>
          <w:rtl w:val="0"/>
          <w:lang w:val="en-US"/>
        </w:rPr>
        <w:t xml:space="preserve">are </w:t>
      </w:r>
      <w:r>
        <w:rPr>
          <w:rFonts w:ascii="Arial" w:hAnsi="Arial"/>
          <w:sz w:val="22"/>
          <w:szCs w:val="22"/>
          <w:rtl w:val="0"/>
          <w:lang w:val="en-US"/>
        </w:rPr>
        <w:t>bodies that deliver a public service</w:t>
      </w:r>
      <w:r>
        <w:rPr>
          <w:rFonts w:ascii="Arial" w:hAnsi="Arial"/>
          <w:sz w:val="22"/>
          <w:szCs w:val="22"/>
          <w:rtl w:val="0"/>
          <w:lang w:val="en-US"/>
        </w:rPr>
        <w:t xml:space="preserve"> such as </w:t>
      </w:r>
      <w:r>
        <w:rPr>
          <w:rFonts w:ascii="Arial" w:hAnsi="Arial"/>
          <w:sz w:val="22"/>
          <w:szCs w:val="22"/>
          <w:rtl w:val="0"/>
          <w:lang w:val="en-US"/>
        </w:rPr>
        <w:t>government ministers, local authorities, chief police constables, prison governors, NHS Trusts, regulatory bodies such as the Office for Standards in Education (Ofsted), and courts and tribunals themselves. Public law principles ensure that public bodies discharge their legal duties, do not abuse their powers and act compatibly with the human rights of those affected by their actions. Judicial review is a constitutional settlement in the UK</w:t>
      </w:r>
      <w:r>
        <w:rPr>
          <w:rFonts w:ascii="Arial" w:hAnsi="Arial"/>
          <w:sz w:val="22"/>
          <w:szCs w:val="22"/>
          <w:rtl w:val="0"/>
          <w:lang w:val="en-US"/>
        </w:rPr>
        <w:t xml:space="preserve"> which is</w:t>
      </w:r>
      <w:r>
        <w:rPr>
          <w:rFonts w:ascii="Arial" w:hAnsi="Arial"/>
          <w:sz w:val="22"/>
          <w:szCs w:val="22"/>
          <w:rtl w:val="0"/>
          <w:lang w:val="en-US"/>
        </w:rPr>
        <w:t xml:space="preserve"> a court case, where a judge or judges decide whether a public body has behaved lawfully.</w:t>
      </w:r>
      <w:r>
        <w:rPr>
          <w:rFonts w:ascii="Arial" w:hAnsi="Arial" w:hint="default"/>
          <w:sz w:val="22"/>
          <w:szCs w:val="22"/>
          <w:rtl w:val="0"/>
        </w:rPr>
        <w:t xml:space="preserve">  </w:t>
      </w:r>
      <w:r>
        <w:rPr>
          <w:rFonts w:ascii="Arial" w:hAnsi="Arial"/>
          <w:sz w:val="22"/>
          <w:szCs w:val="22"/>
          <w:rtl w:val="0"/>
          <w:lang w:val="en-US"/>
        </w:rPr>
        <w:t xml:space="preserve">It offers a route to justice for those affected by </w:t>
      </w:r>
      <w:r>
        <w:rPr>
          <w:rFonts w:ascii="Arial" w:hAnsi="Arial"/>
          <w:sz w:val="22"/>
          <w:szCs w:val="22"/>
          <w:rtl w:val="0"/>
          <w:lang w:val="en-US"/>
        </w:rPr>
        <w:t xml:space="preserve">a </w:t>
      </w:r>
      <w:r>
        <w:rPr>
          <w:rFonts w:ascii="Arial" w:hAnsi="Arial"/>
          <w:sz w:val="22"/>
          <w:szCs w:val="22"/>
          <w:rtl w:val="0"/>
          <w:lang w:val="en-US"/>
        </w:rPr>
        <w:t>public body decision and it allows the courts and judiciary oversight of</w:t>
      </w:r>
      <w:r>
        <w:rPr>
          <w:rFonts w:ascii="Arial" w:hAnsi="Arial" w:hint="default"/>
          <w:sz w:val="22"/>
          <w:szCs w:val="22"/>
          <w:rtl w:val="0"/>
        </w:rPr>
        <w:t> </w:t>
      </w:r>
      <w:r>
        <w:rPr>
          <w:rFonts w:ascii="Arial" w:hAnsi="Arial"/>
          <w:sz w:val="22"/>
          <w:szCs w:val="22"/>
          <w:rtl w:val="0"/>
          <w:lang w:val="en-US"/>
        </w:rPr>
        <w:t>government decision making, be that central or local government.</w:t>
      </w:r>
      <w:r>
        <w:rPr>
          <w:rFonts w:ascii="Arial" w:hAnsi="Arial"/>
          <w:sz w:val="22"/>
          <w:szCs w:val="22"/>
          <w:rtl w:val="0"/>
          <w:lang w:val="en-US"/>
        </w:rPr>
        <w:t xml:space="preserve"> One of the negatives about proceeding with a </w:t>
      </w:r>
      <w:r>
        <w:rPr>
          <w:rFonts w:ascii="Arial" w:hAnsi="Arial"/>
          <w:sz w:val="22"/>
          <w:szCs w:val="22"/>
          <w:rtl w:val="0"/>
          <w:lang w:val="pt-PT"/>
        </w:rPr>
        <w:t>Judicial</w:t>
      </w:r>
      <w:r>
        <w:rPr>
          <w:rFonts w:ascii="Arial" w:hAnsi="Arial"/>
          <w:sz w:val="22"/>
          <w:szCs w:val="22"/>
          <w:rtl w:val="0"/>
          <w:lang w:val="en-US"/>
        </w:rPr>
        <w:t xml:space="preserve"> </w:t>
      </w:r>
      <w:r>
        <w:rPr>
          <w:rFonts w:ascii="Arial" w:hAnsi="Arial"/>
          <w:sz w:val="22"/>
          <w:szCs w:val="22"/>
          <w:rtl w:val="0"/>
          <w:lang w:val="en-US"/>
        </w:rPr>
        <w:t>review</w:t>
      </w:r>
      <w:r>
        <w:rPr>
          <w:rFonts w:ascii="Arial" w:hAnsi="Arial"/>
          <w:sz w:val="22"/>
          <w:szCs w:val="22"/>
          <w:rtl w:val="0"/>
          <w:lang w:val="en-US"/>
        </w:rPr>
        <w:t xml:space="preserve"> </w:t>
      </w:r>
      <w:r>
        <w:rPr>
          <w:rFonts w:ascii="Arial" w:hAnsi="Arial"/>
          <w:sz w:val="22"/>
          <w:szCs w:val="22"/>
          <w:rtl w:val="0"/>
        </w:rPr>
        <w:t>may</w:t>
      </w:r>
      <w:r>
        <w:rPr>
          <w:rFonts w:ascii="Arial" w:hAnsi="Arial"/>
          <w:sz w:val="22"/>
          <w:szCs w:val="22"/>
          <w:rtl w:val="0"/>
          <w:lang w:val="en-US"/>
        </w:rPr>
        <w:t xml:space="preserve"> </w:t>
      </w:r>
      <w:r>
        <w:rPr>
          <w:rFonts w:ascii="Arial" w:hAnsi="Arial"/>
          <w:sz w:val="22"/>
          <w:szCs w:val="22"/>
          <w:rtl w:val="0"/>
          <w:lang w:val="en-US"/>
        </w:rPr>
        <w:t>not</w:t>
      </w:r>
      <w:r>
        <w:rPr>
          <w:rFonts w:ascii="Arial" w:hAnsi="Arial"/>
          <w:sz w:val="22"/>
          <w:szCs w:val="22"/>
          <w:rtl w:val="0"/>
          <w:lang w:val="en-US"/>
        </w:rPr>
        <w:t xml:space="preserve"> </w:t>
      </w:r>
      <w:r>
        <w:rPr>
          <w:rFonts w:ascii="Arial" w:hAnsi="Arial"/>
          <w:sz w:val="22"/>
          <w:szCs w:val="22"/>
          <w:rtl w:val="0"/>
        </w:rPr>
        <w:t>to</w:t>
      </w:r>
      <w:r>
        <w:rPr>
          <w:rFonts w:ascii="Arial" w:hAnsi="Arial"/>
          <w:sz w:val="22"/>
          <w:szCs w:val="22"/>
          <w:rtl w:val="0"/>
          <w:lang w:val="en-US"/>
        </w:rPr>
        <w:t xml:space="preserve"> </w:t>
      </w:r>
      <w:r>
        <w:rPr>
          <w:rFonts w:ascii="Arial" w:hAnsi="Arial"/>
          <w:sz w:val="22"/>
          <w:szCs w:val="22"/>
          <w:rtl w:val="0"/>
        </w:rPr>
        <w:t>be</w:t>
      </w:r>
      <w:r>
        <w:rPr>
          <w:rFonts w:ascii="Arial" w:hAnsi="Arial"/>
          <w:sz w:val="22"/>
          <w:szCs w:val="22"/>
          <w:rtl w:val="0"/>
          <w:lang w:val="en-US"/>
        </w:rPr>
        <w:t xml:space="preserve"> </w:t>
      </w:r>
      <w:r>
        <w:rPr>
          <w:rFonts w:ascii="Arial" w:hAnsi="Arial"/>
          <w:sz w:val="22"/>
          <w:szCs w:val="22"/>
          <w:rtl w:val="0"/>
        </w:rPr>
        <w:t>an</w:t>
      </w:r>
      <w:r>
        <w:rPr>
          <w:rFonts w:ascii="Arial" w:hAnsi="Arial"/>
          <w:sz w:val="22"/>
          <w:szCs w:val="22"/>
          <w:rtl w:val="0"/>
          <w:lang w:val="en-US"/>
        </w:rPr>
        <w:t xml:space="preserve"> </w:t>
      </w:r>
      <w:r>
        <w:rPr>
          <w:rFonts w:ascii="Arial" w:hAnsi="Arial"/>
          <w:sz w:val="22"/>
          <w:szCs w:val="22"/>
          <w:rtl w:val="0"/>
          <w:lang w:val="it-IT"/>
        </w:rPr>
        <w:t>appropriate</w:t>
      </w:r>
      <w:r>
        <w:rPr>
          <w:rFonts w:ascii="Arial" w:hAnsi="Arial"/>
          <w:sz w:val="22"/>
          <w:szCs w:val="22"/>
          <w:rtl w:val="0"/>
          <w:lang w:val="en-US"/>
        </w:rPr>
        <w:t xml:space="preserve"> </w:t>
      </w:r>
      <w:r>
        <w:rPr>
          <w:rFonts w:ascii="Arial" w:hAnsi="Arial"/>
          <w:sz w:val="22"/>
          <w:szCs w:val="22"/>
          <w:rtl w:val="0"/>
          <w:lang w:val="en-US"/>
        </w:rPr>
        <w:t>way</w:t>
      </w:r>
      <w:r>
        <w:rPr>
          <w:rFonts w:ascii="Arial" w:hAnsi="Arial"/>
          <w:sz w:val="22"/>
          <w:szCs w:val="22"/>
          <w:rtl w:val="0"/>
          <w:lang w:val="en-US"/>
        </w:rPr>
        <w:t xml:space="preserve"> </w:t>
      </w:r>
      <w:r>
        <w:rPr>
          <w:rFonts w:ascii="Arial" w:hAnsi="Arial"/>
          <w:sz w:val="22"/>
          <w:szCs w:val="22"/>
          <w:rtl w:val="0"/>
          <w:lang w:val="en-US"/>
        </w:rPr>
        <w:t>of</w:t>
      </w:r>
      <w:r>
        <w:rPr>
          <w:rFonts w:ascii="Arial" w:hAnsi="Arial"/>
          <w:sz w:val="22"/>
          <w:szCs w:val="22"/>
          <w:rtl w:val="0"/>
          <w:lang w:val="en-US"/>
        </w:rPr>
        <w:t xml:space="preserve"> </w:t>
      </w:r>
      <w:r>
        <w:rPr>
          <w:rFonts w:ascii="Arial" w:hAnsi="Arial"/>
          <w:sz w:val="22"/>
          <w:szCs w:val="22"/>
          <w:rtl w:val="0"/>
          <w:lang w:val="en-US"/>
        </w:rPr>
        <w:t>getting</w:t>
      </w:r>
      <w:r>
        <w:rPr>
          <w:rFonts w:ascii="Arial" w:hAnsi="Arial"/>
          <w:sz w:val="22"/>
          <w:szCs w:val="22"/>
          <w:rtl w:val="0"/>
          <w:lang w:val="en-US"/>
        </w:rPr>
        <w:t xml:space="preserve"> </w:t>
      </w:r>
      <w:r>
        <w:rPr>
          <w:rFonts w:ascii="Arial" w:hAnsi="Arial"/>
          <w:sz w:val="22"/>
          <w:szCs w:val="22"/>
          <w:rtl w:val="0"/>
          <w:lang w:val="en-US"/>
        </w:rPr>
        <w:t>financial compensation, as the court only has a limited power to award damages.</w:t>
      </w:r>
      <w:r>
        <w:rPr>
          <w:rFonts w:ascii="Arial" w:hAnsi="Arial"/>
          <w:sz w:val="22"/>
          <w:szCs w:val="22"/>
          <w:rtl w:val="0"/>
          <w:lang w:val="en-US"/>
        </w:rPr>
        <w:t xml:space="preserve"> Judicial review must see tone of three grounds Illegality;</w:t>
      </w:r>
      <w:r>
        <w:rPr>
          <w:rFonts w:ascii="Arial" w:hAnsi="Arial"/>
          <w:sz w:val="22"/>
          <w:szCs w:val="22"/>
          <w:rtl w:val="0"/>
          <w:lang w:val="en-US"/>
        </w:rPr>
        <w:t xml:space="preserve"> If the</w:t>
      </w:r>
      <w:r>
        <w:rPr>
          <w:rFonts w:ascii="Arial" w:hAnsi="Arial"/>
          <w:sz w:val="22"/>
          <w:szCs w:val="22"/>
          <w:rtl w:val="0"/>
          <w:lang w:val="en-US"/>
        </w:rPr>
        <w:t xml:space="preserve"> public body</w:t>
      </w:r>
      <w:r>
        <w:rPr>
          <w:rFonts w:ascii="Arial" w:hAnsi="Arial"/>
          <w:sz w:val="22"/>
          <w:szCs w:val="22"/>
          <w:rtl w:val="0"/>
          <w:lang w:val="en-US"/>
        </w:rPr>
        <w:t xml:space="preserve"> fail to follow the law properly, their decision, action or failure to act will be </w:t>
      </w:r>
      <w:r>
        <w:rPr>
          <w:rFonts w:ascii="Arial" w:hAnsi="Arial" w:hint="default"/>
          <w:sz w:val="22"/>
          <w:szCs w:val="22"/>
          <w:rtl w:val="1"/>
          <w:lang w:val="ar-SA" w:bidi="ar-SA"/>
        </w:rPr>
        <w:t>“</w:t>
      </w:r>
      <w:r>
        <w:rPr>
          <w:rFonts w:ascii="Arial" w:hAnsi="Arial"/>
          <w:sz w:val="22"/>
          <w:szCs w:val="22"/>
          <w:rtl w:val="0"/>
        </w:rPr>
        <w:t>illegal</w:t>
      </w:r>
      <w:r>
        <w:rPr>
          <w:rFonts w:ascii="Arial" w:hAnsi="Arial" w:hint="default"/>
          <w:sz w:val="22"/>
          <w:szCs w:val="22"/>
          <w:rtl w:val="0"/>
        </w:rPr>
        <w:t>”</w:t>
      </w:r>
      <w:r>
        <w:rPr>
          <w:rFonts w:ascii="Arial" w:hAnsi="Arial"/>
          <w:sz w:val="22"/>
          <w:szCs w:val="22"/>
          <w:rtl w:val="0"/>
          <w:lang w:val="en-US"/>
        </w:rPr>
        <w:t xml:space="preserve">. Thus, an action or decision may be illegal on the basis that the public body has no power to take that action or decision, or has acted beyond its powers. </w:t>
      </w:r>
      <w:r>
        <w:rPr>
          <w:rFonts w:ascii="Arial" w:hAnsi="Arial"/>
          <w:sz w:val="22"/>
          <w:szCs w:val="22"/>
          <w:rtl w:val="0"/>
          <w:lang w:val="en-US"/>
        </w:rPr>
        <w:t xml:space="preserve">Another ground is </w:t>
      </w:r>
      <w:r>
        <w:rPr>
          <w:rFonts w:ascii="Arial" w:hAnsi="Arial"/>
          <w:sz w:val="22"/>
          <w:szCs w:val="22"/>
          <w:rtl w:val="0"/>
          <w:lang w:val="en-US"/>
        </w:rPr>
        <w:t>Fairness</w:t>
      </w:r>
      <w:r>
        <w:rPr>
          <w:rFonts w:ascii="Arial" w:hAnsi="Arial"/>
          <w:sz w:val="22"/>
          <w:szCs w:val="22"/>
          <w:rtl w:val="0"/>
          <w:lang w:val="en-US"/>
        </w:rPr>
        <w:t xml:space="preserve"> whereby it </w:t>
      </w:r>
      <w:r>
        <w:rPr>
          <w:rFonts w:ascii="Arial" w:hAnsi="Arial"/>
          <w:sz w:val="22"/>
          <w:szCs w:val="22"/>
          <w:rtl w:val="0"/>
          <w:lang w:val="en-US"/>
        </w:rPr>
        <w:t>demands that a public body should never act so unfairly that it amounts to an abuse of power</w:t>
      </w:r>
      <w:r>
        <w:rPr>
          <w:rFonts w:ascii="Arial" w:hAnsi="Arial"/>
          <w:sz w:val="22"/>
          <w:szCs w:val="22"/>
          <w:rtl w:val="0"/>
          <w:lang w:val="en-US"/>
        </w:rPr>
        <w:t xml:space="preserve"> and additionally </w:t>
      </w:r>
      <w:r>
        <w:rPr>
          <w:rFonts w:ascii="Arial" w:hAnsi="Arial"/>
          <w:sz w:val="22"/>
          <w:szCs w:val="22"/>
          <w:rtl w:val="0"/>
          <w:lang w:val="en-US"/>
        </w:rPr>
        <w:t>Irrationality and proportionality</w:t>
      </w:r>
      <w:r>
        <w:rPr>
          <w:rFonts w:ascii="Arial" w:hAnsi="Arial"/>
          <w:sz w:val="22"/>
          <w:szCs w:val="22"/>
          <w:rtl w:val="0"/>
          <w:lang w:val="en-US"/>
        </w:rPr>
        <w:t xml:space="preserve"> in which t</w:t>
      </w:r>
      <w:r>
        <w:rPr>
          <w:rFonts w:ascii="Arial" w:hAnsi="Arial"/>
          <w:sz w:val="22"/>
          <w:szCs w:val="22"/>
          <w:rtl w:val="0"/>
          <w:lang w:val="en-US"/>
        </w:rPr>
        <w:t xml:space="preserve">he courts may also intervene to quash a decision if they consider it to be so demonstrably unreasonable as to constitute </w:t>
      </w:r>
      <w:r>
        <w:rPr>
          <w:rFonts w:ascii="Arial" w:hAnsi="Arial" w:hint="default"/>
          <w:sz w:val="22"/>
          <w:szCs w:val="22"/>
          <w:rtl w:val="1"/>
        </w:rPr>
        <w:t>‘</w:t>
      </w:r>
      <w:r>
        <w:rPr>
          <w:rFonts w:ascii="Arial" w:hAnsi="Arial"/>
          <w:sz w:val="22"/>
          <w:szCs w:val="22"/>
          <w:rtl w:val="0"/>
          <w:lang w:val="en-US"/>
        </w:rPr>
        <w:t>irrationality</w:t>
      </w:r>
      <w:r>
        <w:rPr>
          <w:rFonts w:ascii="Arial" w:hAnsi="Arial" w:hint="default"/>
          <w:sz w:val="22"/>
          <w:szCs w:val="22"/>
          <w:rtl w:val="1"/>
        </w:rPr>
        <w:t xml:space="preserve">’ </w:t>
      </w:r>
      <w:r>
        <w:rPr>
          <w:rFonts w:ascii="Arial" w:hAnsi="Arial"/>
          <w:sz w:val="22"/>
          <w:szCs w:val="22"/>
          <w:rtl w:val="0"/>
        </w:rPr>
        <w:t xml:space="preserve">or </w:t>
      </w:r>
      <w:r>
        <w:rPr>
          <w:rFonts w:ascii="Arial" w:hAnsi="Arial" w:hint="default"/>
          <w:sz w:val="22"/>
          <w:szCs w:val="22"/>
          <w:rtl w:val="1"/>
        </w:rPr>
        <w:t>‘</w:t>
      </w:r>
      <w:r>
        <w:rPr>
          <w:rFonts w:ascii="Arial" w:hAnsi="Arial"/>
          <w:sz w:val="22"/>
          <w:szCs w:val="22"/>
          <w:rtl w:val="0"/>
          <w:lang w:val="en-US"/>
        </w:rPr>
        <w:t>perversity</w:t>
      </w:r>
      <w:r>
        <w:rPr>
          <w:rFonts w:ascii="Arial" w:hAnsi="Arial" w:hint="default"/>
          <w:sz w:val="22"/>
          <w:szCs w:val="22"/>
          <w:rtl w:val="1"/>
        </w:rPr>
        <w:t xml:space="preserve">’ </w:t>
      </w:r>
      <w:r>
        <w:rPr>
          <w:rFonts w:ascii="Arial" w:hAnsi="Arial"/>
          <w:sz w:val="22"/>
          <w:szCs w:val="22"/>
          <w:rtl w:val="0"/>
          <w:lang w:val="en-US"/>
        </w:rPr>
        <w:t>on the part of the decision maker</w:t>
      </w:r>
      <w:r>
        <w:rPr>
          <w:rFonts w:ascii="Arial" w:hAnsi="Arial"/>
          <w:sz w:val="22"/>
          <w:szCs w:val="22"/>
          <w:rtl w:val="0"/>
          <w:lang w:val="en-US"/>
        </w:rPr>
        <w:t>. Norton Solutions and the NRT could both make a claim to a judicial review in order to have the decision changed. Norton solutions are likely to succeed in a claim against Plastic Regulatory Authority by requesting a</w:t>
      </w:r>
      <w:r>
        <w:rPr>
          <w:rFonts w:ascii="Arial" w:hAnsi="Arial"/>
          <w:sz w:val="22"/>
          <w:szCs w:val="22"/>
          <w:rtl w:val="0"/>
          <w:lang w:val="en-US"/>
        </w:rPr>
        <w:t xml:space="preserve"> quashing order</w:t>
      </w:r>
      <w:r>
        <w:rPr>
          <w:rFonts w:ascii="Arial" w:hAnsi="Arial"/>
          <w:sz w:val="22"/>
          <w:szCs w:val="22"/>
          <w:rtl w:val="0"/>
          <w:lang w:val="en-US"/>
        </w:rPr>
        <w:t xml:space="preserve">. </w:t>
      </w:r>
      <w:r>
        <w:rPr>
          <w:rFonts w:ascii="Arial" w:hAnsi="Arial"/>
          <w:sz w:val="22"/>
          <w:szCs w:val="22"/>
          <w:rtl w:val="0"/>
          <w:lang w:val="en-US"/>
        </w:rPr>
        <w:t xml:space="preserve">This order </w:t>
      </w:r>
      <w:r>
        <w:rPr>
          <w:rFonts w:ascii="Arial" w:hAnsi="Arial"/>
          <w:sz w:val="22"/>
          <w:szCs w:val="22"/>
          <w:rtl w:val="0"/>
          <w:lang w:val="en-US"/>
        </w:rPr>
        <w:t xml:space="preserve">involves </w:t>
      </w:r>
      <w:r>
        <w:rPr>
          <w:rFonts w:ascii="Arial" w:hAnsi="Arial"/>
          <w:sz w:val="22"/>
          <w:szCs w:val="22"/>
          <w:rtl w:val="0"/>
          <w:lang w:val="fr-FR"/>
        </w:rPr>
        <w:t>overturn</w:t>
      </w:r>
      <w:r>
        <w:rPr>
          <w:rFonts w:ascii="Arial" w:hAnsi="Arial"/>
          <w:sz w:val="22"/>
          <w:szCs w:val="22"/>
          <w:rtl w:val="0"/>
          <w:lang w:val="en-US"/>
        </w:rPr>
        <w:t>ing</w:t>
      </w:r>
      <w:r>
        <w:rPr>
          <w:rFonts w:ascii="Arial" w:hAnsi="Arial"/>
          <w:sz w:val="22"/>
          <w:szCs w:val="22"/>
          <w:rtl w:val="0"/>
          <w:lang w:val="en-US"/>
        </w:rPr>
        <w:t xml:space="preserve"> or undo</w:t>
      </w:r>
      <w:r>
        <w:rPr>
          <w:rFonts w:ascii="Arial" w:hAnsi="Arial"/>
          <w:sz w:val="22"/>
          <w:szCs w:val="22"/>
          <w:rtl w:val="0"/>
          <w:lang w:val="en-US"/>
        </w:rPr>
        <w:t>ing</w:t>
      </w:r>
      <w:r>
        <w:rPr>
          <w:rFonts w:ascii="Arial" w:hAnsi="Arial"/>
          <w:sz w:val="22"/>
          <w:szCs w:val="22"/>
          <w:rtl w:val="0"/>
          <w:lang w:val="en-US"/>
        </w:rPr>
        <w:t xml:space="preserve"> the decision </w:t>
      </w:r>
      <w:r>
        <w:rPr>
          <w:rFonts w:ascii="Arial" w:hAnsi="Arial"/>
          <w:sz w:val="22"/>
          <w:szCs w:val="22"/>
          <w:rtl w:val="0"/>
          <w:lang w:val="en-US"/>
        </w:rPr>
        <w:t xml:space="preserve">of the denied grant </w:t>
      </w:r>
      <w:r>
        <w:rPr>
          <w:rFonts w:ascii="Arial" w:hAnsi="Arial"/>
          <w:sz w:val="22"/>
          <w:szCs w:val="22"/>
          <w:rtl w:val="0"/>
          <w:lang w:val="en-US"/>
        </w:rPr>
        <w:t>so that it has no legal effect. This is the most common outcome of successful judicial reviews.</w:t>
      </w:r>
      <w:r>
        <w:rPr>
          <w:rFonts w:ascii="Arial" w:hAnsi="Arial"/>
          <w:sz w:val="22"/>
          <w:szCs w:val="22"/>
          <w:rtl w:val="0"/>
          <w:lang w:val="en-US"/>
        </w:rPr>
        <w:t xml:space="preserve"> However it is unlikely that the Nature Reserve Trust will successfully be able to make a claim. </w:t>
      </w:r>
    </w:p>
    <w:p>
      <w:pPr>
        <w:pStyle w:val="Default"/>
        <w:bidi w:val="0"/>
        <w:spacing w:before="0"/>
        <w:ind w:left="0" w:right="0" w:firstLine="0"/>
        <w:jc w:val="left"/>
        <w:rPr>
          <w:rFonts w:ascii="Helvetica" w:cs="Helvetica" w:hAnsi="Helvetica" w:eastAsia="Helvetica"/>
          <w:outline w:val="0"/>
          <w:color w:val="3d3d3d"/>
          <w:sz w:val="40"/>
          <w:szCs w:val="40"/>
          <w:rtl w:val="0"/>
          <w14:textFill>
            <w14:solidFill>
              <w14:srgbClr w14:val="3D3D3D"/>
            </w14:solidFill>
          </w14:textFill>
        </w:rPr>
      </w:pPr>
    </w:p>
    <w:p>
      <w:pPr>
        <w:pStyle w:val="Default"/>
        <w:bidi w:val="0"/>
        <w:spacing w:before="0"/>
        <w:ind w:left="0" w:right="0" w:firstLine="0"/>
        <w:jc w:val="left"/>
        <w:rPr>
          <w:rFonts w:ascii="Arial" w:cs="Arial" w:hAnsi="Arial" w:eastAsia="Arial"/>
          <w:outline w:val="0"/>
          <w:color w:val="005392"/>
          <w:sz w:val="22"/>
          <w:szCs w:val="22"/>
          <w:rtl w:val="0"/>
          <w14:textFill>
            <w14:solidFill>
              <w14:srgbClr w14:val="005493"/>
            </w14:solidFill>
          </w14:textFill>
        </w:rPr>
      </w:pPr>
      <w:r>
        <w:rPr>
          <w:rFonts w:ascii="Arial" w:hAnsi="Arial"/>
          <w:sz w:val="22"/>
          <w:szCs w:val="22"/>
          <w:rtl w:val="0"/>
          <w:lang w:val="en-US"/>
        </w:rPr>
        <w:t xml:space="preserve">Norton solutions could make a claim for a quashing order on the grounds of fairness. The PRA refused the grant stating that they have a policy for one recycling plan in one area however there are already two recycling plans within the same area (LakeRec Ltd and </w:t>
      </w:r>
      <w:r>
        <w:rPr>
          <w:rFonts w:ascii="Arial" w:hAnsi="Arial" w:hint="default"/>
          <w:sz w:val="22"/>
          <w:szCs w:val="22"/>
          <w:rtl w:val="0"/>
          <w:lang w:val="en-US"/>
        </w:rPr>
        <w:t>‘</w:t>
      </w:r>
      <w:r>
        <w:rPr>
          <w:rFonts w:ascii="Arial" w:hAnsi="Arial"/>
          <w:sz w:val="22"/>
          <w:szCs w:val="22"/>
          <w:rtl w:val="0"/>
          <w:lang w:val="en-US"/>
        </w:rPr>
        <w:t>Westcross plc</w:t>
      </w:r>
      <w:r>
        <w:rPr>
          <w:rFonts w:ascii="Arial" w:hAnsi="Arial" w:hint="default"/>
          <w:sz w:val="22"/>
          <w:szCs w:val="22"/>
          <w:rtl w:val="0"/>
          <w:lang w:val="en-US"/>
        </w:rPr>
        <w:t>’</w:t>
      </w:r>
      <w:r>
        <w:rPr>
          <w:rFonts w:ascii="Arial" w:hAnsi="Arial"/>
          <w:sz w:val="22"/>
          <w:szCs w:val="22"/>
          <w:rtl w:val="0"/>
          <w:lang w:val="en-US"/>
        </w:rPr>
        <w:t xml:space="preserve">) therefore are acting unfairly. The </w:t>
      </w:r>
      <w:r>
        <w:rPr>
          <w:rFonts w:ascii="Arial" w:hAnsi="Arial"/>
          <w:sz w:val="22"/>
          <w:szCs w:val="22"/>
          <w:rtl w:val="0"/>
          <w:lang w:val="en-US"/>
        </w:rPr>
        <w:t>Plastic Regulatory Authority</w:t>
      </w:r>
      <w:r>
        <w:rPr>
          <w:rFonts w:ascii="Arial" w:hAnsi="Arial"/>
          <w:sz w:val="22"/>
          <w:szCs w:val="22"/>
          <w:rtl w:val="0"/>
          <w:lang w:val="en-US"/>
        </w:rPr>
        <w:t xml:space="preserve"> implied that their reasons for allowing the LakeRec Ltd was due to their potential economical growth that they will bring to a deprived area however the </w:t>
      </w:r>
      <w:r>
        <w:rPr>
          <w:rFonts w:ascii="Arial" w:hAnsi="Arial" w:hint="default"/>
          <w:sz w:val="22"/>
          <w:szCs w:val="22"/>
          <w:rtl w:val="0"/>
          <w:lang w:val="en-US"/>
        </w:rPr>
        <w:t>‘</w:t>
      </w:r>
      <w:r>
        <w:rPr>
          <w:rFonts w:ascii="Arial" w:hAnsi="Arial"/>
          <w:sz w:val="22"/>
          <w:szCs w:val="22"/>
          <w:rtl w:val="0"/>
          <w:lang w:val="en-US"/>
        </w:rPr>
        <w:t>Westcross plc</w:t>
      </w:r>
      <w:r>
        <w:rPr>
          <w:rFonts w:ascii="Arial" w:hAnsi="Arial" w:hint="default"/>
          <w:sz w:val="22"/>
          <w:szCs w:val="22"/>
          <w:rtl w:val="0"/>
          <w:lang w:val="en-US"/>
        </w:rPr>
        <w:t xml:space="preserve">’ </w:t>
      </w:r>
      <w:r>
        <w:rPr>
          <w:rFonts w:ascii="Arial" w:hAnsi="Arial"/>
          <w:sz w:val="22"/>
          <w:szCs w:val="22"/>
          <w:rtl w:val="0"/>
          <w:lang w:val="en-US"/>
        </w:rPr>
        <w:t>is also in the same area which defies the PRA</w:t>
      </w:r>
      <w:r>
        <w:rPr>
          <w:rFonts w:ascii="Arial" w:hAnsi="Arial" w:hint="default"/>
          <w:sz w:val="22"/>
          <w:szCs w:val="22"/>
          <w:rtl w:val="0"/>
          <w:lang w:val="en-US"/>
        </w:rPr>
        <w:t>’</w:t>
      </w:r>
      <w:r>
        <w:rPr>
          <w:rFonts w:ascii="Arial" w:hAnsi="Arial"/>
          <w:sz w:val="22"/>
          <w:szCs w:val="22"/>
          <w:rtl w:val="0"/>
          <w:lang w:val="en-US"/>
        </w:rPr>
        <w:t>s reasoning as to why Norton Solutions wouldn</w:t>
      </w:r>
      <w:r>
        <w:rPr>
          <w:rFonts w:ascii="Arial" w:hAnsi="Arial" w:hint="default"/>
          <w:sz w:val="22"/>
          <w:szCs w:val="22"/>
          <w:rtl w:val="0"/>
          <w:lang w:val="en-US"/>
        </w:rPr>
        <w:t>’</w:t>
      </w:r>
      <w:r>
        <w:rPr>
          <w:rFonts w:ascii="Arial" w:hAnsi="Arial"/>
          <w:sz w:val="22"/>
          <w:szCs w:val="22"/>
          <w:rtl w:val="0"/>
          <w:lang w:val="en-US"/>
        </w:rPr>
        <w:t xml:space="preserve">t be able to pursue a grant. Moreover, they could potentially make a claim on the grounds of lack of fairness, the PRA failed to allow them to put their case forward and present their evidence in a fair hearing. It is proven that </w:t>
      </w:r>
      <w:r>
        <w:rPr>
          <w:rFonts w:ascii="Arial" w:hAnsi="Arial" w:hint="default"/>
          <w:sz w:val="22"/>
          <w:szCs w:val="22"/>
          <w:rtl w:val="0"/>
          <w:lang w:val="en-US"/>
        </w:rPr>
        <w:t>‘</w:t>
      </w:r>
      <w:r>
        <w:rPr>
          <w:rFonts w:ascii="Arial" w:hAnsi="Arial"/>
          <w:sz w:val="22"/>
          <w:szCs w:val="22"/>
          <w:rtl w:val="0"/>
          <w:lang w:val="en-US"/>
        </w:rPr>
        <w:t>Westcross  plc</w:t>
      </w:r>
      <w:r>
        <w:rPr>
          <w:rFonts w:ascii="Arial" w:hAnsi="Arial" w:hint="default"/>
          <w:sz w:val="22"/>
          <w:szCs w:val="22"/>
          <w:rtl w:val="0"/>
          <w:lang w:val="en-US"/>
        </w:rPr>
        <w:t xml:space="preserve">’ </w:t>
      </w:r>
      <w:r>
        <w:rPr>
          <w:rFonts w:ascii="Arial" w:hAnsi="Arial"/>
          <w:sz w:val="22"/>
          <w:szCs w:val="22"/>
          <w:rtl w:val="0"/>
          <w:lang w:val="en-US"/>
        </w:rPr>
        <w:t xml:space="preserve">are unable to meet the recycling demands therefore </w:t>
      </w:r>
      <w:r>
        <w:rPr>
          <w:rFonts w:ascii="Arial" w:hAnsi="Arial" w:hint="default"/>
          <w:sz w:val="22"/>
          <w:szCs w:val="22"/>
          <w:rtl w:val="0"/>
          <w:lang w:val="en-US"/>
        </w:rPr>
        <w:t>‘</w:t>
      </w:r>
      <w:r>
        <w:rPr>
          <w:rFonts w:ascii="Arial" w:hAnsi="Arial"/>
          <w:sz w:val="22"/>
          <w:szCs w:val="22"/>
          <w:rtl w:val="0"/>
          <w:lang w:val="en-US"/>
        </w:rPr>
        <w:t>Norton Solutions</w:t>
      </w:r>
      <w:r>
        <w:rPr>
          <w:rFonts w:ascii="Arial" w:hAnsi="Arial" w:hint="default"/>
          <w:sz w:val="22"/>
          <w:szCs w:val="22"/>
          <w:rtl w:val="0"/>
          <w:lang w:val="en-US"/>
        </w:rPr>
        <w:t xml:space="preserve">’ </w:t>
      </w:r>
      <w:r>
        <w:rPr>
          <w:rFonts w:ascii="Arial" w:hAnsi="Arial"/>
          <w:sz w:val="22"/>
          <w:szCs w:val="22"/>
          <w:rtl w:val="0"/>
          <w:lang w:val="en-US"/>
        </w:rPr>
        <w:t xml:space="preserve">deserve an adequate reason due to their denied grant as the recycling plant could both improve a deprived area by boosting the economical growth as well as meeting the recycling demands. Additionally, they are within the grounds of the Environmental Protection act whereas, </w:t>
      </w:r>
      <w:r>
        <w:rPr>
          <w:rFonts w:ascii="Arial" w:hAnsi="Arial" w:hint="default"/>
          <w:sz w:val="22"/>
          <w:szCs w:val="22"/>
          <w:rtl w:val="0"/>
          <w:lang w:val="en-US"/>
        </w:rPr>
        <w:t>‘</w:t>
      </w:r>
      <w:r>
        <w:rPr>
          <w:rFonts w:ascii="Arial" w:hAnsi="Arial"/>
          <w:sz w:val="22"/>
          <w:szCs w:val="22"/>
          <w:rtl w:val="0"/>
          <w:lang w:val="en-US"/>
        </w:rPr>
        <w:t>Westcross</w:t>
      </w:r>
      <w:r>
        <w:rPr>
          <w:rFonts w:ascii="Arial" w:hAnsi="Arial" w:hint="default"/>
          <w:sz w:val="22"/>
          <w:szCs w:val="22"/>
          <w:rtl w:val="0"/>
          <w:lang w:val="en-US"/>
        </w:rPr>
        <w:t xml:space="preserve">’ </w:t>
      </w:r>
      <w:r>
        <w:rPr>
          <w:rFonts w:ascii="Arial" w:hAnsi="Arial"/>
          <w:sz w:val="22"/>
          <w:szCs w:val="22"/>
          <w:rtl w:val="0"/>
          <w:lang w:val="en-US"/>
        </w:rPr>
        <w:t xml:space="preserve">are in fact breaching the requirements. </w:t>
      </w:r>
    </w:p>
    <w:p>
      <w:pPr>
        <w:pStyle w:val="List Paragraph"/>
        <w:spacing w:after="160" w:line="259" w:lineRule="auto"/>
        <w:ind w:left="1080" w:firstLine="0"/>
        <w:rPr>
          <w:sz w:val="22"/>
          <w:szCs w:val="22"/>
          <w14:textOutline>
            <w14:noFill/>
          </w14:textOutline>
        </w:rPr>
      </w:pPr>
    </w:p>
    <w:p>
      <w:pPr>
        <w:pStyle w:val="Body"/>
        <w:rPr>
          <w:rFonts w:ascii="Arial" w:cs="Arial" w:hAnsi="Arial" w:eastAsia="Arial"/>
          <w:sz w:val="22"/>
          <w:szCs w:val="22"/>
        </w:rPr>
      </w:pPr>
      <w:r>
        <w:rPr>
          <w:rFonts w:ascii="Arial" w:hAnsi="Arial"/>
          <w:sz w:val="22"/>
          <w:szCs w:val="22"/>
          <w:rtl w:val="0"/>
          <w:lang w:val="en-US"/>
        </w:rPr>
        <w:t xml:space="preserve"> The Nature Reserve Trust are unlikely to successfully be able to create a claim for a  judicial review as the licence application they published was in a local newspaper and not on any online website or on the required site which t</w:t>
      </w:r>
      <w:r>
        <w:rPr>
          <w:rFonts w:ascii="Arial" w:hAnsi="Arial"/>
          <w:sz w:val="22"/>
          <w:szCs w:val="22"/>
          <w:rtl w:val="0"/>
          <w:lang w:val="en-US"/>
        </w:rPr>
        <w:t xml:space="preserve">he Environmental Protection Act (2019) </w:t>
      </w:r>
      <w:r>
        <w:rPr>
          <w:rFonts w:ascii="Arial" w:hAnsi="Arial"/>
          <w:sz w:val="22"/>
          <w:szCs w:val="22"/>
          <w:rtl w:val="0"/>
          <w:lang w:val="en-US"/>
        </w:rPr>
        <w:t xml:space="preserve">states all applications must be submitted to. As of this most users of the nature reserve were not aware of the proposed recycling plant and therefore could not place their concerns regarding the environmental impact. </w:t>
      </w:r>
      <w:r>
        <w:rPr>
          <w:rFonts w:ascii="Arial" w:hAnsi="Arial"/>
          <w:sz w:val="22"/>
          <w:szCs w:val="22"/>
          <w:rtl w:val="0"/>
          <w:lang w:val="en-US"/>
        </w:rPr>
        <w:t>Therefore as they did not meet the requirements for their application to be considered it is unlikely they will be able to make a claim for breach of fairness , illegality or  irrationality and proportionality.</w:t>
      </w:r>
      <w:r>
        <w:rPr>
          <w:rFonts w:ascii="Arial" w:hAnsi="Arial"/>
          <w:sz w:val="22"/>
          <w:szCs w:val="22"/>
          <w:rtl w:val="0"/>
          <w:lang w:val="en-US"/>
        </w:rPr>
        <w:t xml:space="preserve"> The latter claim requires a difficult threshold to be met and usually requires more than one ground to be argued (</w:t>
      </w:r>
      <w:r>
        <w:rPr>
          <w:rFonts w:ascii="Arial" w:hAnsi="Arial"/>
          <w:sz w:val="22"/>
          <w:szCs w:val="22"/>
          <w:rtl w:val="0"/>
          <w:lang w:val="en-US"/>
        </w:rPr>
        <w:t>Associated Provincial Picture Houses Ltd v Wednesbury Corporation [1948]</w:t>
      </w:r>
      <w:r>
        <w:rPr>
          <w:rFonts w:ascii="Arial" w:hAnsi="Arial"/>
          <w:sz w:val="22"/>
          <w:szCs w:val="22"/>
          <w:rtl w:val="0"/>
          <w:lang w:val="en-US"/>
        </w:rPr>
        <w:t xml:space="preserve">).  Moreover the Nature Reserve Trust only learnt about the decision to grant another company (LakeRec Ltd) a few days ago however the PRA granted a licence to them three months ago so they had more than an adequate time to find out about the grant decision. Therefore it can be seen that if the Nature Reserve Trust attempted to make a claim to the Judicial review they are most likely to fail as they do not have the adequate grounds. </w:t>
      </w:r>
    </w:p>
    <w:p>
      <w:pPr>
        <w:pStyle w:val="Body"/>
      </w:pPr>
      <w:r>
        <w:rPr>
          <w:rFonts w:ascii="Arial" w:cs="Arial" w:hAnsi="Arial" w:eastAsia="Arial"/>
          <w:sz w:val="22"/>
          <w:szCs w:val="22"/>
        </w:rPr>
      </w:r>
    </w:p>
    <w:sectPr>
      <w:headerReference w:type="default" r:id="rId4"/>
      <w:footerReference w:type="default" r:id="rId5"/>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https://www.legislation.gov.uk/ukpga/2013/26</w:t>
      </w:r>
    </w:p>
  </w:footnote>
  <w:footnote w:id="2">
    <w:p>
      <w:pPr>
        <w:pStyle w:val="Footnote"/>
        <w:bidi w:val="0"/>
      </w:pPr>
      <w:r>
        <w:rPr>
          <w:vertAlign w:val="superscript"/>
        </w:rPr>
        <w:footnoteRef/>
      </w:r>
      <w:r>
        <w:rPr>
          <w:rFonts w:cs="Arial Unicode MS" w:eastAsia="Arial Unicode MS"/>
          <w:rtl w:val="0"/>
          <w:lang w:val="en-US"/>
        </w:rPr>
        <w:t xml:space="preserve"> https://www.legislation.gov.uk/ukpga/1998/42/schedule/1/part/I/chapter/9</w:t>
      </w:r>
    </w:p>
  </w:footnote>
  <w:footnote w:id="3">
    <w:p>
      <w:pPr>
        <w:pStyle w:val="Footnote"/>
        <w:bidi w:val="0"/>
      </w:pPr>
      <w:r>
        <w:rPr>
          <w:vertAlign w:val="superscript"/>
        </w:rPr>
        <w:footnoteRef/>
      </w:r>
      <w:r>
        <w:rPr>
          <w:rFonts w:cs="Arial Unicode MS" w:eastAsia="Arial Unicode MS"/>
          <w:rtl w:val="0"/>
          <w:lang w:val="en-US"/>
        </w:rPr>
        <w:t xml:space="preserve"> Reynolds v Times Newspapers Ltd </w:t>
      </w:r>
      <w:r>
        <w:rPr>
          <w:rFonts w:ascii="Times New Roman" w:hAnsi="Times New Roman"/>
          <w:rtl w:val="0"/>
          <w:lang w:val="pt-PT"/>
        </w:rPr>
        <w:t xml:space="preserve">[2001] 2 AC 127. </w:t>
      </w:r>
    </w:p>
  </w:footnote>
  <w:footnote w:id="4">
    <w:p>
      <w:pPr>
        <w:pStyle w:val="Footnote"/>
        <w:bidi w:val="0"/>
      </w:pPr>
      <w:r>
        <w:rPr>
          <w:vertAlign w:val="superscript"/>
        </w:rPr>
        <w:footnoteRef/>
      </w:r>
      <w:r>
        <w:rPr>
          <w:rFonts w:cs="Arial Unicode MS" w:eastAsia="Arial Unicode MS"/>
          <w:rtl w:val="0"/>
          <w:lang w:val="en-US"/>
        </w:rPr>
        <w:t xml:space="preserve"> https://publications.parliament.uk/pa/ld199899/ldjudgmt/jd991028/rey01.htm</w:t>
      </w:r>
    </w:p>
  </w:footnote>
  <w:footnote w:id="5">
    <w:p>
      <w:pPr>
        <w:pStyle w:val="Footnote"/>
        <w:bidi w:val="0"/>
      </w:pPr>
      <w:r>
        <w:rPr>
          <w:vertAlign w:val="superscript"/>
        </w:rPr>
        <w:footnoteRef/>
      </w:r>
      <w:r>
        <w:rPr>
          <w:rFonts w:cs="Arial Unicode MS" w:eastAsia="Arial Unicode MS"/>
          <w:rtl w:val="0"/>
          <w:lang w:val="en-US"/>
        </w:rPr>
        <w:t xml:space="preserve"> Flood v Times Newspapers Ltd [2012] UKSC 11</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i w:val="1"/>
          <w:iCs w:val="1"/>
          <w:rtl w:val="0"/>
          <w:lang w:val="en-US"/>
        </w:rPr>
        <w:t>Blackshaw v. Lord</w:t>
      </w:r>
      <w:r>
        <w:rPr>
          <w:rFonts w:cs="Arial Unicode MS" w:eastAsia="Arial Unicode MS"/>
          <w:rtl w:val="0"/>
          <w:lang w:val="pt-PT"/>
        </w:rPr>
        <w:t>[1984] 1 Q.B. 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