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93845" w14:textId="77777777" w:rsidR="00BD0983" w:rsidRPr="00BD0983" w:rsidRDefault="00BD0983" w:rsidP="00BD0983">
      <w:pPr>
        <w:pStyle w:val="p1"/>
        <w:rPr>
          <w:rFonts w:ascii="Times New Roman" w:hAnsi="Times New Roman"/>
          <w:color w:val="000000" w:themeColor="text1"/>
          <w:sz w:val="32"/>
          <w:szCs w:val="32"/>
        </w:rPr>
      </w:pPr>
      <w:r w:rsidRPr="00BD0983">
        <w:rPr>
          <w:rStyle w:val="s2"/>
          <w:rFonts w:ascii="Times New Roman" w:hAnsi="Times New Roman"/>
          <w:color w:val="000000" w:themeColor="text1"/>
          <w:sz w:val="32"/>
          <w:szCs w:val="32"/>
        </w:rPr>
        <w:t>The Strategic Use of the Outdoors in Promoting Health and Well-Being: A Critical Review</w:t>
      </w:r>
    </w:p>
    <w:p w14:paraId="48106DB5" w14:textId="77777777" w:rsidR="00BD0983" w:rsidRPr="00BD0983" w:rsidRDefault="00BD0983" w:rsidP="00BD0983">
      <w:pPr>
        <w:pStyle w:val="p2"/>
        <w:rPr>
          <w:rFonts w:ascii="Times New Roman" w:hAnsi="Times New Roman"/>
          <w:color w:val="000000" w:themeColor="text1"/>
          <w:sz w:val="24"/>
          <w:szCs w:val="24"/>
        </w:rPr>
      </w:pPr>
    </w:p>
    <w:p w14:paraId="394D8CE6" w14:textId="77777777" w:rsidR="00BD0983" w:rsidRPr="00BD0983" w:rsidRDefault="00BD0983" w:rsidP="00BD0983">
      <w:pPr>
        <w:pStyle w:val="p1"/>
        <w:rPr>
          <w:rFonts w:ascii="Times New Roman" w:hAnsi="Times New Roman"/>
          <w:color w:val="000000" w:themeColor="text1"/>
          <w:sz w:val="24"/>
          <w:szCs w:val="24"/>
          <w:u w:val="single"/>
        </w:rPr>
      </w:pPr>
      <w:r w:rsidRPr="00BD0983">
        <w:rPr>
          <w:rStyle w:val="s2"/>
          <w:rFonts w:ascii="Times New Roman" w:hAnsi="Times New Roman"/>
          <w:b w:val="0"/>
          <w:bCs w:val="0"/>
          <w:color w:val="000000" w:themeColor="text1"/>
          <w:sz w:val="24"/>
          <w:szCs w:val="24"/>
          <w:u w:val="single"/>
        </w:rPr>
        <w:t>Introduction</w:t>
      </w:r>
    </w:p>
    <w:p w14:paraId="6F232CB8" w14:textId="77777777" w:rsidR="00BD0983" w:rsidRPr="00BD0983" w:rsidRDefault="00BD0983" w:rsidP="00BD0983">
      <w:pPr>
        <w:pStyle w:val="p2"/>
        <w:rPr>
          <w:rFonts w:ascii="Times New Roman" w:hAnsi="Times New Roman"/>
          <w:color w:val="000000" w:themeColor="text1"/>
          <w:sz w:val="24"/>
          <w:szCs w:val="24"/>
        </w:rPr>
      </w:pPr>
    </w:p>
    <w:p w14:paraId="33776E87" w14:textId="77777777" w:rsidR="00BD0983" w:rsidRPr="00BD0983" w:rsidRDefault="00BD0983" w:rsidP="00BD0983">
      <w:pPr>
        <w:pStyle w:val="p1"/>
        <w:rPr>
          <w:rFonts w:ascii="Times New Roman" w:hAnsi="Times New Roman"/>
          <w:color w:val="000000" w:themeColor="text1"/>
          <w:sz w:val="24"/>
          <w:szCs w:val="24"/>
        </w:rPr>
      </w:pPr>
      <w:r w:rsidRPr="00BD0983">
        <w:rPr>
          <w:rStyle w:val="s1"/>
          <w:rFonts w:ascii="Times New Roman" w:hAnsi="Times New Roman"/>
          <w:color w:val="000000" w:themeColor="text1"/>
          <w:sz w:val="24"/>
          <w:szCs w:val="24"/>
        </w:rPr>
        <w:t xml:space="preserve">The strategic use of outdoor environments in promoting health and well-being has gained significant attention in public health, education, and urban planning. With increasing concerns about mental health, lifestyle-related diseases, and social disconnection, policymakers and researchers advocate for greater engagement with nature as a solution (White et al., 2019). The benefits of outdoor exposure range from physiological advantages, such as reduced blood pressure and improved immune function, to psychological well-being, including reduced stress and enhanced cognitive performance (Barton &amp; Pretty, 2010; </w:t>
      </w:r>
      <w:proofErr w:type="spellStart"/>
      <w:r w:rsidRPr="00BD0983">
        <w:rPr>
          <w:rStyle w:val="s1"/>
          <w:rFonts w:ascii="Times New Roman" w:hAnsi="Times New Roman"/>
          <w:color w:val="000000" w:themeColor="text1"/>
          <w:sz w:val="24"/>
          <w:szCs w:val="24"/>
        </w:rPr>
        <w:t>Hartig</w:t>
      </w:r>
      <w:proofErr w:type="spellEnd"/>
      <w:r w:rsidRPr="00BD0983">
        <w:rPr>
          <w:rStyle w:val="s1"/>
          <w:rFonts w:ascii="Times New Roman" w:hAnsi="Times New Roman"/>
          <w:color w:val="000000" w:themeColor="text1"/>
          <w:sz w:val="24"/>
          <w:szCs w:val="24"/>
        </w:rPr>
        <w:t xml:space="preserve"> et al., 2014).</w:t>
      </w:r>
    </w:p>
    <w:p w14:paraId="05E7149F" w14:textId="1C300CFA" w:rsidR="00BD0983" w:rsidRPr="00BD0983" w:rsidRDefault="00BD0983" w:rsidP="00BD0983">
      <w:pPr>
        <w:pStyle w:val="p1"/>
        <w:rPr>
          <w:rFonts w:ascii="Times New Roman" w:hAnsi="Times New Roman"/>
          <w:color w:val="000000" w:themeColor="text1"/>
          <w:sz w:val="24"/>
          <w:szCs w:val="24"/>
        </w:rPr>
      </w:pPr>
      <w:r w:rsidRPr="00BD0983">
        <w:rPr>
          <w:rStyle w:val="s1"/>
          <w:rFonts w:ascii="Times New Roman" w:hAnsi="Times New Roman"/>
          <w:color w:val="000000" w:themeColor="text1"/>
          <w:sz w:val="24"/>
          <w:szCs w:val="24"/>
        </w:rPr>
        <w:t>The COVID-19 pandemic further highlighted the importance of outdoor spaces as vital resources for maintaining public health, particularly in urban areas where access to nature is limited (Slater et al., 2020). Governments worldwide have introduced policies encouraging the development of green infrastructure, outdoor learning in education, and nature-based interventions in healthcare settings (Natural England, 2021). However, disparities in access to natural spaces, competing economic interests, and a lack of long-term research on effectiveness pose challenges to widespread implementation (Wheeler et al., 2012).</w:t>
      </w:r>
    </w:p>
    <w:p w14:paraId="0D9D1D8F" w14:textId="77777777" w:rsidR="00BD0983" w:rsidRPr="00BD0983" w:rsidRDefault="00BD0983" w:rsidP="00BD0983">
      <w:pPr>
        <w:pStyle w:val="p1"/>
        <w:rPr>
          <w:rFonts w:ascii="Times New Roman" w:hAnsi="Times New Roman"/>
          <w:color w:val="000000" w:themeColor="text1"/>
          <w:sz w:val="24"/>
          <w:szCs w:val="24"/>
        </w:rPr>
      </w:pPr>
      <w:r w:rsidRPr="00BD0983">
        <w:rPr>
          <w:rStyle w:val="s1"/>
          <w:rFonts w:ascii="Times New Roman" w:hAnsi="Times New Roman"/>
          <w:color w:val="000000" w:themeColor="text1"/>
          <w:sz w:val="24"/>
          <w:szCs w:val="24"/>
        </w:rPr>
        <w:t>This review critically examines the evidence supporting the strategic use of the outdoors in promoting health and well-being, with a focus on psychological, physiological, and educational perspectives. It also explores the political and social dimensions of access to outdoor spaces and evaluates counterarguments regarding the limitations of outdoor interventions.</w:t>
      </w:r>
    </w:p>
    <w:p w14:paraId="246534EB" w14:textId="77777777" w:rsidR="00BD0983" w:rsidRPr="00BD0983" w:rsidRDefault="00BD0983" w:rsidP="00BD0983">
      <w:pPr>
        <w:pStyle w:val="p2"/>
        <w:rPr>
          <w:rFonts w:ascii="Times New Roman" w:hAnsi="Times New Roman"/>
          <w:color w:val="000000" w:themeColor="text1"/>
          <w:sz w:val="24"/>
          <w:szCs w:val="24"/>
        </w:rPr>
      </w:pPr>
    </w:p>
    <w:p w14:paraId="59ABF3A3" w14:textId="3A4AB45E" w:rsidR="00BD0983" w:rsidRPr="00BD0983" w:rsidRDefault="00BD0983" w:rsidP="00BD0983">
      <w:pPr>
        <w:pStyle w:val="p1"/>
        <w:rPr>
          <w:rFonts w:ascii="Times New Roman" w:hAnsi="Times New Roman"/>
          <w:color w:val="000000" w:themeColor="text1"/>
          <w:sz w:val="28"/>
          <w:szCs w:val="28"/>
        </w:rPr>
      </w:pPr>
      <w:r w:rsidRPr="00BD0983">
        <w:rPr>
          <w:rStyle w:val="s2"/>
          <w:rFonts w:ascii="Times New Roman" w:hAnsi="Times New Roman"/>
          <w:color w:val="000000" w:themeColor="text1"/>
          <w:sz w:val="28"/>
          <w:szCs w:val="28"/>
        </w:rPr>
        <w:t>Theoretical and Empirical Evidence for the Benefits of the Outdoors</w:t>
      </w:r>
    </w:p>
    <w:p w14:paraId="2FEDF9A7" w14:textId="77777777" w:rsidR="00BD0983" w:rsidRDefault="00BD0983" w:rsidP="00BD0983">
      <w:pPr>
        <w:pStyle w:val="p1"/>
        <w:rPr>
          <w:rStyle w:val="s2"/>
          <w:rFonts w:ascii="Times New Roman" w:hAnsi="Times New Roman"/>
          <w:b w:val="0"/>
          <w:bCs w:val="0"/>
          <w:color w:val="000000" w:themeColor="text1"/>
          <w:sz w:val="24"/>
          <w:szCs w:val="24"/>
        </w:rPr>
      </w:pPr>
    </w:p>
    <w:p w14:paraId="27644292" w14:textId="2A8AF537" w:rsidR="00BD0983" w:rsidRPr="00BD0983" w:rsidRDefault="00BD0983" w:rsidP="00BD0983">
      <w:pPr>
        <w:pStyle w:val="p1"/>
        <w:rPr>
          <w:rFonts w:ascii="Times New Roman" w:hAnsi="Times New Roman"/>
          <w:color w:val="000000" w:themeColor="text1"/>
          <w:sz w:val="24"/>
          <w:szCs w:val="24"/>
          <w:u w:val="single"/>
        </w:rPr>
      </w:pPr>
      <w:r w:rsidRPr="00BD0983">
        <w:rPr>
          <w:rStyle w:val="s2"/>
          <w:rFonts w:ascii="Times New Roman" w:hAnsi="Times New Roman"/>
          <w:b w:val="0"/>
          <w:bCs w:val="0"/>
          <w:color w:val="000000" w:themeColor="text1"/>
          <w:sz w:val="24"/>
          <w:szCs w:val="24"/>
          <w:u w:val="single"/>
        </w:rPr>
        <w:t>Psychological and Physiological Benefits</w:t>
      </w:r>
    </w:p>
    <w:p w14:paraId="4C5AA165" w14:textId="77777777" w:rsidR="00BD0983" w:rsidRPr="00BD0983" w:rsidRDefault="00BD0983" w:rsidP="00BD0983">
      <w:pPr>
        <w:pStyle w:val="p2"/>
        <w:rPr>
          <w:rFonts w:ascii="Times New Roman" w:hAnsi="Times New Roman"/>
          <w:color w:val="000000" w:themeColor="text1"/>
          <w:sz w:val="24"/>
          <w:szCs w:val="24"/>
        </w:rPr>
      </w:pPr>
    </w:p>
    <w:p w14:paraId="5A50985D" w14:textId="77777777" w:rsidR="00433C3B" w:rsidRPr="00433C3B" w:rsidRDefault="00433C3B" w:rsidP="00433C3B">
      <w:pPr>
        <w:autoSpaceDE w:val="0"/>
        <w:autoSpaceDN w:val="0"/>
        <w:adjustRightInd w:val="0"/>
        <w:rPr>
          <w:rFonts w:ascii="Times New Roman" w:hAnsi="Times New Roman" w:cs="Times New Roman"/>
          <w:kern w:val="0"/>
        </w:rPr>
      </w:pPr>
      <w:r w:rsidRPr="00433C3B">
        <w:rPr>
          <w:rFonts w:ascii="Times New Roman" w:hAnsi="Times New Roman" w:cs="Times New Roman"/>
          <w:kern w:val="0"/>
        </w:rPr>
        <w:t>Exposure to nature has long been associated with improved mental and physical health, with growing empirical support for its restorative and therapeutic effects. Kaplan and Kaplan’s (1989) Attention Restoration Theory (ART) suggests that natural environments facilitate cognitive restoration by reducing mental fatigue and enhancing focus. The theory proposes that nature engages the brain’s involuntary attention, allowing directed attention—often strained by urban settings—to recover. Similarly, Ulrich et al.’s (1991) Stress Reduction Theory (SRT) posits that exposure to green spaces triggers physiological relaxation responses, reducing stress and anxiety. These theories have been extensively supported by research, including studies demonstrating that time spent in natural settings leads to lower cortisol levels, improved mood, and increased overall well-being (White et al., 2019).</w:t>
      </w:r>
    </w:p>
    <w:p w14:paraId="43C71429" w14:textId="77777777" w:rsidR="00433C3B" w:rsidRPr="00433C3B" w:rsidRDefault="00433C3B" w:rsidP="00433C3B">
      <w:pPr>
        <w:autoSpaceDE w:val="0"/>
        <w:autoSpaceDN w:val="0"/>
        <w:adjustRightInd w:val="0"/>
        <w:rPr>
          <w:rFonts w:ascii="Times New Roman" w:hAnsi="Times New Roman" w:cs="Times New Roman"/>
          <w:kern w:val="0"/>
        </w:rPr>
      </w:pPr>
      <w:r w:rsidRPr="00433C3B">
        <w:rPr>
          <w:rFonts w:ascii="Times New Roman" w:hAnsi="Times New Roman" w:cs="Times New Roman"/>
          <w:kern w:val="0"/>
        </w:rPr>
        <w:t>Several studies have established direct connections between outdoor exposure and psychological well-being. Barton and Pretty’s (2010) meta-analysis revealed that “green exercise” (physical activity in natural environments) significantly boosts self-esteem and mood, with even brief interactions with nature yielding mental health benefits. Likewise, Mitchell and Popham (2008) found that populations with greater access to green spaces experience lower rates of mortality from cardiovascular disease, suggesting that nature may play a protective role in public health.</w:t>
      </w:r>
    </w:p>
    <w:p w14:paraId="615FC640" w14:textId="12FD00B6" w:rsidR="00433C3B" w:rsidRPr="00433C3B" w:rsidRDefault="00433C3B" w:rsidP="00433C3B">
      <w:pPr>
        <w:autoSpaceDE w:val="0"/>
        <w:autoSpaceDN w:val="0"/>
        <w:adjustRightInd w:val="0"/>
        <w:rPr>
          <w:rFonts w:ascii="Times New Roman" w:hAnsi="Times New Roman" w:cs="Times New Roman"/>
          <w:kern w:val="0"/>
        </w:rPr>
      </w:pPr>
      <w:r w:rsidRPr="00433C3B">
        <w:rPr>
          <w:rFonts w:ascii="Times New Roman" w:hAnsi="Times New Roman" w:cs="Times New Roman"/>
          <w:kern w:val="0"/>
        </w:rPr>
        <w:t xml:space="preserve">Physiologically, access to nature has been linked to reduced risks of obesity, hypertension, and immune-related illnesses. Shin et al. (2010) investigated the practice of “forest bathing” </w:t>
      </w:r>
      <w:r w:rsidRPr="00433C3B">
        <w:rPr>
          <w:rFonts w:ascii="Times New Roman" w:hAnsi="Times New Roman" w:cs="Times New Roman"/>
          <w:kern w:val="0"/>
        </w:rPr>
        <w:lastRenderedPageBreak/>
        <w:t>(</w:t>
      </w:r>
      <w:proofErr w:type="spellStart"/>
      <w:r w:rsidRPr="00433C3B">
        <w:rPr>
          <w:rFonts w:ascii="Times New Roman" w:hAnsi="Times New Roman" w:cs="Times New Roman"/>
          <w:kern w:val="0"/>
        </w:rPr>
        <w:t>Shinrin-yoku</w:t>
      </w:r>
      <w:proofErr w:type="spellEnd"/>
      <w:r w:rsidRPr="00433C3B">
        <w:rPr>
          <w:rFonts w:ascii="Times New Roman" w:hAnsi="Times New Roman" w:cs="Times New Roman"/>
          <w:kern w:val="0"/>
        </w:rPr>
        <w:t>), finding that participants engaging in prolonged exposure to forest environments experienced lower blood pressure, enhanced immune system activity, and increased parasympathetic nervous system responses, which contribute to stress reduction. These findings underscore the potential for nature-based interventions to complement traditional healthcare approaches, offering cost-effective and holistic strategies for improving both physical and mental health on a broader scale.</w:t>
      </w:r>
    </w:p>
    <w:p w14:paraId="69D8A24C" w14:textId="77777777" w:rsidR="00BD0983" w:rsidRDefault="00BD0983" w:rsidP="00BD0983">
      <w:pPr>
        <w:pStyle w:val="p1"/>
        <w:rPr>
          <w:rStyle w:val="s2"/>
          <w:rFonts w:ascii="Times New Roman" w:hAnsi="Times New Roman"/>
          <w:b w:val="0"/>
          <w:bCs w:val="0"/>
          <w:color w:val="000000" w:themeColor="text1"/>
          <w:sz w:val="24"/>
          <w:szCs w:val="24"/>
        </w:rPr>
      </w:pPr>
    </w:p>
    <w:p w14:paraId="470D3CBF" w14:textId="1882B7FA" w:rsidR="00BD0983" w:rsidRPr="00BD0983" w:rsidRDefault="00BD0983" w:rsidP="00BD0983">
      <w:pPr>
        <w:pStyle w:val="p1"/>
        <w:rPr>
          <w:rFonts w:ascii="Times New Roman" w:hAnsi="Times New Roman"/>
          <w:color w:val="000000" w:themeColor="text1"/>
          <w:sz w:val="24"/>
          <w:szCs w:val="24"/>
          <w:u w:val="single"/>
        </w:rPr>
      </w:pPr>
      <w:r w:rsidRPr="00BD0983">
        <w:rPr>
          <w:rStyle w:val="s2"/>
          <w:rFonts w:ascii="Times New Roman" w:hAnsi="Times New Roman"/>
          <w:b w:val="0"/>
          <w:bCs w:val="0"/>
          <w:color w:val="000000" w:themeColor="text1"/>
          <w:sz w:val="24"/>
          <w:szCs w:val="24"/>
          <w:u w:val="single"/>
        </w:rPr>
        <w:t>Social and Emotional Benefits</w:t>
      </w:r>
    </w:p>
    <w:p w14:paraId="77AAE5EB" w14:textId="77777777" w:rsidR="00BD0983" w:rsidRDefault="00BD0983" w:rsidP="00BD0983">
      <w:pPr>
        <w:pStyle w:val="p1"/>
        <w:rPr>
          <w:rStyle w:val="s1"/>
          <w:rFonts w:ascii="Times New Roman" w:hAnsi="Times New Roman"/>
          <w:color w:val="000000" w:themeColor="text1"/>
          <w:sz w:val="24"/>
          <w:szCs w:val="24"/>
        </w:rPr>
      </w:pPr>
    </w:p>
    <w:p w14:paraId="38C4D168" w14:textId="57DB99E3" w:rsidR="00433C3B" w:rsidRPr="00433C3B" w:rsidRDefault="00433C3B" w:rsidP="00433C3B">
      <w:pPr>
        <w:autoSpaceDE w:val="0"/>
        <w:autoSpaceDN w:val="0"/>
        <w:adjustRightInd w:val="0"/>
        <w:rPr>
          <w:rFonts w:ascii="Times New Roman" w:hAnsi="Times New Roman" w:cs="Times New Roman"/>
          <w:color w:val="000000" w:themeColor="text1"/>
          <w:kern w:val="0"/>
        </w:rPr>
      </w:pPr>
      <w:r w:rsidRPr="00433C3B">
        <w:rPr>
          <w:rFonts w:ascii="Times New Roman" w:hAnsi="Times New Roman" w:cs="Times New Roman"/>
          <w:color w:val="000000" w:themeColor="text1"/>
          <w:kern w:val="0"/>
        </w:rPr>
        <w:t xml:space="preserve">Beyond individual well-being, outdoor engagement plays a critical role in fostering social cohesion and enhancing community well-being. Green spaces serve as communal hubs where people can interact, build relationships, and develop a sense of belonging, contributing to stronger social networks. Maas et al. (2009) found that individuals living in greener </w:t>
      </w:r>
      <w:r w:rsidR="004B3624" w:rsidRPr="00433C3B">
        <w:rPr>
          <w:rFonts w:ascii="Times New Roman" w:hAnsi="Times New Roman" w:cs="Times New Roman"/>
          <w:color w:val="000000" w:themeColor="text1"/>
          <w:kern w:val="0"/>
        </w:rPr>
        <w:t>neighbourhoods</w:t>
      </w:r>
      <w:r w:rsidRPr="00433C3B">
        <w:rPr>
          <w:rFonts w:ascii="Times New Roman" w:hAnsi="Times New Roman" w:cs="Times New Roman"/>
          <w:color w:val="000000" w:themeColor="text1"/>
          <w:kern w:val="0"/>
        </w:rPr>
        <w:t xml:space="preserve"> report lower levels of loneliness and higher overall community satisfaction. These environments provide opportunities for both planned and spontaneous social interactions, which can help combat social isolation and strengthen intergenerational and cross-cultural connections. Furthermore, </w:t>
      </w:r>
      <w:proofErr w:type="spellStart"/>
      <w:r w:rsidRPr="00433C3B">
        <w:rPr>
          <w:rFonts w:ascii="Times New Roman" w:hAnsi="Times New Roman" w:cs="Times New Roman"/>
          <w:color w:val="000000" w:themeColor="text1"/>
          <w:kern w:val="0"/>
        </w:rPr>
        <w:t>Hartig</w:t>
      </w:r>
      <w:proofErr w:type="spellEnd"/>
      <w:r w:rsidRPr="00433C3B">
        <w:rPr>
          <w:rFonts w:ascii="Times New Roman" w:hAnsi="Times New Roman" w:cs="Times New Roman"/>
          <w:color w:val="000000" w:themeColor="text1"/>
          <w:kern w:val="0"/>
        </w:rPr>
        <w:t xml:space="preserve"> et al. (2014) suggest that access to nature reduces the risks of mental health disorders such as depression by promoting a sense of social inclusion and collective well-being.</w:t>
      </w:r>
    </w:p>
    <w:p w14:paraId="49FE582E" w14:textId="71A244B8" w:rsidR="00BD0983" w:rsidRDefault="00433C3B" w:rsidP="00433C3B">
      <w:pPr>
        <w:pStyle w:val="p1"/>
        <w:rPr>
          <w:rFonts w:ascii="Times New Roman" w:hAnsi="Times New Roman"/>
          <w:color w:val="000000" w:themeColor="text1"/>
          <w:sz w:val="24"/>
          <w:szCs w:val="24"/>
        </w:rPr>
      </w:pPr>
      <w:r w:rsidRPr="00433C3B">
        <w:rPr>
          <w:rFonts w:ascii="Times New Roman" w:hAnsi="Times New Roman"/>
          <w:color w:val="000000" w:themeColor="text1"/>
          <w:sz w:val="24"/>
          <w:szCs w:val="24"/>
        </w:rPr>
        <w:t>However, these benefits are not equitably distributed across society. Research by Wheeler et al. (2012) highlights that lower-income populations often have reduced access to high-quality green spaces, exacerbating existing health and social inequalities. Urban areas with fewer parks or poorly maintained outdoor environments can limit opportunities for exercise, recreation, and social interaction, disproportionately affecting marginalized communities. Addressing these disparities through inclusive urban planning, investment in public green infrastructure, and community-led initiatives is essential for ensuring that all individuals, regardless of socioeconomic status, can experience the benefits of outdoor environments.</w:t>
      </w:r>
    </w:p>
    <w:p w14:paraId="05619413" w14:textId="77777777" w:rsidR="00433C3B" w:rsidRPr="00433C3B" w:rsidRDefault="00433C3B" w:rsidP="00433C3B">
      <w:pPr>
        <w:pStyle w:val="p1"/>
        <w:rPr>
          <w:rFonts w:ascii="Times New Roman" w:hAnsi="Times New Roman"/>
          <w:color w:val="000000" w:themeColor="text1"/>
          <w:sz w:val="24"/>
          <w:szCs w:val="24"/>
        </w:rPr>
      </w:pPr>
    </w:p>
    <w:p w14:paraId="75B90F90" w14:textId="06959F42" w:rsidR="00BD0983" w:rsidRPr="00BD0983" w:rsidRDefault="00BD0983" w:rsidP="00BD0983">
      <w:pPr>
        <w:pStyle w:val="p1"/>
        <w:rPr>
          <w:rFonts w:ascii="Times New Roman" w:hAnsi="Times New Roman"/>
          <w:color w:val="000000" w:themeColor="text1"/>
          <w:sz w:val="28"/>
          <w:szCs w:val="28"/>
        </w:rPr>
      </w:pPr>
      <w:r w:rsidRPr="00BD0983">
        <w:rPr>
          <w:rStyle w:val="s2"/>
          <w:rFonts w:ascii="Times New Roman" w:hAnsi="Times New Roman"/>
          <w:color w:val="000000" w:themeColor="text1"/>
          <w:sz w:val="28"/>
          <w:szCs w:val="28"/>
        </w:rPr>
        <w:t>Educational Contexts: Outdoor Learning and Child Development</w:t>
      </w:r>
    </w:p>
    <w:p w14:paraId="45F23F20" w14:textId="77777777" w:rsidR="00BD0983" w:rsidRDefault="00BD0983" w:rsidP="00BD0983">
      <w:pPr>
        <w:pStyle w:val="p1"/>
        <w:rPr>
          <w:rStyle w:val="s2"/>
          <w:rFonts w:ascii="Times New Roman" w:hAnsi="Times New Roman"/>
          <w:b w:val="0"/>
          <w:bCs w:val="0"/>
          <w:color w:val="000000" w:themeColor="text1"/>
          <w:sz w:val="24"/>
          <w:szCs w:val="24"/>
        </w:rPr>
      </w:pPr>
    </w:p>
    <w:p w14:paraId="573C0DCE" w14:textId="0F5B8B0E" w:rsidR="00BD0983" w:rsidRPr="00BD0983" w:rsidRDefault="00BD0983" w:rsidP="00BD0983">
      <w:pPr>
        <w:pStyle w:val="p1"/>
        <w:rPr>
          <w:rFonts w:ascii="Times New Roman" w:hAnsi="Times New Roman"/>
          <w:color w:val="000000" w:themeColor="text1"/>
          <w:sz w:val="24"/>
          <w:szCs w:val="24"/>
          <w:u w:val="single"/>
        </w:rPr>
      </w:pPr>
      <w:r w:rsidRPr="00BD0983">
        <w:rPr>
          <w:rStyle w:val="s2"/>
          <w:rFonts w:ascii="Times New Roman" w:hAnsi="Times New Roman"/>
          <w:b w:val="0"/>
          <w:bCs w:val="0"/>
          <w:color w:val="000000" w:themeColor="text1"/>
          <w:sz w:val="24"/>
          <w:szCs w:val="24"/>
          <w:u w:val="single"/>
        </w:rPr>
        <w:t>Cognitive and Developmental Benefits of Outdoor Learning</w:t>
      </w:r>
    </w:p>
    <w:p w14:paraId="51A28716" w14:textId="77777777" w:rsidR="00BD0983" w:rsidRDefault="00BD0983" w:rsidP="00BD0983">
      <w:pPr>
        <w:pStyle w:val="p1"/>
        <w:rPr>
          <w:rStyle w:val="s1"/>
          <w:rFonts w:ascii="Times New Roman" w:hAnsi="Times New Roman"/>
          <w:color w:val="000000" w:themeColor="text1"/>
          <w:sz w:val="24"/>
          <w:szCs w:val="24"/>
        </w:rPr>
      </w:pPr>
    </w:p>
    <w:p w14:paraId="54C19D61" w14:textId="1B284208" w:rsidR="00346A66" w:rsidRPr="00346A66" w:rsidRDefault="00346A66" w:rsidP="00346A66">
      <w:pPr>
        <w:autoSpaceDE w:val="0"/>
        <w:autoSpaceDN w:val="0"/>
        <w:adjustRightInd w:val="0"/>
        <w:rPr>
          <w:rFonts w:ascii="Times New Roman" w:hAnsi="Times New Roman" w:cs="Times New Roman"/>
          <w:color w:val="000000" w:themeColor="text1"/>
          <w:kern w:val="0"/>
        </w:rPr>
      </w:pPr>
      <w:r w:rsidRPr="00346A66">
        <w:rPr>
          <w:rFonts w:ascii="Times New Roman" w:hAnsi="Times New Roman" w:cs="Times New Roman"/>
          <w:color w:val="000000" w:themeColor="text1"/>
          <w:kern w:val="0"/>
        </w:rPr>
        <w:t xml:space="preserve">Outdoor education has gained increasing recognition as an effective pedagogical approach that fosters holistic development in students. Nature-based learning has been linked to improvements in cognitive performance, problem-solving skills, and creativity (Waite et al., 2016). Immersion in natural environments provides unique opportunities for experiential learning, which encourages students to engage with real-world challenges, think critically, and develop innovative solutions. Additionally, exposure to nature has been shown to enhance attention spans and reduce symptoms of attention deficit hyperactivity disorder (ADHD) in children (Taylor &amp; </w:t>
      </w:r>
      <w:proofErr w:type="spellStart"/>
      <w:r w:rsidRPr="00346A66">
        <w:rPr>
          <w:rFonts w:ascii="Times New Roman" w:hAnsi="Times New Roman" w:cs="Times New Roman"/>
          <w:color w:val="000000" w:themeColor="text1"/>
          <w:kern w:val="0"/>
        </w:rPr>
        <w:t>Kuo</w:t>
      </w:r>
      <w:proofErr w:type="spellEnd"/>
      <w:r w:rsidRPr="00346A66">
        <w:rPr>
          <w:rFonts w:ascii="Times New Roman" w:hAnsi="Times New Roman" w:cs="Times New Roman"/>
          <w:color w:val="000000" w:themeColor="text1"/>
          <w:kern w:val="0"/>
        </w:rPr>
        <w:t>, 2009). These outcomes suggest that outdoor education not only supports academic achievement but also contributes to improved mental focus and well-being.</w:t>
      </w:r>
    </w:p>
    <w:p w14:paraId="2AB4696A" w14:textId="77777777" w:rsidR="00EE7592" w:rsidRDefault="00346A66" w:rsidP="00346A66">
      <w:pPr>
        <w:pStyle w:val="p1"/>
        <w:rPr>
          <w:rFonts w:ascii="Times New Roman" w:hAnsi="Times New Roman"/>
          <w:color w:val="000000" w:themeColor="text1"/>
          <w:sz w:val="24"/>
          <w:szCs w:val="24"/>
        </w:rPr>
      </w:pPr>
      <w:r w:rsidRPr="00346A66">
        <w:rPr>
          <w:rFonts w:ascii="Times New Roman" w:hAnsi="Times New Roman"/>
          <w:color w:val="000000" w:themeColor="text1"/>
          <w:sz w:val="24"/>
          <w:szCs w:val="24"/>
        </w:rPr>
        <w:t xml:space="preserve">Forest schools, which emphasize outdoor, play-based learning, have demonstrated notable success in fostering key social and emotional skills. Research has shown that children attending these programs tend to develop greater independence, resilience, and confidence (O’Brien &amp; Murray, 2007). These attributes are nurtured through hands-on learning experiences, where children are encouraged to explore, take risks, and problem-solve in a supportive, nature-based setting. Such programs align closely with Vygotsky’s (1978) theory of social constructivism, which suggests that learning is enhanced through interaction with both the environment and peers. In this context, outdoor learning provides a rich, </w:t>
      </w:r>
      <w:proofErr w:type="gramStart"/>
      <w:r w:rsidRPr="00346A66">
        <w:rPr>
          <w:rFonts w:ascii="Times New Roman" w:hAnsi="Times New Roman"/>
          <w:color w:val="000000" w:themeColor="text1"/>
          <w:sz w:val="24"/>
          <w:szCs w:val="24"/>
        </w:rPr>
        <w:t>dynamic</w:t>
      </w:r>
      <w:proofErr w:type="gramEnd"/>
    </w:p>
    <w:p w14:paraId="254227E1" w14:textId="44B9E5DF" w:rsidR="00BD0983" w:rsidRDefault="00346A66" w:rsidP="00346A66">
      <w:pPr>
        <w:pStyle w:val="p1"/>
        <w:rPr>
          <w:rFonts w:ascii="Times New Roman" w:hAnsi="Times New Roman"/>
          <w:color w:val="000000" w:themeColor="text1"/>
          <w:sz w:val="24"/>
          <w:szCs w:val="24"/>
        </w:rPr>
      </w:pPr>
      <w:r w:rsidRPr="00346A66">
        <w:rPr>
          <w:rFonts w:ascii="Times New Roman" w:hAnsi="Times New Roman"/>
          <w:color w:val="000000" w:themeColor="text1"/>
          <w:sz w:val="24"/>
          <w:szCs w:val="24"/>
        </w:rPr>
        <w:lastRenderedPageBreak/>
        <w:t>space where children can develop social skills, collaborate with others, and construct knowledge through active engagement with their surroundings.</w:t>
      </w:r>
    </w:p>
    <w:p w14:paraId="4970D7F6" w14:textId="77777777" w:rsidR="00346A66" w:rsidRPr="00346A66" w:rsidRDefault="00346A66" w:rsidP="00346A66">
      <w:pPr>
        <w:pStyle w:val="p1"/>
        <w:rPr>
          <w:rStyle w:val="s2"/>
          <w:rFonts w:ascii="Times New Roman" w:hAnsi="Times New Roman"/>
          <w:b w:val="0"/>
          <w:bCs w:val="0"/>
          <w:color w:val="000000" w:themeColor="text1"/>
          <w:sz w:val="24"/>
          <w:szCs w:val="24"/>
        </w:rPr>
      </w:pPr>
    </w:p>
    <w:p w14:paraId="3B05CDCE" w14:textId="632533D4" w:rsidR="00BD0983" w:rsidRPr="00BD0983" w:rsidRDefault="00BD0983" w:rsidP="00BD0983">
      <w:pPr>
        <w:pStyle w:val="p1"/>
        <w:rPr>
          <w:rFonts w:ascii="Times New Roman" w:hAnsi="Times New Roman"/>
          <w:color w:val="000000" w:themeColor="text1"/>
          <w:sz w:val="24"/>
          <w:szCs w:val="24"/>
          <w:u w:val="single"/>
        </w:rPr>
      </w:pPr>
      <w:r w:rsidRPr="00BD0983">
        <w:rPr>
          <w:rStyle w:val="s2"/>
          <w:rFonts w:ascii="Times New Roman" w:hAnsi="Times New Roman"/>
          <w:b w:val="0"/>
          <w:bCs w:val="0"/>
          <w:color w:val="000000" w:themeColor="text1"/>
          <w:sz w:val="24"/>
          <w:szCs w:val="24"/>
          <w:u w:val="single"/>
        </w:rPr>
        <w:t>Government Policies on Outdoor Education</w:t>
      </w:r>
    </w:p>
    <w:p w14:paraId="13891FE0" w14:textId="77777777" w:rsidR="00BD0983" w:rsidRDefault="00BD0983" w:rsidP="00BD0983">
      <w:pPr>
        <w:pStyle w:val="p1"/>
        <w:rPr>
          <w:rStyle w:val="s1"/>
          <w:rFonts w:ascii="Times New Roman" w:hAnsi="Times New Roman"/>
          <w:color w:val="000000" w:themeColor="text1"/>
          <w:sz w:val="24"/>
          <w:szCs w:val="24"/>
        </w:rPr>
      </w:pPr>
    </w:p>
    <w:p w14:paraId="4002AA43" w14:textId="77777777" w:rsidR="00346A66" w:rsidRPr="00346A66" w:rsidRDefault="00346A66" w:rsidP="00346A66">
      <w:pPr>
        <w:autoSpaceDE w:val="0"/>
        <w:autoSpaceDN w:val="0"/>
        <w:adjustRightInd w:val="0"/>
        <w:rPr>
          <w:rFonts w:ascii="Times New Roman" w:hAnsi="Times New Roman" w:cs="Times New Roman"/>
          <w:color w:val="000000" w:themeColor="text1"/>
          <w:kern w:val="0"/>
        </w:rPr>
      </w:pPr>
      <w:r w:rsidRPr="00346A66">
        <w:rPr>
          <w:rFonts w:ascii="Times New Roman" w:hAnsi="Times New Roman" w:cs="Times New Roman"/>
          <w:color w:val="000000" w:themeColor="text1"/>
          <w:kern w:val="0"/>
        </w:rPr>
        <w:t>Governments around the world have begun recognizing the value of outdoor learning and have started integrating it into formal education policies. In the UK, the Department for Education (2021) actively encourages outdoor activities within the national curriculum, acknowledging the positive impact these activities can have on both academic achievement and overall well-being. This emphasis on outdoor learning is supported by growing evidence that time spent in nature can enhance cognitive and emotional development. Scandinavian countries, particularly Finland, have long been pioneers in outdoor education. Finland’s education system has incorporated nature-based learning as a fundamental aspect of early childhood development, recognizing that outdoor experiences are essential for fostering creativity, social skills, and resilience in young learners (</w:t>
      </w:r>
      <w:proofErr w:type="spellStart"/>
      <w:r w:rsidRPr="00346A66">
        <w:rPr>
          <w:rFonts w:ascii="Times New Roman" w:hAnsi="Times New Roman" w:cs="Times New Roman"/>
          <w:color w:val="000000" w:themeColor="text1"/>
          <w:kern w:val="0"/>
        </w:rPr>
        <w:t>Fjørtoft</w:t>
      </w:r>
      <w:proofErr w:type="spellEnd"/>
      <w:r w:rsidRPr="00346A66">
        <w:rPr>
          <w:rFonts w:ascii="Times New Roman" w:hAnsi="Times New Roman" w:cs="Times New Roman"/>
          <w:color w:val="000000" w:themeColor="text1"/>
          <w:kern w:val="0"/>
        </w:rPr>
        <w:t>, 2001).</w:t>
      </w:r>
    </w:p>
    <w:p w14:paraId="701C70E7" w14:textId="690C766A" w:rsidR="00BD0983" w:rsidRDefault="00346A66" w:rsidP="00346A66">
      <w:pPr>
        <w:pStyle w:val="p2"/>
        <w:rPr>
          <w:rFonts w:ascii="Times New Roman" w:hAnsi="Times New Roman"/>
          <w:color w:val="000000" w:themeColor="text1"/>
          <w:sz w:val="24"/>
          <w:szCs w:val="24"/>
        </w:rPr>
      </w:pPr>
      <w:r w:rsidRPr="00346A66">
        <w:rPr>
          <w:rFonts w:ascii="Times New Roman" w:hAnsi="Times New Roman"/>
          <w:color w:val="000000" w:themeColor="text1"/>
          <w:sz w:val="24"/>
          <w:szCs w:val="24"/>
        </w:rPr>
        <w:t>Despite the growing recognition of the benefits of outdoor education, significant challenges remain in its widespread implementation. Funding constraints, safety concerns, and the pressures of rigid standardized testing frameworks often limit schools’ ability to fully adopt outdoor pedagogies (Gill, 2014). These barriers can make it difficult for teachers to integrate outdoor learning consistently into the curriculum, especially in areas where resources are limited. Additionally, socio-economic factors play a significant role in determining access to outdoor education, with children from wealthier backgrounds more likely to participate in nature-based programs or attend schools with the resources to support outdoor learning (Waite et al., 2016). Addressing these disparities is crucial to ensuring that outdoor education is accessible to all students, regardless of their socio-economic status.</w:t>
      </w:r>
    </w:p>
    <w:p w14:paraId="29F772FA" w14:textId="77777777" w:rsidR="00346A66" w:rsidRPr="00346A66" w:rsidRDefault="00346A66" w:rsidP="00346A66">
      <w:pPr>
        <w:pStyle w:val="p2"/>
        <w:rPr>
          <w:rFonts w:ascii="Times New Roman" w:hAnsi="Times New Roman"/>
          <w:color w:val="000000" w:themeColor="text1"/>
          <w:sz w:val="24"/>
          <w:szCs w:val="24"/>
        </w:rPr>
      </w:pPr>
    </w:p>
    <w:p w14:paraId="0E243C37" w14:textId="20183720" w:rsidR="00BD0983" w:rsidRPr="00BD0983" w:rsidRDefault="00BD0983" w:rsidP="00BD0983">
      <w:pPr>
        <w:pStyle w:val="p1"/>
        <w:rPr>
          <w:rFonts w:ascii="Times New Roman" w:hAnsi="Times New Roman"/>
          <w:color w:val="000000" w:themeColor="text1"/>
          <w:sz w:val="28"/>
          <w:szCs w:val="28"/>
        </w:rPr>
      </w:pPr>
      <w:r w:rsidRPr="00BD0983">
        <w:rPr>
          <w:rStyle w:val="s2"/>
          <w:rFonts w:ascii="Times New Roman" w:hAnsi="Times New Roman"/>
          <w:color w:val="000000" w:themeColor="text1"/>
          <w:sz w:val="28"/>
          <w:szCs w:val="28"/>
        </w:rPr>
        <w:t>Political and Social Dimensions: Policy, Accessibility, and Equity</w:t>
      </w:r>
    </w:p>
    <w:p w14:paraId="1F26CBD8" w14:textId="77777777" w:rsidR="00BD0983" w:rsidRPr="00BD0983" w:rsidRDefault="00BD0983" w:rsidP="00BD0983">
      <w:pPr>
        <w:pStyle w:val="p2"/>
        <w:rPr>
          <w:rFonts w:ascii="Times New Roman" w:hAnsi="Times New Roman"/>
          <w:color w:val="000000" w:themeColor="text1"/>
          <w:sz w:val="24"/>
          <w:szCs w:val="24"/>
        </w:rPr>
      </w:pPr>
    </w:p>
    <w:p w14:paraId="2E66EA59" w14:textId="5C0789FC" w:rsidR="00BD0983" w:rsidRPr="00BD0983" w:rsidRDefault="00BD0983" w:rsidP="00BD0983">
      <w:pPr>
        <w:pStyle w:val="p1"/>
        <w:rPr>
          <w:rFonts w:ascii="Times New Roman" w:hAnsi="Times New Roman"/>
          <w:color w:val="000000" w:themeColor="text1"/>
          <w:sz w:val="24"/>
          <w:szCs w:val="24"/>
          <w:u w:val="single"/>
        </w:rPr>
      </w:pPr>
      <w:r w:rsidRPr="00BD0983">
        <w:rPr>
          <w:rStyle w:val="s2"/>
          <w:rFonts w:ascii="Times New Roman" w:hAnsi="Times New Roman"/>
          <w:b w:val="0"/>
          <w:bCs w:val="0"/>
          <w:color w:val="000000" w:themeColor="text1"/>
          <w:sz w:val="24"/>
          <w:szCs w:val="24"/>
          <w:u w:val="single"/>
        </w:rPr>
        <w:t>Government Policies and Green Infrastructure</w:t>
      </w:r>
    </w:p>
    <w:p w14:paraId="3D3919BF" w14:textId="77777777" w:rsidR="00BD0983" w:rsidRPr="00BD0983" w:rsidRDefault="00BD0983" w:rsidP="00BD0983">
      <w:pPr>
        <w:pStyle w:val="p2"/>
        <w:rPr>
          <w:rFonts w:ascii="Times New Roman" w:hAnsi="Times New Roman"/>
          <w:color w:val="000000" w:themeColor="text1"/>
          <w:sz w:val="24"/>
          <w:szCs w:val="24"/>
        </w:rPr>
      </w:pPr>
    </w:p>
    <w:p w14:paraId="7EF09510" w14:textId="2CDEFA76" w:rsidR="00BD0983" w:rsidRDefault="00346A66" w:rsidP="00BD0983">
      <w:pPr>
        <w:pStyle w:val="p2"/>
        <w:rPr>
          <w:rFonts w:ascii="Times New Roman" w:hAnsi="Times New Roman"/>
          <w:sz w:val="24"/>
          <w:szCs w:val="24"/>
        </w:rPr>
      </w:pPr>
      <w:r w:rsidRPr="00346A66">
        <w:rPr>
          <w:rFonts w:ascii="Times New Roman" w:hAnsi="Times New Roman"/>
          <w:sz w:val="24"/>
          <w:szCs w:val="24"/>
        </w:rPr>
        <w:t>Governments worldwide are increasingly recognizing the vital role that outdoor spaces play in promoting public health and well-being. The World Health Organization (WHO, 2022) has strongly advocated for integrating green infrastructure into urban planning, emphasizing its potential to improve mental health, reduce stress, and mitigate the adverse effects of climate change. Green spaces, such as parks, gardens, and natural urban areas, are seen as essential components of sustainable cities that provide both ecological and social benefits. In line with this, the UK’s Natural England (2021) launched the Green Infrastructure Framework, a strategic initiative aimed at ensuring equitable access to outdoor spaces for all communities. This framework aims to guide urban development in a way that prioritizes the creation and maintenance of green spaces, ensuring that people from all socioeconomic backgrounds can benefit from the positive impacts of nature on health, recreation, and overall quality of life. As the understanding of these benefits deepens, governments are increasingly investing in policies and infrastructure that prioritize green spaces as a fundamental part of urban design.</w:t>
      </w:r>
    </w:p>
    <w:p w14:paraId="5965E9FA" w14:textId="77777777" w:rsidR="00346A66" w:rsidRDefault="00346A66" w:rsidP="00BD0983">
      <w:pPr>
        <w:pStyle w:val="p1"/>
        <w:rPr>
          <w:rStyle w:val="s2"/>
          <w:rFonts w:ascii="Times New Roman" w:hAnsi="Times New Roman"/>
          <w:b w:val="0"/>
          <w:bCs w:val="0"/>
          <w:color w:val="000000" w:themeColor="text1"/>
          <w:sz w:val="24"/>
          <w:szCs w:val="24"/>
          <w:u w:val="single"/>
        </w:rPr>
      </w:pPr>
    </w:p>
    <w:p w14:paraId="6E93745B" w14:textId="63075BDC" w:rsidR="00BD0983" w:rsidRPr="00BD0983" w:rsidRDefault="00BD0983" w:rsidP="00BD0983">
      <w:pPr>
        <w:pStyle w:val="p1"/>
        <w:rPr>
          <w:rFonts w:ascii="Times New Roman" w:hAnsi="Times New Roman"/>
          <w:color w:val="000000" w:themeColor="text1"/>
          <w:sz w:val="24"/>
          <w:szCs w:val="24"/>
          <w:u w:val="single"/>
        </w:rPr>
      </w:pPr>
      <w:r w:rsidRPr="00BD0983">
        <w:rPr>
          <w:rStyle w:val="s2"/>
          <w:rFonts w:ascii="Times New Roman" w:hAnsi="Times New Roman"/>
          <w:b w:val="0"/>
          <w:bCs w:val="0"/>
          <w:color w:val="000000" w:themeColor="text1"/>
          <w:sz w:val="24"/>
          <w:szCs w:val="24"/>
          <w:u w:val="single"/>
        </w:rPr>
        <w:t>Inequality in Access to Green Spaces</w:t>
      </w:r>
    </w:p>
    <w:p w14:paraId="29E3B67B" w14:textId="77777777" w:rsidR="00BD0983" w:rsidRPr="00BD0983" w:rsidRDefault="00BD0983" w:rsidP="00BD0983">
      <w:pPr>
        <w:pStyle w:val="p2"/>
        <w:rPr>
          <w:rFonts w:ascii="Times New Roman" w:hAnsi="Times New Roman"/>
          <w:color w:val="000000" w:themeColor="text1"/>
          <w:sz w:val="24"/>
          <w:szCs w:val="24"/>
        </w:rPr>
      </w:pPr>
    </w:p>
    <w:p w14:paraId="5EF7D732" w14:textId="77777777" w:rsidR="00EE7592" w:rsidRDefault="00346A66" w:rsidP="00346A66">
      <w:pPr>
        <w:autoSpaceDE w:val="0"/>
        <w:autoSpaceDN w:val="0"/>
        <w:adjustRightInd w:val="0"/>
        <w:rPr>
          <w:rFonts w:ascii="Times New Roman" w:hAnsi="Times New Roman" w:cs="Times New Roman"/>
          <w:color w:val="000000" w:themeColor="text1"/>
          <w:kern w:val="0"/>
        </w:rPr>
      </w:pPr>
      <w:r w:rsidRPr="00346A66">
        <w:rPr>
          <w:rFonts w:ascii="Times New Roman" w:hAnsi="Times New Roman" w:cs="Times New Roman"/>
          <w:color w:val="000000" w:themeColor="text1"/>
          <w:kern w:val="0"/>
        </w:rPr>
        <w:t>While policies promoting green infrastructure exist, accessibility remains a significant issue. Low-income urban areas often lack well-maintained parks and recreational spaces, leading to disparities in health outcomes (Wheeler et al., 2012). Green gentrification, where park</w:t>
      </w:r>
    </w:p>
    <w:p w14:paraId="11085AB5" w14:textId="46845D30" w:rsidR="00346A66" w:rsidRPr="00346A66" w:rsidRDefault="00346A66" w:rsidP="00346A66">
      <w:pPr>
        <w:autoSpaceDE w:val="0"/>
        <w:autoSpaceDN w:val="0"/>
        <w:adjustRightInd w:val="0"/>
        <w:rPr>
          <w:rFonts w:ascii="Times New Roman" w:hAnsi="Times New Roman" w:cs="Times New Roman"/>
          <w:color w:val="000000" w:themeColor="text1"/>
          <w:kern w:val="0"/>
        </w:rPr>
      </w:pPr>
      <w:r w:rsidRPr="00346A66">
        <w:rPr>
          <w:rFonts w:ascii="Times New Roman" w:hAnsi="Times New Roman" w:cs="Times New Roman"/>
          <w:color w:val="000000" w:themeColor="text1"/>
          <w:kern w:val="0"/>
        </w:rPr>
        <w:lastRenderedPageBreak/>
        <w:t>development raises property values and displaces low-income residents, further complicates equitable access (</w:t>
      </w:r>
      <w:proofErr w:type="spellStart"/>
      <w:r w:rsidRPr="00346A66">
        <w:rPr>
          <w:rFonts w:ascii="Times New Roman" w:hAnsi="Times New Roman" w:cs="Times New Roman"/>
          <w:color w:val="000000" w:themeColor="text1"/>
          <w:kern w:val="0"/>
        </w:rPr>
        <w:t>Anguelovski</w:t>
      </w:r>
      <w:proofErr w:type="spellEnd"/>
      <w:r w:rsidRPr="00346A66">
        <w:rPr>
          <w:rFonts w:ascii="Times New Roman" w:hAnsi="Times New Roman" w:cs="Times New Roman"/>
          <w:color w:val="000000" w:themeColor="text1"/>
          <w:kern w:val="0"/>
        </w:rPr>
        <w:t xml:space="preserve"> et al., 2019).</w:t>
      </w:r>
    </w:p>
    <w:p w14:paraId="75352F99" w14:textId="088C9724" w:rsidR="00346A66" w:rsidRPr="00346A66" w:rsidRDefault="00346A66" w:rsidP="00346A66">
      <w:pPr>
        <w:pStyle w:val="p1"/>
        <w:rPr>
          <w:rFonts w:ascii="Times New Roman" w:hAnsi="Times New Roman"/>
          <w:color w:val="000000" w:themeColor="text1"/>
          <w:sz w:val="24"/>
          <w:szCs w:val="24"/>
        </w:rPr>
      </w:pPr>
      <w:r w:rsidRPr="00346A66">
        <w:rPr>
          <w:rFonts w:ascii="Times New Roman" w:hAnsi="Times New Roman"/>
          <w:color w:val="000000" w:themeColor="text1"/>
          <w:sz w:val="24"/>
          <w:szCs w:val="24"/>
        </w:rPr>
        <w:t>Urban planners face the challenge of creating inclusive outdoor spaces that benefit all socioeconomic groups. Community-led initiatives, such as participatory urban gardening projects, have shown promise in making green spaces more accessible and relevant to local populations (Jennings et al., 2016). These efforts help ensure that green spaces are not only environmentally sustainable but also equitable and beneficial to everyone in the community.</w:t>
      </w:r>
    </w:p>
    <w:p w14:paraId="4CAD065A" w14:textId="77777777" w:rsidR="00346A66" w:rsidRDefault="00346A66" w:rsidP="00346A66">
      <w:pPr>
        <w:pStyle w:val="p1"/>
        <w:rPr>
          <w:rStyle w:val="s2"/>
          <w:rFonts w:ascii="Times New Roman" w:hAnsi="Times New Roman"/>
          <w:b w:val="0"/>
          <w:bCs w:val="0"/>
          <w:color w:val="000000" w:themeColor="text1"/>
          <w:sz w:val="24"/>
          <w:szCs w:val="24"/>
        </w:rPr>
      </w:pPr>
    </w:p>
    <w:p w14:paraId="3DFAAFC8" w14:textId="2D743120" w:rsidR="00BD0983" w:rsidRPr="00BD0983" w:rsidRDefault="00BD0983" w:rsidP="00BD0983">
      <w:pPr>
        <w:pStyle w:val="p1"/>
        <w:rPr>
          <w:rFonts w:ascii="Times New Roman" w:hAnsi="Times New Roman"/>
          <w:color w:val="000000" w:themeColor="text1"/>
          <w:sz w:val="24"/>
          <w:szCs w:val="24"/>
        </w:rPr>
      </w:pPr>
      <w:r w:rsidRPr="00BD0983">
        <w:rPr>
          <w:rStyle w:val="s2"/>
          <w:rFonts w:ascii="Times New Roman" w:hAnsi="Times New Roman"/>
          <w:color w:val="000000" w:themeColor="text1"/>
          <w:sz w:val="28"/>
          <w:szCs w:val="28"/>
        </w:rPr>
        <w:t>Counterarguments and Critical Perspectives</w:t>
      </w:r>
    </w:p>
    <w:p w14:paraId="553673F5" w14:textId="77777777" w:rsidR="00BD0983" w:rsidRPr="00BD0983" w:rsidRDefault="00BD0983" w:rsidP="00BD0983">
      <w:pPr>
        <w:pStyle w:val="p2"/>
        <w:rPr>
          <w:rFonts w:ascii="Times New Roman" w:hAnsi="Times New Roman"/>
          <w:color w:val="000000" w:themeColor="text1"/>
          <w:sz w:val="24"/>
          <w:szCs w:val="24"/>
        </w:rPr>
      </w:pPr>
    </w:p>
    <w:p w14:paraId="250B51DA" w14:textId="10575919" w:rsidR="00BD0983" w:rsidRPr="00BD0983" w:rsidRDefault="00BD0983" w:rsidP="00BD0983">
      <w:pPr>
        <w:pStyle w:val="p1"/>
        <w:rPr>
          <w:rFonts w:ascii="Times New Roman" w:hAnsi="Times New Roman"/>
          <w:color w:val="000000" w:themeColor="text1"/>
          <w:sz w:val="24"/>
          <w:szCs w:val="24"/>
          <w:u w:val="single"/>
        </w:rPr>
      </w:pPr>
      <w:r w:rsidRPr="00BD0983">
        <w:rPr>
          <w:rStyle w:val="s2"/>
          <w:rFonts w:ascii="Times New Roman" w:hAnsi="Times New Roman"/>
          <w:b w:val="0"/>
          <w:bCs w:val="0"/>
          <w:color w:val="000000" w:themeColor="text1"/>
          <w:sz w:val="24"/>
          <w:szCs w:val="24"/>
          <w:u w:val="single"/>
        </w:rPr>
        <w:t>Challenges in Implementing Outdoor Interventions</w:t>
      </w:r>
    </w:p>
    <w:p w14:paraId="3E4FD57D" w14:textId="77777777" w:rsidR="00BD0983" w:rsidRPr="00BD0983" w:rsidRDefault="00BD0983" w:rsidP="00BD0983">
      <w:pPr>
        <w:pStyle w:val="p2"/>
        <w:rPr>
          <w:rFonts w:ascii="Times New Roman" w:hAnsi="Times New Roman"/>
          <w:color w:val="000000" w:themeColor="text1"/>
          <w:sz w:val="24"/>
          <w:szCs w:val="24"/>
        </w:rPr>
      </w:pPr>
    </w:p>
    <w:p w14:paraId="17BDE638" w14:textId="77777777" w:rsidR="00BD0983" w:rsidRPr="00BD0983" w:rsidRDefault="00BD0983" w:rsidP="00BD0983">
      <w:pPr>
        <w:pStyle w:val="p1"/>
        <w:rPr>
          <w:rFonts w:ascii="Times New Roman" w:hAnsi="Times New Roman"/>
          <w:color w:val="000000" w:themeColor="text1"/>
          <w:sz w:val="24"/>
          <w:szCs w:val="24"/>
        </w:rPr>
      </w:pPr>
      <w:r w:rsidRPr="00BD0983">
        <w:rPr>
          <w:rStyle w:val="s1"/>
          <w:rFonts w:ascii="Times New Roman" w:hAnsi="Times New Roman"/>
          <w:color w:val="000000" w:themeColor="text1"/>
          <w:sz w:val="24"/>
          <w:szCs w:val="24"/>
        </w:rPr>
        <w:t>Despite strong evidence for the benefits of outdoor exposure, several challenges hinder widespread adoption. Safety concerns, particularly in urban environments, can deter individuals from using green spaces (</w:t>
      </w:r>
      <w:proofErr w:type="spellStart"/>
      <w:r w:rsidRPr="00BD0983">
        <w:rPr>
          <w:rStyle w:val="s1"/>
          <w:rFonts w:ascii="Times New Roman" w:hAnsi="Times New Roman"/>
          <w:color w:val="000000" w:themeColor="text1"/>
          <w:sz w:val="24"/>
          <w:szCs w:val="24"/>
        </w:rPr>
        <w:t>Lachowycz</w:t>
      </w:r>
      <w:proofErr w:type="spellEnd"/>
      <w:r w:rsidRPr="00BD0983">
        <w:rPr>
          <w:rStyle w:val="s1"/>
          <w:rFonts w:ascii="Times New Roman" w:hAnsi="Times New Roman"/>
          <w:color w:val="000000" w:themeColor="text1"/>
          <w:sz w:val="24"/>
          <w:szCs w:val="24"/>
        </w:rPr>
        <w:t xml:space="preserve"> &amp; Jones, 2013). Additionally, seasonal weather variations affect the consistency of outdoor engagement, limiting its applicability in certain regions.</w:t>
      </w:r>
    </w:p>
    <w:p w14:paraId="03ABA087" w14:textId="77777777" w:rsidR="00BD0983" w:rsidRPr="00BD0983" w:rsidRDefault="00BD0983" w:rsidP="00BD0983">
      <w:pPr>
        <w:pStyle w:val="p1"/>
        <w:rPr>
          <w:rFonts w:ascii="Times New Roman" w:hAnsi="Times New Roman"/>
          <w:color w:val="000000" w:themeColor="text1"/>
          <w:sz w:val="24"/>
          <w:szCs w:val="24"/>
        </w:rPr>
      </w:pPr>
      <w:r w:rsidRPr="00BD0983">
        <w:rPr>
          <w:rStyle w:val="s1"/>
          <w:rFonts w:ascii="Times New Roman" w:hAnsi="Times New Roman"/>
          <w:color w:val="000000" w:themeColor="text1"/>
          <w:sz w:val="24"/>
          <w:szCs w:val="24"/>
        </w:rPr>
        <w:t>Funding remains another obstacle. Outdoor learning programs and nature-based health interventions require financial investment, which may not be prioritized in budget-constrained healthcare and education sectors (Gill, 2014).</w:t>
      </w:r>
    </w:p>
    <w:p w14:paraId="6A39FF88" w14:textId="77777777" w:rsidR="00BD0983" w:rsidRPr="00BD0983" w:rsidRDefault="00BD0983" w:rsidP="00BD0983">
      <w:pPr>
        <w:pStyle w:val="p2"/>
        <w:rPr>
          <w:rFonts w:ascii="Times New Roman" w:hAnsi="Times New Roman"/>
          <w:color w:val="000000" w:themeColor="text1"/>
          <w:sz w:val="24"/>
          <w:szCs w:val="24"/>
        </w:rPr>
      </w:pPr>
    </w:p>
    <w:p w14:paraId="4E0CEFDA" w14:textId="0201CE28" w:rsidR="00BD0983" w:rsidRPr="00BD0983" w:rsidRDefault="00BD0983" w:rsidP="00BD0983">
      <w:pPr>
        <w:pStyle w:val="p1"/>
        <w:rPr>
          <w:rFonts w:ascii="Times New Roman" w:hAnsi="Times New Roman"/>
          <w:color w:val="000000" w:themeColor="text1"/>
          <w:sz w:val="24"/>
          <w:szCs w:val="24"/>
          <w:u w:val="single"/>
        </w:rPr>
      </w:pPr>
      <w:r w:rsidRPr="00BD0983">
        <w:rPr>
          <w:rStyle w:val="s2"/>
          <w:rFonts w:ascii="Times New Roman" w:hAnsi="Times New Roman"/>
          <w:b w:val="0"/>
          <w:bCs w:val="0"/>
          <w:color w:val="000000" w:themeColor="text1"/>
          <w:sz w:val="24"/>
          <w:szCs w:val="24"/>
          <w:u w:val="single"/>
        </w:rPr>
        <w:t>The Need for Longitudinal Research</w:t>
      </w:r>
    </w:p>
    <w:p w14:paraId="61A4518A" w14:textId="77777777" w:rsidR="00BD0983" w:rsidRDefault="00BD0983" w:rsidP="00BD0983">
      <w:pPr>
        <w:pStyle w:val="p1"/>
        <w:rPr>
          <w:rStyle w:val="s1"/>
          <w:rFonts w:ascii="Times New Roman" w:hAnsi="Times New Roman"/>
          <w:color w:val="000000" w:themeColor="text1"/>
          <w:sz w:val="24"/>
          <w:szCs w:val="24"/>
        </w:rPr>
      </w:pPr>
    </w:p>
    <w:p w14:paraId="7ED0248C" w14:textId="7427F913" w:rsidR="00433C3B" w:rsidRPr="00BD0983" w:rsidRDefault="00BD0983" w:rsidP="00BD0983">
      <w:pPr>
        <w:pStyle w:val="p1"/>
        <w:rPr>
          <w:rFonts w:ascii="Times New Roman" w:hAnsi="Times New Roman"/>
          <w:color w:val="000000" w:themeColor="text1"/>
          <w:sz w:val="24"/>
          <w:szCs w:val="24"/>
        </w:rPr>
      </w:pPr>
      <w:r w:rsidRPr="00BD0983">
        <w:rPr>
          <w:rStyle w:val="s1"/>
          <w:rFonts w:ascii="Times New Roman" w:hAnsi="Times New Roman"/>
          <w:color w:val="000000" w:themeColor="text1"/>
          <w:sz w:val="24"/>
          <w:szCs w:val="24"/>
        </w:rPr>
        <w:t>While many studies highlight the short-term benefits of outdoor exposure, there is a lack of longitudinal research on its long-term impact. Future research should explore how consistent outdoor engagement influences health outcomes over decades (White et al., 2019).</w:t>
      </w:r>
    </w:p>
    <w:p w14:paraId="2AE8C168" w14:textId="77777777" w:rsidR="00BD0983" w:rsidRDefault="00BD0983" w:rsidP="00BD0983">
      <w:pPr>
        <w:pStyle w:val="p1"/>
        <w:ind w:left="360"/>
        <w:rPr>
          <w:rStyle w:val="s2"/>
          <w:rFonts w:ascii="Times New Roman" w:hAnsi="Times New Roman"/>
          <w:b w:val="0"/>
          <w:bCs w:val="0"/>
          <w:color w:val="000000" w:themeColor="text1"/>
          <w:sz w:val="24"/>
          <w:szCs w:val="24"/>
        </w:rPr>
      </w:pPr>
    </w:p>
    <w:p w14:paraId="162D6458" w14:textId="1F841FC4" w:rsidR="00BD0983" w:rsidRPr="00BD0983" w:rsidRDefault="00BD0983" w:rsidP="00BD0983">
      <w:pPr>
        <w:pStyle w:val="p1"/>
        <w:ind w:left="360"/>
        <w:rPr>
          <w:rFonts w:ascii="Times New Roman" w:hAnsi="Times New Roman"/>
          <w:color w:val="000000" w:themeColor="text1"/>
          <w:sz w:val="24"/>
          <w:szCs w:val="24"/>
          <w:u w:val="single"/>
        </w:rPr>
      </w:pPr>
      <w:r w:rsidRPr="00BD0983">
        <w:rPr>
          <w:rStyle w:val="s2"/>
          <w:rFonts w:ascii="Times New Roman" w:hAnsi="Times New Roman"/>
          <w:b w:val="0"/>
          <w:bCs w:val="0"/>
          <w:color w:val="000000" w:themeColor="text1"/>
          <w:sz w:val="24"/>
          <w:szCs w:val="24"/>
          <w:u w:val="single"/>
        </w:rPr>
        <w:t>Conclusion</w:t>
      </w:r>
    </w:p>
    <w:p w14:paraId="315BC696" w14:textId="77777777" w:rsidR="00BD0983" w:rsidRDefault="00BD0983" w:rsidP="00BD0983">
      <w:pPr>
        <w:pStyle w:val="p2"/>
        <w:rPr>
          <w:rFonts w:ascii="Times New Roman" w:hAnsi="Times New Roman"/>
          <w:color w:val="000000" w:themeColor="text1"/>
          <w:sz w:val="24"/>
          <w:szCs w:val="24"/>
        </w:rPr>
      </w:pPr>
    </w:p>
    <w:p w14:paraId="35F810CE" w14:textId="54817712" w:rsidR="00433C3B" w:rsidRPr="00433C3B" w:rsidRDefault="00433C3B" w:rsidP="00433C3B">
      <w:pPr>
        <w:autoSpaceDE w:val="0"/>
        <w:autoSpaceDN w:val="0"/>
        <w:adjustRightInd w:val="0"/>
        <w:rPr>
          <w:rFonts w:ascii="Times New Roman" w:hAnsi="Times New Roman" w:cs="Times New Roman"/>
          <w:color w:val="000000" w:themeColor="text1"/>
          <w:kern w:val="0"/>
        </w:rPr>
      </w:pPr>
      <w:r w:rsidRPr="00433C3B">
        <w:rPr>
          <w:rFonts w:ascii="Times New Roman" w:hAnsi="Times New Roman" w:cs="Times New Roman"/>
          <w:color w:val="000000" w:themeColor="text1"/>
          <w:kern w:val="0"/>
        </w:rPr>
        <w:t>The strategic use of outdoor environments offers substantial benefits for mental and physical health, education, and community well-being. Research consistently highlights that exposure to nature enhances cognitive function, reduces stress levels, and fosters social cohesion, making outdoor spaces invaluable resources for individuals and society as a whole. Engaging with nature has been linked to improved concentration, better emotional regulation, and increased physical activity, all of which contribute to overall health and well-being. Furthermore, outdoor environments provide opportunities for experiential learning, allowing students to develop problem-solving skills, creativity, and a deeper appreciation for the natural world.</w:t>
      </w:r>
    </w:p>
    <w:p w14:paraId="67A8DF0A" w14:textId="7797540F" w:rsidR="00433C3B" w:rsidRDefault="00433C3B" w:rsidP="00433C3B">
      <w:pPr>
        <w:autoSpaceDE w:val="0"/>
        <w:autoSpaceDN w:val="0"/>
        <w:adjustRightInd w:val="0"/>
        <w:rPr>
          <w:rFonts w:ascii="Times New Roman" w:hAnsi="Times New Roman" w:cs="Times New Roman"/>
          <w:color w:val="000000" w:themeColor="text1"/>
          <w:kern w:val="0"/>
        </w:rPr>
      </w:pPr>
      <w:r w:rsidRPr="00433C3B">
        <w:rPr>
          <w:rFonts w:ascii="Times New Roman" w:hAnsi="Times New Roman" w:cs="Times New Roman"/>
          <w:color w:val="000000" w:themeColor="text1"/>
          <w:kern w:val="0"/>
        </w:rPr>
        <w:t>Despite these well-documented advantages, several challenges hinder the full reali</w:t>
      </w:r>
      <w:r>
        <w:rPr>
          <w:rFonts w:ascii="Times New Roman" w:hAnsi="Times New Roman" w:cs="Times New Roman"/>
          <w:color w:val="000000" w:themeColor="text1"/>
          <w:kern w:val="0"/>
        </w:rPr>
        <w:t>s</w:t>
      </w:r>
      <w:r w:rsidRPr="00433C3B">
        <w:rPr>
          <w:rFonts w:ascii="Times New Roman" w:hAnsi="Times New Roman" w:cs="Times New Roman"/>
          <w:color w:val="000000" w:themeColor="text1"/>
          <w:kern w:val="0"/>
        </w:rPr>
        <w:t>ation of these benefits. Disparities in access to green spaces persist, particularly in low-income and urban areas, where parks and natural environments are often limited or poorly maintained. Policy implementation challenges, economic constraints, and competing land-use priorities further complicate efforts to expand and enhance outdoor spaces. Additionally, concerns related to safety, accessibility, and environmental degradation must be addressed to ensure that outdoor environments remain sustainable and welcoming for all communities.</w:t>
      </w:r>
    </w:p>
    <w:p w14:paraId="40376B86" w14:textId="58A5B1F5" w:rsidR="00433C3B" w:rsidRPr="00433C3B" w:rsidRDefault="00433C3B" w:rsidP="00433C3B">
      <w:pPr>
        <w:autoSpaceDE w:val="0"/>
        <w:autoSpaceDN w:val="0"/>
        <w:adjustRightInd w:val="0"/>
        <w:rPr>
          <w:rFonts w:ascii="Times New Roman" w:hAnsi="Times New Roman" w:cs="Times New Roman"/>
          <w:color w:val="000000" w:themeColor="text1"/>
          <w:kern w:val="0"/>
        </w:rPr>
      </w:pPr>
      <w:r w:rsidRPr="00433C3B">
        <w:rPr>
          <w:rFonts w:ascii="Times New Roman" w:hAnsi="Times New Roman" w:cs="Times New Roman"/>
          <w:color w:val="000000" w:themeColor="text1"/>
          <w:kern w:val="0"/>
        </w:rPr>
        <w:t xml:space="preserve">To maximize the potential of outdoor environments, interdisciplinary collaboration between urban planners, educators, healthcare professionals, and policymakers is essential. A holistic approach that considers environmental sustainability, public health, and social equity is necessary to create outdoor spaces that serve diverse populations effectively. Further research is needed to establish long-term health outcomes associated with nature exposure and to </w:t>
      </w:r>
      <w:r w:rsidRPr="00433C3B">
        <w:rPr>
          <w:rFonts w:ascii="Times New Roman" w:hAnsi="Times New Roman" w:cs="Times New Roman"/>
          <w:color w:val="000000" w:themeColor="text1"/>
          <w:kern w:val="0"/>
        </w:rPr>
        <w:lastRenderedPageBreak/>
        <w:t>develop evidence-based strategies that enhance accessibility and inclusivity. Governments worldwide are beginning to recognize the importance of nature in public health, prompting a shift toward policies that prioritize green infrastructure and outdoor learning. By integrating these elements into policy frameworks, societies can address contemporary challenges such as urbanization, climate change, and mental health crises, ultimately fostering healthier, more resilient communities.</w:t>
      </w:r>
    </w:p>
    <w:p w14:paraId="3389592C" w14:textId="77777777" w:rsidR="00BD0983" w:rsidRPr="00BD0983" w:rsidRDefault="00BD0983" w:rsidP="00BD0983">
      <w:pPr>
        <w:pStyle w:val="p3"/>
        <w:ind w:left="0"/>
        <w:rPr>
          <w:rStyle w:val="s1"/>
          <w:rFonts w:ascii="Times New Roman" w:hAnsi="Times New Roman"/>
          <w:color w:val="000000" w:themeColor="text1"/>
          <w:sz w:val="24"/>
          <w:szCs w:val="24"/>
        </w:rPr>
      </w:pPr>
    </w:p>
    <w:p w14:paraId="59E507CB" w14:textId="77777777" w:rsidR="00BD0983" w:rsidRDefault="00BD0983" w:rsidP="00BD0983">
      <w:pPr>
        <w:pStyle w:val="p3"/>
        <w:ind w:left="0"/>
        <w:rPr>
          <w:rStyle w:val="s1"/>
          <w:rFonts w:ascii="Times New Roman" w:hAnsi="Times New Roman"/>
          <w:color w:val="000000" w:themeColor="text1"/>
          <w:sz w:val="24"/>
          <w:szCs w:val="24"/>
        </w:rPr>
      </w:pPr>
    </w:p>
    <w:p w14:paraId="0A648835" w14:textId="77777777" w:rsidR="00346A66" w:rsidRDefault="00346A66" w:rsidP="00BD0983">
      <w:pPr>
        <w:pStyle w:val="p3"/>
        <w:ind w:left="0"/>
        <w:rPr>
          <w:rStyle w:val="s1"/>
          <w:rFonts w:ascii="Times New Roman" w:hAnsi="Times New Roman"/>
          <w:color w:val="000000" w:themeColor="text1"/>
          <w:sz w:val="24"/>
          <w:szCs w:val="24"/>
        </w:rPr>
      </w:pPr>
    </w:p>
    <w:p w14:paraId="32C85D3F" w14:textId="5A3FBA90" w:rsidR="00BD0983" w:rsidRPr="00BD0983" w:rsidRDefault="00BD0983" w:rsidP="00BD0983">
      <w:pPr>
        <w:pStyle w:val="p3"/>
        <w:ind w:left="0"/>
        <w:rPr>
          <w:rStyle w:val="s1"/>
          <w:rFonts w:ascii="Times New Roman" w:hAnsi="Times New Roman"/>
          <w:color w:val="000000" w:themeColor="text1"/>
          <w:sz w:val="24"/>
          <w:szCs w:val="24"/>
          <w:u w:val="single"/>
        </w:rPr>
      </w:pPr>
      <w:r w:rsidRPr="00BD0983">
        <w:rPr>
          <w:rStyle w:val="s1"/>
          <w:rFonts w:ascii="Times New Roman" w:hAnsi="Times New Roman"/>
          <w:color w:val="000000" w:themeColor="text1"/>
          <w:sz w:val="24"/>
          <w:szCs w:val="24"/>
          <w:u w:val="single"/>
        </w:rPr>
        <w:t>Bibliography</w:t>
      </w:r>
    </w:p>
    <w:p w14:paraId="7D7A7175" w14:textId="77777777" w:rsidR="00BD0983" w:rsidRPr="00BD0983" w:rsidRDefault="00BD0983" w:rsidP="00BD0983">
      <w:pPr>
        <w:pStyle w:val="p3"/>
        <w:ind w:left="0"/>
        <w:rPr>
          <w:rStyle w:val="s1"/>
          <w:rFonts w:ascii="Times New Roman" w:hAnsi="Times New Roman"/>
          <w:color w:val="000000" w:themeColor="text1"/>
          <w:sz w:val="24"/>
          <w:szCs w:val="24"/>
        </w:rPr>
      </w:pPr>
    </w:p>
    <w:p w14:paraId="1D5DC2AC" w14:textId="4BAE10F4" w:rsidR="00BD0983" w:rsidRPr="00BD0983" w:rsidRDefault="00BD0983" w:rsidP="00BD0983">
      <w:pPr>
        <w:pStyle w:val="p3"/>
        <w:ind w:left="0"/>
        <w:rPr>
          <w:rFonts w:ascii="Times New Roman" w:hAnsi="Times New Roman"/>
          <w:color w:val="000000" w:themeColor="text1"/>
          <w:sz w:val="24"/>
          <w:szCs w:val="24"/>
        </w:rPr>
      </w:pPr>
      <w:proofErr w:type="spellStart"/>
      <w:r w:rsidRPr="00BD0983">
        <w:rPr>
          <w:rStyle w:val="s1"/>
          <w:rFonts w:ascii="Times New Roman" w:hAnsi="Times New Roman"/>
          <w:color w:val="000000" w:themeColor="text1"/>
          <w:sz w:val="24"/>
          <w:szCs w:val="24"/>
        </w:rPr>
        <w:t>Anguelovski</w:t>
      </w:r>
      <w:proofErr w:type="spellEnd"/>
      <w:r w:rsidRPr="00BD0983">
        <w:rPr>
          <w:rStyle w:val="s1"/>
          <w:rFonts w:ascii="Times New Roman" w:hAnsi="Times New Roman"/>
          <w:color w:val="000000" w:themeColor="text1"/>
          <w:sz w:val="24"/>
          <w:szCs w:val="24"/>
        </w:rPr>
        <w:t xml:space="preserve">, I., Connolly, J. J. T. and Brand, A. L. (2019) ‘Green gentrification and health: A scoping review’, </w:t>
      </w:r>
      <w:r w:rsidRPr="00BD0983">
        <w:rPr>
          <w:rStyle w:val="s3"/>
          <w:rFonts w:ascii="Times New Roman" w:hAnsi="Times New Roman"/>
          <w:color w:val="000000" w:themeColor="text1"/>
          <w:sz w:val="24"/>
          <w:szCs w:val="24"/>
        </w:rPr>
        <w:t>International Journal of Environmental Research and Public Health</w:t>
      </w:r>
      <w:r w:rsidRPr="00BD0983">
        <w:rPr>
          <w:rStyle w:val="s1"/>
          <w:rFonts w:ascii="Times New Roman" w:hAnsi="Times New Roman"/>
          <w:color w:val="000000" w:themeColor="text1"/>
          <w:sz w:val="24"/>
          <w:szCs w:val="24"/>
        </w:rPr>
        <w:t>, 16(15), p. 2810. Available at: https://doi.org/10.3390/ijerph16152810</w:t>
      </w:r>
    </w:p>
    <w:p w14:paraId="55501FD9" w14:textId="77777777" w:rsidR="00BD0983" w:rsidRPr="00BD0983" w:rsidRDefault="00BD0983" w:rsidP="00BD0983">
      <w:pPr>
        <w:pStyle w:val="p3"/>
        <w:ind w:left="0"/>
        <w:rPr>
          <w:rStyle w:val="s1"/>
          <w:rFonts w:ascii="Times New Roman" w:hAnsi="Times New Roman"/>
          <w:color w:val="000000" w:themeColor="text1"/>
          <w:sz w:val="24"/>
          <w:szCs w:val="24"/>
        </w:rPr>
      </w:pPr>
    </w:p>
    <w:p w14:paraId="31020A24" w14:textId="47424CEE" w:rsidR="00BD0983" w:rsidRPr="00BD0983" w:rsidRDefault="00BD0983" w:rsidP="00BD0983">
      <w:pPr>
        <w:pStyle w:val="p3"/>
        <w:ind w:left="0"/>
        <w:rPr>
          <w:rStyle w:val="s1"/>
          <w:rFonts w:ascii="Times New Roman" w:hAnsi="Times New Roman"/>
          <w:color w:val="000000" w:themeColor="text1"/>
          <w:sz w:val="24"/>
          <w:szCs w:val="24"/>
        </w:rPr>
      </w:pPr>
      <w:r w:rsidRPr="00BD0983">
        <w:rPr>
          <w:rStyle w:val="s1"/>
          <w:rFonts w:ascii="Times New Roman" w:hAnsi="Times New Roman"/>
          <w:color w:val="000000" w:themeColor="text1"/>
          <w:sz w:val="24"/>
          <w:szCs w:val="24"/>
        </w:rPr>
        <w:t xml:space="preserve">Barton, J. and Pretty, J. (2010) ‘What is the best dose of nature and green exercise for improving mental health? A multi-study analysis’, </w:t>
      </w:r>
      <w:r w:rsidRPr="00BD0983">
        <w:rPr>
          <w:rStyle w:val="s3"/>
          <w:rFonts w:ascii="Times New Roman" w:hAnsi="Times New Roman"/>
          <w:color w:val="000000" w:themeColor="text1"/>
          <w:sz w:val="24"/>
          <w:szCs w:val="24"/>
        </w:rPr>
        <w:t>Environmental Science &amp; Technology</w:t>
      </w:r>
      <w:r w:rsidRPr="00BD0983">
        <w:rPr>
          <w:rStyle w:val="s1"/>
          <w:rFonts w:ascii="Times New Roman" w:hAnsi="Times New Roman"/>
          <w:color w:val="000000" w:themeColor="text1"/>
          <w:sz w:val="24"/>
          <w:szCs w:val="24"/>
        </w:rPr>
        <w:t xml:space="preserve">, 44(10), pp. 3947–3955. Available at: </w:t>
      </w:r>
      <w:hyperlink r:id="rId7" w:history="1">
        <w:r w:rsidRPr="00BD0983">
          <w:rPr>
            <w:rStyle w:val="Hyperlink"/>
            <w:rFonts w:ascii="Times New Roman" w:hAnsi="Times New Roman"/>
            <w:sz w:val="24"/>
            <w:szCs w:val="24"/>
          </w:rPr>
          <w:t>https://doi.org/10.1021/es903183r</w:t>
        </w:r>
      </w:hyperlink>
    </w:p>
    <w:p w14:paraId="27E9E3E1" w14:textId="77777777" w:rsidR="00BD0983" w:rsidRPr="00BD0983" w:rsidRDefault="00BD0983" w:rsidP="00BD0983">
      <w:pPr>
        <w:pStyle w:val="p3"/>
        <w:ind w:left="0"/>
        <w:rPr>
          <w:rFonts w:ascii="Times New Roman" w:hAnsi="Times New Roman"/>
          <w:color w:val="000000" w:themeColor="text1"/>
          <w:sz w:val="24"/>
          <w:szCs w:val="24"/>
        </w:rPr>
      </w:pPr>
    </w:p>
    <w:p w14:paraId="364BCFC2" w14:textId="7174C657" w:rsidR="00BD0983" w:rsidRPr="00BD0983" w:rsidRDefault="00BD0983" w:rsidP="00BD0983">
      <w:pPr>
        <w:pStyle w:val="p3"/>
        <w:ind w:left="0"/>
        <w:rPr>
          <w:rStyle w:val="s1"/>
          <w:rFonts w:ascii="Times New Roman" w:hAnsi="Times New Roman"/>
          <w:color w:val="000000" w:themeColor="text1"/>
          <w:sz w:val="24"/>
          <w:szCs w:val="24"/>
        </w:rPr>
      </w:pPr>
      <w:proofErr w:type="spellStart"/>
      <w:r w:rsidRPr="00BD0983">
        <w:rPr>
          <w:rStyle w:val="s1"/>
          <w:rFonts w:ascii="Times New Roman" w:hAnsi="Times New Roman"/>
          <w:color w:val="000000" w:themeColor="text1"/>
          <w:sz w:val="24"/>
          <w:szCs w:val="24"/>
        </w:rPr>
        <w:t>Fjørtoft</w:t>
      </w:r>
      <w:proofErr w:type="spellEnd"/>
      <w:r w:rsidRPr="00BD0983">
        <w:rPr>
          <w:rStyle w:val="s1"/>
          <w:rFonts w:ascii="Times New Roman" w:hAnsi="Times New Roman"/>
          <w:color w:val="000000" w:themeColor="text1"/>
          <w:sz w:val="24"/>
          <w:szCs w:val="24"/>
        </w:rPr>
        <w:t xml:space="preserve">, I. (2001) ‘The natural environment as a playground for children: The impact of outdoor play activities in pre-primary school children’, </w:t>
      </w:r>
      <w:r w:rsidRPr="00BD0983">
        <w:rPr>
          <w:rStyle w:val="s3"/>
          <w:rFonts w:ascii="Times New Roman" w:hAnsi="Times New Roman"/>
          <w:color w:val="000000" w:themeColor="text1"/>
          <w:sz w:val="24"/>
          <w:szCs w:val="24"/>
        </w:rPr>
        <w:t>Early Childhood Education Journal</w:t>
      </w:r>
      <w:r w:rsidRPr="00BD0983">
        <w:rPr>
          <w:rStyle w:val="s1"/>
          <w:rFonts w:ascii="Times New Roman" w:hAnsi="Times New Roman"/>
          <w:color w:val="000000" w:themeColor="text1"/>
          <w:sz w:val="24"/>
          <w:szCs w:val="24"/>
        </w:rPr>
        <w:t xml:space="preserve">, 29(2), pp. 111–117. Available at: </w:t>
      </w:r>
      <w:hyperlink r:id="rId8" w:history="1">
        <w:r w:rsidRPr="00BD0983">
          <w:rPr>
            <w:rStyle w:val="Hyperlink"/>
            <w:rFonts w:ascii="Times New Roman" w:hAnsi="Times New Roman"/>
            <w:sz w:val="24"/>
            <w:szCs w:val="24"/>
          </w:rPr>
          <w:t>https://doi.org/10.1023/A:1012576913074</w:t>
        </w:r>
      </w:hyperlink>
    </w:p>
    <w:p w14:paraId="41C5CA5B" w14:textId="77777777" w:rsidR="00BD0983" w:rsidRPr="00BD0983" w:rsidRDefault="00BD0983" w:rsidP="00BD0983">
      <w:pPr>
        <w:pStyle w:val="p3"/>
        <w:ind w:left="0"/>
        <w:rPr>
          <w:rFonts w:ascii="Times New Roman" w:hAnsi="Times New Roman"/>
          <w:color w:val="000000" w:themeColor="text1"/>
          <w:sz w:val="24"/>
          <w:szCs w:val="24"/>
        </w:rPr>
      </w:pPr>
    </w:p>
    <w:p w14:paraId="156E26A9" w14:textId="52D7F459" w:rsidR="00BD0983" w:rsidRPr="00BD0983" w:rsidRDefault="00BD0983" w:rsidP="00BD0983">
      <w:pPr>
        <w:pStyle w:val="p3"/>
        <w:ind w:left="0"/>
        <w:rPr>
          <w:rStyle w:val="s1"/>
          <w:rFonts w:ascii="Times New Roman" w:hAnsi="Times New Roman"/>
          <w:color w:val="000000" w:themeColor="text1"/>
          <w:sz w:val="24"/>
          <w:szCs w:val="24"/>
        </w:rPr>
      </w:pPr>
      <w:r w:rsidRPr="00BD0983">
        <w:rPr>
          <w:rStyle w:val="s1"/>
          <w:rFonts w:ascii="Times New Roman" w:hAnsi="Times New Roman"/>
          <w:color w:val="000000" w:themeColor="text1"/>
          <w:sz w:val="24"/>
          <w:szCs w:val="24"/>
        </w:rPr>
        <w:t xml:space="preserve">Gill, T. (2014) </w:t>
      </w:r>
      <w:r w:rsidRPr="00BD0983">
        <w:rPr>
          <w:rStyle w:val="s3"/>
          <w:rFonts w:ascii="Times New Roman" w:hAnsi="Times New Roman"/>
          <w:color w:val="000000" w:themeColor="text1"/>
          <w:sz w:val="24"/>
          <w:szCs w:val="24"/>
        </w:rPr>
        <w:t>The benefits of children’s engagement with nature: A systematic literature review</w:t>
      </w:r>
      <w:r w:rsidRPr="00BD0983">
        <w:rPr>
          <w:rStyle w:val="s1"/>
          <w:rFonts w:ascii="Times New Roman" w:hAnsi="Times New Roman"/>
          <w:color w:val="000000" w:themeColor="text1"/>
          <w:sz w:val="24"/>
          <w:szCs w:val="24"/>
        </w:rPr>
        <w:t xml:space="preserve">. Natural England Commissioned Reports, Number 158. Available at: </w:t>
      </w:r>
      <w:hyperlink r:id="rId9" w:history="1">
        <w:r w:rsidRPr="00BD0983">
          <w:rPr>
            <w:rStyle w:val="Hyperlink"/>
            <w:rFonts w:ascii="Times New Roman" w:hAnsi="Times New Roman"/>
            <w:sz w:val="24"/>
            <w:szCs w:val="24"/>
          </w:rPr>
          <w:t>http://publications.naturalengland.org.uk/publication/6636651036540928</w:t>
        </w:r>
      </w:hyperlink>
    </w:p>
    <w:p w14:paraId="42986FBE" w14:textId="77777777" w:rsidR="00BD0983" w:rsidRPr="00BD0983" w:rsidRDefault="00BD0983" w:rsidP="00BD0983">
      <w:pPr>
        <w:pStyle w:val="p3"/>
        <w:ind w:left="0"/>
        <w:rPr>
          <w:rFonts w:ascii="Times New Roman" w:hAnsi="Times New Roman"/>
          <w:color w:val="000000" w:themeColor="text1"/>
          <w:sz w:val="24"/>
          <w:szCs w:val="24"/>
        </w:rPr>
      </w:pPr>
    </w:p>
    <w:p w14:paraId="3DCDEB6D" w14:textId="5BF0DE99" w:rsidR="00BD0983" w:rsidRPr="00BD0983" w:rsidRDefault="00BD0983" w:rsidP="00BD0983">
      <w:pPr>
        <w:pStyle w:val="p3"/>
        <w:ind w:left="0"/>
        <w:rPr>
          <w:rStyle w:val="s1"/>
          <w:rFonts w:ascii="Times New Roman" w:hAnsi="Times New Roman"/>
          <w:color w:val="000000" w:themeColor="text1"/>
          <w:sz w:val="24"/>
          <w:szCs w:val="24"/>
        </w:rPr>
      </w:pPr>
      <w:proofErr w:type="spellStart"/>
      <w:r w:rsidRPr="00BD0983">
        <w:rPr>
          <w:rStyle w:val="s1"/>
          <w:rFonts w:ascii="Times New Roman" w:hAnsi="Times New Roman"/>
          <w:color w:val="000000" w:themeColor="text1"/>
          <w:sz w:val="24"/>
          <w:szCs w:val="24"/>
        </w:rPr>
        <w:t>Hartig</w:t>
      </w:r>
      <w:proofErr w:type="spellEnd"/>
      <w:r w:rsidRPr="00BD0983">
        <w:rPr>
          <w:rStyle w:val="s1"/>
          <w:rFonts w:ascii="Times New Roman" w:hAnsi="Times New Roman"/>
          <w:color w:val="000000" w:themeColor="text1"/>
          <w:sz w:val="24"/>
          <w:szCs w:val="24"/>
        </w:rPr>
        <w:t xml:space="preserve">, T., Mitchell, R., de Vries, S. and </w:t>
      </w:r>
      <w:proofErr w:type="spellStart"/>
      <w:r w:rsidRPr="00BD0983">
        <w:rPr>
          <w:rStyle w:val="s1"/>
          <w:rFonts w:ascii="Times New Roman" w:hAnsi="Times New Roman"/>
          <w:color w:val="000000" w:themeColor="text1"/>
          <w:sz w:val="24"/>
          <w:szCs w:val="24"/>
        </w:rPr>
        <w:t>Frumkin</w:t>
      </w:r>
      <w:proofErr w:type="spellEnd"/>
      <w:r w:rsidRPr="00BD0983">
        <w:rPr>
          <w:rStyle w:val="s1"/>
          <w:rFonts w:ascii="Times New Roman" w:hAnsi="Times New Roman"/>
          <w:color w:val="000000" w:themeColor="text1"/>
          <w:sz w:val="24"/>
          <w:szCs w:val="24"/>
        </w:rPr>
        <w:t xml:space="preserve">, H. (2014) ‘Nature and health’, </w:t>
      </w:r>
      <w:r w:rsidRPr="00BD0983">
        <w:rPr>
          <w:rStyle w:val="s3"/>
          <w:rFonts w:ascii="Times New Roman" w:hAnsi="Times New Roman"/>
          <w:color w:val="000000" w:themeColor="text1"/>
          <w:sz w:val="24"/>
          <w:szCs w:val="24"/>
        </w:rPr>
        <w:t>Annual Review of Public Health</w:t>
      </w:r>
      <w:r w:rsidRPr="00BD0983">
        <w:rPr>
          <w:rStyle w:val="s1"/>
          <w:rFonts w:ascii="Times New Roman" w:hAnsi="Times New Roman"/>
          <w:color w:val="000000" w:themeColor="text1"/>
          <w:sz w:val="24"/>
          <w:szCs w:val="24"/>
        </w:rPr>
        <w:t xml:space="preserve">, 35, pp. 207–228. Available at: </w:t>
      </w:r>
      <w:hyperlink r:id="rId10" w:history="1">
        <w:r w:rsidRPr="00BD0983">
          <w:rPr>
            <w:rStyle w:val="Hyperlink"/>
            <w:rFonts w:ascii="Times New Roman" w:hAnsi="Times New Roman"/>
            <w:sz w:val="24"/>
            <w:szCs w:val="24"/>
          </w:rPr>
          <w:t>https://doi.org/10.1146/annurev-publhealth-032013-182443</w:t>
        </w:r>
      </w:hyperlink>
    </w:p>
    <w:p w14:paraId="42660548" w14:textId="77777777" w:rsidR="00BD0983" w:rsidRPr="00BD0983" w:rsidRDefault="00BD0983" w:rsidP="00BD0983">
      <w:pPr>
        <w:pStyle w:val="p3"/>
        <w:ind w:left="0"/>
        <w:rPr>
          <w:rFonts w:ascii="Times New Roman" w:hAnsi="Times New Roman"/>
          <w:color w:val="000000" w:themeColor="text1"/>
          <w:sz w:val="24"/>
          <w:szCs w:val="24"/>
        </w:rPr>
      </w:pPr>
    </w:p>
    <w:p w14:paraId="1FCD79C2" w14:textId="6D03B5E5" w:rsidR="00BD0983" w:rsidRPr="00BD0983" w:rsidRDefault="00BD0983" w:rsidP="00BD0983">
      <w:pPr>
        <w:pStyle w:val="p3"/>
        <w:ind w:left="0"/>
        <w:rPr>
          <w:rStyle w:val="s1"/>
          <w:rFonts w:ascii="Times New Roman" w:hAnsi="Times New Roman"/>
          <w:color w:val="000000" w:themeColor="text1"/>
          <w:sz w:val="24"/>
          <w:szCs w:val="24"/>
        </w:rPr>
      </w:pPr>
      <w:r w:rsidRPr="00BD0983">
        <w:rPr>
          <w:rStyle w:val="s1"/>
          <w:rFonts w:ascii="Times New Roman" w:hAnsi="Times New Roman"/>
          <w:color w:val="000000" w:themeColor="text1"/>
          <w:sz w:val="24"/>
          <w:szCs w:val="24"/>
        </w:rPr>
        <w:t xml:space="preserve">Kaplan, R. and Kaplan, S. (1989) </w:t>
      </w:r>
      <w:r w:rsidRPr="00BD0983">
        <w:rPr>
          <w:rStyle w:val="s3"/>
          <w:rFonts w:ascii="Times New Roman" w:hAnsi="Times New Roman"/>
          <w:color w:val="000000" w:themeColor="text1"/>
          <w:sz w:val="24"/>
          <w:szCs w:val="24"/>
        </w:rPr>
        <w:t>The experience of nature: A psychological perspective</w:t>
      </w:r>
      <w:r w:rsidRPr="00BD0983">
        <w:rPr>
          <w:rStyle w:val="s1"/>
          <w:rFonts w:ascii="Times New Roman" w:hAnsi="Times New Roman"/>
          <w:color w:val="000000" w:themeColor="text1"/>
          <w:sz w:val="24"/>
          <w:szCs w:val="24"/>
        </w:rPr>
        <w:t>. Cambridge: Cambridge University Press.</w:t>
      </w:r>
    </w:p>
    <w:p w14:paraId="23C62C50" w14:textId="77777777" w:rsidR="00BD0983" w:rsidRPr="00BD0983" w:rsidRDefault="00BD0983" w:rsidP="00BD0983">
      <w:pPr>
        <w:pStyle w:val="p3"/>
        <w:ind w:left="0"/>
        <w:rPr>
          <w:rFonts w:ascii="Times New Roman" w:hAnsi="Times New Roman"/>
          <w:color w:val="000000" w:themeColor="text1"/>
          <w:sz w:val="24"/>
          <w:szCs w:val="24"/>
        </w:rPr>
      </w:pPr>
    </w:p>
    <w:p w14:paraId="28C4D40E" w14:textId="5EE574FE" w:rsidR="00BD0983" w:rsidRPr="00BD0983" w:rsidRDefault="00BD0983" w:rsidP="00BD0983">
      <w:pPr>
        <w:pStyle w:val="p3"/>
        <w:ind w:left="0"/>
        <w:rPr>
          <w:rFonts w:ascii="Times New Roman" w:hAnsi="Times New Roman"/>
          <w:color w:val="000000" w:themeColor="text1"/>
          <w:sz w:val="24"/>
          <w:szCs w:val="24"/>
        </w:rPr>
      </w:pPr>
      <w:proofErr w:type="spellStart"/>
      <w:r w:rsidRPr="00BD0983">
        <w:rPr>
          <w:rStyle w:val="s1"/>
          <w:rFonts w:ascii="Times New Roman" w:hAnsi="Times New Roman"/>
          <w:color w:val="000000" w:themeColor="text1"/>
          <w:sz w:val="24"/>
          <w:szCs w:val="24"/>
        </w:rPr>
        <w:t>Lachowycz</w:t>
      </w:r>
      <w:proofErr w:type="spellEnd"/>
      <w:r w:rsidRPr="00BD0983">
        <w:rPr>
          <w:rStyle w:val="s1"/>
          <w:rFonts w:ascii="Times New Roman" w:hAnsi="Times New Roman"/>
          <w:color w:val="000000" w:themeColor="text1"/>
          <w:sz w:val="24"/>
          <w:szCs w:val="24"/>
        </w:rPr>
        <w:t xml:space="preserve">, K. and Jones, A. P. (2013) ‘Towards a better understanding of the relationship between greenspace and health: Development of a theoretical framework’, </w:t>
      </w:r>
      <w:r w:rsidRPr="00BD0983">
        <w:rPr>
          <w:rStyle w:val="s3"/>
          <w:rFonts w:ascii="Times New Roman" w:hAnsi="Times New Roman"/>
          <w:color w:val="000000" w:themeColor="text1"/>
          <w:sz w:val="24"/>
          <w:szCs w:val="24"/>
        </w:rPr>
        <w:t>Landscape and Urban Planning</w:t>
      </w:r>
      <w:r w:rsidRPr="00BD0983">
        <w:rPr>
          <w:rStyle w:val="s1"/>
          <w:rFonts w:ascii="Times New Roman" w:hAnsi="Times New Roman"/>
          <w:color w:val="000000" w:themeColor="text1"/>
          <w:sz w:val="24"/>
          <w:szCs w:val="24"/>
        </w:rPr>
        <w:t>, 118, pp. 62–69. Available at: https://doi.org/10.1016/j.landurbplan.2012.10.012</w:t>
      </w:r>
    </w:p>
    <w:p w14:paraId="48633724" w14:textId="77777777" w:rsidR="00BD0983" w:rsidRPr="00BD0983" w:rsidRDefault="00BD0983" w:rsidP="00BD0983">
      <w:pPr>
        <w:pStyle w:val="p3"/>
        <w:ind w:left="0"/>
        <w:rPr>
          <w:rStyle w:val="s1"/>
          <w:rFonts w:ascii="Times New Roman" w:hAnsi="Times New Roman"/>
          <w:color w:val="000000" w:themeColor="text1"/>
          <w:sz w:val="24"/>
          <w:szCs w:val="24"/>
        </w:rPr>
      </w:pPr>
    </w:p>
    <w:p w14:paraId="2207E8FE" w14:textId="5BC5A54C" w:rsidR="00BD0983" w:rsidRPr="00BD0983" w:rsidRDefault="00BD0983" w:rsidP="00BD0983">
      <w:pPr>
        <w:pStyle w:val="p3"/>
        <w:ind w:left="0"/>
        <w:rPr>
          <w:rStyle w:val="s1"/>
          <w:rFonts w:ascii="Times New Roman" w:hAnsi="Times New Roman"/>
          <w:color w:val="000000" w:themeColor="text1"/>
          <w:sz w:val="24"/>
          <w:szCs w:val="24"/>
        </w:rPr>
      </w:pPr>
      <w:r w:rsidRPr="00BD0983">
        <w:rPr>
          <w:rStyle w:val="s1"/>
          <w:rFonts w:ascii="Times New Roman" w:hAnsi="Times New Roman"/>
          <w:color w:val="000000" w:themeColor="text1"/>
          <w:sz w:val="24"/>
          <w:szCs w:val="24"/>
        </w:rPr>
        <w:t xml:space="preserve">Maas, J., van </w:t>
      </w:r>
      <w:proofErr w:type="spellStart"/>
      <w:r w:rsidRPr="00BD0983">
        <w:rPr>
          <w:rStyle w:val="s1"/>
          <w:rFonts w:ascii="Times New Roman" w:hAnsi="Times New Roman"/>
          <w:color w:val="000000" w:themeColor="text1"/>
          <w:sz w:val="24"/>
          <w:szCs w:val="24"/>
        </w:rPr>
        <w:t>Dillen</w:t>
      </w:r>
      <w:proofErr w:type="spellEnd"/>
      <w:r w:rsidRPr="00BD0983">
        <w:rPr>
          <w:rStyle w:val="s1"/>
          <w:rFonts w:ascii="Times New Roman" w:hAnsi="Times New Roman"/>
          <w:color w:val="000000" w:themeColor="text1"/>
          <w:sz w:val="24"/>
          <w:szCs w:val="24"/>
        </w:rPr>
        <w:t xml:space="preserve">, S. M., </w:t>
      </w:r>
      <w:proofErr w:type="spellStart"/>
      <w:r w:rsidRPr="00BD0983">
        <w:rPr>
          <w:rStyle w:val="s1"/>
          <w:rFonts w:ascii="Times New Roman" w:hAnsi="Times New Roman"/>
          <w:color w:val="000000" w:themeColor="text1"/>
          <w:sz w:val="24"/>
          <w:szCs w:val="24"/>
        </w:rPr>
        <w:t>Verheij</w:t>
      </w:r>
      <w:proofErr w:type="spellEnd"/>
      <w:r w:rsidRPr="00BD0983">
        <w:rPr>
          <w:rStyle w:val="s1"/>
          <w:rFonts w:ascii="Times New Roman" w:hAnsi="Times New Roman"/>
          <w:color w:val="000000" w:themeColor="text1"/>
          <w:sz w:val="24"/>
          <w:szCs w:val="24"/>
        </w:rPr>
        <w:t xml:space="preserve">, R. A. and Groenewegen, P. P. (2009) ‘Social contacts as a possible mechanism behind the relation between green space and health’, </w:t>
      </w:r>
      <w:r w:rsidRPr="00BD0983">
        <w:rPr>
          <w:rStyle w:val="s3"/>
          <w:rFonts w:ascii="Times New Roman" w:hAnsi="Times New Roman"/>
          <w:color w:val="000000" w:themeColor="text1"/>
          <w:sz w:val="24"/>
          <w:szCs w:val="24"/>
        </w:rPr>
        <w:t>Health &amp; Place</w:t>
      </w:r>
      <w:r w:rsidRPr="00BD0983">
        <w:rPr>
          <w:rStyle w:val="s1"/>
          <w:rFonts w:ascii="Times New Roman" w:hAnsi="Times New Roman"/>
          <w:color w:val="000000" w:themeColor="text1"/>
          <w:sz w:val="24"/>
          <w:szCs w:val="24"/>
        </w:rPr>
        <w:t xml:space="preserve">, 15(2), pp. 586–595. Available at: </w:t>
      </w:r>
      <w:hyperlink r:id="rId11" w:history="1">
        <w:r w:rsidRPr="00BD0983">
          <w:rPr>
            <w:rStyle w:val="Hyperlink"/>
            <w:rFonts w:ascii="Times New Roman" w:hAnsi="Times New Roman"/>
            <w:sz w:val="24"/>
            <w:szCs w:val="24"/>
          </w:rPr>
          <w:t>https://doi.org/10.1016/j.healthplace.2008.09.006</w:t>
        </w:r>
      </w:hyperlink>
    </w:p>
    <w:p w14:paraId="43B3E77C" w14:textId="77777777" w:rsidR="00BD0983" w:rsidRPr="00BD0983" w:rsidRDefault="00BD0983" w:rsidP="00BD0983">
      <w:pPr>
        <w:pStyle w:val="p3"/>
        <w:ind w:left="0"/>
        <w:rPr>
          <w:rFonts w:ascii="Times New Roman" w:hAnsi="Times New Roman"/>
          <w:color w:val="000000" w:themeColor="text1"/>
          <w:sz w:val="24"/>
          <w:szCs w:val="24"/>
        </w:rPr>
      </w:pPr>
    </w:p>
    <w:p w14:paraId="24820BD3" w14:textId="21473473" w:rsidR="00BD0983" w:rsidRPr="00BD0983" w:rsidRDefault="00BD0983" w:rsidP="00BD0983">
      <w:pPr>
        <w:pStyle w:val="p3"/>
        <w:ind w:left="0"/>
        <w:rPr>
          <w:rStyle w:val="s1"/>
          <w:rFonts w:ascii="Times New Roman" w:hAnsi="Times New Roman"/>
          <w:color w:val="000000" w:themeColor="text1"/>
          <w:sz w:val="24"/>
          <w:szCs w:val="24"/>
        </w:rPr>
      </w:pPr>
      <w:r w:rsidRPr="00BD0983">
        <w:rPr>
          <w:rStyle w:val="s1"/>
          <w:rFonts w:ascii="Times New Roman" w:hAnsi="Times New Roman"/>
          <w:color w:val="000000" w:themeColor="text1"/>
          <w:sz w:val="24"/>
          <w:szCs w:val="24"/>
        </w:rPr>
        <w:t xml:space="preserve">Mitchell, R. and Popham, F. (2008) ‘Effect of exposure to natural environment on health inequalities: An observational population study’, </w:t>
      </w:r>
      <w:r w:rsidRPr="00BD0983">
        <w:rPr>
          <w:rStyle w:val="s3"/>
          <w:rFonts w:ascii="Times New Roman" w:hAnsi="Times New Roman"/>
          <w:color w:val="000000" w:themeColor="text1"/>
          <w:sz w:val="24"/>
          <w:szCs w:val="24"/>
        </w:rPr>
        <w:t>The Lancet</w:t>
      </w:r>
      <w:r w:rsidRPr="00BD0983">
        <w:rPr>
          <w:rStyle w:val="s1"/>
          <w:rFonts w:ascii="Times New Roman" w:hAnsi="Times New Roman"/>
          <w:color w:val="000000" w:themeColor="text1"/>
          <w:sz w:val="24"/>
          <w:szCs w:val="24"/>
        </w:rPr>
        <w:t xml:space="preserve">, 372(9650), pp. 1655–1660. Available at: </w:t>
      </w:r>
      <w:hyperlink r:id="rId12" w:history="1">
        <w:r w:rsidRPr="00BD0983">
          <w:rPr>
            <w:rStyle w:val="Hyperlink"/>
            <w:rFonts w:ascii="Times New Roman" w:hAnsi="Times New Roman"/>
            <w:sz w:val="24"/>
            <w:szCs w:val="24"/>
          </w:rPr>
          <w:t>https://doi.org/10.1016/S0140-6736(08)61689-X</w:t>
        </w:r>
      </w:hyperlink>
    </w:p>
    <w:p w14:paraId="71BF1663" w14:textId="77777777" w:rsidR="00BD0983" w:rsidRPr="00BD0983" w:rsidRDefault="00BD0983" w:rsidP="00BD0983">
      <w:pPr>
        <w:pStyle w:val="p3"/>
        <w:ind w:left="0"/>
        <w:rPr>
          <w:rFonts w:ascii="Times New Roman" w:hAnsi="Times New Roman"/>
          <w:color w:val="000000" w:themeColor="text1"/>
          <w:sz w:val="24"/>
          <w:szCs w:val="24"/>
        </w:rPr>
      </w:pPr>
    </w:p>
    <w:p w14:paraId="2C0C764B" w14:textId="67C4535D" w:rsidR="00BD0983" w:rsidRPr="00BD0983" w:rsidRDefault="00BD0983" w:rsidP="00BD0983">
      <w:pPr>
        <w:pStyle w:val="p3"/>
        <w:ind w:left="0"/>
        <w:rPr>
          <w:rStyle w:val="s1"/>
          <w:rFonts w:ascii="Times New Roman" w:hAnsi="Times New Roman"/>
          <w:color w:val="000000" w:themeColor="text1"/>
          <w:sz w:val="24"/>
          <w:szCs w:val="24"/>
        </w:rPr>
      </w:pPr>
      <w:r w:rsidRPr="00BD0983">
        <w:rPr>
          <w:rStyle w:val="s1"/>
          <w:rFonts w:ascii="Times New Roman" w:hAnsi="Times New Roman"/>
          <w:color w:val="000000" w:themeColor="text1"/>
          <w:sz w:val="24"/>
          <w:szCs w:val="24"/>
        </w:rPr>
        <w:t xml:space="preserve">Natural England (2021) </w:t>
      </w:r>
      <w:r w:rsidRPr="00BD0983">
        <w:rPr>
          <w:rStyle w:val="s3"/>
          <w:rFonts w:ascii="Times New Roman" w:hAnsi="Times New Roman"/>
          <w:color w:val="000000" w:themeColor="text1"/>
          <w:sz w:val="24"/>
          <w:szCs w:val="24"/>
        </w:rPr>
        <w:t>Green infrastructure framework principles and standards for England</w:t>
      </w:r>
      <w:r w:rsidRPr="00BD0983">
        <w:rPr>
          <w:rStyle w:val="s1"/>
          <w:rFonts w:ascii="Times New Roman" w:hAnsi="Times New Roman"/>
          <w:color w:val="000000" w:themeColor="text1"/>
          <w:sz w:val="24"/>
          <w:szCs w:val="24"/>
        </w:rPr>
        <w:t xml:space="preserve">. Available at: </w:t>
      </w:r>
      <w:hyperlink r:id="rId13" w:history="1">
        <w:r w:rsidRPr="00BD0983">
          <w:rPr>
            <w:rStyle w:val="Hyperlink"/>
            <w:rFonts w:ascii="Times New Roman" w:hAnsi="Times New Roman"/>
            <w:sz w:val="24"/>
            <w:szCs w:val="24"/>
          </w:rPr>
          <w:t>https://www.gov.uk/government/publications/green-infrastructure-framework-principles-and-standards-for-england</w:t>
        </w:r>
      </w:hyperlink>
    </w:p>
    <w:p w14:paraId="5E66138B" w14:textId="77777777" w:rsidR="00BD0983" w:rsidRPr="00BD0983" w:rsidRDefault="00BD0983" w:rsidP="00BD0983">
      <w:pPr>
        <w:pStyle w:val="p3"/>
        <w:ind w:left="0"/>
        <w:rPr>
          <w:rFonts w:ascii="Times New Roman" w:hAnsi="Times New Roman"/>
          <w:color w:val="000000" w:themeColor="text1"/>
          <w:sz w:val="24"/>
          <w:szCs w:val="24"/>
        </w:rPr>
      </w:pPr>
    </w:p>
    <w:p w14:paraId="7522F083" w14:textId="4ACABA9E" w:rsidR="00BD0983" w:rsidRPr="00BD0983" w:rsidRDefault="00BD0983" w:rsidP="00BD0983">
      <w:pPr>
        <w:pStyle w:val="p3"/>
        <w:ind w:left="0"/>
        <w:rPr>
          <w:rStyle w:val="s1"/>
          <w:rFonts w:ascii="Times New Roman" w:hAnsi="Times New Roman"/>
          <w:color w:val="000000" w:themeColor="text1"/>
          <w:sz w:val="24"/>
          <w:szCs w:val="24"/>
        </w:rPr>
      </w:pPr>
      <w:r w:rsidRPr="00BD0983">
        <w:rPr>
          <w:rStyle w:val="s1"/>
          <w:rFonts w:ascii="Times New Roman" w:hAnsi="Times New Roman"/>
          <w:color w:val="000000" w:themeColor="text1"/>
          <w:sz w:val="24"/>
          <w:szCs w:val="24"/>
        </w:rPr>
        <w:t xml:space="preserve">O’Brien, L. and Murray, R. (2007) </w:t>
      </w:r>
      <w:r w:rsidRPr="00BD0983">
        <w:rPr>
          <w:rStyle w:val="s3"/>
          <w:rFonts w:ascii="Times New Roman" w:hAnsi="Times New Roman"/>
          <w:color w:val="000000" w:themeColor="text1"/>
          <w:sz w:val="24"/>
          <w:szCs w:val="24"/>
        </w:rPr>
        <w:t>Forest school and its impacts on young children: Case studies in Britain</w:t>
      </w:r>
      <w:r w:rsidRPr="00BD0983">
        <w:rPr>
          <w:rStyle w:val="s1"/>
          <w:rFonts w:ascii="Times New Roman" w:hAnsi="Times New Roman"/>
          <w:color w:val="000000" w:themeColor="text1"/>
          <w:sz w:val="24"/>
          <w:szCs w:val="24"/>
        </w:rPr>
        <w:t xml:space="preserve">. Forest Research. Available at: </w:t>
      </w:r>
      <w:hyperlink r:id="rId14" w:history="1">
        <w:r w:rsidRPr="00BD0983">
          <w:rPr>
            <w:rStyle w:val="Hyperlink"/>
            <w:rFonts w:ascii="Times New Roman" w:hAnsi="Times New Roman"/>
            <w:sz w:val="24"/>
            <w:szCs w:val="24"/>
          </w:rPr>
          <w:t>https://www.forestresearch.gov.uk/documents/805/fsfr011.pdf</w:t>
        </w:r>
      </w:hyperlink>
    </w:p>
    <w:p w14:paraId="1D3BF715" w14:textId="77777777" w:rsidR="00BD0983" w:rsidRPr="00BD0983" w:rsidRDefault="00BD0983" w:rsidP="00BD0983">
      <w:pPr>
        <w:pStyle w:val="p3"/>
        <w:ind w:left="0"/>
        <w:rPr>
          <w:rFonts w:ascii="Times New Roman" w:hAnsi="Times New Roman"/>
          <w:color w:val="000000" w:themeColor="text1"/>
          <w:sz w:val="24"/>
          <w:szCs w:val="24"/>
        </w:rPr>
      </w:pPr>
    </w:p>
    <w:p w14:paraId="5871C68D" w14:textId="0D0894AA" w:rsidR="00BD0983" w:rsidRPr="00BD0983" w:rsidRDefault="00BD0983" w:rsidP="00BD0983">
      <w:pPr>
        <w:pStyle w:val="p3"/>
        <w:ind w:left="0"/>
        <w:rPr>
          <w:rStyle w:val="s1"/>
          <w:rFonts w:ascii="Times New Roman" w:hAnsi="Times New Roman"/>
          <w:color w:val="000000" w:themeColor="text1"/>
          <w:sz w:val="24"/>
          <w:szCs w:val="24"/>
        </w:rPr>
      </w:pPr>
      <w:r w:rsidRPr="00BD0983">
        <w:rPr>
          <w:rStyle w:val="s1"/>
          <w:rFonts w:ascii="Times New Roman" w:hAnsi="Times New Roman"/>
          <w:color w:val="000000" w:themeColor="text1"/>
          <w:sz w:val="24"/>
          <w:szCs w:val="24"/>
        </w:rPr>
        <w:t xml:space="preserve">Shin, W. S., </w:t>
      </w:r>
      <w:proofErr w:type="spellStart"/>
      <w:r w:rsidRPr="00BD0983">
        <w:rPr>
          <w:rStyle w:val="s1"/>
          <w:rFonts w:ascii="Times New Roman" w:hAnsi="Times New Roman"/>
          <w:color w:val="000000" w:themeColor="text1"/>
          <w:sz w:val="24"/>
          <w:szCs w:val="24"/>
        </w:rPr>
        <w:t>Yeoun</w:t>
      </w:r>
      <w:proofErr w:type="spellEnd"/>
      <w:r w:rsidRPr="00BD0983">
        <w:rPr>
          <w:rStyle w:val="s1"/>
          <w:rFonts w:ascii="Times New Roman" w:hAnsi="Times New Roman"/>
          <w:color w:val="000000" w:themeColor="text1"/>
          <w:sz w:val="24"/>
          <w:szCs w:val="24"/>
        </w:rPr>
        <w:t xml:space="preserve">, P. S., </w:t>
      </w:r>
      <w:proofErr w:type="spellStart"/>
      <w:r w:rsidRPr="00BD0983">
        <w:rPr>
          <w:rStyle w:val="s1"/>
          <w:rFonts w:ascii="Times New Roman" w:hAnsi="Times New Roman"/>
          <w:color w:val="000000" w:themeColor="text1"/>
          <w:sz w:val="24"/>
          <w:szCs w:val="24"/>
        </w:rPr>
        <w:t>Yoo</w:t>
      </w:r>
      <w:proofErr w:type="spellEnd"/>
      <w:r w:rsidRPr="00BD0983">
        <w:rPr>
          <w:rStyle w:val="s1"/>
          <w:rFonts w:ascii="Times New Roman" w:hAnsi="Times New Roman"/>
          <w:color w:val="000000" w:themeColor="text1"/>
          <w:sz w:val="24"/>
          <w:szCs w:val="24"/>
        </w:rPr>
        <w:t xml:space="preserve">, R. W. and Shin, C. S. (2010) ‘Forest experience and psychological health benefits: The state of the art and future prospect in Korea’, </w:t>
      </w:r>
      <w:r w:rsidRPr="00BD0983">
        <w:rPr>
          <w:rStyle w:val="s3"/>
          <w:rFonts w:ascii="Times New Roman" w:hAnsi="Times New Roman"/>
          <w:color w:val="000000" w:themeColor="text1"/>
          <w:sz w:val="24"/>
          <w:szCs w:val="24"/>
        </w:rPr>
        <w:t>Environmental Health and Preventive Medicine</w:t>
      </w:r>
      <w:r w:rsidRPr="00BD0983">
        <w:rPr>
          <w:rStyle w:val="s1"/>
          <w:rFonts w:ascii="Times New Roman" w:hAnsi="Times New Roman"/>
          <w:color w:val="000000" w:themeColor="text1"/>
          <w:sz w:val="24"/>
          <w:szCs w:val="24"/>
        </w:rPr>
        <w:t xml:space="preserve">, 15(1), pp. 38–47. Available at: </w:t>
      </w:r>
      <w:hyperlink r:id="rId15" w:history="1">
        <w:r w:rsidRPr="00BD0983">
          <w:rPr>
            <w:rStyle w:val="Hyperlink"/>
            <w:rFonts w:ascii="Times New Roman" w:hAnsi="Times New Roman"/>
            <w:sz w:val="24"/>
            <w:szCs w:val="24"/>
          </w:rPr>
          <w:t>https://doi.org/10.1007/s12199-009-0114-9</w:t>
        </w:r>
      </w:hyperlink>
    </w:p>
    <w:p w14:paraId="4C368474" w14:textId="77777777" w:rsidR="00BD0983" w:rsidRPr="00BD0983" w:rsidRDefault="00BD0983" w:rsidP="00BD0983">
      <w:pPr>
        <w:pStyle w:val="p3"/>
        <w:ind w:left="0"/>
        <w:rPr>
          <w:rFonts w:ascii="Times New Roman" w:hAnsi="Times New Roman"/>
          <w:color w:val="000000" w:themeColor="text1"/>
          <w:sz w:val="24"/>
          <w:szCs w:val="24"/>
        </w:rPr>
      </w:pPr>
    </w:p>
    <w:p w14:paraId="1FDAFDE5" w14:textId="20829262" w:rsidR="00BD0983" w:rsidRPr="00BD0983" w:rsidRDefault="00BD0983" w:rsidP="00BD0983">
      <w:pPr>
        <w:pStyle w:val="p3"/>
        <w:ind w:left="0"/>
        <w:rPr>
          <w:rStyle w:val="s1"/>
          <w:rFonts w:ascii="Times New Roman" w:hAnsi="Times New Roman"/>
          <w:color w:val="000000" w:themeColor="text1"/>
          <w:sz w:val="24"/>
          <w:szCs w:val="24"/>
        </w:rPr>
      </w:pPr>
      <w:r w:rsidRPr="00BD0983">
        <w:rPr>
          <w:rStyle w:val="s1"/>
          <w:rFonts w:ascii="Times New Roman" w:hAnsi="Times New Roman"/>
          <w:color w:val="000000" w:themeColor="text1"/>
          <w:sz w:val="24"/>
          <w:szCs w:val="24"/>
        </w:rPr>
        <w:t xml:space="preserve">Slater, S. J., Christiana, R. W. and </w:t>
      </w:r>
      <w:proofErr w:type="spellStart"/>
      <w:r w:rsidRPr="00BD0983">
        <w:rPr>
          <w:rStyle w:val="s1"/>
          <w:rFonts w:ascii="Times New Roman" w:hAnsi="Times New Roman"/>
          <w:color w:val="000000" w:themeColor="text1"/>
          <w:sz w:val="24"/>
          <w:szCs w:val="24"/>
        </w:rPr>
        <w:t>Gustat</w:t>
      </w:r>
      <w:proofErr w:type="spellEnd"/>
      <w:r w:rsidRPr="00BD0983">
        <w:rPr>
          <w:rStyle w:val="s1"/>
          <w:rFonts w:ascii="Times New Roman" w:hAnsi="Times New Roman"/>
          <w:color w:val="000000" w:themeColor="text1"/>
          <w:sz w:val="24"/>
          <w:szCs w:val="24"/>
        </w:rPr>
        <w:t xml:space="preserve">, J. (2020) ‘Recommendations for keeping parks and green space accessible for mental and physical health during COVID-19 and other pandemics’, </w:t>
      </w:r>
      <w:r w:rsidRPr="00BD0983">
        <w:rPr>
          <w:rStyle w:val="s3"/>
          <w:rFonts w:ascii="Times New Roman" w:hAnsi="Times New Roman"/>
          <w:color w:val="000000" w:themeColor="text1"/>
          <w:sz w:val="24"/>
          <w:szCs w:val="24"/>
        </w:rPr>
        <w:t>Preventing Chronic Disease</w:t>
      </w:r>
      <w:r w:rsidRPr="00BD0983">
        <w:rPr>
          <w:rStyle w:val="s1"/>
          <w:rFonts w:ascii="Times New Roman" w:hAnsi="Times New Roman"/>
          <w:color w:val="000000" w:themeColor="text1"/>
          <w:sz w:val="24"/>
          <w:szCs w:val="24"/>
        </w:rPr>
        <w:t xml:space="preserve">, 17, p. E59. Available at: </w:t>
      </w:r>
      <w:hyperlink r:id="rId16" w:history="1">
        <w:r w:rsidRPr="00BD0983">
          <w:rPr>
            <w:rStyle w:val="Hyperlink"/>
            <w:rFonts w:ascii="Times New Roman" w:hAnsi="Times New Roman"/>
            <w:sz w:val="24"/>
            <w:szCs w:val="24"/>
          </w:rPr>
          <w:t>https://doi.org/10.5888/pcd17.200204</w:t>
        </w:r>
      </w:hyperlink>
    </w:p>
    <w:p w14:paraId="06D50378" w14:textId="77777777" w:rsidR="00BD0983" w:rsidRPr="00BD0983" w:rsidRDefault="00BD0983" w:rsidP="00BD0983">
      <w:pPr>
        <w:pStyle w:val="p3"/>
        <w:ind w:left="0"/>
        <w:rPr>
          <w:rFonts w:ascii="Times New Roman" w:hAnsi="Times New Roman"/>
          <w:color w:val="000000" w:themeColor="text1"/>
          <w:sz w:val="24"/>
          <w:szCs w:val="24"/>
        </w:rPr>
      </w:pPr>
    </w:p>
    <w:p w14:paraId="2F4AF888" w14:textId="62844196" w:rsidR="00BD0983" w:rsidRPr="00BD0983" w:rsidRDefault="00BD0983" w:rsidP="00BD0983">
      <w:pPr>
        <w:pStyle w:val="p3"/>
        <w:ind w:left="0"/>
        <w:rPr>
          <w:rStyle w:val="s1"/>
          <w:rFonts w:ascii="Times New Roman" w:hAnsi="Times New Roman"/>
          <w:color w:val="000000" w:themeColor="text1"/>
          <w:sz w:val="24"/>
          <w:szCs w:val="24"/>
        </w:rPr>
      </w:pPr>
      <w:r w:rsidRPr="00BD0983">
        <w:rPr>
          <w:rStyle w:val="s1"/>
          <w:rFonts w:ascii="Times New Roman" w:hAnsi="Times New Roman"/>
          <w:color w:val="000000" w:themeColor="text1"/>
          <w:sz w:val="24"/>
          <w:szCs w:val="24"/>
        </w:rPr>
        <w:t xml:space="preserve">Taylor, A. F. and </w:t>
      </w:r>
      <w:proofErr w:type="spellStart"/>
      <w:r w:rsidRPr="00BD0983">
        <w:rPr>
          <w:rStyle w:val="s1"/>
          <w:rFonts w:ascii="Times New Roman" w:hAnsi="Times New Roman"/>
          <w:color w:val="000000" w:themeColor="text1"/>
          <w:sz w:val="24"/>
          <w:szCs w:val="24"/>
        </w:rPr>
        <w:t>Kuo</w:t>
      </w:r>
      <w:proofErr w:type="spellEnd"/>
      <w:r w:rsidRPr="00BD0983">
        <w:rPr>
          <w:rStyle w:val="s1"/>
          <w:rFonts w:ascii="Times New Roman" w:hAnsi="Times New Roman"/>
          <w:color w:val="000000" w:themeColor="text1"/>
          <w:sz w:val="24"/>
          <w:szCs w:val="24"/>
        </w:rPr>
        <w:t xml:space="preserve">, F. E. (2009) ‘Children with attention deficits concentrate better after walk in the park’, </w:t>
      </w:r>
      <w:r w:rsidRPr="00BD0983">
        <w:rPr>
          <w:rStyle w:val="s3"/>
          <w:rFonts w:ascii="Times New Roman" w:hAnsi="Times New Roman"/>
          <w:color w:val="000000" w:themeColor="text1"/>
          <w:sz w:val="24"/>
          <w:szCs w:val="24"/>
        </w:rPr>
        <w:t>Journal of Attention Disorders</w:t>
      </w:r>
      <w:r w:rsidRPr="00BD0983">
        <w:rPr>
          <w:rStyle w:val="s1"/>
          <w:rFonts w:ascii="Times New Roman" w:hAnsi="Times New Roman"/>
          <w:color w:val="000000" w:themeColor="text1"/>
          <w:sz w:val="24"/>
          <w:szCs w:val="24"/>
        </w:rPr>
        <w:t xml:space="preserve">, 12(5), pp. 402–409. Available at: </w:t>
      </w:r>
      <w:hyperlink r:id="rId17" w:history="1">
        <w:r w:rsidRPr="00BD0983">
          <w:rPr>
            <w:rStyle w:val="Hyperlink"/>
            <w:rFonts w:ascii="Times New Roman" w:hAnsi="Times New Roman"/>
            <w:sz w:val="24"/>
            <w:szCs w:val="24"/>
          </w:rPr>
          <w:t>https://doi.org/10.1177/1087054708323000</w:t>
        </w:r>
      </w:hyperlink>
    </w:p>
    <w:p w14:paraId="5F2CE327" w14:textId="77777777" w:rsidR="00BD0983" w:rsidRPr="00BD0983" w:rsidRDefault="00BD0983" w:rsidP="00BD0983">
      <w:pPr>
        <w:pStyle w:val="p3"/>
        <w:ind w:left="0"/>
        <w:rPr>
          <w:rFonts w:ascii="Times New Roman" w:hAnsi="Times New Roman"/>
          <w:color w:val="000000" w:themeColor="text1"/>
          <w:sz w:val="24"/>
          <w:szCs w:val="24"/>
        </w:rPr>
      </w:pPr>
    </w:p>
    <w:p w14:paraId="6A2D580A" w14:textId="34F2BC41" w:rsidR="00BD0983" w:rsidRPr="00BD0983" w:rsidRDefault="00BD0983" w:rsidP="00BD0983">
      <w:pPr>
        <w:pStyle w:val="p3"/>
        <w:ind w:left="0"/>
        <w:rPr>
          <w:rStyle w:val="s1"/>
          <w:rFonts w:ascii="Times New Roman" w:hAnsi="Times New Roman"/>
          <w:color w:val="000000" w:themeColor="text1"/>
          <w:sz w:val="24"/>
          <w:szCs w:val="24"/>
        </w:rPr>
      </w:pPr>
      <w:r w:rsidRPr="00BD0983">
        <w:rPr>
          <w:rStyle w:val="s1"/>
          <w:rFonts w:ascii="Times New Roman" w:hAnsi="Times New Roman"/>
          <w:color w:val="000000" w:themeColor="text1"/>
          <w:sz w:val="24"/>
          <w:szCs w:val="24"/>
        </w:rPr>
        <w:t xml:space="preserve">Ulrich, R. S., Simons, R. F., </w:t>
      </w:r>
      <w:proofErr w:type="spellStart"/>
      <w:r w:rsidRPr="00BD0983">
        <w:rPr>
          <w:rStyle w:val="s1"/>
          <w:rFonts w:ascii="Times New Roman" w:hAnsi="Times New Roman"/>
          <w:color w:val="000000" w:themeColor="text1"/>
          <w:sz w:val="24"/>
          <w:szCs w:val="24"/>
        </w:rPr>
        <w:t>Losito</w:t>
      </w:r>
      <w:proofErr w:type="spellEnd"/>
      <w:r w:rsidRPr="00BD0983">
        <w:rPr>
          <w:rStyle w:val="s1"/>
          <w:rFonts w:ascii="Times New Roman" w:hAnsi="Times New Roman"/>
          <w:color w:val="000000" w:themeColor="text1"/>
          <w:sz w:val="24"/>
          <w:szCs w:val="24"/>
        </w:rPr>
        <w:t xml:space="preserve">, B. D., </w:t>
      </w:r>
      <w:proofErr w:type="spellStart"/>
      <w:r w:rsidRPr="00BD0983">
        <w:rPr>
          <w:rStyle w:val="s1"/>
          <w:rFonts w:ascii="Times New Roman" w:hAnsi="Times New Roman"/>
          <w:color w:val="000000" w:themeColor="text1"/>
          <w:sz w:val="24"/>
          <w:szCs w:val="24"/>
        </w:rPr>
        <w:t>Fiorito</w:t>
      </w:r>
      <w:proofErr w:type="spellEnd"/>
      <w:r w:rsidRPr="00BD0983">
        <w:rPr>
          <w:rStyle w:val="s1"/>
          <w:rFonts w:ascii="Times New Roman" w:hAnsi="Times New Roman"/>
          <w:color w:val="000000" w:themeColor="text1"/>
          <w:sz w:val="24"/>
          <w:szCs w:val="24"/>
        </w:rPr>
        <w:t xml:space="preserve">, E., Miles, M. A. and </w:t>
      </w:r>
      <w:proofErr w:type="spellStart"/>
      <w:r w:rsidRPr="00BD0983">
        <w:rPr>
          <w:rStyle w:val="s1"/>
          <w:rFonts w:ascii="Times New Roman" w:hAnsi="Times New Roman"/>
          <w:color w:val="000000" w:themeColor="text1"/>
          <w:sz w:val="24"/>
          <w:szCs w:val="24"/>
        </w:rPr>
        <w:t>Zelson</w:t>
      </w:r>
      <w:proofErr w:type="spellEnd"/>
      <w:r w:rsidRPr="00BD0983">
        <w:rPr>
          <w:rStyle w:val="s1"/>
          <w:rFonts w:ascii="Times New Roman" w:hAnsi="Times New Roman"/>
          <w:color w:val="000000" w:themeColor="text1"/>
          <w:sz w:val="24"/>
          <w:szCs w:val="24"/>
        </w:rPr>
        <w:t xml:space="preserve">, M. (1991) ‘Stress recovery during exposure to natural and urban environments’, </w:t>
      </w:r>
      <w:r w:rsidRPr="00BD0983">
        <w:rPr>
          <w:rStyle w:val="s3"/>
          <w:rFonts w:ascii="Times New Roman" w:hAnsi="Times New Roman"/>
          <w:color w:val="000000" w:themeColor="text1"/>
          <w:sz w:val="24"/>
          <w:szCs w:val="24"/>
        </w:rPr>
        <w:t>Journal of Environmental Psychology</w:t>
      </w:r>
      <w:r w:rsidRPr="00BD0983">
        <w:rPr>
          <w:rStyle w:val="s1"/>
          <w:rFonts w:ascii="Times New Roman" w:hAnsi="Times New Roman"/>
          <w:color w:val="000000" w:themeColor="text1"/>
          <w:sz w:val="24"/>
          <w:szCs w:val="24"/>
        </w:rPr>
        <w:t xml:space="preserve">, 11(3), pp. 201–230. Available at: </w:t>
      </w:r>
      <w:hyperlink r:id="rId18" w:history="1">
        <w:r w:rsidRPr="00BD0983">
          <w:rPr>
            <w:rStyle w:val="Hyperlink"/>
            <w:rFonts w:ascii="Times New Roman" w:hAnsi="Times New Roman"/>
            <w:sz w:val="24"/>
            <w:szCs w:val="24"/>
          </w:rPr>
          <w:t>https://doi.org/10.1016/S0272-4944(05)80184-7</w:t>
        </w:r>
      </w:hyperlink>
    </w:p>
    <w:p w14:paraId="72721F63" w14:textId="77777777" w:rsidR="00BD0983" w:rsidRPr="00BD0983" w:rsidRDefault="00BD0983" w:rsidP="00BD0983">
      <w:pPr>
        <w:pStyle w:val="p3"/>
        <w:ind w:left="0"/>
        <w:rPr>
          <w:rFonts w:ascii="Times New Roman" w:hAnsi="Times New Roman"/>
          <w:color w:val="000000" w:themeColor="text1"/>
          <w:sz w:val="24"/>
          <w:szCs w:val="24"/>
        </w:rPr>
      </w:pPr>
    </w:p>
    <w:p w14:paraId="68976148" w14:textId="58132B54" w:rsidR="00BD0983" w:rsidRPr="00BD0983" w:rsidRDefault="00BD0983" w:rsidP="00BD0983">
      <w:pPr>
        <w:pStyle w:val="p3"/>
        <w:ind w:left="0"/>
        <w:rPr>
          <w:rStyle w:val="s1"/>
          <w:rFonts w:ascii="Times New Roman" w:hAnsi="Times New Roman"/>
          <w:color w:val="000000" w:themeColor="text1"/>
          <w:sz w:val="24"/>
          <w:szCs w:val="24"/>
        </w:rPr>
      </w:pPr>
      <w:r w:rsidRPr="00BD0983">
        <w:rPr>
          <w:rStyle w:val="s1"/>
          <w:rFonts w:ascii="Times New Roman" w:hAnsi="Times New Roman"/>
          <w:color w:val="000000" w:themeColor="text1"/>
          <w:sz w:val="24"/>
          <w:szCs w:val="24"/>
        </w:rPr>
        <w:t xml:space="preserve">Vygotsky, L. S. (1978) </w:t>
      </w:r>
      <w:r w:rsidRPr="00BD0983">
        <w:rPr>
          <w:rStyle w:val="s3"/>
          <w:rFonts w:ascii="Times New Roman" w:hAnsi="Times New Roman"/>
          <w:color w:val="000000" w:themeColor="text1"/>
          <w:sz w:val="24"/>
          <w:szCs w:val="24"/>
        </w:rPr>
        <w:t>Mind in society: The development of higher psychological processes</w:t>
      </w:r>
      <w:r w:rsidRPr="00BD0983">
        <w:rPr>
          <w:rStyle w:val="s1"/>
          <w:rFonts w:ascii="Times New Roman" w:hAnsi="Times New Roman"/>
          <w:color w:val="000000" w:themeColor="text1"/>
          <w:sz w:val="24"/>
          <w:szCs w:val="24"/>
        </w:rPr>
        <w:t>. Cambridge, MA: Harvard University Press.</w:t>
      </w:r>
    </w:p>
    <w:p w14:paraId="517A4EED" w14:textId="77777777" w:rsidR="00BD0983" w:rsidRPr="00BD0983" w:rsidRDefault="00BD0983" w:rsidP="00BD0983">
      <w:pPr>
        <w:pStyle w:val="p3"/>
        <w:ind w:left="0"/>
        <w:rPr>
          <w:rFonts w:ascii="Times New Roman" w:hAnsi="Times New Roman"/>
          <w:color w:val="000000" w:themeColor="text1"/>
          <w:sz w:val="24"/>
          <w:szCs w:val="24"/>
        </w:rPr>
      </w:pPr>
    </w:p>
    <w:p w14:paraId="127BE558" w14:textId="1F2B0C0F" w:rsidR="00BD0983" w:rsidRPr="00BD0983" w:rsidRDefault="00BD0983" w:rsidP="00BD0983">
      <w:pPr>
        <w:pStyle w:val="p3"/>
        <w:ind w:left="0"/>
        <w:rPr>
          <w:rStyle w:val="s1"/>
          <w:rFonts w:ascii="Times New Roman" w:hAnsi="Times New Roman"/>
          <w:color w:val="000000" w:themeColor="text1"/>
          <w:sz w:val="24"/>
          <w:szCs w:val="24"/>
        </w:rPr>
      </w:pPr>
      <w:r w:rsidRPr="00BD0983">
        <w:rPr>
          <w:rStyle w:val="s1"/>
          <w:rFonts w:ascii="Times New Roman" w:hAnsi="Times New Roman"/>
          <w:color w:val="000000" w:themeColor="text1"/>
          <w:sz w:val="24"/>
          <w:szCs w:val="24"/>
        </w:rPr>
        <w:t xml:space="preserve">Waite, S., </w:t>
      </w:r>
      <w:proofErr w:type="spellStart"/>
      <w:r w:rsidRPr="00BD0983">
        <w:rPr>
          <w:rStyle w:val="s1"/>
          <w:rFonts w:ascii="Times New Roman" w:hAnsi="Times New Roman"/>
          <w:color w:val="000000" w:themeColor="text1"/>
          <w:sz w:val="24"/>
          <w:szCs w:val="24"/>
        </w:rPr>
        <w:t>Bølling</w:t>
      </w:r>
      <w:proofErr w:type="spellEnd"/>
      <w:r w:rsidRPr="00BD0983">
        <w:rPr>
          <w:rStyle w:val="s1"/>
          <w:rFonts w:ascii="Times New Roman" w:hAnsi="Times New Roman"/>
          <w:color w:val="000000" w:themeColor="text1"/>
          <w:sz w:val="24"/>
          <w:szCs w:val="24"/>
        </w:rPr>
        <w:t xml:space="preserve">, M. and Bentsen, P. (2016) ‘Comparing apples and pears? A conceptual framework for understanding forms of outdoor learning through comparison of English forest schools and Danish </w:t>
      </w:r>
      <w:proofErr w:type="spellStart"/>
      <w:r w:rsidRPr="00BD0983">
        <w:rPr>
          <w:rStyle w:val="s1"/>
          <w:rFonts w:ascii="Times New Roman" w:hAnsi="Times New Roman"/>
          <w:color w:val="000000" w:themeColor="text1"/>
          <w:sz w:val="24"/>
          <w:szCs w:val="24"/>
        </w:rPr>
        <w:t>udeskole</w:t>
      </w:r>
      <w:proofErr w:type="spellEnd"/>
      <w:r w:rsidRPr="00BD0983">
        <w:rPr>
          <w:rStyle w:val="s1"/>
          <w:rFonts w:ascii="Times New Roman" w:hAnsi="Times New Roman"/>
          <w:color w:val="000000" w:themeColor="text1"/>
          <w:sz w:val="24"/>
          <w:szCs w:val="24"/>
        </w:rPr>
        <w:t xml:space="preserve">’, </w:t>
      </w:r>
      <w:r w:rsidRPr="00BD0983">
        <w:rPr>
          <w:rStyle w:val="s3"/>
          <w:rFonts w:ascii="Times New Roman" w:hAnsi="Times New Roman"/>
          <w:color w:val="000000" w:themeColor="text1"/>
          <w:sz w:val="24"/>
          <w:szCs w:val="24"/>
        </w:rPr>
        <w:t>Environmental Education Research</w:t>
      </w:r>
      <w:r w:rsidRPr="00BD0983">
        <w:rPr>
          <w:rStyle w:val="s1"/>
          <w:rFonts w:ascii="Times New Roman" w:hAnsi="Times New Roman"/>
          <w:color w:val="000000" w:themeColor="text1"/>
          <w:sz w:val="24"/>
          <w:szCs w:val="24"/>
        </w:rPr>
        <w:t xml:space="preserve">, 22(6), pp. 868–892. Available at: </w:t>
      </w:r>
      <w:hyperlink r:id="rId19" w:history="1">
        <w:r w:rsidRPr="00BD0983">
          <w:rPr>
            <w:rStyle w:val="Hyperlink"/>
            <w:rFonts w:ascii="Times New Roman" w:hAnsi="Times New Roman"/>
            <w:sz w:val="24"/>
            <w:szCs w:val="24"/>
          </w:rPr>
          <w:t>https://doi.org/10.1080/13504622.2015.1075193</w:t>
        </w:r>
      </w:hyperlink>
    </w:p>
    <w:p w14:paraId="1EF47DF5" w14:textId="77777777" w:rsidR="00BD0983" w:rsidRPr="00BD0983" w:rsidRDefault="00BD0983" w:rsidP="00BD0983">
      <w:pPr>
        <w:pStyle w:val="p3"/>
        <w:ind w:left="0"/>
        <w:rPr>
          <w:rFonts w:ascii="Times New Roman" w:hAnsi="Times New Roman"/>
          <w:color w:val="000000" w:themeColor="text1"/>
          <w:sz w:val="24"/>
          <w:szCs w:val="24"/>
        </w:rPr>
      </w:pPr>
    </w:p>
    <w:p w14:paraId="361A20CF" w14:textId="5C32ABC5" w:rsidR="00BD0983" w:rsidRPr="00BD0983" w:rsidRDefault="00BD0983" w:rsidP="00BD0983">
      <w:pPr>
        <w:pStyle w:val="p3"/>
        <w:ind w:left="0"/>
        <w:rPr>
          <w:rStyle w:val="s1"/>
          <w:rFonts w:ascii="Times New Roman" w:hAnsi="Times New Roman"/>
          <w:color w:val="000000" w:themeColor="text1"/>
          <w:sz w:val="24"/>
          <w:szCs w:val="24"/>
        </w:rPr>
      </w:pPr>
      <w:r w:rsidRPr="00BD0983">
        <w:rPr>
          <w:rStyle w:val="s1"/>
          <w:rFonts w:ascii="Times New Roman" w:hAnsi="Times New Roman"/>
          <w:color w:val="000000" w:themeColor="text1"/>
          <w:sz w:val="24"/>
          <w:szCs w:val="24"/>
        </w:rPr>
        <w:t xml:space="preserve">Wheeler, B. W., White, M., Stahl-Timmins, W. and </w:t>
      </w:r>
      <w:proofErr w:type="spellStart"/>
      <w:r w:rsidRPr="00BD0983">
        <w:rPr>
          <w:rStyle w:val="s1"/>
          <w:rFonts w:ascii="Times New Roman" w:hAnsi="Times New Roman"/>
          <w:color w:val="000000" w:themeColor="text1"/>
          <w:sz w:val="24"/>
          <w:szCs w:val="24"/>
        </w:rPr>
        <w:t>Depledge</w:t>
      </w:r>
      <w:proofErr w:type="spellEnd"/>
      <w:r w:rsidRPr="00BD0983">
        <w:rPr>
          <w:rStyle w:val="s1"/>
          <w:rFonts w:ascii="Times New Roman" w:hAnsi="Times New Roman"/>
          <w:color w:val="000000" w:themeColor="text1"/>
          <w:sz w:val="24"/>
          <w:szCs w:val="24"/>
        </w:rPr>
        <w:t xml:space="preserve">, M. H. (2012) ‘Does living by the coast improve health and wellbeing?’, </w:t>
      </w:r>
      <w:r w:rsidRPr="00BD0983">
        <w:rPr>
          <w:rStyle w:val="s3"/>
          <w:rFonts w:ascii="Times New Roman" w:hAnsi="Times New Roman"/>
          <w:color w:val="000000" w:themeColor="text1"/>
          <w:sz w:val="24"/>
          <w:szCs w:val="24"/>
        </w:rPr>
        <w:t>Health &amp; Place</w:t>
      </w:r>
      <w:r w:rsidRPr="00BD0983">
        <w:rPr>
          <w:rStyle w:val="s1"/>
          <w:rFonts w:ascii="Times New Roman" w:hAnsi="Times New Roman"/>
          <w:color w:val="000000" w:themeColor="text1"/>
          <w:sz w:val="24"/>
          <w:szCs w:val="24"/>
        </w:rPr>
        <w:t xml:space="preserve">, 18(5), pp. 1198–1201. Available at: </w:t>
      </w:r>
      <w:hyperlink r:id="rId20" w:history="1">
        <w:r w:rsidRPr="00BD0983">
          <w:rPr>
            <w:rStyle w:val="Hyperlink"/>
            <w:rFonts w:ascii="Times New Roman" w:hAnsi="Times New Roman"/>
            <w:sz w:val="24"/>
            <w:szCs w:val="24"/>
          </w:rPr>
          <w:t>https://doi.org/10.1016/j.healthplace.2012.06.015</w:t>
        </w:r>
      </w:hyperlink>
    </w:p>
    <w:p w14:paraId="6710192F" w14:textId="77777777" w:rsidR="00BD0983" w:rsidRPr="00BD0983" w:rsidRDefault="00BD0983" w:rsidP="00BD0983">
      <w:pPr>
        <w:pStyle w:val="p3"/>
        <w:ind w:left="0"/>
        <w:rPr>
          <w:rFonts w:ascii="Times New Roman" w:hAnsi="Times New Roman"/>
          <w:color w:val="000000" w:themeColor="text1"/>
          <w:sz w:val="24"/>
          <w:szCs w:val="24"/>
        </w:rPr>
      </w:pPr>
    </w:p>
    <w:p w14:paraId="236975C0" w14:textId="01F63F5A" w:rsidR="00BD0983" w:rsidRPr="00BD0983" w:rsidRDefault="00BD0983" w:rsidP="00BD0983">
      <w:pPr>
        <w:pStyle w:val="p3"/>
        <w:ind w:left="0"/>
        <w:rPr>
          <w:rStyle w:val="s1"/>
          <w:rFonts w:ascii="Times New Roman" w:hAnsi="Times New Roman"/>
          <w:color w:val="000000" w:themeColor="text1"/>
          <w:sz w:val="24"/>
          <w:szCs w:val="24"/>
        </w:rPr>
      </w:pPr>
      <w:r w:rsidRPr="00BD0983">
        <w:rPr>
          <w:rStyle w:val="s1"/>
          <w:rFonts w:ascii="Times New Roman" w:hAnsi="Times New Roman"/>
          <w:color w:val="000000" w:themeColor="text1"/>
          <w:sz w:val="24"/>
          <w:szCs w:val="24"/>
        </w:rPr>
        <w:t xml:space="preserve">White, M. P., </w:t>
      </w:r>
      <w:proofErr w:type="spellStart"/>
      <w:r w:rsidRPr="00BD0983">
        <w:rPr>
          <w:rStyle w:val="s1"/>
          <w:rFonts w:ascii="Times New Roman" w:hAnsi="Times New Roman"/>
          <w:color w:val="000000" w:themeColor="text1"/>
          <w:sz w:val="24"/>
          <w:szCs w:val="24"/>
        </w:rPr>
        <w:t>Alcock</w:t>
      </w:r>
      <w:proofErr w:type="spellEnd"/>
      <w:r w:rsidRPr="00BD0983">
        <w:rPr>
          <w:rStyle w:val="s1"/>
          <w:rFonts w:ascii="Times New Roman" w:hAnsi="Times New Roman"/>
          <w:color w:val="000000" w:themeColor="text1"/>
          <w:sz w:val="24"/>
          <w:szCs w:val="24"/>
        </w:rPr>
        <w:t xml:space="preserve">, I., </w:t>
      </w:r>
      <w:proofErr w:type="spellStart"/>
      <w:r w:rsidRPr="00BD0983">
        <w:rPr>
          <w:rStyle w:val="s1"/>
          <w:rFonts w:ascii="Times New Roman" w:hAnsi="Times New Roman"/>
          <w:color w:val="000000" w:themeColor="text1"/>
          <w:sz w:val="24"/>
          <w:szCs w:val="24"/>
        </w:rPr>
        <w:t>Grellier</w:t>
      </w:r>
      <w:proofErr w:type="spellEnd"/>
      <w:r w:rsidRPr="00BD0983">
        <w:rPr>
          <w:rStyle w:val="s1"/>
          <w:rFonts w:ascii="Times New Roman" w:hAnsi="Times New Roman"/>
          <w:color w:val="000000" w:themeColor="text1"/>
          <w:sz w:val="24"/>
          <w:szCs w:val="24"/>
        </w:rPr>
        <w:t xml:space="preserve">, J., Wheeler, B. W., </w:t>
      </w:r>
      <w:proofErr w:type="spellStart"/>
      <w:r w:rsidRPr="00BD0983">
        <w:rPr>
          <w:rStyle w:val="s1"/>
          <w:rFonts w:ascii="Times New Roman" w:hAnsi="Times New Roman"/>
          <w:color w:val="000000" w:themeColor="text1"/>
          <w:sz w:val="24"/>
          <w:szCs w:val="24"/>
        </w:rPr>
        <w:t>Hartig</w:t>
      </w:r>
      <w:proofErr w:type="spellEnd"/>
      <w:r w:rsidRPr="00BD0983">
        <w:rPr>
          <w:rStyle w:val="s1"/>
          <w:rFonts w:ascii="Times New Roman" w:hAnsi="Times New Roman"/>
          <w:color w:val="000000" w:themeColor="text1"/>
          <w:sz w:val="24"/>
          <w:szCs w:val="24"/>
        </w:rPr>
        <w:t xml:space="preserve">, T., </w:t>
      </w:r>
      <w:proofErr w:type="spellStart"/>
      <w:r w:rsidRPr="00BD0983">
        <w:rPr>
          <w:rStyle w:val="s1"/>
          <w:rFonts w:ascii="Times New Roman" w:hAnsi="Times New Roman"/>
          <w:color w:val="000000" w:themeColor="text1"/>
          <w:sz w:val="24"/>
          <w:szCs w:val="24"/>
        </w:rPr>
        <w:t>Warber</w:t>
      </w:r>
      <w:proofErr w:type="spellEnd"/>
      <w:r w:rsidRPr="00BD0983">
        <w:rPr>
          <w:rStyle w:val="s1"/>
          <w:rFonts w:ascii="Times New Roman" w:hAnsi="Times New Roman"/>
          <w:color w:val="000000" w:themeColor="text1"/>
          <w:sz w:val="24"/>
          <w:szCs w:val="24"/>
        </w:rPr>
        <w:t xml:space="preserve">, S. L., Bone, A., </w:t>
      </w:r>
      <w:proofErr w:type="spellStart"/>
      <w:r w:rsidRPr="00BD0983">
        <w:rPr>
          <w:rStyle w:val="s1"/>
          <w:rFonts w:ascii="Times New Roman" w:hAnsi="Times New Roman"/>
          <w:color w:val="000000" w:themeColor="text1"/>
          <w:sz w:val="24"/>
          <w:szCs w:val="24"/>
        </w:rPr>
        <w:t>Depledge</w:t>
      </w:r>
      <w:proofErr w:type="spellEnd"/>
      <w:r w:rsidRPr="00BD0983">
        <w:rPr>
          <w:rStyle w:val="s1"/>
          <w:rFonts w:ascii="Times New Roman" w:hAnsi="Times New Roman"/>
          <w:color w:val="000000" w:themeColor="text1"/>
          <w:sz w:val="24"/>
          <w:szCs w:val="24"/>
        </w:rPr>
        <w:t>, M. H. and Fleming, L. E. (2019) ‘Spending at least 120 minutes a week in natur</w:t>
      </w:r>
      <w:r w:rsidRPr="00BD0983">
        <w:rPr>
          <w:rStyle w:val="s1"/>
          <w:rFonts w:ascii="Times New Roman" w:hAnsi="Times New Roman"/>
          <w:color w:val="000000" w:themeColor="text1"/>
          <w:sz w:val="24"/>
          <w:szCs w:val="24"/>
        </w:rPr>
        <w:t xml:space="preserve">e </w:t>
      </w:r>
      <w:r w:rsidRPr="00BD0983">
        <w:rPr>
          <w:rStyle w:val="s1"/>
          <w:rFonts w:ascii="Times New Roman" w:hAnsi="Times New Roman"/>
          <w:color w:val="000000" w:themeColor="text1"/>
          <w:sz w:val="24"/>
          <w:szCs w:val="24"/>
        </w:rPr>
        <w:t xml:space="preserve">is associated with good health and wellbeing’, </w:t>
      </w:r>
      <w:r w:rsidRPr="00BD0983">
        <w:rPr>
          <w:rStyle w:val="s3"/>
          <w:rFonts w:ascii="Times New Roman" w:hAnsi="Times New Roman"/>
          <w:color w:val="000000" w:themeColor="text1"/>
          <w:sz w:val="24"/>
          <w:szCs w:val="24"/>
        </w:rPr>
        <w:t>Scientific Reports</w:t>
      </w:r>
      <w:r w:rsidRPr="00BD0983">
        <w:rPr>
          <w:rStyle w:val="s1"/>
          <w:rFonts w:ascii="Times New Roman" w:hAnsi="Times New Roman"/>
          <w:color w:val="000000" w:themeColor="text1"/>
          <w:sz w:val="24"/>
          <w:szCs w:val="24"/>
        </w:rPr>
        <w:t xml:space="preserve">, 9, p. 7730. Available at: </w:t>
      </w:r>
      <w:hyperlink r:id="rId21" w:history="1">
        <w:r w:rsidRPr="00BD0983">
          <w:rPr>
            <w:rStyle w:val="Hyperlink"/>
            <w:rFonts w:ascii="Times New Roman" w:hAnsi="Times New Roman"/>
            <w:sz w:val="24"/>
            <w:szCs w:val="24"/>
          </w:rPr>
          <w:t>https://doi.org/10.1038/s41598-019-44097-3</w:t>
        </w:r>
      </w:hyperlink>
    </w:p>
    <w:p w14:paraId="56D09066" w14:textId="77777777" w:rsidR="00BD0983" w:rsidRPr="00BD0983" w:rsidRDefault="00BD0983" w:rsidP="00BD0983">
      <w:pPr>
        <w:pStyle w:val="p3"/>
        <w:ind w:left="1080"/>
        <w:rPr>
          <w:rFonts w:ascii="Times New Roman" w:hAnsi="Times New Roman"/>
          <w:color w:val="000000" w:themeColor="text1"/>
          <w:sz w:val="24"/>
          <w:szCs w:val="24"/>
        </w:rPr>
      </w:pPr>
    </w:p>
    <w:p w14:paraId="1FD70458" w14:textId="2E733829" w:rsidR="00BD0983" w:rsidRPr="00BD0983" w:rsidRDefault="00BD0983" w:rsidP="00BD0983">
      <w:pPr>
        <w:pStyle w:val="p3"/>
        <w:ind w:left="0"/>
        <w:rPr>
          <w:rFonts w:ascii="Times New Roman" w:hAnsi="Times New Roman"/>
          <w:color w:val="000000" w:themeColor="text1"/>
          <w:sz w:val="24"/>
          <w:szCs w:val="24"/>
        </w:rPr>
      </w:pPr>
      <w:r w:rsidRPr="00BD0983">
        <w:rPr>
          <w:rStyle w:val="s1"/>
          <w:rFonts w:ascii="Times New Roman" w:hAnsi="Times New Roman"/>
          <w:color w:val="000000" w:themeColor="text1"/>
          <w:sz w:val="24"/>
          <w:szCs w:val="24"/>
        </w:rPr>
        <w:t xml:space="preserve">World Health Organization (WHO) (2022) </w:t>
      </w:r>
      <w:r w:rsidRPr="00BD0983">
        <w:rPr>
          <w:rStyle w:val="s3"/>
          <w:rFonts w:ascii="Times New Roman" w:hAnsi="Times New Roman"/>
          <w:color w:val="000000" w:themeColor="text1"/>
          <w:sz w:val="24"/>
          <w:szCs w:val="24"/>
        </w:rPr>
        <w:t>Urban green spaces and health: A review of evidence</w:t>
      </w:r>
      <w:r w:rsidRPr="00BD0983">
        <w:rPr>
          <w:rStyle w:val="s1"/>
          <w:rFonts w:ascii="Times New Roman" w:hAnsi="Times New Roman"/>
          <w:color w:val="000000" w:themeColor="text1"/>
          <w:sz w:val="24"/>
          <w:szCs w:val="24"/>
        </w:rPr>
        <w:t>. Available at: https://www.who.int/publications/i/item/urban-green-spaces-and-health</w:t>
      </w:r>
    </w:p>
    <w:p w14:paraId="0BE9052B" w14:textId="77777777" w:rsidR="00FC26C4" w:rsidRDefault="00FC26C4"/>
    <w:sectPr w:rsidR="00FC26C4">
      <w:headerReference w:type="default" r:id="rId22"/>
      <w:footerReference w:type="even"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7A6239" w14:textId="77777777" w:rsidR="005A4DD7" w:rsidRDefault="005A4DD7" w:rsidP="00BD0983">
      <w:r>
        <w:separator/>
      </w:r>
    </w:p>
  </w:endnote>
  <w:endnote w:type="continuationSeparator" w:id="0">
    <w:p w14:paraId="48266E02" w14:textId="77777777" w:rsidR="005A4DD7" w:rsidRDefault="005A4DD7" w:rsidP="00BD09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EmphasizedBody">
    <w:altName w:val="Cambria"/>
    <w:panose1 w:val="020B0604020202020204"/>
    <w:charset w:val="00"/>
    <w:family w:val="roman"/>
    <w:notTrueType/>
    <w:pitch w:val="default"/>
  </w:font>
  <w:font w:name="UICTFontTextStyleItalicBody">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16320670"/>
      <w:docPartObj>
        <w:docPartGallery w:val="Page Numbers (Bottom of Page)"/>
        <w:docPartUnique/>
      </w:docPartObj>
    </w:sdtPr>
    <w:sdtContent>
      <w:p w14:paraId="50C95718" w14:textId="5C7AA294" w:rsidR="00BD0983" w:rsidRDefault="00BD0983" w:rsidP="00DD68E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3E41A15" w14:textId="77777777" w:rsidR="00BD0983" w:rsidRDefault="00BD09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13218109"/>
      <w:docPartObj>
        <w:docPartGallery w:val="Page Numbers (Bottom of Page)"/>
        <w:docPartUnique/>
      </w:docPartObj>
    </w:sdtPr>
    <w:sdtContent>
      <w:p w14:paraId="12CD6FE5" w14:textId="6CA5A81F" w:rsidR="00BD0983" w:rsidRDefault="00BD0983" w:rsidP="00DD68E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812C2F1" w14:textId="77777777" w:rsidR="00BD0983" w:rsidRDefault="00BD09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826E8" w14:textId="77777777" w:rsidR="005A4DD7" w:rsidRDefault="005A4DD7" w:rsidP="00BD0983">
      <w:r>
        <w:separator/>
      </w:r>
    </w:p>
  </w:footnote>
  <w:footnote w:type="continuationSeparator" w:id="0">
    <w:p w14:paraId="75B504F7" w14:textId="77777777" w:rsidR="005A4DD7" w:rsidRDefault="005A4DD7" w:rsidP="00BD09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CC843" w14:textId="6C55410B" w:rsidR="00BD0983" w:rsidRDefault="00BD0983" w:rsidP="00BD0983">
    <w:pPr>
      <w:pStyle w:val="Header"/>
      <w:tabs>
        <w:tab w:val="clear" w:pos="4513"/>
        <w:tab w:val="clear" w:pos="9026"/>
        <w:tab w:val="left" w:pos="6945"/>
      </w:tabs>
    </w:pPr>
    <w:r>
      <w:t>Kerin Roberts</w:t>
    </w:r>
    <w:r>
      <w:tab/>
      <w:t>2003703</w:t>
    </w:r>
  </w:p>
  <w:p w14:paraId="42AA9BFE" w14:textId="77777777" w:rsidR="00BD0983" w:rsidRDefault="00BD09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700D1F"/>
    <w:multiLevelType w:val="hybridMultilevel"/>
    <w:tmpl w:val="FEDE2BA2"/>
    <w:lvl w:ilvl="0" w:tplc="08090001">
      <w:start w:val="1"/>
      <w:numFmt w:val="bullet"/>
      <w:lvlText w:val=""/>
      <w:lvlJc w:val="left"/>
      <w:pPr>
        <w:ind w:left="720" w:hanging="360"/>
      </w:pPr>
      <w:rPr>
        <w:rFonts w:ascii="Symbol" w:hAnsi="Symbol" w:hint="default"/>
      </w:rPr>
    </w:lvl>
    <w:lvl w:ilvl="1" w:tplc="749C2656">
      <w:start w:val="4"/>
      <w:numFmt w:val="bullet"/>
      <w:lvlText w:val="•"/>
      <w:lvlJc w:val="left"/>
      <w:pPr>
        <w:ind w:left="1800" w:hanging="72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F267B8"/>
    <w:multiLevelType w:val="multilevel"/>
    <w:tmpl w:val="70609C1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2014067563">
    <w:abstractNumId w:val="0"/>
  </w:num>
  <w:num w:numId="2" w16cid:durableId="6516433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983"/>
    <w:rsid w:val="00346A66"/>
    <w:rsid w:val="00433C3B"/>
    <w:rsid w:val="004B3624"/>
    <w:rsid w:val="005A4DD7"/>
    <w:rsid w:val="00BD0983"/>
    <w:rsid w:val="00EE7592"/>
    <w:rsid w:val="00F60F6F"/>
    <w:rsid w:val="00FC26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58DB5BC"/>
  <w15:chartTrackingRefBased/>
  <w15:docId w15:val="{DE502626-E94B-B54B-98F8-8EBE19F5F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BD0983"/>
    <w:rPr>
      <w:rFonts w:ascii=".AppleSystemUIFont" w:eastAsia="Times New Roman" w:hAnsi=".AppleSystemUIFont" w:cs="Times New Roman"/>
      <w:kern w:val="0"/>
      <w:sz w:val="26"/>
      <w:szCs w:val="26"/>
      <w:lang w:eastAsia="en-GB"/>
      <w14:ligatures w14:val="none"/>
    </w:rPr>
  </w:style>
  <w:style w:type="paragraph" w:customStyle="1" w:styleId="p2">
    <w:name w:val="p2"/>
    <w:basedOn w:val="Normal"/>
    <w:rsid w:val="00BD0983"/>
    <w:rPr>
      <w:rFonts w:ascii=".AppleSystemUIFont" w:eastAsia="Times New Roman" w:hAnsi=".AppleSystemUIFont" w:cs="Times New Roman"/>
      <w:kern w:val="0"/>
      <w:sz w:val="26"/>
      <w:szCs w:val="26"/>
      <w:lang w:eastAsia="en-GB"/>
      <w14:ligatures w14:val="none"/>
    </w:rPr>
  </w:style>
  <w:style w:type="paragraph" w:customStyle="1" w:styleId="p3">
    <w:name w:val="p3"/>
    <w:basedOn w:val="Normal"/>
    <w:rsid w:val="00BD0983"/>
    <w:pPr>
      <w:ind w:left="540"/>
    </w:pPr>
    <w:rPr>
      <w:rFonts w:ascii=".AppleSystemUIFont" w:eastAsia="Times New Roman" w:hAnsi=".AppleSystemUIFont" w:cs="Times New Roman"/>
      <w:kern w:val="0"/>
      <w:sz w:val="26"/>
      <w:szCs w:val="26"/>
      <w:lang w:eastAsia="en-GB"/>
      <w14:ligatures w14:val="none"/>
    </w:rPr>
  </w:style>
  <w:style w:type="character" w:customStyle="1" w:styleId="s1">
    <w:name w:val="s1"/>
    <w:basedOn w:val="DefaultParagraphFont"/>
    <w:rsid w:val="00BD0983"/>
    <w:rPr>
      <w:rFonts w:ascii="UICTFontTextStyleBody" w:hAnsi="UICTFontTextStyleBody" w:hint="default"/>
      <w:b w:val="0"/>
      <w:bCs w:val="0"/>
      <w:i w:val="0"/>
      <w:iCs w:val="0"/>
      <w:sz w:val="26"/>
      <w:szCs w:val="26"/>
    </w:rPr>
  </w:style>
  <w:style w:type="character" w:customStyle="1" w:styleId="s2">
    <w:name w:val="s2"/>
    <w:basedOn w:val="DefaultParagraphFont"/>
    <w:rsid w:val="00BD0983"/>
    <w:rPr>
      <w:rFonts w:ascii="UICTFontTextStyleEmphasizedBody" w:hAnsi="UICTFontTextStyleEmphasizedBody" w:hint="default"/>
      <w:b/>
      <w:bCs/>
      <w:i w:val="0"/>
      <w:iCs w:val="0"/>
      <w:sz w:val="26"/>
      <w:szCs w:val="26"/>
    </w:rPr>
  </w:style>
  <w:style w:type="character" w:customStyle="1" w:styleId="s3">
    <w:name w:val="s3"/>
    <w:basedOn w:val="DefaultParagraphFont"/>
    <w:rsid w:val="00BD0983"/>
    <w:rPr>
      <w:rFonts w:ascii="UICTFontTextStyleItalicBody" w:hAnsi="UICTFontTextStyleItalicBody" w:hint="default"/>
      <w:b w:val="0"/>
      <w:bCs w:val="0"/>
      <w:i/>
      <w:iCs/>
      <w:sz w:val="26"/>
      <w:szCs w:val="26"/>
    </w:rPr>
  </w:style>
  <w:style w:type="character" w:customStyle="1" w:styleId="apple-tab-span">
    <w:name w:val="apple-tab-span"/>
    <w:basedOn w:val="DefaultParagraphFont"/>
    <w:rsid w:val="00BD0983"/>
  </w:style>
  <w:style w:type="paragraph" w:styleId="Header">
    <w:name w:val="header"/>
    <w:basedOn w:val="Normal"/>
    <w:link w:val="HeaderChar"/>
    <w:uiPriority w:val="99"/>
    <w:unhideWhenUsed/>
    <w:rsid w:val="00BD0983"/>
    <w:pPr>
      <w:tabs>
        <w:tab w:val="center" w:pos="4513"/>
        <w:tab w:val="right" w:pos="9026"/>
      </w:tabs>
    </w:pPr>
  </w:style>
  <w:style w:type="character" w:customStyle="1" w:styleId="HeaderChar">
    <w:name w:val="Header Char"/>
    <w:basedOn w:val="DefaultParagraphFont"/>
    <w:link w:val="Header"/>
    <w:uiPriority w:val="99"/>
    <w:rsid w:val="00BD0983"/>
  </w:style>
  <w:style w:type="paragraph" w:styleId="Footer">
    <w:name w:val="footer"/>
    <w:basedOn w:val="Normal"/>
    <w:link w:val="FooterChar"/>
    <w:uiPriority w:val="99"/>
    <w:unhideWhenUsed/>
    <w:rsid w:val="00BD0983"/>
    <w:pPr>
      <w:tabs>
        <w:tab w:val="center" w:pos="4513"/>
        <w:tab w:val="right" w:pos="9026"/>
      </w:tabs>
    </w:pPr>
  </w:style>
  <w:style w:type="character" w:customStyle="1" w:styleId="FooterChar">
    <w:name w:val="Footer Char"/>
    <w:basedOn w:val="DefaultParagraphFont"/>
    <w:link w:val="Footer"/>
    <w:uiPriority w:val="99"/>
    <w:rsid w:val="00BD0983"/>
  </w:style>
  <w:style w:type="character" w:styleId="Hyperlink">
    <w:name w:val="Hyperlink"/>
    <w:basedOn w:val="DefaultParagraphFont"/>
    <w:uiPriority w:val="99"/>
    <w:unhideWhenUsed/>
    <w:rsid w:val="00BD0983"/>
    <w:rPr>
      <w:color w:val="0563C1" w:themeColor="hyperlink"/>
      <w:u w:val="single"/>
    </w:rPr>
  </w:style>
  <w:style w:type="character" w:styleId="UnresolvedMention">
    <w:name w:val="Unresolved Mention"/>
    <w:basedOn w:val="DefaultParagraphFont"/>
    <w:uiPriority w:val="99"/>
    <w:semiHidden/>
    <w:unhideWhenUsed/>
    <w:rsid w:val="00BD0983"/>
    <w:rPr>
      <w:color w:val="605E5C"/>
      <w:shd w:val="clear" w:color="auto" w:fill="E1DFDD"/>
    </w:rPr>
  </w:style>
  <w:style w:type="character" w:styleId="PageNumber">
    <w:name w:val="page number"/>
    <w:basedOn w:val="DefaultParagraphFont"/>
    <w:uiPriority w:val="99"/>
    <w:semiHidden/>
    <w:unhideWhenUsed/>
    <w:rsid w:val="00BD09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9017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23/A:1012576913074" TargetMode="External"/><Relationship Id="rId13" Type="http://schemas.openxmlformats.org/officeDocument/2006/relationships/hyperlink" Target="https://www.gov.uk/government/publications/green-infrastructure-framework-principles-and-standards-for-england" TargetMode="External"/><Relationship Id="rId18" Type="http://schemas.openxmlformats.org/officeDocument/2006/relationships/hyperlink" Target="https://doi.org/10.1016/S0272-4944(05)80184-7"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oi.org/10.1038/s41598-019-44097-3" TargetMode="External"/><Relationship Id="rId7" Type="http://schemas.openxmlformats.org/officeDocument/2006/relationships/hyperlink" Target="https://doi.org/10.1021/es903183r" TargetMode="External"/><Relationship Id="rId12" Type="http://schemas.openxmlformats.org/officeDocument/2006/relationships/hyperlink" Target="https://doi.org/10.1016/S0140-6736(08)61689-X" TargetMode="External"/><Relationship Id="rId17" Type="http://schemas.openxmlformats.org/officeDocument/2006/relationships/hyperlink" Target="https://doi.org/10.1177/1087054708323000"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5888/pcd17.200204" TargetMode="External"/><Relationship Id="rId20" Type="http://schemas.openxmlformats.org/officeDocument/2006/relationships/hyperlink" Target="https://doi.org/10.1016/j.healthplace.2012.06.01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healthplace.2008.09.006"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doi.org/10.1007/s12199-009-0114-9" TargetMode="External"/><Relationship Id="rId23" Type="http://schemas.openxmlformats.org/officeDocument/2006/relationships/footer" Target="footer1.xml"/><Relationship Id="rId10" Type="http://schemas.openxmlformats.org/officeDocument/2006/relationships/hyperlink" Target="https://doi.org/10.1146/annurev-publhealth-032013-182443" TargetMode="External"/><Relationship Id="rId19" Type="http://schemas.openxmlformats.org/officeDocument/2006/relationships/hyperlink" Target="https://doi.org/10.1080/13504622.2015.1075193" TargetMode="External"/><Relationship Id="rId4" Type="http://schemas.openxmlformats.org/officeDocument/2006/relationships/webSettings" Target="webSettings.xml"/><Relationship Id="rId9" Type="http://schemas.openxmlformats.org/officeDocument/2006/relationships/hyperlink" Target="http://publications.naturalengland.org.uk/publication/6636651036540928" TargetMode="External"/><Relationship Id="rId14" Type="http://schemas.openxmlformats.org/officeDocument/2006/relationships/hyperlink" Target="https://www.forestresearch.gov.uk/documents/805/fsfr011.pdf"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6</Pages>
  <Words>3060</Words>
  <Characters>17445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Kerin Roberts (2003703)</dc:creator>
  <cp:keywords/>
  <dc:description/>
  <cp:lastModifiedBy>Kerin Roberts (2003703)</cp:lastModifiedBy>
  <cp:revision>3</cp:revision>
  <dcterms:created xsi:type="dcterms:W3CDTF">2025-03-18T11:56:00Z</dcterms:created>
  <dcterms:modified xsi:type="dcterms:W3CDTF">2025-03-18T12:29:00Z</dcterms:modified>
</cp:coreProperties>
</file>