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316A79" w14:textId="77777777" w:rsidR="004915CE" w:rsidRDefault="00EC7D6D" w:rsidP="007049F5">
      <w:pPr>
        <w:pStyle w:val="NoSpacing"/>
      </w:pPr>
      <w:bookmarkStart w:id="0" w:name="_heading=h.qgfjyxmyfgpq" w:colFirst="0" w:colLast="0"/>
      <w:bookmarkEnd w:id="0"/>
      <w:r>
        <w:rPr>
          <w:noProof/>
        </w:rPr>
        <w:drawing>
          <wp:inline distT="114300" distB="114300" distL="114300" distR="114300" wp14:anchorId="0ACDCE4F" wp14:editId="147063C6">
            <wp:extent cx="2038350" cy="9048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2038350" cy="904875"/>
                    </a:xfrm>
                    <a:prstGeom prst="rect">
                      <a:avLst/>
                    </a:prstGeom>
                    <a:ln/>
                  </pic:spPr>
                </pic:pic>
              </a:graphicData>
            </a:graphic>
          </wp:inline>
        </w:drawing>
      </w:r>
    </w:p>
    <w:p w14:paraId="66CE848A" w14:textId="77777777" w:rsidR="004915CE" w:rsidRDefault="004915CE"/>
    <w:p w14:paraId="1BBF8125" w14:textId="77777777" w:rsidR="004915CE" w:rsidRDefault="004915CE"/>
    <w:p w14:paraId="1CCA2835" w14:textId="77777777" w:rsidR="004915CE" w:rsidRDefault="004915CE"/>
    <w:p w14:paraId="127542D6" w14:textId="77777777" w:rsidR="004915CE" w:rsidRDefault="004915CE"/>
    <w:p w14:paraId="3791CD75" w14:textId="77777777" w:rsidR="004915CE" w:rsidRDefault="004915CE"/>
    <w:p w14:paraId="6F83C071" w14:textId="77777777" w:rsidR="004915CE" w:rsidRDefault="004915CE"/>
    <w:p w14:paraId="2C7A9F12" w14:textId="77777777" w:rsidR="004915CE" w:rsidRDefault="004915CE">
      <w:pPr>
        <w:tabs>
          <w:tab w:val="left" w:pos="6540"/>
        </w:tabs>
        <w:rPr>
          <w:rFonts w:ascii="Arial" w:eastAsia="Arial" w:hAnsi="Arial" w:cs="Arial"/>
          <w:sz w:val="28"/>
          <w:szCs w:val="28"/>
        </w:rPr>
      </w:pPr>
      <w:bookmarkStart w:id="1" w:name="_heading=h.83pc1yyf6c2u" w:colFirst="0" w:colLast="0"/>
      <w:bookmarkEnd w:id="1"/>
    </w:p>
    <w:p w14:paraId="77353E4B" w14:textId="77777777" w:rsidR="004915CE" w:rsidRDefault="00EC7D6D">
      <w:pPr>
        <w:tabs>
          <w:tab w:val="left" w:pos="6540"/>
        </w:tabs>
        <w:rPr>
          <w:rFonts w:ascii="Arial" w:eastAsia="Arial" w:hAnsi="Arial" w:cs="Arial"/>
          <w:sz w:val="28"/>
          <w:szCs w:val="28"/>
        </w:rPr>
      </w:pPr>
      <w:r>
        <w:rPr>
          <w:rFonts w:ascii="Arial" w:eastAsia="Arial" w:hAnsi="Arial" w:cs="Arial"/>
          <w:b/>
          <w:bCs/>
          <w:sz w:val="28"/>
          <w:szCs w:val="28"/>
        </w:rPr>
        <w:t>Student name</w:t>
      </w:r>
      <w:r>
        <w:rPr>
          <w:rFonts w:ascii="Arial" w:eastAsia="Arial" w:hAnsi="Arial" w:cs="Arial"/>
          <w:sz w:val="28"/>
          <w:szCs w:val="28"/>
        </w:rPr>
        <w:t>: Angela OTILIA Feher</w:t>
      </w:r>
    </w:p>
    <w:p w14:paraId="50A3AB65" w14:textId="77777777" w:rsidR="004915CE" w:rsidRDefault="004915CE">
      <w:pPr>
        <w:tabs>
          <w:tab w:val="left" w:pos="6540"/>
        </w:tabs>
        <w:rPr>
          <w:rFonts w:ascii="Arial" w:eastAsia="Arial" w:hAnsi="Arial" w:cs="Arial"/>
          <w:sz w:val="28"/>
          <w:szCs w:val="28"/>
        </w:rPr>
      </w:pPr>
    </w:p>
    <w:p w14:paraId="31F32E1D" w14:textId="77777777" w:rsidR="004915CE" w:rsidRDefault="00EC7D6D">
      <w:pPr>
        <w:tabs>
          <w:tab w:val="left" w:pos="6540"/>
        </w:tabs>
        <w:rPr>
          <w:rFonts w:ascii="Arial" w:eastAsia="Arial" w:hAnsi="Arial" w:cs="Arial"/>
          <w:sz w:val="28"/>
          <w:szCs w:val="28"/>
        </w:rPr>
      </w:pPr>
      <w:r>
        <w:rPr>
          <w:rFonts w:ascii="Arial" w:eastAsia="Arial" w:hAnsi="Arial" w:cs="Arial"/>
          <w:b/>
          <w:bCs/>
          <w:sz w:val="28"/>
          <w:szCs w:val="28"/>
        </w:rPr>
        <w:t>Student ID</w:t>
      </w:r>
      <w:r>
        <w:rPr>
          <w:rFonts w:ascii="Arial" w:eastAsia="Arial" w:hAnsi="Arial" w:cs="Arial"/>
          <w:sz w:val="28"/>
          <w:szCs w:val="28"/>
        </w:rPr>
        <w:t>: 2335802</w:t>
      </w:r>
    </w:p>
    <w:p w14:paraId="593CE201" w14:textId="77777777" w:rsidR="004915CE" w:rsidRDefault="004915CE">
      <w:pPr>
        <w:tabs>
          <w:tab w:val="left" w:pos="6540"/>
        </w:tabs>
        <w:rPr>
          <w:rFonts w:ascii="Arial" w:eastAsia="Arial" w:hAnsi="Arial" w:cs="Arial"/>
          <w:sz w:val="28"/>
          <w:szCs w:val="28"/>
        </w:rPr>
      </w:pPr>
    </w:p>
    <w:p w14:paraId="0FB7278B" w14:textId="77777777" w:rsidR="004915CE" w:rsidRDefault="00EC7D6D">
      <w:pPr>
        <w:tabs>
          <w:tab w:val="left" w:pos="6540"/>
        </w:tabs>
        <w:rPr>
          <w:sz w:val="28"/>
          <w:szCs w:val="28"/>
        </w:rPr>
      </w:pPr>
      <w:r>
        <w:rPr>
          <w:rFonts w:ascii="Arial" w:eastAsia="Arial" w:hAnsi="Arial" w:cs="Arial"/>
          <w:b/>
          <w:bCs/>
          <w:sz w:val="28"/>
          <w:szCs w:val="28"/>
        </w:rPr>
        <w:t>Module name</w:t>
      </w:r>
      <w:r>
        <w:t xml:space="preserve">: </w:t>
      </w:r>
      <w:r>
        <w:rPr>
          <w:sz w:val="28"/>
          <w:szCs w:val="28"/>
        </w:rPr>
        <w:t>Building your Personal Brand for Sustainable Employment</w:t>
      </w:r>
    </w:p>
    <w:p w14:paraId="0074B78C" w14:textId="77777777" w:rsidR="004915CE" w:rsidRDefault="004915CE">
      <w:pPr>
        <w:tabs>
          <w:tab w:val="left" w:pos="6540"/>
        </w:tabs>
        <w:rPr>
          <w:rFonts w:ascii="Arial" w:eastAsia="Arial" w:hAnsi="Arial" w:cs="Arial"/>
          <w:sz w:val="28"/>
          <w:szCs w:val="28"/>
        </w:rPr>
      </w:pPr>
    </w:p>
    <w:p w14:paraId="18B2243E" w14:textId="77777777" w:rsidR="004915CE" w:rsidRDefault="00EC7D6D">
      <w:pPr>
        <w:tabs>
          <w:tab w:val="left" w:pos="6540"/>
        </w:tabs>
        <w:rPr>
          <w:rFonts w:ascii="Arial" w:eastAsia="Arial" w:hAnsi="Arial" w:cs="Arial"/>
          <w:sz w:val="28"/>
          <w:szCs w:val="28"/>
        </w:rPr>
      </w:pPr>
      <w:r>
        <w:rPr>
          <w:rFonts w:ascii="Arial" w:eastAsia="Arial" w:hAnsi="Arial" w:cs="Arial"/>
          <w:b/>
          <w:bCs/>
          <w:sz w:val="28"/>
          <w:szCs w:val="28"/>
        </w:rPr>
        <w:t>Module code</w:t>
      </w:r>
      <w:r>
        <w:rPr>
          <w:rFonts w:ascii="Arial" w:eastAsia="Arial" w:hAnsi="Arial" w:cs="Arial"/>
          <w:sz w:val="28"/>
          <w:szCs w:val="28"/>
        </w:rPr>
        <w:t>:</w:t>
      </w:r>
      <w:r>
        <w:t>BMHP5015</w:t>
      </w:r>
    </w:p>
    <w:p w14:paraId="052522B7" w14:textId="77777777" w:rsidR="004915CE" w:rsidRDefault="004915CE">
      <w:pPr>
        <w:pStyle w:val="Title"/>
      </w:pPr>
    </w:p>
    <w:p w14:paraId="7CB16A55" w14:textId="467C0446" w:rsidR="004915CE" w:rsidRDefault="00EC7D6D">
      <w:r>
        <w:rPr>
          <w:rFonts w:ascii="Arial" w:eastAsia="Arial" w:hAnsi="Arial" w:cs="Arial"/>
          <w:b/>
          <w:bCs/>
          <w:sz w:val="28"/>
          <w:szCs w:val="28"/>
        </w:rPr>
        <w:t>Lecturer name :</w:t>
      </w:r>
      <w:r>
        <w:rPr>
          <w:rFonts w:ascii="Arial" w:eastAsia="Arial" w:hAnsi="Arial" w:cs="Arial"/>
          <w:sz w:val="28"/>
          <w:szCs w:val="28"/>
        </w:rPr>
        <w:t xml:space="preserve">Christopher </w:t>
      </w:r>
      <w:proofErr w:type="spellStart"/>
      <w:r>
        <w:rPr>
          <w:rFonts w:ascii="Arial" w:eastAsia="Arial" w:hAnsi="Arial" w:cs="Arial"/>
          <w:sz w:val="28"/>
          <w:szCs w:val="28"/>
        </w:rPr>
        <w:t>Mafuv</w:t>
      </w:r>
      <w:r w:rsidR="005218A6">
        <w:rPr>
          <w:rFonts w:ascii="Arial" w:eastAsia="Arial" w:hAnsi="Arial" w:cs="Arial"/>
          <w:sz w:val="28"/>
          <w:szCs w:val="28"/>
        </w:rPr>
        <w:t>a</w:t>
      </w:r>
      <w:proofErr w:type="spellEnd"/>
    </w:p>
    <w:p w14:paraId="3D4928A4" w14:textId="77777777" w:rsidR="004915CE" w:rsidRDefault="004915CE">
      <w:pPr>
        <w:pStyle w:val="Title"/>
      </w:pPr>
      <w:bookmarkStart w:id="2" w:name="_heading=h.2fnwalxvpop9" w:colFirst="0" w:colLast="0"/>
      <w:bookmarkEnd w:id="2"/>
    </w:p>
    <w:p w14:paraId="3AA8F112" w14:textId="77777777" w:rsidR="004915CE" w:rsidRDefault="004915CE">
      <w:pPr>
        <w:jc w:val="center"/>
        <w:rPr>
          <w:b/>
          <w:bCs/>
          <w:sz w:val="28"/>
          <w:szCs w:val="28"/>
        </w:rPr>
      </w:pPr>
      <w:bookmarkStart w:id="3" w:name="_heading=h.5rkeqoewej6n" w:colFirst="0" w:colLast="0"/>
      <w:bookmarkEnd w:id="3"/>
    </w:p>
    <w:p w14:paraId="7E35230A" w14:textId="77777777" w:rsidR="004915CE" w:rsidRDefault="004915CE">
      <w:pPr>
        <w:jc w:val="center"/>
        <w:rPr>
          <w:b/>
          <w:bCs/>
          <w:sz w:val="28"/>
          <w:szCs w:val="28"/>
        </w:rPr>
      </w:pPr>
    </w:p>
    <w:p w14:paraId="578E3F3A" w14:textId="77777777" w:rsidR="004915CE" w:rsidRDefault="004915CE">
      <w:pPr>
        <w:jc w:val="center"/>
        <w:rPr>
          <w:b/>
          <w:bCs/>
          <w:sz w:val="28"/>
          <w:szCs w:val="28"/>
        </w:rPr>
      </w:pPr>
    </w:p>
    <w:p w14:paraId="071C7302" w14:textId="77777777" w:rsidR="004915CE" w:rsidRDefault="004915CE">
      <w:pPr>
        <w:jc w:val="center"/>
        <w:rPr>
          <w:b/>
          <w:bCs/>
          <w:sz w:val="28"/>
          <w:szCs w:val="28"/>
        </w:rPr>
      </w:pPr>
    </w:p>
    <w:p w14:paraId="6974CC85" w14:textId="77777777" w:rsidR="004915CE" w:rsidRDefault="004915CE">
      <w:pPr>
        <w:jc w:val="center"/>
        <w:rPr>
          <w:b/>
          <w:bCs/>
          <w:sz w:val="28"/>
          <w:szCs w:val="28"/>
        </w:rPr>
      </w:pPr>
    </w:p>
    <w:p w14:paraId="40D6FE61" w14:textId="77777777" w:rsidR="004915CE" w:rsidRDefault="004915CE">
      <w:pPr>
        <w:jc w:val="center"/>
        <w:rPr>
          <w:b/>
          <w:bCs/>
          <w:sz w:val="28"/>
          <w:szCs w:val="28"/>
        </w:rPr>
      </w:pPr>
    </w:p>
    <w:p w14:paraId="12E9B6F1" w14:textId="77777777" w:rsidR="004915CE" w:rsidRDefault="004915CE">
      <w:pPr>
        <w:jc w:val="center"/>
        <w:rPr>
          <w:b/>
          <w:bCs/>
          <w:sz w:val="28"/>
          <w:szCs w:val="28"/>
        </w:rPr>
      </w:pPr>
    </w:p>
    <w:p w14:paraId="2B1BFE04" w14:textId="77777777" w:rsidR="004915CE" w:rsidRDefault="004915CE">
      <w:pPr>
        <w:jc w:val="center"/>
        <w:rPr>
          <w:b/>
          <w:bCs/>
          <w:sz w:val="28"/>
          <w:szCs w:val="28"/>
        </w:rPr>
      </w:pPr>
    </w:p>
    <w:p w14:paraId="6BEC9759" w14:textId="77777777" w:rsidR="004915CE" w:rsidRDefault="00EC7D6D">
      <w:pPr>
        <w:jc w:val="center"/>
        <w:rPr>
          <w:b/>
          <w:bCs/>
          <w:sz w:val="28"/>
          <w:szCs w:val="28"/>
        </w:rPr>
      </w:pPr>
      <w:r>
        <w:rPr>
          <w:b/>
          <w:bCs/>
          <w:sz w:val="28"/>
          <w:szCs w:val="28"/>
        </w:rPr>
        <w:t>Table of Contents</w:t>
      </w:r>
    </w:p>
    <w:sdt>
      <w:sdtPr>
        <w:id w:val="-201925913"/>
        <w:docPartObj>
          <w:docPartGallery w:val="Table of Contents"/>
          <w:docPartUnique/>
        </w:docPartObj>
      </w:sdtPr>
      <w:sdtEndPr/>
      <w:sdtContent>
        <w:p w14:paraId="6E771E80" w14:textId="77777777" w:rsidR="004915CE" w:rsidRDefault="00EC7D6D">
          <w:pPr>
            <w:widowControl w:val="0"/>
            <w:tabs>
              <w:tab w:val="right" w:pos="12000"/>
            </w:tabs>
            <w:spacing w:before="60" w:line="240" w:lineRule="auto"/>
            <w:jc w:val="left"/>
            <w:rPr>
              <w:rFonts w:ascii="Arial" w:eastAsia="Arial" w:hAnsi="Arial" w:cs="Arial"/>
              <w:b/>
              <w:bCs/>
              <w:color w:val="000000"/>
              <w:sz w:val="22"/>
              <w:szCs w:val="22"/>
            </w:rPr>
          </w:pPr>
          <w:r>
            <w:fldChar w:fldCharType="begin"/>
          </w:r>
          <w:r>
            <w:instrText xml:space="preserve"> TOC \h \u \z \t "Heading 1,1,Heading 2,2,Heading 3,3,Heading 4,4,Heading 5,5,Heading 6,6,"</w:instrText>
          </w:r>
          <w:r>
            <w:fldChar w:fldCharType="separate"/>
          </w:r>
          <w:hyperlink w:anchor="_heading=h.b5cq9kh5nj0n">
            <w:r>
              <w:rPr>
                <w:b/>
                <w:bCs/>
                <w:color w:val="000000"/>
              </w:rPr>
              <w:t>1. Introduction</w:t>
            </w:r>
            <w:r>
              <w:rPr>
                <w:b/>
                <w:bCs/>
                <w:color w:val="000000"/>
              </w:rPr>
              <w:tab/>
              <w:t>3</w:t>
            </w:r>
          </w:hyperlink>
        </w:p>
        <w:p w14:paraId="6ADA075D" w14:textId="77777777" w:rsidR="004915CE" w:rsidRDefault="00EC7D6D">
          <w:pPr>
            <w:widowControl w:val="0"/>
            <w:tabs>
              <w:tab w:val="right" w:pos="12000"/>
            </w:tabs>
            <w:spacing w:before="60" w:line="240" w:lineRule="auto"/>
            <w:jc w:val="left"/>
            <w:rPr>
              <w:rFonts w:ascii="Arial" w:eastAsia="Arial" w:hAnsi="Arial" w:cs="Arial"/>
              <w:b/>
              <w:bCs/>
              <w:color w:val="000000"/>
              <w:sz w:val="22"/>
              <w:szCs w:val="22"/>
            </w:rPr>
          </w:pPr>
          <w:hyperlink w:anchor="_heading=h.d8kxdynrgz7s">
            <w:r>
              <w:rPr>
                <w:b/>
                <w:bCs/>
                <w:color w:val="000000"/>
              </w:rPr>
              <w:t>2. Reflection on Unit 1: Brand You</w:t>
            </w:r>
            <w:r>
              <w:rPr>
                <w:b/>
                <w:bCs/>
                <w:color w:val="000000"/>
              </w:rPr>
              <w:tab/>
              <w:t>3</w:t>
            </w:r>
          </w:hyperlink>
        </w:p>
        <w:p w14:paraId="49596628" w14:textId="77777777" w:rsidR="004915CE" w:rsidRDefault="00EC7D6D">
          <w:pPr>
            <w:widowControl w:val="0"/>
            <w:tabs>
              <w:tab w:val="right" w:pos="12000"/>
            </w:tabs>
            <w:spacing w:before="60" w:line="240" w:lineRule="auto"/>
            <w:jc w:val="left"/>
            <w:rPr>
              <w:rFonts w:ascii="Arial" w:eastAsia="Arial" w:hAnsi="Arial" w:cs="Arial"/>
              <w:b/>
              <w:bCs/>
              <w:color w:val="000000"/>
              <w:sz w:val="22"/>
              <w:szCs w:val="22"/>
            </w:rPr>
          </w:pPr>
          <w:hyperlink w:anchor="_heading=h.ul8l0kteoweu">
            <w:r>
              <w:rPr>
                <w:b/>
                <w:bCs/>
                <w:color w:val="000000"/>
              </w:rPr>
              <w:t>3. Reflection on Unit 2: It’s a Small World</w:t>
            </w:r>
            <w:r>
              <w:rPr>
                <w:b/>
                <w:bCs/>
                <w:color w:val="000000"/>
              </w:rPr>
              <w:tab/>
              <w:t>6</w:t>
            </w:r>
          </w:hyperlink>
        </w:p>
        <w:p w14:paraId="05B0F19D" w14:textId="77777777" w:rsidR="004915CE" w:rsidRDefault="00EC7D6D">
          <w:pPr>
            <w:widowControl w:val="0"/>
            <w:tabs>
              <w:tab w:val="right" w:pos="12000"/>
            </w:tabs>
            <w:spacing w:before="60" w:line="240" w:lineRule="auto"/>
            <w:jc w:val="left"/>
            <w:rPr>
              <w:rFonts w:ascii="Arial" w:eastAsia="Arial" w:hAnsi="Arial" w:cs="Arial"/>
              <w:b/>
              <w:bCs/>
              <w:color w:val="000000"/>
              <w:sz w:val="22"/>
              <w:szCs w:val="22"/>
            </w:rPr>
          </w:pPr>
          <w:hyperlink w:anchor="_heading=h.a5edk93xznnb">
            <w:r>
              <w:rPr>
                <w:b/>
                <w:bCs/>
                <w:color w:val="000000"/>
              </w:rPr>
              <w:t>4. Reflection on Unit 3: Opportunity Knocks</w:t>
            </w:r>
            <w:r>
              <w:rPr>
                <w:b/>
                <w:bCs/>
                <w:color w:val="000000"/>
              </w:rPr>
              <w:tab/>
              <w:t>8</w:t>
            </w:r>
          </w:hyperlink>
        </w:p>
        <w:p w14:paraId="7031C8C8" w14:textId="77777777" w:rsidR="004915CE" w:rsidRDefault="00EC7D6D">
          <w:pPr>
            <w:widowControl w:val="0"/>
            <w:tabs>
              <w:tab w:val="right" w:pos="12000"/>
            </w:tabs>
            <w:spacing w:before="60" w:line="240" w:lineRule="auto"/>
            <w:jc w:val="left"/>
            <w:rPr>
              <w:rFonts w:ascii="Arial" w:eastAsia="Arial" w:hAnsi="Arial" w:cs="Arial"/>
              <w:b/>
              <w:bCs/>
              <w:color w:val="000000"/>
              <w:sz w:val="22"/>
              <w:szCs w:val="22"/>
            </w:rPr>
          </w:pPr>
          <w:hyperlink w:anchor="_heading=h.334dfjvc79ow">
            <w:r>
              <w:rPr>
                <w:b/>
                <w:bCs/>
                <w:color w:val="000000"/>
              </w:rPr>
              <w:t>5. Reflection on Unit 4: The Pursuit of Happiness</w:t>
            </w:r>
            <w:r>
              <w:rPr>
                <w:b/>
                <w:bCs/>
                <w:color w:val="000000"/>
              </w:rPr>
              <w:tab/>
              <w:t>11</w:t>
            </w:r>
          </w:hyperlink>
        </w:p>
        <w:p w14:paraId="40F09C10" w14:textId="77777777" w:rsidR="004915CE" w:rsidRDefault="00EC7D6D">
          <w:pPr>
            <w:widowControl w:val="0"/>
            <w:tabs>
              <w:tab w:val="right" w:pos="12000"/>
            </w:tabs>
            <w:spacing w:before="60" w:line="240" w:lineRule="auto"/>
            <w:jc w:val="left"/>
            <w:rPr>
              <w:rFonts w:ascii="Arial" w:eastAsia="Arial" w:hAnsi="Arial" w:cs="Arial"/>
              <w:b/>
              <w:bCs/>
              <w:color w:val="000000"/>
              <w:sz w:val="22"/>
              <w:szCs w:val="22"/>
            </w:rPr>
          </w:pPr>
          <w:hyperlink w:anchor="_heading=h.vw956xidjfcy">
            <w:r>
              <w:rPr>
                <w:b/>
                <w:bCs/>
                <w:color w:val="000000"/>
              </w:rPr>
              <w:t>6. Conclusion</w:t>
            </w:r>
            <w:r>
              <w:rPr>
                <w:b/>
                <w:bCs/>
                <w:color w:val="000000"/>
              </w:rPr>
              <w:tab/>
              <w:t>13</w:t>
            </w:r>
          </w:hyperlink>
        </w:p>
        <w:p w14:paraId="699FF1F1" w14:textId="77777777" w:rsidR="004915CE" w:rsidRDefault="00EC7D6D">
          <w:pPr>
            <w:widowControl w:val="0"/>
            <w:tabs>
              <w:tab w:val="right" w:pos="12000"/>
            </w:tabs>
            <w:spacing w:before="60" w:line="240" w:lineRule="auto"/>
            <w:jc w:val="left"/>
            <w:rPr>
              <w:rFonts w:ascii="Arial" w:eastAsia="Arial" w:hAnsi="Arial" w:cs="Arial"/>
              <w:b/>
              <w:bCs/>
              <w:color w:val="000000"/>
              <w:sz w:val="22"/>
              <w:szCs w:val="22"/>
            </w:rPr>
          </w:pPr>
          <w:hyperlink w:anchor="_heading=h.4tj59er99axx">
            <w:r>
              <w:rPr>
                <w:b/>
                <w:bCs/>
                <w:color w:val="000000"/>
              </w:rPr>
              <w:t>7. Reference</w:t>
            </w:r>
            <w:r>
              <w:rPr>
                <w:b/>
                <w:bCs/>
                <w:color w:val="000000"/>
              </w:rPr>
              <w:tab/>
              <w:t>15</w:t>
            </w:r>
          </w:hyperlink>
          <w:r>
            <w:fldChar w:fldCharType="end"/>
          </w:r>
        </w:p>
      </w:sdtContent>
    </w:sdt>
    <w:p w14:paraId="3811AC7A" w14:textId="77777777" w:rsidR="004915CE" w:rsidRDefault="004915CE">
      <w:pPr>
        <w:jc w:val="center"/>
        <w:rPr>
          <w:b/>
          <w:bCs/>
          <w:sz w:val="28"/>
          <w:szCs w:val="28"/>
        </w:rPr>
      </w:pPr>
    </w:p>
    <w:p w14:paraId="19129CD0" w14:textId="77777777" w:rsidR="004915CE" w:rsidRDefault="00EC7D6D">
      <w:r>
        <w:br w:type="page"/>
      </w:r>
    </w:p>
    <w:p w14:paraId="7A169EE4" w14:textId="77777777" w:rsidR="004915CE" w:rsidRDefault="00EC7D6D">
      <w:pPr>
        <w:pStyle w:val="Heading1"/>
      </w:pPr>
      <w:bookmarkStart w:id="4" w:name="_heading=h.b5cq9kh5nj0n" w:colFirst="0" w:colLast="0"/>
      <w:bookmarkEnd w:id="4"/>
      <w:r>
        <w:lastRenderedPageBreak/>
        <w:t>1. Introduction</w:t>
      </w:r>
    </w:p>
    <w:p w14:paraId="50DA8E08" w14:textId="4AF47191" w:rsidR="004915CE" w:rsidRDefault="00EC7D6D">
      <w:r>
        <w:t>Changemakers Building Your Brand to Sustainable Employment module has equipped me with the knowledge and requisite practical skills necessary to create a sustainable career in the modern context of employment. This module has prompted me to think critically about my own strengths, future career prospects, and employability in the health and social care sector. This portfolio represents my learning outcomes in the four key units of the module and how each of the areas covered has helped me grow personally an</w:t>
      </w:r>
      <w:r>
        <w:t xml:space="preserve">d become prepared professionally. The major themes addressed in this portfolio are personal branding, networking, developing a boundaryless career, emotional intelligence, and wellbeing. I understand that these are the areas that will be necessary to develop a good professional identity and to cope with the changing work environments efficiently. I also have realized that effective interpersonal communication, self-awareness, resilience, and emotional control are very essential aspects of health and social </w:t>
      </w:r>
      <w:r>
        <w:t>care practice as they directly affect the relationship between the professional and the quality of service offered to the service users. It is well known that cultivating employability based on self-awareness, adaptability, and professional identity is the key to sustainable career development in the present day practice of health and social care (</w:t>
      </w:r>
      <w:r w:rsidR="005218A6">
        <w:t>Scaramella</w:t>
      </w:r>
      <w:r>
        <w:t xml:space="preserve"> and Ferrari, 2024). </w:t>
      </w:r>
    </w:p>
    <w:p w14:paraId="6B87B6D3" w14:textId="77777777" w:rsidR="004915CE" w:rsidRDefault="00EC7D6D">
      <w:pPr>
        <w:pStyle w:val="Heading1"/>
      </w:pPr>
      <w:bookmarkStart w:id="5" w:name="_heading=h.d8kxdynrgz7s" w:colFirst="0" w:colLast="0"/>
      <w:bookmarkEnd w:id="5"/>
      <w:r>
        <w:t>2. Reflection on Unit 1: Brand You</w:t>
      </w:r>
    </w:p>
    <w:p w14:paraId="507DA866" w14:textId="77777777" w:rsidR="004915CE" w:rsidRDefault="00EC7D6D">
      <w:r>
        <w:t xml:space="preserve">Unit 1 was concerned with personal branding and presented the reason why it is essential to have a clear professional identity in order to be a successful individual in the future. I have been informed that personal branding is not merely about qualification but the way an individual packages his or her values, attitudes and abilities to other people within the working environment. When engaging in a Moodle forum activity, I wrote my professional aspirations in the health and social care field and the type </w:t>
      </w:r>
      <w:r>
        <w:t>of professional I would aspire to become. This exercise allowed me to realise that personal branding in health and social care is strongly connected to trust, empathy, and ethical behaviour since the service users and colleagues tend to evaluate professionalism in terms of communication and behaviour. I understood that the formation of a strong personal identity would assist me in projecting myself in the future within employment contexts with confidence and earn top points in a healthcare setting.</w:t>
      </w:r>
    </w:p>
    <w:p w14:paraId="7FB232AF" w14:textId="77777777" w:rsidR="004915CE" w:rsidRDefault="00EC7D6D">
      <w:r>
        <w:t xml:space="preserve">One of the key ideas that were taught in this unit was ambition and career planning (Chatten, 2023). As the classroom discussion on ambition was taking place, I also took a moment to ponder about my short-term career goals and long-term career goals and realised how my personal values affect my direction. I figured out how ambition provides focus and assists in </w:t>
      </w:r>
      <w:r>
        <w:lastRenderedPageBreak/>
        <w:t>changing the broad career concepts into realistic ones. This exercise of goal setting allowed me to realise that professional growth does not need opportunities to emerge, but instead it needs to be planned all the time. This got me to reflect more seriously on how I can work slowly on developing the knowledge and skills required in health and social care practise. Subsequently, the ability to have goals that are clear will enable me to remain goal-oriented in regard to the career development and advancemen</w:t>
      </w:r>
      <w:r>
        <w:t>t in the future in further enhancing my professional competence.</w:t>
      </w:r>
    </w:p>
    <w:p w14:paraId="724F5769" w14:textId="77777777" w:rsidR="004915CE" w:rsidRDefault="00EC7D6D">
      <w:r>
        <w:t xml:space="preserve">Another area of learning that I took into consideration in Unit 1 was self-awareness. My strengths, weaknesses, and behaviours regarding communication with other people were considered through the self-awareness discussion and reflection activities. The concept of Johari Window allowed me to realise that other observers can see something in me that I otherwise would not notice. I also discovered that I needed to be self-aware as health and social care professionals should know how their behaviour is likely </w:t>
      </w:r>
      <w:r>
        <w:t>to influence communication, collaboration, and patient interactions. Another assessment that enabled me to think of the way I handle emotions in a stressful situation was the emotional intelligence quiz. The experience taught me that I need to be able to respond rationally to stressful circumstances through emotional control and self-reflection. Self-awareness will assist me to enhance decision making, communication and other professional relations with the service users and colleagues in my future role (Qu</w:t>
      </w:r>
      <w:r>
        <w:t>drat-Ullah, 2025). The theory of autonomy, mastery and purpose presented by Pink also enabled me to appreciate that motivation in health and social care is the result of continuous improvement, personal responsibility as well as being personally driven by having a meaningful purpose of serving others (Spector, 2022).</w:t>
      </w:r>
    </w:p>
    <w:p w14:paraId="68D95074" w14:textId="77777777" w:rsidR="004915CE" w:rsidRDefault="00EC7D6D">
      <w:pPr>
        <w:rPr>
          <w:b/>
          <w:bCs/>
        </w:rPr>
      </w:pPr>
      <w:r>
        <w:rPr>
          <w:b/>
          <w:bCs/>
        </w:rPr>
        <w:t>Figures of Learning Activities</w:t>
      </w:r>
    </w:p>
    <w:p w14:paraId="73F04EF9" w14:textId="77777777" w:rsidR="004915CE" w:rsidRDefault="00EC7D6D">
      <w:pPr>
        <w:rPr>
          <w:b/>
          <w:bCs/>
        </w:rPr>
      </w:pPr>
      <w:r>
        <w:rPr>
          <w:b/>
          <w:bCs/>
        </w:rPr>
        <w:t>Figure 1 – Moodle Forum Post on Career Goals</w:t>
      </w:r>
    </w:p>
    <w:p w14:paraId="6512A8AE" w14:textId="77777777" w:rsidR="004915CE" w:rsidRDefault="00EC7D6D">
      <w:r>
        <w:rPr>
          <w:noProof/>
        </w:rPr>
        <w:lastRenderedPageBreak/>
        <w:drawing>
          <wp:inline distT="114300" distB="114300" distL="114300" distR="114300" wp14:anchorId="36B069D0" wp14:editId="28D823F6">
            <wp:extent cx="5731200" cy="3225800"/>
            <wp:effectExtent l="0" t="0" r="0" b="0"/>
            <wp:docPr id="3"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6"/>
                    <a:srcRect/>
                    <a:stretch>
                      <a:fillRect/>
                    </a:stretch>
                  </pic:blipFill>
                  <pic:spPr>
                    <a:xfrm>
                      <a:off x="0" y="0"/>
                      <a:ext cx="5731200" cy="3225800"/>
                    </a:xfrm>
                    <a:prstGeom prst="rect">
                      <a:avLst/>
                    </a:prstGeom>
                    <a:ln/>
                  </pic:spPr>
                </pic:pic>
              </a:graphicData>
            </a:graphic>
          </wp:inline>
        </w:drawing>
      </w:r>
    </w:p>
    <w:p w14:paraId="17DE0FBA" w14:textId="77777777" w:rsidR="004915CE" w:rsidRDefault="00EC7D6D">
      <w:r>
        <w:t>This figure shows my forum post where I discussed my career goal in the health and social care field and explained the motivation behind my chosen profession.</w:t>
      </w:r>
    </w:p>
    <w:p w14:paraId="3D0E175B" w14:textId="77777777" w:rsidR="004915CE" w:rsidRDefault="00EC7D6D">
      <w:pPr>
        <w:rPr>
          <w:b/>
          <w:bCs/>
        </w:rPr>
      </w:pPr>
      <w:r>
        <w:rPr>
          <w:b/>
          <w:bCs/>
        </w:rPr>
        <w:t>Figure 2 – Class Activity on Ambition</w:t>
      </w:r>
    </w:p>
    <w:p w14:paraId="60A2CE28" w14:textId="77777777" w:rsidR="004915CE" w:rsidRDefault="00EC7D6D">
      <w:r>
        <w:rPr>
          <w:noProof/>
        </w:rPr>
        <w:drawing>
          <wp:inline distT="114300" distB="114300" distL="114300" distR="114300" wp14:anchorId="06E84E37" wp14:editId="190D5027">
            <wp:extent cx="5731200" cy="3225800"/>
            <wp:effectExtent l="0" t="0" r="0" b="0"/>
            <wp:docPr id="2"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7"/>
                    <a:srcRect/>
                    <a:stretch>
                      <a:fillRect/>
                    </a:stretch>
                  </pic:blipFill>
                  <pic:spPr>
                    <a:xfrm>
                      <a:off x="0" y="0"/>
                      <a:ext cx="5731200" cy="3225800"/>
                    </a:xfrm>
                    <a:prstGeom prst="rect">
                      <a:avLst/>
                    </a:prstGeom>
                    <a:ln/>
                  </pic:spPr>
                </pic:pic>
              </a:graphicData>
            </a:graphic>
          </wp:inline>
        </w:drawing>
      </w:r>
    </w:p>
    <w:p w14:paraId="60CBB50A" w14:textId="77777777" w:rsidR="004915CE" w:rsidRDefault="00EC7D6D">
      <w:r>
        <w:t>This figure presents the class activity where we discussed the meaning of ambition and reflected on how ambition influences career development.</w:t>
      </w:r>
    </w:p>
    <w:p w14:paraId="01ED18AD" w14:textId="77777777" w:rsidR="004915CE" w:rsidRDefault="00EC7D6D">
      <w:pPr>
        <w:rPr>
          <w:b/>
          <w:bCs/>
        </w:rPr>
      </w:pPr>
      <w:r>
        <w:rPr>
          <w:b/>
          <w:bCs/>
        </w:rPr>
        <w:t>Figure 3 – Goal Setting Exercise</w:t>
      </w:r>
    </w:p>
    <w:p w14:paraId="7FD868BB" w14:textId="77777777" w:rsidR="004915CE" w:rsidRDefault="00EC7D6D">
      <w:r>
        <w:rPr>
          <w:noProof/>
        </w:rPr>
        <w:lastRenderedPageBreak/>
        <w:drawing>
          <wp:inline distT="114300" distB="114300" distL="114300" distR="114300" wp14:anchorId="2EC8962D" wp14:editId="6036040D">
            <wp:extent cx="5731200" cy="3225800"/>
            <wp:effectExtent l="0" t="0" r="0" b="0"/>
            <wp:docPr id="5" name="image13.jpg"/>
            <wp:cNvGraphicFramePr/>
            <a:graphic xmlns:a="http://schemas.openxmlformats.org/drawingml/2006/main">
              <a:graphicData uri="http://schemas.openxmlformats.org/drawingml/2006/picture">
                <pic:pic xmlns:pic="http://schemas.openxmlformats.org/drawingml/2006/picture">
                  <pic:nvPicPr>
                    <pic:cNvPr id="0" name="image13.jpg"/>
                    <pic:cNvPicPr preferRelativeResize="0"/>
                  </pic:nvPicPr>
                  <pic:blipFill>
                    <a:blip r:embed="rId8"/>
                    <a:srcRect/>
                    <a:stretch>
                      <a:fillRect/>
                    </a:stretch>
                  </pic:blipFill>
                  <pic:spPr>
                    <a:xfrm>
                      <a:off x="0" y="0"/>
                      <a:ext cx="5731200" cy="3225800"/>
                    </a:xfrm>
                    <a:prstGeom prst="rect">
                      <a:avLst/>
                    </a:prstGeom>
                    <a:ln/>
                  </pic:spPr>
                </pic:pic>
              </a:graphicData>
            </a:graphic>
          </wp:inline>
        </w:drawing>
      </w:r>
    </w:p>
    <w:p w14:paraId="2C36BD81" w14:textId="77777777" w:rsidR="004915CE" w:rsidRDefault="00EC7D6D">
      <w:r>
        <w:t>This figure illustrates the goal-setting exercise completed during the lecture, where I identified my short-term and long-term career goals.</w:t>
      </w:r>
    </w:p>
    <w:p w14:paraId="4B10DA1A" w14:textId="77777777" w:rsidR="004915CE" w:rsidRDefault="00EC7D6D">
      <w:pPr>
        <w:pStyle w:val="Heading1"/>
      </w:pPr>
      <w:bookmarkStart w:id="6" w:name="_heading=h.ul8l0kteoweu" w:colFirst="0" w:colLast="0"/>
      <w:bookmarkEnd w:id="6"/>
      <w:r>
        <w:t>3. Reflection on Unit 2: It’s a Small World</w:t>
      </w:r>
    </w:p>
    <w:p w14:paraId="608BE1EC" w14:textId="77777777" w:rsidR="004915CE" w:rsidRDefault="00EC7D6D">
      <w:r>
        <w:t>The unit 2 dealt with global relations, network and cultural diversity and revealed the growing impact of global interaction and collaboration on professional careers. I got to know, networking is not just a matter of getting contacts that would lead to employment, but also sharing information with others, learning and having confidence through professional communication. In the Moodle networking forum activity, I posted concepts regarding how networking can serve as an aid to career in health and social ca</w:t>
      </w:r>
      <w:r>
        <w:t>re. The given activity enabled me to realise that professional relationships may offer an opportunity to learn and introduce people to alternative career paths (Zalli, 2024). I also discovered that networking is particularly relevant in the field of health and social care, as professionals in this sphere usually can collaborate in a multidisciplinary team and identify nurses, social workers, psychologists, and community support services. Networking will facilitate the development of cooperative relations an</w:t>
      </w:r>
      <w:r>
        <w:t>d enhancement of communication in various care settings in my future professional role.</w:t>
      </w:r>
    </w:p>
    <w:p w14:paraId="716709B3" w14:textId="77777777" w:rsidR="004915CE" w:rsidRDefault="00EC7D6D">
      <w:r>
        <w:t xml:space="preserve">The cultural diversity and international awareness was another significant area in this unit. Through the diversity topic on the classroom, I contemplated the way other cultural people could communicate differently and could have varied expectations with regard to care and support. The Cultural Dimensions theory by Hofstede made me realise that such aspects of cultural values as power distance, communication style, and attitudes to power are not </w:t>
      </w:r>
      <w:r>
        <w:lastRenderedPageBreak/>
        <w:t>universal, and that they can impact professional interactions (</w:t>
      </w:r>
      <w:proofErr w:type="spellStart"/>
      <w:r>
        <w:t>Bojadjiev</w:t>
      </w:r>
      <w:proofErr w:type="spellEnd"/>
      <w:r>
        <w:rPr>
          <w:i/>
          <w:iCs/>
        </w:rPr>
        <w:t xml:space="preserve"> et al</w:t>
      </w:r>
      <w:r>
        <w:t>., 2023). This activity made me aware that cultural awareness is necessary to prevent misunderstanding and offer respectful care to culturally diverse people. This learning will enable me to be more responsive to service users and colleagues working within other cultures in the health and social care practise and enhance the communication that will be inclusive.</w:t>
      </w:r>
    </w:p>
    <w:p w14:paraId="18EC189B" w14:textId="77777777" w:rsidR="004915CE" w:rsidRDefault="00EC7D6D">
      <w:r>
        <w:t>Another lesson that the unit emphasised is the need to learn through various professional connections and points of view. The networking case study activity showed me that conflict among professionals with various experiences may be reduced by mutual cooperation to find a better approach to solving the issue and make decisions. I was taught that professional development is usually realised when it happens in a listening process and accepting different perspectives instead of solely basing on individual know</w:t>
      </w:r>
      <w:r>
        <w:t>ledge. This made me realise that international and heterogeneous networks reinforce professional flexibility since they subject the individuals to fresh intellects and practises. I will apply this learning in my future health and social care practise by ensuring that I remain open, consult the experienced professionals, and constantly enhance my professional knowledge through shared learning.</w:t>
      </w:r>
    </w:p>
    <w:p w14:paraId="3478C076" w14:textId="77777777" w:rsidR="004915CE" w:rsidRDefault="00EC7D6D">
      <w:pPr>
        <w:rPr>
          <w:b/>
          <w:bCs/>
        </w:rPr>
      </w:pPr>
      <w:r>
        <w:rPr>
          <w:b/>
          <w:bCs/>
        </w:rPr>
        <w:t>Figures of Forum Activities</w:t>
      </w:r>
    </w:p>
    <w:p w14:paraId="177C33A7" w14:textId="77777777" w:rsidR="004915CE" w:rsidRDefault="00EC7D6D">
      <w:pPr>
        <w:rPr>
          <w:b/>
          <w:bCs/>
        </w:rPr>
      </w:pPr>
      <w:r>
        <w:rPr>
          <w:b/>
          <w:bCs/>
        </w:rPr>
        <w:t>Figure 1 – Networking Forum Discussion</w:t>
      </w:r>
    </w:p>
    <w:p w14:paraId="12D65DC5" w14:textId="77777777" w:rsidR="004915CE" w:rsidRDefault="00EC7D6D">
      <w:pPr>
        <w:jc w:val="center"/>
      </w:pPr>
      <w:r>
        <w:rPr>
          <w:noProof/>
        </w:rPr>
        <w:drawing>
          <wp:inline distT="114300" distB="114300" distL="114300" distR="114300" wp14:anchorId="13466069" wp14:editId="0DED4F06">
            <wp:extent cx="5731200" cy="3225800"/>
            <wp:effectExtent l="0" t="0" r="0" b="0"/>
            <wp:docPr id="4"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9"/>
                    <a:srcRect/>
                    <a:stretch>
                      <a:fillRect/>
                    </a:stretch>
                  </pic:blipFill>
                  <pic:spPr>
                    <a:xfrm>
                      <a:off x="0" y="0"/>
                      <a:ext cx="5731200" cy="3225800"/>
                    </a:xfrm>
                    <a:prstGeom prst="rect">
                      <a:avLst/>
                    </a:prstGeom>
                    <a:ln/>
                  </pic:spPr>
                </pic:pic>
              </a:graphicData>
            </a:graphic>
          </wp:inline>
        </w:drawing>
      </w:r>
      <w:r>
        <w:br/>
        <w:t>This figure shows my participation in a forum discussion about the importance of networking in professional development and career opportunities.</w:t>
      </w:r>
    </w:p>
    <w:p w14:paraId="44D808B6" w14:textId="77777777" w:rsidR="004915CE" w:rsidRDefault="00EC7D6D">
      <w:pPr>
        <w:rPr>
          <w:b/>
          <w:bCs/>
        </w:rPr>
      </w:pPr>
      <w:r>
        <w:rPr>
          <w:b/>
          <w:bCs/>
        </w:rPr>
        <w:t>Figure 2 – Diversity Discussion Activity</w:t>
      </w:r>
    </w:p>
    <w:p w14:paraId="2ED30629" w14:textId="77777777" w:rsidR="004915CE" w:rsidRDefault="00EC7D6D">
      <w:r>
        <w:rPr>
          <w:noProof/>
        </w:rPr>
        <w:lastRenderedPageBreak/>
        <w:drawing>
          <wp:inline distT="114300" distB="114300" distL="114300" distR="114300" wp14:anchorId="63FD5977" wp14:editId="095E2498">
            <wp:extent cx="5731200" cy="3225800"/>
            <wp:effectExtent l="0" t="0" r="0" b="0"/>
            <wp:docPr id="7"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0"/>
                    <a:srcRect/>
                    <a:stretch>
                      <a:fillRect/>
                    </a:stretch>
                  </pic:blipFill>
                  <pic:spPr>
                    <a:xfrm>
                      <a:off x="0" y="0"/>
                      <a:ext cx="5731200" cy="3225800"/>
                    </a:xfrm>
                    <a:prstGeom prst="rect">
                      <a:avLst/>
                    </a:prstGeom>
                    <a:ln/>
                  </pic:spPr>
                </pic:pic>
              </a:graphicData>
            </a:graphic>
          </wp:inline>
        </w:drawing>
      </w:r>
      <w:r>
        <w:br/>
        <w:t xml:space="preserve"> This figure illustrates the class discussion on cultural diversity, where students shared perspectives on how cultural differences influence communication and teamwork.</w:t>
      </w:r>
    </w:p>
    <w:p w14:paraId="70A016C7" w14:textId="77777777" w:rsidR="004915CE" w:rsidRDefault="00EC7D6D">
      <w:pPr>
        <w:rPr>
          <w:b/>
          <w:bCs/>
        </w:rPr>
      </w:pPr>
      <w:r>
        <w:rPr>
          <w:b/>
          <w:bCs/>
        </w:rPr>
        <w:t>Figure 3 – Networking Case Study</w:t>
      </w:r>
    </w:p>
    <w:p w14:paraId="4896BFDC" w14:textId="77777777" w:rsidR="004915CE" w:rsidRDefault="00EC7D6D">
      <w:r>
        <w:rPr>
          <w:noProof/>
        </w:rPr>
        <w:drawing>
          <wp:inline distT="114300" distB="114300" distL="114300" distR="114300" wp14:anchorId="7BAE8015" wp14:editId="70748D8D">
            <wp:extent cx="5731200" cy="3225800"/>
            <wp:effectExtent l="0" t="0" r="0" b="0"/>
            <wp:docPr id="6"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1"/>
                    <a:srcRect/>
                    <a:stretch>
                      <a:fillRect/>
                    </a:stretch>
                  </pic:blipFill>
                  <pic:spPr>
                    <a:xfrm>
                      <a:off x="0" y="0"/>
                      <a:ext cx="5731200" cy="3225800"/>
                    </a:xfrm>
                    <a:prstGeom prst="rect">
                      <a:avLst/>
                    </a:prstGeom>
                    <a:ln/>
                  </pic:spPr>
                </pic:pic>
              </a:graphicData>
            </a:graphic>
          </wp:inline>
        </w:drawing>
      </w:r>
    </w:p>
    <w:p w14:paraId="5A4B4698" w14:textId="77777777" w:rsidR="004915CE" w:rsidRDefault="00EC7D6D">
      <w:r>
        <w:t>This figure presents the case study activity where we analysed how professional networking supports collaboration and knowledge sharing in healthcare environments.</w:t>
      </w:r>
    </w:p>
    <w:p w14:paraId="14E00FBC" w14:textId="77777777" w:rsidR="004915CE" w:rsidRDefault="00EC7D6D">
      <w:pPr>
        <w:pStyle w:val="Heading1"/>
      </w:pPr>
      <w:bookmarkStart w:id="7" w:name="_heading=h.a5edk93xznnb" w:colFirst="0" w:colLast="0"/>
      <w:bookmarkEnd w:id="7"/>
      <w:r>
        <w:t>4. Reflection on Unit 3: Opportunity Knocks</w:t>
      </w:r>
    </w:p>
    <w:p w14:paraId="72C862F4" w14:textId="77777777" w:rsidR="004915CE" w:rsidRDefault="00EC7D6D">
      <w:r>
        <w:t xml:space="preserve">Unit 3 was based on identifying careers and learning that professional development is not about the availability of opportunities to be discovered, but to plan them. I realised that continuous </w:t>
      </w:r>
      <w:r>
        <w:lastRenderedPageBreak/>
        <w:t>learning, practise, and the possibility to see the lines of development are the key factors to career progress in health and social care. Throughout the classroom opportunity mapping exercise, I used various potential career paths of health and social care as well as thought through the way in which qualifications, placements and networking could help in future development. This exercise allowed me to realise that most opportunities are usually made by being prepared and taking initiative. I understood that</w:t>
      </w:r>
      <w:r>
        <w:t xml:space="preserve"> awareness of available pathways is to be developed since it allows one to make realistic decisions regarding future roles and responsibilities in the professional practise.</w:t>
      </w:r>
    </w:p>
    <w:p w14:paraId="0C892BAC" w14:textId="77777777" w:rsidR="004915CE" w:rsidRDefault="00EC7D6D">
      <w:r>
        <w:t>One of the key ideas that were presented in this unit was the SMART goal model according to which the goals must be specific, measurable, achievable, relevant, and time-bound (</w:t>
      </w:r>
      <w:proofErr w:type="spellStart"/>
      <w:r>
        <w:t>Yanamadala</w:t>
      </w:r>
      <w:proofErr w:type="spellEnd"/>
      <w:r>
        <w:t xml:space="preserve"> and Weiss, 2022). In the process of the goal-setting exercise, I used the SMART framework in my short-term and long-term career goals. Short-term goals that I applied included the development of better practical confidence, and the accumulation of experience in professional communication, while my long-term goal is to advance to a more specialised position in the area of health and social care. The experience I have gained in this activity made me aware of the fact that having clear objectives ma</w:t>
      </w:r>
      <w:r>
        <w:t>kes career planning more realistic and achievable. I came to know that professional development may be ambiguous without having goals laid down. Overall, SMART planning in the future will assist me in keeping track of progress, acting as a motivating force, and persisting in acquiring the necessary skills to induce career progression.</w:t>
      </w:r>
    </w:p>
    <w:p w14:paraId="055D10DF" w14:textId="77777777" w:rsidR="004915CE" w:rsidRDefault="00EC7D6D">
      <w:r>
        <w:t>Opportunity recognition was also closely associated with networking within this unit (Musa, 2025). The information about the training, placements and employment opportunities were aspects I considered during the forum discussion of career planning by lecturers, peers and professionals. I understood that there are many opportunities that are observed in professional connexions, but not through formal channels only. The other lesson that was valuable was the constant growth of skills since healthcare settings</w:t>
      </w:r>
      <w:r>
        <w:t xml:space="preserve"> never stay the same and professionals must regularly refresh their knowledge. The Reflective Cycle by Gibbs gave me insight that the reflection on the experiences enables people to recognise their strengths and areas to work further following every activity or placement (Ocampo </w:t>
      </w:r>
      <w:r>
        <w:rPr>
          <w:i/>
          <w:iCs/>
        </w:rPr>
        <w:t>et al</w:t>
      </w:r>
      <w:r>
        <w:t>., 2025). This exercise made me realise that reflection not only is academic but also is practical in regard to future professional development. Reflective practise will aid me to assess my experience, enhance my performance an</w:t>
      </w:r>
      <w:r>
        <w:t>d react more effectively to emerging professional needs in my future health and social care practise.</w:t>
      </w:r>
    </w:p>
    <w:p w14:paraId="5E5CF501" w14:textId="77777777" w:rsidR="004915CE" w:rsidRDefault="00EC7D6D">
      <w:pPr>
        <w:rPr>
          <w:b/>
          <w:bCs/>
        </w:rPr>
      </w:pPr>
      <w:r>
        <w:rPr>
          <w:b/>
          <w:bCs/>
        </w:rPr>
        <w:t>Figures of Learning Activities</w:t>
      </w:r>
    </w:p>
    <w:p w14:paraId="2F3017D5" w14:textId="77777777" w:rsidR="004915CE" w:rsidRDefault="00EC7D6D">
      <w:pPr>
        <w:rPr>
          <w:b/>
          <w:bCs/>
        </w:rPr>
      </w:pPr>
      <w:r>
        <w:rPr>
          <w:b/>
          <w:bCs/>
        </w:rPr>
        <w:lastRenderedPageBreak/>
        <w:t>Figure 1 – Goal Setting Activity</w:t>
      </w:r>
    </w:p>
    <w:p w14:paraId="630F1281" w14:textId="77777777" w:rsidR="004915CE" w:rsidRDefault="00EC7D6D">
      <w:r>
        <w:rPr>
          <w:noProof/>
        </w:rPr>
        <w:drawing>
          <wp:inline distT="114300" distB="114300" distL="114300" distR="114300" wp14:anchorId="42675807" wp14:editId="11A8DD7C">
            <wp:extent cx="5731200" cy="3225800"/>
            <wp:effectExtent l="0" t="0" r="0" b="0"/>
            <wp:docPr id="9"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2"/>
                    <a:srcRect/>
                    <a:stretch>
                      <a:fillRect/>
                    </a:stretch>
                  </pic:blipFill>
                  <pic:spPr>
                    <a:xfrm>
                      <a:off x="0" y="0"/>
                      <a:ext cx="5731200" cy="3225800"/>
                    </a:xfrm>
                    <a:prstGeom prst="rect">
                      <a:avLst/>
                    </a:prstGeom>
                    <a:ln/>
                  </pic:spPr>
                </pic:pic>
              </a:graphicData>
            </a:graphic>
          </wp:inline>
        </w:drawing>
      </w:r>
    </w:p>
    <w:p w14:paraId="5445CDAE" w14:textId="77777777" w:rsidR="004915CE" w:rsidRDefault="00EC7D6D">
      <w:r>
        <w:t>This figure presents the classroom exercise where I applied the SMART goal framework to identify short-term and long-term career objectives.</w:t>
      </w:r>
    </w:p>
    <w:p w14:paraId="14F07EDB" w14:textId="77777777" w:rsidR="004915CE" w:rsidRDefault="00EC7D6D">
      <w:pPr>
        <w:rPr>
          <w:b/>
          <w:bCs/>
        </w:rPr>
      </w:pPr>
      <w:r>
        <w:rPr>
          <w:b/>
          <w:bCs/>
        </w:rPr>
        <w:t>Figure 2 – Opportunity Mapping Activity</w:t>
      </w:r>
    </w:p>
    <w:p w14:paraId="693F4796" w14:textId="77777777" w:rsidR="004915CE" w:rsidRDefault="00EC7D6D">
      <w:r>
        <w:rPr>
          <w:noProof/>
        </w:rPr>
        <w:drawing>
          <wp:inline distT="114300" distB="114300" distL="114300" distR="114300" wp14:anchorId="1645A8D4" wp14:editId="096A8B23">
            <wp:extent cx="5731200" cy="3225800"/>
            <wp:effectExtent l="0" t="0" r="0" b="0"/>
            <wp:docPr id="8"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3"/>
                    <a:srcRect/>
                    <a:stretch>
                      <a:fillRect/>
                    </a:stretch>
                  </pic:blipFill>
                  <pic:spPr>
                    <a:xfrm>
                      <a:off x="0" y="0"/>
                      <a:ext cx="5731200" cy="3225800"/>
                    </a:xfrm>
                    <a:prstGeom prst="rect">
                      <a:avLst/>
                    </a:prstGeom>
                    <a:ln/>
                  </pic:spPr>
                </pic:pic>
              </a:graphicData>
            </a:graphic>
          </wp:inline>
        </w:drawing>
      </w:r>
    </w:p>
    <w:p w14:paraId="3BAA2FE4" w14:textId="77777777" w:rsidR="004915CE" w:rsidRDefault="00EC7D6D">
      <w:r>
        <w:t>This figure illustrates the activity where we mapped potential career opportunities and pathways within the health and social care sector.</w:t>
      </w:r>
    </w:p>
    <w:p w14:paraId="0AFC14F9" w14:textId="77777777" w:rsidR="004915CE" w:rsidRDefault="00EC7D6D">
      <w:pPr>
        <w:rPr>
          <w:b/>
          <w:bCs/>
        </w:rPr>
      </w:pPr>
      <w:r>
        <w:rPr>
          <w:b/>
          <w:bCs/>
        </w:rPr>
        <w:t>Figure 3 – Forum Discussion on Career Planning</w:t>
      </w:r>
    </w:p>
    <w:p w14:paraId="03BD5174" w14:textId="77777777" w:rsidR="004915CE" w:rsidRDefault="00EC7D6D">
      <w:r>
        <w:rPr>
          <w:noProof/>
        </w:rPr>
        <w:lastRenderedPageBreak/>
        <w:drawing>
          <wp:inline distT="114300" distB="114300" distL="114300" distR="114300" wp14:anchorId="57686114" wp14:editId="5A613247">
            <wp:extent cx="5731200" cy="3225800"/>
            <wp:effectExtent l="0" t="0" r="0" b="0"/>
            <wp:docPr id="12"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14"/>
                    <a:srcRect/>
                    <a:stretch>
                      <a:fillRect/>
                    </a:stretch>
                  </pic:blipFill>
                  <pic:spPr>
                    <a:xfrm>
                      <a:off x="0" y="0"/>
                      <a:ext cx="5731200" cy="3225800"/>
                    </a:xfrm>
                    <a:prstGeom prst="rect">
                      <a:avLst/>
                    </a:prstGeom>
                    <a:ln/>
                  </pic:spPr>
                </pic:pic>
              </a:graphicData>
            </a:graphic>
          </wp:inline>
        </w:drawing>
      </w:r>
    </w:p>
    <w:p w14:paraId="10EA7D13" w14:textId="77777777" w:rsidR="004915CE" w:rsidRDefault="00EC7D6D">
      <w:r>
        <w:t>This figure shows my contribution to a forum discussion about career development strategies and the importance of preparing for future professional opportunities.</w:t>
      </w:r>
    </w:p>
    <w:p w14:paraId="0ECD02A5" w14:textId="77777777" w:rsidR="004915CE" w:rsidRDefault="00EC7D6D">
      <w:pPr>
        <w:pStyle w:val="Heading1"/>
      </w:pPr>
      <w:bookmarkStart w:id="8" w:name="_heading=h.334dfjvc79ow" w:colFirst="0" w:colLast="0"/>
      <w:bookmarkEnd w:id="8"/>
      <w:r>
        <w:t>5. Reflection on Unit 4: The Pursuit of Happiness</w:t>
      </w:r>
    </w:p>
    <w:p w14:paraId="69EB2504" w14:textId="77777777" w:rsidR="004915CE" w:rsidRDefault="00EC7D6D">
      <w:r>
        <w:t>Unit 4 was concerned with wellbeing, resilience and obtaining a healthy work life balance within a professional life. I also discovered that emotional stability and stress management skills are not just important to my professional success in the field of health and social care but also technical knowledge. In the wellbeing activity, I considered those aspects that impact on individual wellbeing and the impact of stress through performance in stressful caring settings. The exercise allowed me to see that me</w:t>
      </w:r>
      <w:r>
        <w:t>dical workers constantly deal with emotionally distressing cases, and thus, they need to keep their wellbeing safe to deliver safe and caring care. I also discovered that I should take care of my own welfare since my emotions may enter my performance as I communicate, judge, and maintain relationships with my colleagues. This learning will aid me in my future role by ensuring that I put more focus on self-care and create healthier working practises.</w:t>
      </w:r>
    </w:p>
    <w:p w14:paraId="7CF809AE" w14:textId="77777777" w:rsidR="004915CE" w:rsidRDefault="00EC7D6D">
      <w:r>
        <w:t>One of the key ideas that were studied during this unit was emotional intelligence, which is the ability to identify, learn, and regulate emotions in a person and other people. In the emotional intelligence reflection activity, I took into consideration the effect of emotional response on communication with patients, colleagues, and families. I came to know that emotional intelligence is particularly relevant to health and social care since the professionals are sometimes required to deal with vulnerable pe</w:t>
      </w:r>
      <w:r>
        <w:t xml:space="preserve">ople, who can be in need of empathy, patience, and a self-composed reaction. I learnt during this activity that the emotional awareness </w:t>
      </w:r>
      <w:r>
        <w:lastRenderedPageBreak/>
        <w:t>enhances the teamworking and prevents the conflict in stressful circumstances. I also understood that emotional control does not imply that one should not react to it, but react in a professional and adequate way. Emotional intelligence will assist me in improving my communication abilities and establishing care relationship trust in future practise.</w:t>
      </w:r>
    </w:p>
    <w:p w14:paraId="52984262" w14:textId="77777777" w:rsidR="004915CE" w:rsidRDefault="00EC7D6D">
      <w:r>
        <w:t>The PERMA model of wellbeing that was proposed by Seligman also made me realise that wellbeing also involves positive feelings, interest, connection, sense, and achievement (Indrayani</w:t>
      </w:r>
      <w:r>
        <w:rPr>
          <w:i/>
          <w:iCs/>
        </w:rPr>
        <w:t xml:space="preserve"> et al</w:t>
      </w:r>
      <w:r>
        <w:t xml:space="preserve">., 2024).. In the process of reflection discussion post, I related all these factors to professional life and how each will help in the sustainable employment. I came to understand that resilience is strongly connected with wellbeing since professionals should be adapted to pressure, overcome the adverse experiences, and be motivated. This discussion made me realise that resilience does not merely mean living through stress but learning to present a positive response to stress. Resilience is required </w:t>
      </w:r>
      <w:r>
        <w:t>in the case of health and social care as professionals can encounter emotional pressure, heavy workload, and unforeseen circumstances. Resilience will also allow me to become calmer, keep learning through unpleasant mistakes, and stay a professional without impairing my mental health in my future professional job.</w:t>
      </w:r>
    </w:p>
    <w:p w14:paraId="36379247" w14:textId="77777777" w:rsidR="004915CE" w:rsidRDefault="00EC7D6D">
      <w:pPr>
        <w:rPr>
          <w:b/>
          <w:bCs/>
        </w:rPr>
      </w:pPr>
      <w:r>
        <w:rPr>
          <w:b/>
          <w:bCs/>
        </w:rPr>
        <w:t>Figures of Online Activities</w:t>
      </w:r>
    </w:p>
    <w:p w14:paraId="0CF37E1F" w14:textId="77777777" w:rsidR="004915CE" w:rsidRDefault="00EC7D6D">
      <w:pPr>
        <w:rPr>
          <w:b/>
          <w:bCs/>
        </w:rPr>
      </w:pPr>
      <w:r>
        <w:rPr>
          <w:b/>
          <w:bCs/>
        </w:rPr>
        <w:t>Figure 1 – Emotional Intelligence Quiz Result</w:t>
      </w:r>
    </w:p>
    <w:p w14:paraId="743A13F2" w14:textId="77777777" w:rsidR="004915CE" w:rsidRDefault="00EC7D6D">
      <w:r>
        <w:rPr>
          <w:noProof/>
        </w:rPr>
        <w:drawing>
          <wp:inline distT="114300" distB="114300" distL="114300" distR="114300" wp14:anchorId="5DD2AADA" wp14:editId="75F15DF6">
            <wp:extent cx="5731200" cy="3225800"/>
            <wp:effectExtent l="0" t="0" r="0" b="0"/>
            <wp:docPr id="10"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15"/>
                    <a:srcRect/>
                    <a:stretch>
                      <a:fillRect/>
                    </a:stretch>
                  </pic:blipFill>
                  <pic:spPr>
                    <a:xfrm>
                      <a:off x="0" y="0"/>
                      <a:ext cx="5731200" cy="3225800"/>
                    </a:xfrm>
                    <a:prstGeom prst="rect">
                      <a:avLst/>
                    </a:prstGeom>
                    <a:ln/>
                  </pic:spPr>
                </pic:pic>
              </a:graphicData>
            </a:graphic>
          </wp:inline>
        </w:drawing>
      </w:r>
    </w:p>
    <w:p w14:paraId="731C1CF4" w14:textId="77777777" w:rsidR="004915CE" w:rsidRDefault="00EC7D6D">
      <w:r>
        <w:t>This figure shows the results of the emotional intelligence quiz completed during the unit, which helped me assess my emotional awareness and interpersonal skills.</w:t>
      </w:r>
    </w:p>
    <w:p w14:paraId="188FA82A" w14:textId="77777777" w:rsidR="004915CE" w:rsidRDefault="00EC7D6D">
      <w:pPr>
        <w:rPr>
          <w:b/>
          <w:bCs/>
        </w:rPr>
      </w:pPr>
      <w:r>
        <w:rPr>
          <w:b/>
          <w:bCs/>
        </w:rPr>
        <w:t>Figure 2 – Wellbeing Activity</w:t>
      </w:r>
    </w:p>
    <w:p w14:paraId="5A331FE8" w14:textId="77777777" w:rsidR="004915CE" w:rsidRDefault="00EC7D6D">
      <w:r>
        <w:rPr>
          <w:noProof/>
        </w:rPr>
        <w:lastRenderedPageBreak/>
        <w:drawing>
          <wp:inline distT="114300" distB="114300" distL="114300" distR="114300" wp14:anchorId="47AE8E5E" wp14:editId="0E988A7D">
            <wp:extent cx="5731200" cy="3225800"/>
            <wp:effectExtent l="0" t="0" r="0" b="0"/>
            <wp:docPr id="11"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6"/>
                    <a:srcRect/>
                    <a:stretch>
                      <a:fillRect/>
                    </a:stretch>
                  </pic:blipFill>
                  <pic:spPr>
                    <a:xfrm>
                      <a:off x="0" y="0"/>
                      <a:ext cx="5731200" cy="3225800"/>
                    </a:xfrm>
                    <a:prstGeom prst="rect">
                      <a:avLst/>
                    </a:prstGeom>
                    <a:ln/>
                  </pic:spPr>
                </pic:pic>
              </a:graphicData>
            </a:graphic>
          </wp:inline>
        </w:drawing>
      </w:r>
    </w:p>
    <w:p w14:paraId="765C0083" w14:textId="77777777" w:rsidR="004915CE" w:rsidRDefault="00EC7D6D">
      <w:r>
        <w:t>This figure presents the wellbeing activity where we explored strategies for maintaining a healthy work–life balance and managing stress in professional environments.</w:t>
      </w:r>
    </w:p>
    <w:p w14:paraId="428C9DBF" w14:textId="77777777" w:rsidR="004915CE" w:rsidRDefault="00EC7D6D">
      <w:pPr>
        <w:rPr>
          <w:b/>
          <w:bCs/>
        </w:rPr>
      </w:pPr>
      <w:r>
        <w:rPr>
          <w:b/>
          <w:bCs/>
        </w:rPr>
        <w:t>Figure 3 – Reflection Discussion Post</w:t>
      </w:r>
    </w:p>
    <w:p w14:paraId="278C817A" w14:textId="77777777" w:rsidR="004915CE" w:rsidRDefault="00EC7D6D">
      <w:r>
        <w:rPr>
          <w:noProof/>
        </w:rPr>
        <w:drawing>
          <wp:inline distT="114300" distB="114300" distL="114300" distR="114300" wp14:anchorId="0D0584D3" wp14:editId="27C55AF6">
            <wp:extent cx="5731200" cy="3225800"/>
            <wp:effectExtent l="0" t="0" r="0" b="0"/>
            <wp:docPr id="13"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7"/>
                    <a:srcRect/>
                    <a:stretch>
                      <a:fillRect/>
                    </a:stretch>
                  </pic:blipFill>
                  <pic:spPr>
                    <a:xfrm>
                      <a:off x="0" y="0"/>
                      <a:ext cx="5731200" cy="3225800"/>
                    </a:xfrm>
                    <a:prstGeom prst="rect">
                      <a:avLst/>
                    </a:prstGeom>
                    <a:ln/>
                  </pic:spPr>
                </pic:pic>
              </a:graphicData>
            </a:graphic>
          </wp:inline>
        </w:drawing>
      </w:r>
    </w:p>
    <w:p w14:paraId="544FFE09" w14:textId="77777777" w:rsidR="004915CE" w:rsidRDefault="00EC7D6D">
      <w:r>
        <w:t>This figure illustrates my contribution to an online discussion where I reflected on the importance of resilience and emotional wellbeing in healthcare professions.</w:t>
      </w:r>
    </w:p>
    <w:p w14:paraId="1BD17B82" w14:textId="77777777" w:rsidR="004915CE" w:rsidRDefault="00EC7D6D">
      <w:pPr>
        <w:pStyle w:val="Heading1"/>
      </w:pPr>
      <w:bookmarkStart w:id="9" w:name="_heading=h.vw956xidjfcy" w:colFirst="0" w:colLast="0"/>
      <w:bookmarkEnd w:id="9"/>
      <w:r>
        <w:t>6. Conclusion</w:t>
      </w:r>
    </w:p>
    <w:p w14:paraId="4E7BF4B4" w14:textId="77777777" w:rsidR="004915CE" w:rsidRDefault="00EC7D6D">
      <w:r>
        <w:t xml:space="preserve">To sum up, this portfolio allowed me to consider the key learning opportunities I have received through the Changemakers: Building Your Personal Brand for Sustainable Employment </w:t>
      </w:r>
      <w:r>
        <w:lastRenderedPageBreak/>
        <w:t>module and how these lessons can contribute to my future as a health and social care professional. Through the four units, I got to know that, professional development does not just involve academic knowledge as it takes into consideration self-awareness, communicational, adaptive, and emotional strengths to enhance employability. Unit 1 allowed me to learn the significance of such concepts as personal branding, ambition, and self-awareness in shaping a professional identity that can be trusted and be respo</w:t>
      </w:r>
      <w:r>
        <w:t>nsible. Unit 2 helped me realise that to successfully work in a variety of healthcare settings, it is necessary to collaborate by means of networking and cultural awareness. Unit 3 made me understand that the career opportunities are usually generated by planning, setting goals, and developing the skills continuously.</w:t>
      </w:r>
    </w:p>
    <w:p w14:paraId="04678C5D" w14:textId="77777777" w:rsidR="004915CE" w:rsidRDefault="00EC7D6D">
      <w:pPr>
        <w:pStyle w:val="Heading1"/>
      </w:pPr>
      <w:bookmarkStart w:id="10" w:name="_heading=h.frratgnc3xvg" w:colFirst="0" w:colLast="0"/>
      <w:bookmarkEnd w:id="10"/>
      <w:r>
        <w:br w:type="page"/>
      </w:r>
    </w:p>
    <w:p w14:paraId="13807FA3" w14:textId="77777777" w:rsidR="004915CE" w:rsidRDefault="00EC7D6D">
      <w:pPr>
        <w:pStyle w:val="Heading1"/>
      </w:pPr>
      <w:bookmarkStart w:id="11" w:name="_heading=h.4tj59er99axx" w:colFirst="0" w:colLast="0"/>
      <w:bookmarkEnd w:id="11"/>
      <w:r>
        <w:lastRenderedPageBreak/>
        <w:t>7. Reference</w:t>
      </w:r>
    </w:p>
    <w:p w14:paraId="0FCC7A7F" w14:textId="77777777" w:rsidR="005218A6" w:rsidRDefault="005218A6" w:rsidP="005218A6">
      <w:pPr>
        <w:pStyle w:val="NormalWeb"/>
      </w:pPr>
      <w:proofErr w:type="spellStart"/>
      <w:r>
        <w:t>Bojadjiev</w:t>
      </w:r>
      <w:proofErr w:type="spellEnd"/>
      <w:r>
        <w:t xml:space="preserve">, M.I., Vaneva, M., </w:t>
      </w:r>
      <w:proofErr w:type="spellStart"/>
      <w:r>
        <w:t>Tomovska</w:t>
      </w:r>
      <w:proofErr w:type="spellEnd"/>
      <w:r>
        <w:t xml:space="preserve"> </w:t>
      </w:r>
      <w:proofErr w:type="spellStart"/>
      <w:r>
        <w:t>Misoska</w:t>
      </w:r>
      <w:proofErr w:type="spellEnd"/>
      <w:r>
        <w:t xml:space="preserve">, A., Mileva, I. and Andonova, M. (2023) ‘The ninth dimension of national culture: Unpacking cross-cultural communication styles’, </w:t>
      </w:r>
      <w:r>
        <w:rPr>
          <w:rStyle w:val="Emphasis"/>
        </w:rPr>
        <w:t>Interdisciplinary Description of Complex Systems (INDECS)</w:t>
      </w:r>
      <w:r>
        <w:t>, 21(5), pp. 471–494.</w:t>
      </w:r>
    </w:p>
    <w:p w14:paraId="32841F39" w14:textId="77777777" w:rsidR="005218A6" w:rsidRDefault="005218A6" w:rsidP="005218A6">
      <w:pPr>
        <w:pStyle w:val="NormalWeb"/>
      </w:pPr>
      <w:r>
        <w:t xml:space="preserve">Chatten, F. (2023) </w:t>
      </w:r>
      <w:r>
        <w:rPr>
          <w:rStyle w:val="Emphasis"/>
        </w:rPr>
        <w:t>Professional identity in integrated care: A qualitative case study</w:t>
      </w:r>
      <w:r>
        <w:t>. Doctoral dissertation. Anglia Ruskin Research Online (ARRO).</w:t>
      </w:r>
    </w:p>
    <w:p w14:paraId="11AE9352" w14:textId="77777777" w:rsidR="005218A6" w:rsidRDefault="005218A6" w:rsidP="005218A6">
      <w:pPr>
        <w:pStyle w:val="NormalWeb"/>
      </w:pPr>
      <w:r>
        <w:t xml:space="preserve">Indrayani, I., </w:t>
      </w:r>
      <w:proofErr w:type="spellStart"/>
      <w:r>
        <w:t>Nurhatisyah</w:t>
      </w:r>
      <w:proofErr w:type="spellEnd"/>
      <w:r>
        <w:t xml:space="preserve">, N., </w:t>
      </w:r>
      <w:proofErr w:type="spellStart"/>
      <w:r>
        <w:t>Damsar</w:t>
      </w:r>
      <w:proofErr w:type="spellEnd"/>
      <w:r>
        <w:t xml:space="preserve">, D. and Wibisono, C. (2024) ‘How does millennial employee job satisfaction affect performance?’, </w:t>
      </w:r>
      <w:r>
        <w:rPr>
          <w:rStyle w:val="Emphasis"/>
        </w:rPr>
        <w:t>Higher Education, Skills and Work-Based Learning</w:t>
      </w:r>
      <w:r>
        <w:t>, 14(1), pp. 22–40.</w:t>
      </w:r>
    </w:p>
    <w:p w14:paraId="71565A72" w14:textId="77777777" w:rsidR="005218A6" w:rsidRDefault="005218A6" w:rsidP="005218A6">
      <w:pPr>
        <w:pStyle w:val="NormalWeb"/>
      </w:pPr>
      <w:r>
        <w:t xml:space="preserve">Musa, M. (2025) </w:t>
      </w:r>
      <w:r>
        <w:rPr>
          <w:rStyle w:val="Emphasis"/>
        </w:rPr>
        <w:t>The importance of educators (lecturers, doctors, professors) using their networks and influence to provide job opportunities and recommendations for their students</w:t>
      </w:r>
      <w:r>
        <w:t xml:space="preserve">. Available at: </w:t>
      </w:r>
      <w:hyperlink r:id="rId18" w:tgtFrame="_new" w:history="1">
        <w:r>
          <w:rPr>
            <w:rStyle w:val="Hyperlink"/>
          </w:rPr>
          <w:t>https://ssrn.com</w:t>
        </w:r>
      </w:hyperlink>
      <w:r>
        <w:t xml:space="preserve"> (Accessed: 12 April 2026).</w:t>
      </w:r>
    </w:p>
    <w:p w14:paraId="18D8C752" w14:textId="77777777" w:rsidR="005218A6" w:rsidRDefault="005218A6" w:rsidP="005218A6">
      <w:pPr>
        <w:pStyle w:val="NormalWeb"/>
      </w:pPr>
      <w:r>
        <w:t xml:space="preserve">Ocampo, F.A., McIntyre, B.G., Massey, D. and Saunders, R. (2025) ‘Nursing student reflections on a research internship: A reflective discussion following the Gibbs’ reflective cycle’, </w:t>
      </w:r>
      <w:r>
        <w:rPr>
          <w:rStyle w:val="Emphasis"/>
        </w:rPr>
        <w:t>Nurse Education Today</w:t>
      </w:r>
      <w:r>
        <w:t>, 145, p. 106481.</w:t>
      </w:r>
    </w:p>
    <w:p w14:paraId="4F634AA9" w14:textId="77777777" w:rsidR="005218A6" w:rsidRDefault="005218A6" w:rsidP="005218A6">
      <w:pPr>
        <w:pStyle w:val="NormalWeb"/>
      </w:pPr>
      <w:r>
        <w:t xml:space="preserve">Qudrat-Ullah, H. (2025) ‘Building self-awareness’, in </w:t>
      </w:r>
      <w:r>
        <w:rPr>
          <w:rStyle w:val="Emphasis"/>
        </w:rPr>
        <w:t>Mastering decision-making in business and personal life: An interdisciplinary perspective on making better choices</w:t>
      </w:r>
      <w:r>
        <w:t>. Cham: Springer Nature Switzerland, pp. 109–146.</w:t>
      </w:r>
    </w:p>
    <w:p w14:paraId="2F34263D" w14:textId="77777777" w:rsidR="005218A6" w:rsidRDefault="005218A6" w:rsidP="005218A6">
      <w:pPr>
        <w:pStyle w:val="NormalWeb"/>
      </w:pPr>
      <w:proofErr w:type="spellStart"/>
      <w:r>
        <w:t>Sgaramella</w:t>
      </w:r>
      <w:proofErr w:type="spellEnd"/>
      <w:r>
        <w:t xml:space="preserve">, T.M. and Ferrari, L. (2024) ‘Developmental assets and career development in the educational system: Integrating awareness of self-identity, knowledge of the world of work and the SDGs in school programs’, </w:t>
      </w:r>
      <w:proofErr w:type="spellStart"/>
      <w:r>
        <w:rPr>
          <w:rStyle w:val="Emphasis"/>
        </w:rPr>
        <w:t>Behavioral</w:t>
      </w:r>
      <w:proofErr w:type="spellEnd"/>
      <w:r>
        <w:rPr>
          <w:rStyle w:val="Emphasis"/>
        </w:rPr>
        <w:t xml:space="preserve"> Sciences</w:t>
      </w:r>
      <w:r>
        <w:t>, 14(2), p. 109.</w:t>
      </w:r>
    </w:p>
    <w:p w14:paraId="7EABBAC3" w14:textId="77777777" w:rsidR="005218A6" w:rsidRDefault="005218A6" w:rsidP="005218A6">
      <w:pPr>
        <w:pStyle w:val="NormalWeb"/>
      </w:pPr>
      <w:r>
        <w:t xml:space="preserve">Spector, H. (2022) ‘Autonomy and rights’, in </w:t>
      </w:r>
      <w:r>
        <w:rPr>
          <w:rStyle w:val="Emphasis"/>
        </w:rPr>
        <w:t>The Routledge handbook of autonomy</w:t>
      </w:r>
      <w:r>
        <w:t>. London: Routledge, pp. 313–323.</w:t>
      </w:r>
    </w:p>
    <w:p w14:paraId="1D28CB6B" w14:textId="77777777" w:rsidR="005218A6" w:rsidRDefault="005218A6" w:rsidP="005218A6">
      <w:pPr>
        <w:pStyle w:val="NormalWeb"/>
      </w:pPr>
      <w:proofErr w:type="spellStart"/>
      <w:r>
        <w:t>Yanamadala</w:t>
      </w:r>
      <w:proofErr w:type="spellEnd"/>
      <w:r>
        <w:t xml:space="preserve">, V. and Weiss, B. (2022) ‘Setting and achieving goals’, in </w:t>
      </w:r>
      <w:r>
        <w:rPr>
          <w:rStyle w:val="Emphasis"/>
        </w:rPr>
        <w:t>The successful health care professional’s guide: Everything you need to know but weren’t taught in training</w:t>
      </w:r>
      <w:r>
        <w:t>. Cham: Springer International Publishing, pp. 21–29.</w:t>
      </w:r>
    </w:p>
    <w:p w14:paraId="41109606" w14:textId="302A9AD4" w:rsidR="005218A6" w:rsidRDefault="005218A6" w:rsidP="005218A6">
      <w:pPr>
        <w:pStyle w:val="NormalWeb"/>
      </w:pPr>
      <w:r>
        <w:t xml:space="preserve">Zalli, E. (2024) ‘Globalization and education: Exploring the exchange of ideas, values, and traditions in promoting cultural understanding and global citizenship’, </w:t>
      </w:r>
      <w:r>
        <w:rPr>
          <w:rStyle w:val="Emphasis"/>
        </w:rPr>
        <w:t>Interdisciplinary Journal of Research and Development</w:t>
      </w:r>
      <w:r>
        <w:t>, 11(1 S1), pp. 55–55</w:t>
      </w:r>
      <w:r>
        <w:t>.</w:t>
      </w:r>
    </w:p>
    <w:p w14:paraId="09047374" w14:textId="0E08A2B2" w:rsidR="004915CE" w:rsidRDefault="004915CE">
      <w:pPr>
        <w:spacing w:before="240"/>
        <w:rPr>
          <w:highlight w:val="white"/>
        </w:rPr>
      </w:pPr>
    </w:p>
    <w:sectPr w:rsidR="004915CE">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1BD6838-1725-4597-B9B4-DCC968EFA292}"/>
  </w:font>
  <w:font w:name="Cambria">
    <w:panose1 w:val="02040503050406030204"/>
    <w:charset w:val="00"/>
    <w:family w:val="roman"/>
    <w:pitch w:val="variable"/>
    <w:sig w:usb0="E00006FF" w:usb1="420024FF" w:usb2="02000000" w:usb3="00000000" w:csb0="0000019F" w:csb1="00000000"/>
    <w:embedRegular r:id="rId2" w:fontKey="{79FE6BFA-957E-4A5D-B56A-6A46962EE47C}"/>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15CE"/>
    <w:rsid w:val="004915CE"/>
    <w:rsid w:val="005218A6"/>
    <w:rsid w:val="007049F5"/>
    <w:rsid w:val="00D82C93"/>
    <w:rsid w:val="00EC7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3F1B6"/>
  <w15:docId w15:val="{5EE28860-9972-4668-A1D0-045603C35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NoSpacing">
    <w:name w:val="No Spacing"/>
    <w:uiPriority w:val="1"/>
    <w:qFormat/>
    <w:rsid w:val="007049F5"/>
    <w:pPr>
      <w:spacing w:line="240" w:lineRule="auto"/>
    </w:pPr>
  </w:style>
  <w:style w:type="paragraph" w:styleId="NormalWeb">
    <w:name w:val="Normal (Web)"/>
    <w:basedOn w:val="Normal"/>
    <w:uiPriority w:val="99"/>
    <w:semiHidden/>
    <w:unhideWhenUsed/>
    <w:rsid w:val="007049F5"/>
    <w:pPr>
      <w:spacing w:before="100" w:beforeAutospacing="1" w:after="100" w:afterAutospacing="1" w:line="240" w:lineRule="auto"/>
      <w:jc w:val="left"/>
    </w:pPr>
  </w:style>
  <w:style w:type="character" w:styleId="Emphasis">
    <w:name w:val="Emphasis"/>
    <w:basedOn w:val="DefaultParagraphFont"/>
    <w:uiPriority w:val="20"/>
    <w:qFormat/>
    <w:rsid w:val="007049F5"/>
    <w:rPr>
      <w:i/>
      <w:iCs/>
    </w:rPr>
  </w:style>
  <w:style w:type="character" w:styleId="Hyperlink">
    <w:name w:val="Hyperlink"/>
    <w:basedOn w:val="DefaultParagraphFont"/>
    <w:uiPriority w:val="99"/>
    <w:semiHidden/>
    <w:unhideWhenUsed/>
    <w:rsid w:val="007049F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18" Type="http://schemas.openxmlformats.org/officeDocument/2006/relationships/hyperlink" Target="https://ssrn.com" TargetMode="Externa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8.jpg"/><Relationship Id="rId17" Type="http://schemas.openxmlformats.org/officeDocument/2006/relationships/image" Target="media/image13.jpg"/><Relationship Id="rId2" Type="http://schemas.openxmlformats.org/officeDocument/2006/relationships/styles" Target="styles.xml"/><Relationship Id="rId16" Type="http://schemas.openxmlformats.org/officeDocument/2006/relationships/image" Target="media/image12.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image" Target="media/image7.jpg"/><Relationship Id="rId5" Type="http://schemas.openxmlformats.org/officeDocument/2006/relationships/image" Target="media/image1.png"/><Relationship Id="rId15" Type="http://schemas.openxmlformats.org/officeDocument/2006/relationships/image" Target="media/image11.jpg"/><Relationship Id="rId10" Type="http://schemas.openxmlformats.org/officeDocument/2006/relationships/image" Target="media/image6.jp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QJIE2zj/J4YMnlkLMPMdrdppMog==">CgMxLjAyDmgucWdmanl4bXlmZ3BxMg5oLjgzcGMxeXlmNmMydTIOaC4yZm53YWx4dnBvcDkyDmguNXJrZXFvZXdlajZuMg5oLmI1Y3E5a2g1bmowbjIOaC5kOGt4ZHlucmd6N3MyDmgudWw4bDBrdGVvd2V1Mg5oLmE1ZWRrOTN4em5uYjIOaC4zMzRkZmp2Yzc5b3cyDmgudnc5NTZ4aWRqZmN5Mg5oLmZycmF0Z25jM3h2ZzIOaC40dGo1OWVyOTlheHg4AHIhMXR0QUFaT2RkcEMtcldFLTNvcjBEOTBKUHh6Tk9lZTVP</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3033</Words>
  <Characters>17323</Characters>
  <Application>Microsoft Office Word</Application>
  <DocSecurity>0</DocSecurity>
  <Lines>298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RADU TURCITU</dc:creator>
  <cp:lastModifiedBy>RADU TURCITU</cp:lastModifiedBy>
  <cp:revision>2</cp:revision>
  <dcterms:created xsi:type="dcterms:W3CDTF">2026-04-12T20:06:00Z</dcterms:created>
  <dcterms:modified xsi:type="dcterms:W3CDTF">2026-04-12T20:06:00Z</dcterms:modified>
</cp:coreProperties>
</file>