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B8A6FD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32A3D">
              <w:rPr>
                <w:rFonts w:ascii="Times New Roman" w:hAnsi="Times New Roman" w:cs="Times New Roman"/>
                <w:b/>
                <w:color w:val="auto"/>
                <w:sz w:val="48"/>
              </w:rPr>
              <w:t>Amy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D5DC17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32A3D">
              <w:rPr>
                <w:rFonts w:ascii="Times New Roman" w:hAnsi="Times New Roman" w:cs="Times New Roman"/>
                <w:b/>
                <w:color w:val="auto"/>
                <w:sz w:val="48"/>
              </w:rPr>
              <w:t xml:space="preserve"> 2011919@student.uwtsd.ac.uk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64D1604C" w14:textId="77777777" w:rsidR="00932A3D" w:rsidRDefault="00932A3D" w:rsidP="00932A3D">
            <w:pPr>
              <w:rPr>
                <w:sz w:val="24"/>
                <w:szCs w:val="24"/>
              </w:rPr>
            </w:pPr>
            <w:r>
              <w:rPr>
                <w:sz w:val="24"/>
                <w:szCs w:val="24"/>
              </w:rPr>
              <w:t xml:space="preserve">I am to explore and answer the question by explaining a case I have been working as a social worker, within a statutory team. Whilst discussing this case I will utilise the Social Care Wales (SCW) 2017 Code of Professional Practice and ensure the people within the case remain anonymous and respecting confidential information. This is in line with code 2.4 of the Code of Professional Practice, (SCW, 2017). To ensure this, the individuals will be referred to person 1 and person 2, etc. The code of professional practice is also underpinned by the Human Rights Act (HRA) 1998, it is important to ensure anonymity as described in Article 8 of the HRA, as individuals have the right to private life, “without government interference” (Equality and Human Rights Commission, 2021). However, this can sometimes be combative when working within a statutory team, in children’s services. It could be argued that some lines of work undertaken by social workers could be seen as invasive.  I will consider and reflect on the social work theories and tools implemented, that informed my practice and during this assessment period. I will demonstrate, how I have applied the three learning outcomes of applying analysis in assessment to inform interventions, working collaboratively with individuals in need of care and supports, their families and other professionals. Lastly, evidencing the application of professional judgement when working with a complex case or situation. These skills are set out by the SCW 2018 Consolidation Programme. </w:t>
            </w:r>
          </w:p>
          <w:p w14:paraId="4F6832F4" w14:textId="77777777" w:rsidR="00932A3D" w:rsidRDefault="00932A3D" w:rsidP="00932A3D">
            <w:pPr>
              <w:rPr>
                <w:sz w:val="24"/>
                <w:szCs w:val="24"/>
              </w:rPr>
            </w:pPr>
            <w:r>
              <w:rPr>
                <w:sz w:val="24"/>
                <w:szCs w:val="24"/>
              </w:rPr>
              <w:lastRenderedPageBreak/>
              <w:t xml:space="preserve">The case consists of Person 1 a 10-year-old girl, Person 2 an unborn baby, Person 3 the mother, Person 4 the father of the unborn. The family live in a small town in Wales, which could be considered a rural county, with areas that are more densely populated. In line with the More Than Just Words, Welsh Government Guidance (Welsh Government, 2012) I ensured that I considered the Active Offer and offered the family to participate in Welsh or any other language. However, the families preferred language is English, and they were happy to proceed in English. The area in which the family live has seen an increasing population, as well as an aging one. The county has also seen a fall in Welsh speakers in the area, according to the Office of National Statistics (ONS, 2023). The town that this family resides is within the first quarter of the most dangerous overall within the region (Crime Rates, 2024).  This is relevant to the family in question, as particularly Person 4 had a history of criminal convictions, which had led to him receiving a custodial sentence. </w:t>
            </w:r>
          </w:p>
          <w:p w14:paraId="6B779155" w14:textId="77777777" w:rsidR="00932A3D" w:rsidRDefault="00932A3D" w:rsidP="00932A3D">
            <w:pPr>
              <w:rPr>
                <w:sz w:val="24"/>
                <w:szCs w:val="24"/>
              </w:rPr>
            </w:pPr>
          </w:p>
          <w:p w14:paraId="650F49C9" w14:textId="77777777" w:rsidR="00932A3D" w:rsidRDefault="00932A3D" w:rsidP="00932A3D">
            <w:pPr>
              <w:rPr>
                <w:sz w:val="24"/>
                <w:szCs w:val="24"/>
              </w:rPr>
            </w:pPr>
            <w:r>
              <w:rPr>
                <w:sz w:val="24"/>
                <w:szCs w:val="24"/>
              </w:rPr>
              <w:t xml:space="preserve">The case was transferred to me, and at the time 1 was living with her maternal aunt and uncle under a child arrangement order. This was due to 3 and 4 having an issue with substance misuse. 3 was working with a community substance misuse team and was providing her with support and a substance replacement programme. However, 3 was continuing to consume Class A substances, as she was tested on a weekly basis within the community drug and alcohol team. Person 4 was also consuming large amounts of Class A substances, he had also had children removed from his care around 10 years ago, had spent time in prison for various offences, including domestic abuse with a previous partner. It is noted that parental substance misuse is inter-connected with increased levels of violence (Roy, 2020).  During this period 1 was having supervised contact with 3 which was monitored by the uncle of whom 1 </w:t>
            </w:r>
            <w:proofErr w:type="gramStart"/>
            <w:r>
              <w:rPr>
                <w:sz w:val="24"/>
                <w:szCs w:val="24"/>
              </w:rPr>
              <w:t>lives</w:t>
            </w:r>
            <w:proofErr w:type="gramEnd"/>
            <w:r>
              <w:rPr>
                <w:sz w:val="24"/>
                <w:szCs w:val="24"/>
              </w:rPr>
              <w:t xml:space="preserve"> with. During this period 3 wanted to have her daughter back in her custody, but it was explained to her that she would need to bring about change to ensure that Person 1 isn’t exposed to substance misuse within the family home. I met with 3 &amp; 4 and discussed with them what they thought the barriers were between them and being able to be abstain from illegal substances. During these conversations I was conscious that within my practice I was seeking to uphold the Codes of Professional Practice, and in this case Code 1.1, which stipulates the importance of ‘working with individuals in person centred ways and using this as the basis for care and support’ (SCW, 2017, p.9). 3 explained to me that whilst she was trying to remain free of illegal substances, she was finding it difficult as 4 wasn’t seeking support from the Community Drugs Team and was continuing to use substances. 4 explained to me that he has sought support from this service in the past, but that he has a difficult relationship with most staff members and spoke about losing his substance replacement prescription, methadone due to being late for one appointment. 4 said that he wants this help but is finding it difficult to make the first step, I enquired with him whether he would be happy that I spoke with the team and attended an appointment with him as a support. He was happy with this arrangement and within two weeks we had met with the team, and he was triaged and placed back on a methadone prescription. During this intervention I was conscious of the International Federation of Social Work (2014) and how it aims to promote positive change for service users and their situations. </w:t>
            </w:r>
          </w:p>
          <w:p w14:paraId="168E910B" w14:textId="77777777" w:rsidR="00932A3D" w:rsidRDefault="00932A3D" w:rsidP="00932A3D">
            <w:pPr>
              <w:rPr>
                <w:sz w:val="24"/>
                <w:szCs w:val="24"/>
              </w:rPr>
            </w:pPr>
            <w:r>
              <w:rPr>
                <w:sz w:val="24"/>
                <w:szCs w:val="24"/>
              </w:rPr>
              <w:t xml:space="preserve"> One of the fundamental principles set out by Social Services Well-being (Wales) Act (SSWB(W)A, 2014) is the importance of a service users voice and control. It also came to my attention that Person 3 was in her early stages of pregnancy of another baby. At this </w:t>
            </w:r>
            <w:r>
              <w:rPr>
                <w:sz w:val="24"/>
                <w:szCs w:val="24"/>
              </w:rPr>
              <w:lastRenderedPageBreak/>
              <w:t xml:space="preserve">juncture, the unborn baby Person 2 was allocated to </w:t>
            </w:r>
            <w:proofErr w:type="gramStart"/>
            <w:r>
              <w:rPr>
                <w:sz w:val="24"/>
                <w:szCs w:val="24"/>
              </w:rPr>
              <w:t>myself</w:t>
            </w:r>
            <w:proofErr w:type="gramEnd"/>
            <w:r>
              <w:rPr>
                <w:sz w:val="24"/>
                <w:szCs w:val="24"/>
              </w:rPr>
              <w:t xml:space="preserve"> and an Assessment of Care and Support (ACAS) needed to be undertaken, to establish the needs and support this child may need. An ACAS is assessment that is carried out and will consider whether the child in question requires care and support, whether this is likely to be a short-term piece of work, that could be undertaken by a third sector, non-statutory service or whether it is likely to family will need more longer-term involvement. In this instance, it seemed clear that the family will need ongoing </w:t>
            </w:r>
            <w:proofErr w:type="gramStart"/>
            <w:r>
              <w:rPr>
                <w:sz w:val="24"/>
                <w:szCs w:val="24"/>
              </w:rPr>
              <w:t>support</w:t>
            </w:r>
            <w:proofErr w:type="gramEnd"/>
            <w:r>
              <w:rPr>
                <w:sz w:val="24"/>
                <w:szCs w:val="24"/>
              </w:rPr>
              <w:t xml:space="preserve"> and the case remained with myself, as a long-term social worker. The policy that relates to these procedures are set out in the Social Services Well-being (Wales) Act 2014 (SSWB(W)A) Part 7, which specifically focuses on safeguarding, and the duty to report any children that may be at risk. Part 3 of the SSWBA explains the responsibility to assess the needs of care and support of a child (s.21). The Social Services and Well-being (Wales) Act 2014 is a poignant piece of legislation. The Act was introduced following the publication of The White Paper (2011) which focused on the sustainability of social services and the framework for action. The paper and framework aimed to reform some of the laws in place that related to the provision of services within social work. The SSWB(W)A 2014, also replaced previous legislation originally set out in within the Children Act 1989, specifically in relation to children who are looked after and children who were classified as in need. These requirements are guided by </w:t>
            </w:r>
            <w:proofErr w:type="spellStart"/>
            <w:r>
              <w:rPr>
                <w:sz w:val="24"/>
                <w:szCs w:val="24"/>
              </w:rPr>
              <w:t>part</w:t>
            </w:r>
            <w:proofErr w:type="spellEnd"/>
            <w:r>
              <w:rPr>
                <w:sz w:val="24"/>
                <w:szCs w:val="24"/>
              </w:rPr>
              <w:t xml:space="preserve"> 3 and 6 of the SSWB(W)A 2014. Furthermore, the Children Act 2004 was implemented, to reinforce the notion of multi-agency working and the importance of this. This is also reinforced and repealed by the SSWBA, Co-production and working collaboratively are fundamental principles within the act. It is important to note that ‘safeguarding is everybody’s responsibility’ as pointed out through the work of the NSPCC (2023). </w:t>
            </w:r>
          </w:p>
          <w:p w14:paraId="765F117C" w14:textId="77777777" w:rsidR="00932A3D" w:rsidRDefault="00932A3D" w:rsidP="00932A3D">
            <w:pPr>
              <w:rPr>
                <w:sz w:val="24"/>
                <w:szCs w:val="24"/>
              </w:rPr>
            </w:pPr>
            <w:r>
              <w:rPr>
                <w:sz w:val="24"/>
                <w:szCs w:val="24"/>
              </w:rPr>
              <w:t xml:space="preserve">Person 3 was unsure whether they wanted to continue with the pregnancy as Person 3 wanted to focus on Person 1 returning to her care. Person 4 was very keen in wanting his partner to progress with the pregnancy. I stated that if they did go ahead with the pregnancy that an ACAS will be undertook to assess the needs of the family and the child. They decided that they did want to continue with the pregnancy and the ACAS identified several risk factors due to parents current Class A substance misuse, previous criminal history in relation to Person 4. I adopted a person-centred approach when working with this family, I spoke in an open and honest manner with 3 &amp; 4 that there are historical and current risk factors and concerns that will inform my assessment in relation to the unborn baby. It is important to be person centred and non-judgemental when working with children and families (Yao, 2023). It is important that 3 &amp; 4 were active participants within the assessment process. A person-centred approach aims to promote the notion that professionals see the individual in a holistic way, rather than the main issues they are currently facing (Social Work News, 2023). </w:t>
            </w:r>
          </w:p>
          <w:p w14:paraId="382EAE9E" w14:textId="77777777" w:rsidR="00932A3D" w:rsidRDefault="00932A3D" w:rsidP="00932A3D">
            <w:pPr>
              <w:rPr>
                <w:sz w:val="24"/>
                <w:szCs w:val="24"/>
              </w:rPr>
            </w:pPr>
            <w:r>
              <w:rPr>
                <w:sz w:val="24"/>
                <w:szCs w:val="24"/>
              </w:rPr>
              <w:t xml:space="preserve">During supervision with my line manager, we discussed the next steps I should take and what tools I should utilise </w:t>
            </w:r>
            <w:proofErr w:type="gramStart"/>
            <w:r>
              <w:rPr>
                <w:sz w:val="24"/>
                <w:szCs w:val="24"/>
              </w:rPr>
              <w:t>in order to</w:t>
            </w:r>
            <w:proofErr w:type="gramEnd"/>
            <w:r>
              <w:rPr>
                <w:sz w:val="24"/>
                <w:szCs w:val="24"/>
              </w:rPr>
              <w:t xml:space="preserve"> efficiently assess the situation. We discussed undertaking a parenting assessment with both parents to have a fuller understanding of their lives and their understanding of children’s needs. Parenting assessments require a lot of analysis, and a lot of work needs to be carried out </w:t>
            </w:r>
            <w:proofErr w:type="gramStart"/>
            <w:r>
              <w:rPr>
                <w:sz w:val="24"/>
                <w:szCs w:val="24"/>
              </w:rPr>
              <w:t>in order to</w:t>
            </w:r>
            <w:proofErr w:type="gramEnd"/>
            <w:r>
              <w:rPr>
                <w:sz w:val="24"/>
                <w:szCs w:val="24"/>
              </w:rPr>
              <w:t xml:space="preserve"> obtain the best quality of information to be able to draw analysis. The next day I visited Person 3 &amp; 4 and wanted to explore with them whether they would be happy to engage with myself to undertake a parenting assessment. During this visit I was conscious that they may not be aware what this assessment will entail. I provided them with a proposed plan of the how the assessment </w:t>
            </w:r>
            <w:r>
              <w:rPr>
                <w:sz w:val="24"/>
                <w:szCs w:val="24"/>
              </w:rPr>
              <w:lastRenderedPageBreak/>
              <w:t xml:space="preserve">will look like, encouraging them to look over the plan and be involved in how the assessment is delivered and if they wanted to do anything differently. Here I was conscious of the co-production principle, set out in the SWWB(W)A 2014. I also reflected on the importance of power dynamics in the social work relationship, and how crucial it is to empower the individuals we work with and to be mindful of the position we hold as a professional (Karim, 2023). The plan was set over a 6-week period, with one weekly meeting for person 3 and person 4, separately. Week 1 was set out with the plan to speak about consent to contact other professionals, such as mental health services, GP, substance misuse and probation services, this will inform part of the parenting assessment analysis. Week 2 was set out to explore family history for person 3 and person 4, through the means of creating a genogram. A genogram is a tool used within social work practice, that aims to look through the individual’s family history and understand relationships and dynamics and their patterns of behaviour. A genogram is a useful tool that can help social workers understand and utilise a systemic approach to practice (Hardy, 2018) The genogram can also be used to assess the services </w:t>
            </w:r>
            <w:proofErr w:type="spellStart"/>
            <w:r>
              <w:rPr>
                <w:sz w:val="24"/>
                <w:szCs w:val="24"/>
              </w:rPr>
              <w:t>users</w:t>
            </w:r>
            <w:proofErr w:type="spellEnd"/>
            <w:r>
              <w:rPr>
                <w:sz w:val="24"/>
                <w:szCs w:val="24"/>
              </w:rPr>
              <w:t xml:space="preserve"> needs and can inform future interventions (Hoffman, 2022). Week 3 will look at lifestyle choices and substance misuse and consider the extent of the substance misuse and reasons behind this. It is important to note that this may be a difficult topic for both person 3 &amp; 4, and to be mindful of this. Social workers need to be aware of their own self whilst completing direct work with individuals, emotional intelligence is a skill and a trait that social workers must adopt to ensure they can manage the emotional complexities that can arise within social work practice (Ingram, 2013).  Week 4 was set to discuss risk management, and what 3 &amp; 4 perceive to be a risk, within this session we also looked at what is important to a child and the parents understanding and in turn ability to meet those needs of the child, Person 1 &amp; Person 2. Week 5 was set out to look at each parent’s physical and mental health and how this may impact on them and their parenting, and if any support could be established. Week 6 was set so that parents had the opportunity to ask any questions in relation to the work carried out thus far. </w:t>
            </w:r>
          </w:p>
          <w:p w14:paraId="71EDC4E1" w14:textId="77777777" w:rsidR="00932A3D" w:rsidRPr="008B7FEA" w:rsidRDefault="00932A3D" w:rsidP="00932A3D">
            <w:pPr>
              <w:rPr>
                <w:sz w:val="24"/>
                <w:szCs w:val="24"/>
              </w:rPr>
            </w:pPr>
            <w:r>
              <w:rPr>
                <w:sz w:val="24"/>
                <w:szCs w:val="24"/>
              </w:rPr>
              <w:t xml:space="preserve">On reflection of the initial assessments carried out, I could see that I was conscious to demonstrate a non-judgemental </w:t>
            </w:r>
            <w:r w:rsidRPr="008B7FEA">
              <w:rPr>
                <w:sz w:val="24"/>
                <w:szCs w:val="24"/>
              </w:rPr>
              <w:t>approach to the parents and manage the power dynamic that can sometimes be felt between a professional and a service use</w:t>
            </w:r>
            <w:r>
              <w:rPr>
                <w:sz w:val="24"/>
                <w:szCs w:val="24"/>
              </w:rPr>
              <w:t>r (Munro, 2011).</w:t>
            </w:r>
            <w:r w:rsidRPr="008B7FEA">
              <w:rPr>
                <w:sz w:val="24"/>
                <w:szCs w:val="24"/>
              </w:rPr>
              <w:t xml:space="preserve"> Before and during the parenting assessment, I spoke about social learning theory in supervision, and I reflected on how this theory could suggest that person 3 &amp; 4 could have learned about substances through observations and modelled this behaviour and thus leading to an addiction (Smith, 2021). We also spoke about the cycles of change, first and second order change and how one needs to be motivated for second order change to be established (Lewis, Pipe &amp; Bostock, 2022). </w:t>
            </w:r>
            <w:r>
              <w:rPr>
                <w:sz w:val="24"/>
                <w:szCs w:val="24"/>
              </w:rPr>
              <w:t xml:space="preserve">Systemic practice can also be linked to second order change, as systemic practice aims to promote meaningful change by helping the whole system, </w:t>
            </w:r>
            <w:proofErr w:type="gramStart"/>
            <w:r>
              <w:rPr>
                <w:sz w:val="24"/>
                <w:szCs w:val="24"/>
              </w:rPr>
              <w:t>in order to</w:t>
            </w:r>
            <w:proofErr w:type="gramEnd"/>
            <w:r>
              <w:rPr>
                <w:sz w:val="24"/>
                <w:szCs w:val="24"/>
              </w:rPr>
              <w:t xml:space="preserve"> achieve the changes (Lewis, Pipe &amp; Bostock, 2022). It is also important for practitioners to be mindful of their communication skills and having a gentle but firm approach and balancing the power relationship with the client. It is also crucial to be mindful of John Burham’s GRAAAACES, as social work is a predominantly relationship-based career. Being mindful of one’s own identity, and the importance of respecting other people’s beliefs will aid the working-relationship (Burham, 2012).</w:t>
            </w:r>
          </w:p>
          <w:p w14:paraId="49A6D1A4" w14:textId="77777777" w:rsidR="00932A3D" w:rsidRDefault="00932A3D" w:rsidP="00932A3D">
            <w:pPr>
              <w:rPr>
                <w:sz w:val="24"/>
                <w:szCs w:val="24"/>
              </w:rPr>
            </w:pPr>
            <w:r>
              <w:rPr>
                <w:sz w:val="24"/>
                <w:szCs w:val="24"/>
              </w:rPr>
              <w:br/>
              <w:t xml:space="preserve">It is important that as a professional anti-oppressive practice must be echoed through one’s practice. However, that doesn’t mean that you are not able to use your professional </w:t>
            </w:r>
            <w:r>
              <w:rPr>
                <w:sz w:val="24"/>
                <w:szCs w:val="24"/>
              </w:rPr>
              <w:lastRenderedPageBreak/>
              <w:t xml:space="preserve">judgement and remain aware that parents may expose their children to significant harm (Wilkinson &amp; Bowyer, 2017). Research suggests that there’s multiple vulnerabilities of a parent that could lead to maltreatment of a child, one of which being parental substance misuse (Sidebottom et al, 2016).  During my work with parents, they were sceptical about the realistic support they’d be able to receive, Person 4 was particularly pessimistic because of his associates and how he will still be around these individuals at the substance misuse teams office and in town, and that he worries that he will be lonely and have no friends, as all his friends take substances. Person 3 was also cynical that 4 would receive the correct support from services and she felt that they both needed to be on the same page regarding substances otherwise she felt they would go back to past behaviours. Whilst 4 was on a substance replacement programme, she suggested that they have been in this position before and that they have been reliant on the service and one missed appointment may lead to them both or one of them having their prescription removed. During my assessment I had consent from 3 &amp; 4 and spoke with the substance misuse team, to ensure that all professionals involved could communicate effectively to ensure that this won’t be repeated. </w:t>
            </w:r>
          </w:p>
          <w:p w14:paraId="1FC55B9E" w14:textId="77777777" w:rsidR="00932A3D" w:rsidRDefault="00932A3D" w:rsidP="00932A3D">
            <w:pPr>
              <w:rPr>
                <w:sz w:val="24"/>
                <w:szCs w:val="24"/>
              </w:rPr>
            </w:pPr>
            <w:r>
              <w:rPr>
                <w:sz w:val="24"/>
                <w:szCs w:val="24"/>
              </w:rPr>
              <w:t>Studies suggest that children with substance misusing parents is strongly correlated with negative child health outcomes (Baker et al, 2015). One study concluded that there is a strong association between mothers who misuse substances and their children having to be accommodated in local authority care (</w:t>
            </w:r>
            <w:proofErr w:type="spellStart"/>
            <w:r>
              <w:rPr>
                <w:sz w:val="24"/>
                <w:szCs w:val="24"/>
              </w:rPr>
              <w:t>Raitasalo</w:t>
            </w:r>
            <w:proofErr w:type="spellEnd"/>
            <w:r>
              <w:rPr>
                <w:sz w:val="24"/>
                <w:szCs w:val="24"/>
              </w:rPr>
              <w:t xml:space="preserve"> et al, 2015). Therefore, parental substance misuse can be considered a prevalent child protection concern (HM Government, 2015). </w:t>
            </w:r>
          </w:p>
          <w:p w14:paraId="71588A79" w14:textId="77777777" w:rsidR="00932A3D" w:rsidRDefault="00932A3D" w:rsidP="00932A3D">
            <w:pPr>
              <w:rPr>
                <w:sz w:val="24"/>
                <w:szCs w:val="24"/>
              </w:rPr>
            </w:pPr>
            <w:r>
              <w:rPr>
                <w:sz w:val="24"/>
                <w:szCs w:val="24"/>
              </w:rPr>
              <w:t>Another approach I adopted when working with this family was a strengths-based approach, whilst there were concerns that we couldn’t get away from, the family were willing to work with myself and focusing on this as a strength this could help plans develop cooperatively (Bryan, Hingley-Jones &amp; Ruch, 2016). It was person 3 &amp; 4’s current substance misuse, 4’s criminal history and lack of change they have been able to sustain up until this period, despite both having other children. This made me believe that Person 2 may be at risk of significant harm at birth.</w:t>
            </w:r>
            <w:r w:rsidRPr="007D56DD">
              <w:rPr>
                <w:sz w:val="24"/>
                <w:szCs w:val="24"/>
              </w:rPr>
              <w:t xml:space="preserve"> </w:t>
            </w:r>
            <w:r>
              <w:rPr>
                <w:sz w:val="24"/>
                <w:szCs w:val="24"/>
              </w:rPr>
              <w:t>Following the conclusion of my parenting assessment I had concerns that parents have other children and have been unable to make changes thus far to have any of these children living with them, despite both explaining to me that this is what they want</w:t>
            </w:r>
            <w:r w:rsidRPr="006837F2">
              <w:rPr>
                <w:sz w:val="24"/>
                <w:szCs w:val="24"/>
              </w:rPr>
              <w:t xml:space="preserve">. </w:t>
            </w:r>
            <w:r>
              <w:rPr>
                <w:sz w:val="24"/>
                <w:szCs w:val="24"/>
              </w:rPr>
              <w:t>W</w:t>
            </w:r>
            <w:r w:rsidRPr="006837F2">
              <w:rPr>
                <w:sz w:val="24"/>
                <w:szCs w:val="24"/>
              </w:rPr>
              <w:t xml:space="preserve">hen working with 3 &amp; 4 it seemed as though they were unable to recognise that they have a choice in their actions, </w:t>
            </w:r>
            <w:r>
              <w:rPr>
                <w:sz w:val="24"/>
                <w:szCs w:val="24"/>
              </w:rPr>
              <w:t xml:space="preserve">and both wanted to blame the substance misuse team for them being unable to abstain from substances, this was the analysis I was able to draw from the assessment. As a result of this, I exercised my professional judgement and decided that I wanted to proceed to a pre-birth initial child protection conference, that would place the baby on the child protection register when they were born. The child protection procedures are vital within children’s social work and are set out by the Children Act 1989 and the Wales Safeguarding Procedures, 2019. Child protection procedures focus on whether there is a child that could be placed at risk of significant harm. The Children Act 1989 sets out the requirements for this under Section 47 of the Act, which places a duty on the local authority to investigate enquiries and if reasonable, to take action to safeguard a child. A Section 47 investigation is undertaken by social services and information is gathered with other professionals, such as health services, the police, probation and any other services that may be involved and working with the family at the time of these enquiries. This is also in line with the </w:t>
            </w:r>
            <w:r>
              <w:rPr>
                <w:i/>
                <w:iCs/>
                <w:sz w:val="24"/>
                <w:szCs w:val="24"/>
              </w:rPr>
              <w:t xml:space="preserve">Working Together to Safeguard People Code of Safeguarding Practice. </w:t>
            </w:r>
            <w:r>
              <w:rPr>
                <w:sz w:val="24"/>
                <w:szCs w:val="24"/>
              </w:rPr>
              <w:t xml:space="preserve">I collated information from these professionals and services and utilised my supervision to discuss this case in detail and discuss the findings. My supervisor </w:t>
            </w:r>
            <w:r>
              <w:rPr>
                <w:sz w:val="24"/>
                <w:szCs w:val="24"/>
              </w:rPr>
              <w:lastRenderedPageBreak/>
              <w:t xml:space="preserve">and I agreed that in line with the Wales Safeguarding Procedures, a pre-birth child protection conference should be held. This was due to evidence suggesting that Person 2 may be at risk of significant harm and that a clear and robust support plan must be established to ensure 2’s safety once they were born. </w:t>
            </w:r>
            <w:proofErr w:type="gramStart"/>
            <w:r>
              <w:rPr>
                <w:sz w:val="24"/>
                <w:szCs w:val="24"/>
              </w:rPr>
              <w:t>In order to</w:t>
            </w:r>
            <w:proofErr w:type="gramEnd"/>
            <w:r>
              <w:rPr>
                <w:sz w:val="24"/>
                <w:szCs w:val="24"/>
              </w:rPr>
              <w:t xml:space="preserve"> proceed to a child protection conference, a strategy meeting need to be held with my Team Manager and the police, to trigger the request for a Child protection conference. The police and team manager felt that the concerns have met the threshold to continue to a child protection conference. After the strategy discussion the conference needed to be held within 15 working days to stay in line with the All-Wales Safeguarding Procedures. Before the child protection conference happened, I had to prepare a report to share within the conference arena, that would highlight my concerns and the recommendation to place the baby on the child protection register. The report also included what the child protection plan would be and what individual would be responsible for each part of the plan. It is also important that parents had sight of the report before the conference date, so they could read the report and ask any questions they may have. </w:t>
            </w:r>
          </w:p>
          <w:p w14:paraId="6CC52822" w14:textId="77777777" w:rsidR="00932A3D" w:rsidRDefault="00932A3D" w:rsidP="00932A3D">
            <w:pPr>
              <w:rPr>
                <w:sz w:val="24"/>
                <w:szCs w:val="24"/>
              </w:rPr>
            </w:pPr>
            <w:r>
              <w:rPr>
                <w:sz w:val="24"/>
                <w:szCs w:val="24"/>
              </w:rPr>
              <w:t xml:space="preserve">In consideration and reflection of my practice, I considered a variety of theories and models that I have utilised within my role of a children’s social worker. </w:t>
            </w:r>
          </w:p>
          <w:p w14:paraId="62A19B02" w14:textId="77777777" w:rsidR="00932A3D" w:rsidRDefault="00932A3D" w:rsidP="00932A3D">
            <w:pPr>
              <w:rPr>
                <w:sz w:val="24"/>
                <w:szCs w:val="24"/>
              </w:rPr>
            </w:pPr>
            <w:r>
              <w:rPr>
                <w:sz w:val="24"/>
                <w:szCs w:val="24"/>
              </w:rPr>
              <w:t>Systemic practice is a model often used within social work that focuses on the systems that surround an individual (</w:t>
            </w:r>
            <w:proofErr w:type="spellStart"/>
            <w:r>
              <w:rPr>
                <w:sz w:val="24"/>
                <w:szCs w:val="24"/>
              </w:rPr>
              <w:t>Aalito</w:t>
            </w:r>
            <w:proofErr w:type="spellEnd"/>
            <w:r>
              <w:rPr>
                <w:sz w:val="24"/>
                <w:szCs w:val="24"/>
              </w:rPr>
              <w:t xml:space="preserve">, 2023). This theory looks at how that individual operates within their system. It is important as a practitioner to understand where a parent or child fits within their family system to understand family dynamics and that sometimes there are patterns that are repeated within the families (Hardy 2018). Systems theory suggests that behaviour can sometimes be embedded at ecological levels, with each part of the system having an impact on another part of the system (Jason &amp; Bobak, 2022). I reflected on how important it is to look at these parents within their systems, to see how best to bring about positive change across all systems. Keeping this in mind, I completed genograms with person 3 and 4. A genogram is used to explore the family dynamics and the relationships and patterns. Genograms are a visual tool and can be used to intensify information sharing and engagement (Huss &amp; </w:t>
            </w:r>
            <w:proofErr w:type="spellStart"/>
            <w:r>
              <w:rPr>
                <w:sz w:val="24"/>
                <w:szCs w:val="24"/>
              </w:rPr>
              <w:t>Kapulnik</w:t>
            </w:r>
            <w:proofErr w:type="spellEnd"/>
            <w:r>
              <w:rPr>
                <w:sz w:val="24"/>
                <w:szCs w:val="24"/>
              </w:rPr>
              <w:t xml:space="preserve">, 2021). This allowed me to explore repetitive patterns within both parents’ families and how to work together to create achievable goals to try and change the repeated cycles, as both parents had been exposed to family substance misuse somewhere within their system. </w:t>
            </w:r>
          </w:p>
          <w:p w14:paraId="6CC482E7" w14:textId="77777777" w:rsidR="00932A3D" w:rsidRDefault="00932A3D" w:rsidP="00932A3D">
            <w:pPr>
              <w:rPr>
                <w:sz w:val="24"/>
                <w:szCs w:val="24"/>
              </w:rPr>
            </w:pPr>
            <w:r>
              <w:rPr>
                <w:sz w:val="24"/>
                <w:szCs w:val="24"/>
              </w:rPr>
              <w:t xml:space="preserve">Another dimension of systemic practice, is whereby a professional can take on board advice from other professionals. This is utilised within our team, by operating in a POD. Within this POD consists of team managers, senior practitioners, social workers, psychologists and child and family practitioners. The POD gives opportunity for other professionals who aren’t the case holder, to have an input on the case and to make recommendations of further interventions the social worker could potentially utilise in their practice as well as the use of hypothesising within the case. The use of POD is beneficial to social workers, as it allows a space to remain professionally curious and consider a variety of perspectives (Lewis, Pipe &amp; Bostock, 2022). Prior to proceeding to a child protection conference, I held a family network meeting to identify what support parents could utilise if needed. Parents identified that Person 4’s parents were very helpful on a practical and emotional level. We all met together and 4’s parents outlined the support they were able to provide once the baby came along, this included taking 3 &amp; 4 to appointments, shopping etc. They also said they’d be happy to have the baby for parents if they ever felt they needed a break, including </w:t>
            </w:r>
            <w:proofErr w:type="spellStart"/>
            <w:r>
              <w:rPr>
                <w:sz w:val="24"/>
                <w:szCs w:val="24"/>
              </w:rPr>
              <w:t>over night</w:t>
            </w:r>
            <w:proofErr w:type="spellEnd"/>
            <w:r>
              <w:rPr>
                <w:sz w:val="24"/>
                <w:szCs w:val="24"/>
              </w:rPr>
              <w:t xml:space="preserve"> stays. In </w:t>
            </w:r>
            <w:r>
              <w:rPr>
                <w:sz w:val="24"/>
                <w:szCs w:val="24"/>
              </w:rPr>
              <w:lastRenderedPageBreak/>
              <w:t xml:space="preserve">line with Wales Safeguarding Procedures and undertaking enquiries, I asked whether 4’s parents were happy that I undertook a </w:t>
            </w:r>
            <w:proofErr w:type="gramStart"/>
            <w:r>
              <w:rPr>
                <w:sz w:val="24"/>
                <w:szCs w:val="24"/>
              </w:rPr>
              <w:t>Police</w:t>
            </w:r>
            <w:proofErr w:type="gramEnd"/>
            <w:r>
              <w:rPr>
                <w:sz w:val="24"/>
                <w:szCs w:val="24"/>
              </w:rPr>
              <w:t xml:space="preserve"> Check on them, to ensure that they were also considered safe people and that the baby could be unsupervised with them. They consented to the Police check being carried out and the check returned with no involvement with the police on either of the parent’s records. This is evidence of collaborative working within the family.</w:t>
            </w:r>
          </w:p>
          <w:p w14:paraId="49DEB654" w14:textId="77777777" w:rsidR="00932A3D" w:rsidRDefault="00932A3D" w:rsidP="00932A3D">
            <w:pPr>
              <w:rPr>
                <w:sz w:val="24"/>
                <w:szCs w:val="24"/>
              </w:rPr>
            </w:pPr>
            <w:r>
              <w:rPr>
                <w:sz w:val="24"/>
                <w:szCs w:val="24"/>
              </w:rPr>
              <w:t xml:space="preserve">The parents were willing to work and engage with myself. The exchange model established by </w:t>
            </w:r>
            <w:r>
              <w:rPr>
                <w:i/>
                <w:iCs/>
                <w:sz w:val="24"/>
                <w:szCs w:val="24"/>
              </w:rPr>
              <w:t xml:space="preserve">Smale et al </w:t>
            </w:r>
            <w:r>
              <w:rPr>
                <w:sz w:val="24"/>
                <w:szCs w:val="24"/>
              </w:rPr>
              <w:t xml:space="preserve">(1993) places an emphasis on the two-way flow of information whilst carrying out assessments. I utilised this approach with the parents to establish collectively what the concerns were, and how to plan forward to mitigate these concerns. I recognised that I had to be open and honest with my concerns and the reasons for proceeding to a child protection conference. It didn’t come as a surprise to the parents that this was the course of action I wanted to take, as they were aware of the concerns and agreed with this plan. This exchange helped us both and when we came into the child protection conference, as we had a mutual understanding of the worries. A Pre-birth Initial Child Protection Conference was held 3 months prior to the baby’s due date. Person 1 was also placed on the Child Protection Register as there was a plan for her to move back home and thus, the risk expanding to her and there needed to be a period of monitoring.  </w:t>
            </w:r>
          </w:p>
          <w:p w14:paraId="00058944" w14:textId="77777777" w:rsidR="00932A3D" w:rsidRDefault="00932A3D" w:rsidP="00932A3D">
            <w:pPr>
              <w:rPr>
                <w:sz w:val="24"/>
                <w:szCs w:val="24"/>
              </w:rPr>
            </w:pPr>
            <w:r>
              <w:rPr>
                <w:sz w:val="24"/>
                <w:szCs w:val="24"/>
              </w:rPr>
              <w:t>The day the baby was born, he experienced very slight withdrawals from the prescribed methadone that mother had been taking throughout her pregnancy. This was monitored by the midwives and hospital staff. Visits were undertaken every 2-3 days when the baby was born and mother and baby were in hospital for 7 days in total, then discharged home as per the child protection plan. The initial core group meeting was held within the first 10 days of the baby being born. This again, is in line with the Wales Safeguarding Procedures. The initial core group consisted of the midwife, substance misuse workers for both parents and schoolteachers in relation to person 1. The core group provided positive feedback in relation to both children, as Person 1 had just begun comprehensive school, there was a lot of change for her. Both parents had been working with their substance misuse workers and been reliable and dependable, and on time for appointments, prior to the arrival of the baby. It was due to this that Person 1 was able to begin staying weekends with 3 &amp; 4. I was able to establish 1’s wishes and feelings through direct work. Being able to complete direct work with children is important and allows the social worker to remain child-centred when dealing with sensitive topics (O’Reilly &amp; Dolan 2015). Throughout the registration of both children, Person 1 was able to move back home with 3 &amp; 4, and this allowed myself to continue to monitor the risk. However, due to the progress of the family and their hard work and dependability, it was seen that the risk had been reduced and both children’s names were removed from the child protection register at the first Review Child Protection Conference.</w:t>
            </w:r>
            <w:r w:rsidRPr="00C16E6A">
              <w:rPr>
                <w:sz w:val="24"/>
                <w:szCs w:val="24"/>
              </w:rPr>
              <w:t xml:space="preserve"> </w:t>
            </w:r>
            <w:r>
              <w:rPr>
                <w:sz w:val="24"/>
                <w:szCs w:val="24"/>
              </w:rPr>
              <w:t xml:space="preserve">This I felt was due to effective collaborative working with both the family and other professionals. I was able to use my professional judgement to remove said children from the child protection register. The children currently remain open to me on a care and support basis. </w:t>
            </w:r>
          </w:p>
          <w:p w14:paraId="6F6F9386" w14:textId="77777777" w:rsidR="00932A3D" w:rsidRDefault="00932A3D" w:rsidP="00932A3D">
            <w:pPr>
              <w:rPr>
                <w:sz w:val="24"/>
                <w:szCs w:val="24"/>
              </w:rPr>
            </w:pPr>
          </w:p>
          <w:p w14:paraId="267B60C3" w14:textId="77777777" w:rsidR="00932A3D" w:rsidRDefault="00932A3D" w:rsidP="00932A3D">
            <w:pPr>
              <w:rPr>
                <w:sz w:val="24"/>
                <w:szCs w:val="24"/>
              </w:rPr>
            </w:pPr>
            <w:r>
              <w:rPr>
                <w:sz w:val="24"/>
                <w:szCs w:val="24"/>
              </w:rPr>
              <w:t xml:space="preserve"> Considering Jasper’s 2013 ERA (Experience, reflect, action) model of reflection. I considered the above case; it was the first case I held that progressed to child protection. I reflected on the ethical dilemma that safeguarding procedures may outweigh other legislation that is also in force, such as the Article 8 of the Human Rights Act 1998 “right to a </w:t>
            </w:r>
            <w:r>
              <w:rPr>
                <w:sz w:val="24"/>
                <w:szCs w:val="24"/>
              </w:rPr>
              <w:lastRenderedPageBreak/>
              <w:t xml:space="preserve">private family life” as child protection plans may be seen as intrusive. However, I felt that I was able to balance my responsibilities within my social work role, by remaining person centred, but also carrying out safeguarding enquiries and taking the necessary action. It is important to consider that Children’s rights are set out in the United Nations Convention on the Rights of the Child (UNCRC, UNICEF, 1989). Article 18 sets out the importance of parental and state responsibilities that the best interest of a child/children should be the main priority for both parents and the state. This is also embedded in the SSWB(W)A 2014. I reflected on the positive rapport I had built with the parents and person 1 and had achieved an encouraging outcome, after the children being removed from the Child Protection register after the first Review Conference. Conclusively, the Action I will be taking forward and learning from this experience is to not be judgemental of a person’s past, and that they do have the ability to make changes with support and guidance. </w:t>
            </w:r>
          </w:p>
          <w:p w14:paraId="6A499A61" w14:textId="77777777" w:rsidR="00932A3D" w:rsidRDefault="00932A3D" w:rsidP="00932A3D">
            <w:pPr>
              <w:rPr>
                <w:sz w:val="24"/>
                <w:szCs w:val="24"/>
              </w:rPr>
            </w:pPr>
          </w:p>
          <w:p w14:paraId="0C1020FE" w14:textId="3639260A" w:rsidR="00D3203C" w:rsidRDefault="00932A3D" w:rsidP="00FF7EBB">
            <w:pPr>
              <w:jc w:val="both"/>
              <w:rPr>
                <w:i/>
                <w:sz w:val="24"/>
                <w:szCs w:val="24"/>
              </w:rPr>
            </w:pPr>
            <w:r>
              <w:rPr>
                <w:i/>
                <w:sz w:val="24"/>
                <w:szCs w:val="24"/>
              </w:rPr>
              <w:t xml:space="preserve"> 4460-word count</w:t>
            </w: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3BA3"/>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375C"/>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2A3D"/>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4660</Words>
  <Characters>23186</Characters>
  <Application>Microsoft Office Word</Application>
  <DocSecurity>4</DocSecurity>
  <Lines>193</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Amy LJ Jones</cp:lastModifiedBy>
  <cp:revision>2</cp:revision>
  <cp:lastPrinted>2020-02-11T19:20:00Z</cp:lastPrinted>
  <dcterms:created xsi:type="dcterms:W3CDTF">2025-02-19T10:51:00Z</dcterms:created>
  <dcterms:modified xsi:type="dcterms:W3CDTF">2025-02-19T10:51:00Z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