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0EC9A65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D12406">
        <w:rPr>
          <w:rFonts w:ascii="Arial" w:hAnsi="Arial" w:cs="Arial"/>
          <w:sz w:val="28"/>
          <w:szCs w:val="28"/>
          <w:lang w:val="nl-NL"/>
        </w:rPr>
        <w:t xml:space="preserve"> </w:t>
      </w:r>
      <w:r w:rsidR="00762BE1">
        <w:rPr>
          <w:rFonts w:ascii="Arial" w:hAnsi="Arial" w:cs="Arial"/>
          <w:sz w:val="28"/>
          <w:szCs w:val="28"/>
          <w:lang w:val="nl-NL"/>
        </w:rPr>
        <w:t>E</w:t>
      </w:r>
      <w:r w:rsidR="004B098B">
        <w:rPr>
          <w:rFonts w:ascii="Arial" w:hAnsi="Arial" w:cs="Arial"/>
          <w:sz w:val="28"/>
          <w:szCs w:val="28"/>
          <w:lang w:val="nl-NL"/>
        </w:rPr>
        <w:t>BENEZER AKINYEMI MOSES</w:t>
      </w:r>
    </w:p>
    <w:p w14:paraId="3C83A8A7" w14:textId="3886C77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B94BB3">
        <w:rPr>
          <w:rFonts w:ascii="Arial" w:hAnsi="Arial" w:cs="Arial"/>
          <w:sz w:val="28"/>
          <w:szCs w:val="28"/>
          <w:lang w:val="nl-NL"/>
        </w:rPr>
        <w:t>2436083</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1643EA41"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A438E9">
        <w:rPr>
          <w:rFonts w:ascii="Arial" w:hAnsi="Arial" w:cs="Arial"/>
          <w:sz w:val="28"/>
          <w:szCs w:val="28"/>
          <w:lang w:val="nl-NL"/>
        </w:rPr>
        <w:t>I</w:t>
      </w:r>
      <w:r w:rsidR="003D7BAE">
        <w:rPr>
          <w:rFonts w:ascii="Arial" w:hAnsi="Arial" w:cs="Arial"/>
          <w:sz w:val="28"/>
          <w:szCs w:val="28"/>
          <w:lang w:val="nl-NL"/>
        </w:rPr>
        <w:t>NTRODUCTION TO PHYSIOLOGY</w:t>
      </w:r>
    </w:p>
    <w:p w14:paraId="4FD97C8C" w14:textId="1D07713B"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C0767B">
        <w:rPr>
          <w:rFonts w:ascii="Arial" w:hAnsi="Arial" w:cs="Arial"/>
          <w:sz w:val="28"/>
          <w:szCs w:val="28"/>
        </w:rPr>
        <w:t xml:space="preserve"> </w:t>
      </w:r>
      <w:r w:rsidR="003D7BAE">
        <w:rPr>
          <w:rFonts w:ascii="Arial" w:hAnsi="Arial" w:cs="Arial"/>
          <w:sz w:val="28"/>
          <w:szCs w:val="28"/>
        </w:rPr>
        <w:t>B</w:t>
      </w:r>
      <w:r w:rsidR="006853F1">
        <w:rPr>
          <w:rFonts w:ascii="Arial" w:hAnsi="Arial" w:cs="Arial"/>
          <w:sz w:val="28"/>
          <w:szCs w:val="28"/>
        </w:rPr>
        <w:t>MH</w:t>
      </w:r>
      <w:r w:rsidR="00B372E8">
        <w:rPr>
          <w:rFonts w:ascii="Arial" w:hAnsi="Arial" w:cs="Arial"/>
          <w:sz w:val="28"/>
          <w:szCs w:val="28"/>
        </w:rPr>
        <w:t>P5023</w:t>
      </w:r>
    </w:p>
    <w:p w14:paraId="658BE57E" w14:textId="08352F11"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4B098B">
        <w:rPr>
          <w:rFonts w:ascii="Arial" w:hAnsi="Arial" w:cs="Arial"/>
          <w:sz w:val="28"/>
          <w:szCs w:val="28"/>
        </w:rPr>
        <w:t xml:space="preserve"> </w:t>
      </w:r>
      <w:r w:rsidR="00B372E8">
        <w:rPr>
          <w:rFonts w:ascii="Arial" w:hAnsi="Arial" w:cs="Arial"/>
          <w:sz w:val="28"/>
          <w:szCs w:val="28"/>
        </w:rPr>
        <w:t>SHA</w:t>
      </w:r>
      <w:r w:rsidR="00C2612B">
        <w:rPr>
          <w:rFonts w:ascii="Arial" w:hAnsi="Arial" w:cs="Arial"/>
          <w:sz w:val="28"/>
          <w:szCs w:val="28"/>
        </w:rPr>
        <w:t>I</w:t>
      </w:r>
      <w:r w:rsidR="00B372E8">
        <w:rPr>
          <w:rFonts w:ascii="Arial" w:hAnsi="Arial" w:cs="Arial"/>
          <w:sz w:val="28"/>
          <w:szCs w:val="28"/>
        </w:rPr>
        <w:t xml:space="preserve">LA </w:t>
      </w:r>
      <w:r w:rsidR="000005F7">
        <w:rPr>
          <w:rFonts w:ascii="Arial" w:hAnsi="Arial" w:cs="Arial"/>
          <w:sz w:val="28"/>
          <w:szCs w:val="28"/>
        </w:rPr>
        <w:t>HUSSA</w:t>
      </w:r>
      <w:r w:rsidR="004B098B">
        <w:rPr>
          <w:rFonts w:ascii="Arial" w:hAnsi="Arial" w:cs="Arial"/>
          <w:sz w:val="28"/>
          <w:szCs w:val="28"/>
        </w:rPr>
        <w:t>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3B272755" w:rsidR="001B7A40"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C32C15">
        <w:rPr>
          <w:rFonts w:ascii="Arial" w:hAnsi="Arial" w:cs="Arial"/>
          <w:b/>
          <w:bCs/>
          <w:sz w:val="28"/>
          <w:szCs w:val="28"/>
        </w:rPr>
        <w:t>COMPONENT 1</w:t>
      </w:r>
      <w:r w:rsidR="00065C95">
        <w:rPr>
          <w:rFonts w:ascii="Arial" w:hAnsi="Arial" w:cs="Arial"/>
          <w:b/>
          <w:bCs/>
          <w:sz w:val="28"/>
          <w:szCs w:val="28"/>
        </w:rPr>
        <w:t>:</w:t>
      </w:r>
      <w:r w:rsidR="00705C92">
        <w:rPr>
          <w:rFonts w:ascii="Arial" w:hAnsi="Arial" w:cs="Arial"/>
          <w:b/>
          <w:bCs/>
          <w:sz w:val="28"/>
          <w:szCs w:val="28"/>
        </w:rPr>
        <w:t xml:space="preserve"> WRITTEN ASSIGNMENT</w:t>
      </w:r>
      <w:r w:rsidR="00C32C15">
        <w:rPr>
          <w:rFonts w:ascii="Arial" w:hAnsi="Arial" w:cs="Arial"/>
          <w:b/>
          <w:bCs/>
          <w:sz w:val="28"/>
          <w:szCs w:val="28"/>
        </w:rPr>
        <w:t xml:space="preserve"> </w:t>
      </w:r>
      <w:r w:rsidR="00065C95">
        <w:rPr>
          <w:rFonts w:ascii="Arial" w:hAnsi="Arial" w:cs="Arial"/>
          <w:b/>
          <w:bCs/>
          <w:sz w:val="28"/>
          <w:szCs w:val="28"/>
        </w:rPr>
        <w:t>(</w:t>
      </w:r>
      <w:r w:rsidR="00B839F0">
        <w:rPr>
          <w:rFonts w:ascii="Arial" w:hAnsi="Arial" w:cs="Arial"/>
          <w:b/>
          <w:bCs/>
          <w:sz w:val="28"/>
          <w:szCs w:val="28"/>
        </w:rPr>
        <w:t>CASE ST</w:t>
      </w:r>
      <w:r w:rsidR="00705C92">
        <w:rPr>
          <w:rFonts w:ascii="Arial" w:hAnsi="Arial" w:cs="Arial"/>
          <w:b/>
          <w:bCs/>
          <w:sz w:val="28"/>
          <w:szCs w:val="28"/>
        </w:rPr>
        <w:t>UDY REPORT</w:t>
      </w:r>
      <w:r w:rsidR="00065C95">
        <w:rPr>
          <w:rFonts w:ascii="Arial" w:hAnsi="Arial" w:cs="Arial"/>
          <w:b/>
          <w:bCs/>
          <w:sz w:val="28"/>
          <w:szCs w:val="28"/>
        </w:rPr>
        <w:t>)</w:t>
      </w:r>
    </w:p>
    <w:p w14:paraId="0F586194" w14:textId="77777777" w:rsidR="00523B58" w:rsidRPr="00C03A91" w:rsidRDefault="00523B58" w:rsidP="00C03A91">
      <w:pPr>
        <w:tabs>
          <w:tab w:val="left" w:pos="6540"/>
        </w:tabs>
        <w:spacing w:line="360" w:lineRule="auto"/>
        <w:rPr>
          <w:rFonts w:ascii="Arial" w:hAnsi="Arial" w:cs="Arial"/>
          <w:b/>
          <w:bCs/>
          <w:sz w:val="28"/>
          <w:szCs w:val="28"/>
        </w:rPr>
      </w:pPr>
    </w:p>
    <w:p w14:paraId="21E663C3" w14:textId="77777777" w:rsidR="00995C46" w:rsidRDefault="00995C46" w:rsidP="00C03A91">
      <w:pPr>
        <w:tabs>
          <w:tab w:val="left" w:pos="6540"/>
        </w:tabs>
        <w:spacing w:line="360" w:lineRule="auto"/>
        <w:rPr>
          <w:rFonts w:ascii="Arial" w:hAnsi="Arial" w:cs="Arial"/>
          <w:sz w:val="28"/>
          <w:szCs w:val="28"/>
        </w:rPr>
      </w:pPr>
    </w:p>
    <w:p w14:paraId="034F6AC2" w14:textId="77777777" w:rsidR="00DC3EC6" w:rsidRDefault="00DC3EC6" w:rsidP="00995C46">
      <w:pPr>
        <w:spacing w:line="360" w:lineRule="auto"/>
        <w:rPr>
          <w:rFonts w:ascii="Arial" w:hAnsi="Arial" w:cs="Arial"/>
          <w:color w:val="EE0000"/>
          <w:sz w:val="28"/>
          <w:szCs w:val="28"/>
        </w:rPr>
      </w:pPr>
    </w:p>
    <w:p w14:paraId="7BE7DC71" w14:textId="77777777" w:rsidR="00DC3EC6" w:rsidRDefault="00DC3EC6" w:rsidP="00995C46">
      <w:pPr>
        <w:spacing w:line="360" w:lineRule="auto"/>
        <w:rPr>
          <w:rFonts w:ascii="Arial" w:hAnsi="Arial" w:cs="Arial"/>
          <w:color w:val="EE0000"/>
          <w:sz w:val="28"/>
          <w:szCs w:val="28"/>
        </w:rPr>
      </w:pPr>
    </w:p>
    <w:p w14:paraId="01CE1405" w14:textId="77777777" w:rsidR="00DC3EC6" w:rsidRDefault="00DC3EC6" w:rsidP="00995C46">
      <w:pPr>
        <w:spacing w:line="360" w:lineRule="auto"/>
        <w:rPr>
          <w:rFonts w:ascii="Arial" w:hAnsi="Arial" w:cs="Arial"/>
          <w:color w:val="EE0000"/>
          <w:sz w:val="28"/>
          <w:szCs w:val="28"/>
        </w:rPr>
      </w:pPr>
    </w:p>
    <w:p w14:paraId="0999D568" w14:textId="77777777" w:rsidR="00FC571A" w:rsidRDefault="00FC571A" w:rsidP="00265758">
      <w:pPr>
        <w:rPr>
          <w:rFonts w:ascii="Arial" w:hAnsi="Arial" w:cs="Arial"/>
          <w:color w:val="EE0000"/>
          <w:sz w:val="28"/>
          <w:szCs w:val="28"/>
        </w:rPr>
      </w:pPr>
    </w:p>
    <w:p w14:paraId="2C8A6B2E" w14:textId="77777777" w:rsidR="00FC571A" w:rsidRDefault="00FC571A" w:rsidP="00265758">
      <w:pPr>
        <w:rPr>
          <w:rFonts w:ascii="Arial" w:hAnsi="Arial" w:cs="Arial"/>
          <w:color w:val="EE0000"/>
          <w:sz w:val="28"/>
          <w:szCs w:val="28"/>
        </w:rPr>
      </w:pPr>
    </w:p>
    <w:p w14:paraId="59A5B024" w14:textId="77777777" w:rsidR="00FC571A" w:rsidRDefault="00FC571A" w:rsidP="00265758">
      <w:pPr>
        <w:rPr>
          <w:rFonts w:ascii="Arial" w:hAnsi="Arial" w:cs="Arial"/>
          <w:color w:val="EE0000"/>
          <w:sz w:val="28"/>
          <w:szCs w:val="28"/>
        </w:rPr>
      </w:pPr>
    </w:p>
    <w:p w14:paraId="657BC656" w14:textId="70B1EE3E" w:rsidR="00FC571A" w:rsidRDefault="003F1A81" w:rsidP="00265758">
      <w:pPr>
        <w:rPr>
          <w:rFonts w:ascii="Arial" w:hAnsi="Arial" w:cs="Arial"/>
          <w:b/>
          <w:bCs/>
          <w:color w:val="000000" w:themeColor="text1"/>
          <w:sz w:val="28"/>
          <w:szCs w:val="28"/>
        </w:rPr>
      </w:pPr>
      <w:r>
        <w:rPr>
          <w:rFonts w:ascii="Arial" w:hAnsi="Arial" w:cs="Arial"/>
          <w:color w:val="000000" w:themeColor="text1"/>
          <w:sz w:val="28"/>
          <w:szCs w:val="28"/>
        </w:rPr>
        <w:lastRenderedPageBreak/>
        <w:t xml:space="preserve">                   </w:t>
      </w:r>
      <w:r w:rsidR="00356D2D" w:rsidRPr="003F1A81">
        <w:rPr>
          <w:rFonts w:ascii="Arial" w:hAnsi="Arial" w:cs="Arial"/>
          <w:b/>
          <w:bCs/>
          <w:color w:val="000000" w:themeColor="text1"/>
          <w:sz w:val="28"/>
          <w:szCs w:val="28"/>
        </w:rPr>
        <w:t>Managing Type 2 Diabetes: Patient Education and</w:t>
      </w:r>
    </w:p>
    <w:p w14:paraId="1CC3CFA3" w14:textId="4054D1F7" w:rsidR="001E5191" w:rsidRPr="00356D2D" w:rsidRDefault="001E5191" w:rsidP="001E5191">
      <w:pPr>
        <w:rPr>
          <w:rFonts w:ascii="Arial" w:hAnsi="Arial" w:cs="Arial"/>
          <w:color w:val="000000" w:themeColor="text1"/>
          <w:sz w:val="28"/>
          <w:szCs w:val="28"/>
        </w:rPr>
      </w:pPr>
      <w:r>
        <w:rPr>
          <w:rFonts w:ascii="Arial" w:hAnsi="Arial" w:cs="Arial"/>
          <w:b/>
          <w:bCs/>
          <w:color w:val="000000" w:themeColor="text1"/>
          <w:sz w:val="28"/>
          <w:szCs w:val="28"/>
        </w:rPr>
        <w:t xml:space="preserve">                  Lifestyle </w:t>
      </w:r>
      <w:r w:rsidRPr="001E5191">
        <w:rPr>
          <w:rFonts w:ascii="Arial" w:hAnsi="Arial" w:cs="Arial"/>
          <w:b/>
          <w:bCs/>
          <w:color w:val="000000" w:themeColor="text1"/>
          <w:sz w:val="28"/>
          <w:szCs w:val="28"/>
        </w:rPr>
        <w:t>Interventions in General Practice</w:t>
      </w:r>
    </w:p>
    <w:p w14:paraId="1F0164B4" w14:textId="77777777" w:rsidR="001E5191" w:rsidRDefault="001E5191" w:rsidP="001E5191">
      <w:pPr>
        <w:rPr>
          <w:rFonts w:ascii="Arial" w:hAnsi="Arial" w:cs="Arial"/>
          <w:color w:val="EE0000"/>
          <w:sz w:val="28"/>
          <w:szCs w:val="28"/>
        </w:rPr>
      </w:pPr>
    </w:p>
    <w:p w14:paraId="2C092CEC" w14:textId="1381019E" w:rsidR="001E5191" w:rsidRPr="001E5191" w:rsidRDefault="001E5191" w:rsidP="00265758">
      <w:pPr>
        <w:rPr>
          <w:rFonts w:ascii="Arial" w:hAnsi="Arial" w:cs="Arial"/>
          <w:b/>
          <w:bCs/>
          <w:color w:val="000000" w:themeColor="text1"/>
          <w:sz w:val="28"/>
          <w:szCs w:val="28"/>
        </w:rPr>
      </w:pPr>
    </w:p>
    <w:p w14:paraId="34ACD94D" w14:textId="4E8D2B2F" w:rsidR="003F1A81" w:rsidRPr="003F1A81" w:rsidRDefault="003F1A81" w:rsidP="003F1A81">
      <w:pPr>
        <w:rPr>
          <w:rFonts w:ascii="Arial" w:hAnsi="Arial" w:cs="Arial"/>
          <w:b/>
          <w:bCs/>
          <w:color w:val="000000" w:themeColor="text1"/>
          <w:sz w:val="28"/>
          <w:szCs w:val="28"/>
        </w:rPr>
      </w:pPr>
      <w:r w:rsidRPr="003F1A81">
        <w:rPr>
          <w:rFonts w:ascii="Arial" w:eastAsiaTheme="majorEastAsia" w:hAnsi="Arial" w:cs="Arial"/>
          <w:b/>
          <w:bCs/>
          <w:sz w:val="22"/>
        </w:rPr>
        <w:t xml:space="preserve">                                    </w:t>
      </w:r>
    </w:p>
    <w:p w14:paraId="66191E23" w14:textId="77777777" w:rsidR="003F1A81" w:rsidRDefault="003F1A81" w:rsidP="003F1A81">
      <w:pPr>
        <w:rPr>
          <w:rFonts w:ascii="Arial" w:hAnsi="Arial" w:cs="Arial"/>
          <w:color w:val="EE0000"/>
          <w:sz w:val="28"/>
          <w:szCs w:val="28"/>
        </w:rPr>
      </w:pPr>
    </w:p>
    <w:p w14:paraId="4EA0D621" w14:textId="6CA60EC6" w:rsidR="003F1A81" w:rsidRDefault="003F1A81" w:rsidP="00265758">
      <w:pPr>
        <w:rPr>
          <w:rFonts w:ascii="Arial" w:eastAsiaTheme="majorEastAsia" w:hAnsi="Arial" w:cs="Arial"/>
          <w:b/>
          <w:sz w:val="22"/>
        </w:rPr>
      </w:pPr>
    </w:p>
    <w:p w14:paraId="3C75345F" w14:textId="77777777" w:rsidR="003F1A81" w:rsidRDefault="003F1A81" w:rsidP="00265758">
      <w:pPr>
        <w:rPr>
          <w:rFonts w:ascii="Arial" w:eastAsiaTheme="majorEastAsia" w:hAnsi="Arial" w:cs="Arial"/>
          <w:b/>
          <w:sz w:val="22"/>
        </w:rPr>
      </w:pPr>
    </w:p>
    <w:p w14:paraId="442A8432" w14:textId="0B43A09C" w:rsidR="000C4EDA" w:rsidRPr="00265758" w:rsidRDefault="000C4EDA" w:rsidP="00265758">
      <w:pPr>
        <w:rPr>
          <w:rFonts w:ascii="Arial" w:eastAsiaTheme="majorEastAsia" w:hAnsi="Arial" w:cs="Arial"/>
          <w:b/>
          <w:sz w:val="32"/>
          <w:szCs w:val="32"/>
        </w:rPr>
      </w:pPr>
      <w:r w:rsidRPr="006C4434">
        <w:rPr>
          <w:rFonts w:ascii="Arial" w:eastAsiaTheme="majorEastAsia" w:hAnsi="Arial" w:cs="Arial"/>
          <w:b/>
          <w:sz w:val="22"/>
        </w:rPr>
        <w:t>1. Introduction</w:t>
      </w:r>
      <w:r w:rsidR="00C03A91" w:rsidRPr="006C4434">
        <w:rPr>
          <w:rFonts w:ascii="Arial" w:hAnsi="Arial" w:cs="Arial"/>
          <w:sz w:val="22"/>
        </w:rPr>
        <w:t xml:space="preserve"> </w:t>
      </w:r>
    </w:p>
    <w:p w14:paraId="60A90835" w14:textId="73B21A28" w:rsidR="00E51B14" w:rsidRPr="006C4434" w:rsidRDefault="00B53626" w:rsidP="00E51B14">
      <w:pPr>
        <w:tabs>
          <w:tab w:val="left" w:pos="6540"/>
        </w:tabs>
        <w:spacing w:line="360" w:lineRule="auto"/>
        <w:rPr>
          <w:rFonts w:ascii="Arial" w:hAnsi="Arial" w:cs="Arial"/>
          <w:color w:val="000000" w:themeColor="text1"/>
          <w:sz w:val="22"/>
        </w:rPr>
      </w:pPr>
      <w:r w:rsidRPr="006C4434">
        <w:rPr>
          <w:rFonts w:ascii="Arial" w:hAnsi="Arial" w:cs="Arial"/>
          <w:color w:val="000000" w:themeColor="text1"/>
          <w:sz w:val="22"/>
        </w:rPr>
        <w:t xml:space="preserve">As a practice nurse in a local general practice (GP) surgery, </w:t>
      </w:r>
      <w:r w:rsidRPr="006C4434">
        <w:rPr>
          <w:rFonts w:ascii="Arial" w:hAnsi="Arial" w:cs="Arial"/>
          <w:color w:val="000000" w:themeColor="text1"/>
          <w:sz w:val="22"/>
        </w:rPr>
        <w:t>I have become increasingly concerned about the rising prevalence of diabetes among patients</w:t>
      </w:r>
      <w:r w:rsidRPr="006C4434">
        <w:rPr>
          <w:rFonts w:ascii="Arial" w:hAnsi="Arial" w:cs="Arial"/>
          <w:color w:val="000000" w:themeColor="text1"/>
          <w:sz w:val="22"/>
        </w:rPr>
        <w:t>. Many patients regularly attend clinics where it is evident that a greater understanding of their condition and the lifestyle factors influencing their health would enable them to participate more actively in their care plans. Improved patient education is crucial for supporting individuals to manage their blood sugar levels safely and effectively, reducing the risk of complications and enhancing their quality of life (Diabetes UK, 2023)</w:t>
      </w:r>
      <w:r w:rsidR="00E51B14" w:rsidRPr="006C4434">
        <w:rPr>
          <w:rFonts w:ascii="Arial" w:hAnsi="Arial" w:cs="Arial"/>
          <w:color w:val="000000" w:themeColor="text1"/>
          <w:sz w:val="22"/>
        </w:rPr>
        <w:t>.</w:t>
      </w:r>
    </w:p>
    <w:p w14:paraId="5C2ADE36" w14:textId="4FACC7EC" w:rsidR="00995C46" w:rsidRPr="006C4434" w:rsidRDefault="00995C46" w:rsidP="00C03A91">
      <w:pPr>
        <w:tabs>
          <w:tab w:val="left" w:pos="6540"/>
        </w:tabs>
        <w:spacing w:line="360" w:lineRule="auto"/>
        <w:rPr>
          <w:rFonts w:ascii="Arial" w:hAnsi="Arial" w:cs="Arial"/>
          <w:color w:val="000000" w:themeColor="text1"/>
          <w:sz w:val="22"/>
        </w:rPr>
      </w:pPr>
    </w:p>
    <w:p w14:paraId="50C4F8B5" w14:textId="7975CF70" w:rsidR="00940407" w:rsidRPr="006C4434" w:rsidRDefault="00940407" w:rsidP="00940407">
      <w:pPr>
        <w:pStyle w:val="Heading2"/>
        <w:rPr>
          <w:rFonts w:cs="Arial"/>
          <w:sz w:val="22"/>
          <w:szCs w:val="22"/>
        </w:rPr>
      </w:pPr>
    </w:p>
    <w:p w14:paraId="3898189D" w14:textId="77777777" w:rsidR="00B23531" w:rsidRPr="006C4434" w:rsidRDefault="00B23531" w:rsidP="006D2463">
      <w:pPr>
        <w:tabs>
          <w:tab w:val="left" w:pos="6540"/>
        </w:tabs>
        <w:spacing w:line="360" w:lineRule="auto"/>
        <w:rPr>
          <w:rFonts w:ascii="Arial" w:hAnsi="Arial" w:cs="Arial"/>
          <w:b/>
          <w:bCs/>
          <w:color w:val="000000" w:themeColor="text1"/>
          <w:sz w:val="22"/>
        </w:rPr>
      </w:pPr>
    </w:p>
    <w:p w14:paraId="7CD111AD" w14:textId="77777777" w:rsidR="00B23531" w:rsidRPr="006C4434" w:rsidRDefault="00B23531" w:rsidP="006D2463">
      <w:pPr>
        <w:tabs>
          <w:tab w:val="left" w:pos="6540"/>
        </w:tabs>
        <w:spacing w:line="360" w:lineRule="auto"/>
        <w:rPr>
          <w:rFonts w:ascii="Arial" w:hAnsi="Arial" w:cs="Arial"/>
          <w:b/>
          <w:bCs/>
          <w:color w:val="000000" w:themeColor="text1"/>
          <w:sz w:val="22"/>
        </w:rPr>
      </w:pPr>
    </w:p>
    <w:p w14:paraId="50ADD5E4"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0FE09F2D"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41A5959E"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58C3F9B1"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7B7E3347"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21F7DE8F"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5941D4D7"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0513190C"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52E9C579"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3BD606D2"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074BB298" w14:textId="77777777" w:rsidR="0040264D" w:rsidRPr="006C4434" w:rsidRDefault="0040264D" w:rsidP="006D2463">
      <w:pPr>
        <w:tabs>
          <w:tab w:val="left" w:pos="6540"/>
        </w:tabs>
        <w:spacing w:line="360" w:lineRule="auto"/>
        <w:rPr>
          <w:rFonts w:ascii="Arial" w:hAnsi="Arial" w:cs="Arial"/>
          <w:b/>
          <w:bCs/>
          <w:color w:val="000000" w:themeColor="text1"/>
          <w:sz w:val="22"/>
        </w:rPr>
      </w:pPr>
    </w:p>
    <w:p w14:paraId="6B1EB36C" w14:textId="7C256062" w:rsidR="006D2463" w:rsidRPr="006C4434" w:rsidRDefault="006D2463" w:rsidP="006D2463">
      <w:pPr>
        <w:tabs>
          <w:tab w:val="left" w:pos="6540"/>
        </w:tabs>
        <w:spacing w:line="360" w:lineRule="auto"/>
        <w:rPr>
          <w:rFonts w:ascii="Arial" w:hAnsi="Arial" w:cs="Arial"/>
          <w:color w:val="000000" w:themeColor="text1"/>
          <w:sz w:val="22"/>
        </w:rPr>
      </w:pPr>
      <w:r w:rsidRPr="006C4434">
        <w:rPr>
          <w:rFonts w:ascii="Arial" w:hAnsi="Arial" w:cs="Arial"/>
          <w:b/>
          <w:bCs/>
          <w:color w:val="000000" w:themeColor="text1"/>
          <w:sz w:val="22"/>
        </w:rPr>
        <w:t>1a. What is diabetes?</w:t>
      </w:r>
      <w:r w:rsidRPr="006C4434">
        <w:rPr>
          <w:rFonts w:ascii="Arial" w:hAnsi="Arial" w:cs="Arial"/>
          <w:color w:val="000000" w:themeColor="text1"/>
          <w:sz w:val="22"/>
        </w:rPr>
        <w:br/>
        <w:t>Diabetes mellitus is a chronic metabolic disorder characterised by elevated blood glucose (hyperglycaemia) resulting from defects in insulin secretion, insulin action, or both (WHO, 2023). There are two main types: Type 1 and Type 2. Type 1 diabetes is an autoimmune condition where the body’s immune system destroys insulin-producing beta cells in the pancreas, resulting in an absolute insulin deficiency. It often presents in childhood or adolescence. Type 2 diabetes, in contrast, results primarily from insulin resistance—where the body’s cells do not respond effectively to insulin—and is often associated with relative insulin deficiency over time (NICE, 2022). Type 2 diabetes is most relevant to this case study, as it is closely linked to modifiable lifestyle factors and is far more prevalent in adults.</w:t>
      </w:r>
    </w:p>
    <w:p w14:paraId="13D63012" w14:textId="19D92F59" w:rsidR="006D2463" w:rsidRPr="006C4434" w:rsidRDefault="006D2463" w:rsidP="006D2463">
      <w:pPr>
        <w:tabs>
          <w:tab w:val="left" w:pos="6540"/>
        </w:tabs>
        <w:spacing w:line="360" w:lineRule="auto"/>
        <w:rPr>
          <w:rFonts w:ascii="Arial" w:hAnsi="Arial" w:cs="Arial"/>
          <w:color w:val="000000" w:themeColor="text1"/>
          <w:sz w:val="22"/>
        </w:rPr>
      </w:pPr>
      <w:r w:rsidRPr="006C4434">
        <w:rPr>
          <w:rFonts w:ascii="Arial" w:hAnsi="Arial" w:cs="Arial"/>
          <w:b/>
          <w:bCs/>
          <w:color w:val="000000" w:themeColor="text1"/>
          <w:sz w:val="22"/>
        </w:rPr>
        <w:t>1b. Main risk factors for Type 2 diabetes</w:t>
      </w:r>
      <w:r w:rsidRPr="006C4434">
        <w:rPr>
          <w:rFonts w:ascii="Arial" w:hAnsi="Arial" w:cs="Arial"/>
          <w:color w:val="000000" w:themeColor="text1"/>
          <w:sz w:val="22"/>
        </w:rPr>
        <w:br/>
      </w:r>
      <w:r w:rsidR="00C53BDF" w:rsidRPr="006C4434">
        <w:rPr>
          <w:rFonts w:ascii="Arial" w:hAnsi="Arial" w:cs="Arial"/>
          <w:color w:val="000000" w:themeColor="text1"/>
          <w:sz w:val="22"/>
        </w:rPr>
        <w:t>Both lifestyle and biological factors influence type 2 diabetes risk</w:t>
      </w:r>
      <w:r w:rsidRPr="006C4434">
        <w:rPr>
          <w:rFonts w:ascii="Arial" w:hAnsi="Arial" w:cs="Arial"/>
          <w:color w:val="000000" w:themeColor="text1"/>
          <w:sz w:val="22"/>
        </w:rPr>
        <w:t>. Modifiable risk factors include overweight and obesity, particularly central fat distribution (abdominal obesity), physical inactivity, and diets high in refined carbohydrates, saturated fats, and sugars (NICE, 2022; Diabetes UK, 2023). Non-modifiable risk factors include increasing age, family history of diabetes, and certain ethnic backgrounds—particularly people of South Asian, African-Caribbean, and Black African descent. Other contributing factors include a history of gestational diabetes, polycystic ovary syndrome, and socioeconomic disadvantage (Diabetes UK, 2023).</w:t>
      </w:r>
    </w:p>
    <w:p w14:paraId="1AFEE381" w14:textId="77777777" w:rsidR="006D2463" w:rsidRPr="006C4434" w:rsidRDefault="006D2463" w:rsidP="006D2463">
      <w:pPr>
        <w:tabs>
          <w:tab w:val="left" w:pos="6540"/>
        </w:tabs>
        <w:spacing w:line="360" w:lineRule="auto"/>
        <w:rPr>
          <w:rFonts w:ascii="Arial" w:hAnsi="Arial" w:cs="Arial"/>
          <w:color w:val="000000" w:themeColor="text1"/>
          <w:sz w:val="22"/>
        </w:rPr>
      </w:pPr>
      <w:r w:rsidRPr="006C4434">
        <w:rPr>
          <w:rFonts w:ascii="Arial" w:hAnsi="Arial" w:cs="Arial"/>
          <w:b/>
          <w:bCs/>
          <w:color w:val="000000" w:themeColor="text1"/>
          <w:sz w:val="22"/>
        </w:rPr>
        <w:t>1c. Importance of patient education in a GP surgery</w:t>
      </w:r>
      <w:r w:rsidRPr="006C4434">
        <w:rPr>
          <w:rFonts w:ascii="Arial" w:hAnsi="Arial" w:cs="Arial"/>
          <w:color w:val="000000" w:themeColor="text1"/>
          <w:sz w:val="22"/>
        </w:rPr>
        <w:br/>
        <w:t>Patient education is a critical component of diabetes care within the GP setting. Empowering patients with knowledge about their condition enables informed decision-making, adherence to treatment, and engagement in self-management strategies such as regular blood glucose monitoring and lifestyle modifications (NICE, 2022). This collaborative approach supports development of individualised care plans, enhances patient autonomy, reduces the risk of complications, and improves overall health outcomes (Funnell et al., 2022). Practice nurses play a key role in bridging gaps in understanding and helping patients take an active role in managing their condition.</w:t>
      </w:r>
    </w:p>
    <w:p w14:paraId="6AFAC76D" w14:textId="761F4014" w:rsidR="00C03A91" w:rsidRPr="006C4434" w:rsidRDefault="00C03A91" w:rsidP="00C03A91">
      <w:pPr>
        <w:tabs>
          <w:tab w:val="left" w:pos="6540"/>
        </w:tabs>
        <w:spacing w:line="360" w:lineRule="auto"/>
        <w:rPr>
          <w:rFonts w:ascii="Arial" w:hAnsi="Arial" w:cs="Arial"/>
          <w:color w:val="000000" w:themeColor="text1"/>
          <w:sz w:val="22"/>
        </w:rPr>
      </w:pPr>
    </w:p>
    <w:p w14:paraId="2D95E97C" w14:textId="0116D9CF" w:rsidR="00C03A91" w:rsidRPr="006C4434" w:rsidRDefault="00C03A91" w:rsidP="00C03A91">
      <w:pPr>
        <w:pStyle w:val="Heading1"/>
        <w:spacing w:line="360" w:lineRule="auto"/>
        <w:rPr>
          <w:rFonts w:cs="Arial"/>
          <w:sz w:val="22"/>
          <w:szCs w:val="22"/>
        </w:rPr>
      </w:pPr>
      <w:r w:rsidRPr="006C4434">
        <w:rPr>
          <w:rFonts w:cs="Arial"/>
          <w:sz w:val="22"/>
          <w:szCs w:val="22"/>
        </w:rPr>
        <w:t xml:space="preserve">2. </w:t>
      </w:r>
      <w:r w:rsidR="00FD7392" w:rsidRPr="006C4434">
        <w:rPr>
          <w:rFonts w:cs="Arial"/>
          <w:sz w:val="22"/>
          <w:szCs w:val="22"/>
        </w:rPr>
        <w:t>Blood Sugar Regulation</w:t>
      </w:r>
    </w:p>
    <w:p w14:paraId="76B6E8C5" w14:textId="77777777" w:rsidR="002B52D8" w:rsidRPr="006C4434" w:rsidRDefault="002B52D8" w:rsidP="002B52D8">
      <w:pPr>
        <w:spacing w:before="40" w:after="60"/>
        <w:ind w:left="360"/>
        <w:rPr>
          <w:rFonts w:ascii="Arial" w:hAnsi="Arial" w:cs="Arial"/>
          <w:sz w:val="22"/>
        </w:rPr>
      </w:pPr>
      <w:r w:rsidRPr="006C4434">
        <w:rPr>
          <w:rFonts w:ascii="Arial" w:hAnsi="Arial" w:cs="Arial"/>
          <w:sz w:val="22"/>
        </w:rPr>
        <w:t xml:space="preserve">Blood glucose regulation is a fundamental physiological process essential for health, particularly in individuals with diabetes. The body employs a highly coordinated feedback </w:t>
      </w:r>
      <w:r w:rsidRPr="006C4434">
        <w:rPr>
          <w:rFonts w:ascii="Arial" w:hAnsi="Arial" w:cs="Arial"/>
          <w:sz w:val="22"/>
        </w:rPr>
        <w:lastRenderedPageBreak/>
        <w:t>system involving hormones and organs to keep blood glucose within a narrow, safe range (Guyton &amp; Hall, 2021).</w:t>
      </w:r>
    </w:p>
    <w:p w14:paraId="620CCA2C" w14:textId="77777777" w:rsidR="002B52D8" w:rsidRPr="006C4434" w:rsidRDefault="002B52D8" w:rsidP="002B52D8">
      <w:pPr>
        <w:spacing w:before="40" w:after="60"/>
        <w:ind w:left="360"/>
        <w:rPr>
          <w:rFonts w:ascii="Arial" w:hAnsi="Arial" w:cs="Arial"/>
          <w:sz w:val="22"/>
        </w:rPr>
      </w:pPr>
      <w:r w:rsidRPr="006C4434">
        <w:rPr>
          <w:rFonts w:ascii="Arial" w:hAnsi="Arial" w:cs="Arial"/>
          <w:b/>
          <w:bCs/>
          <w:sz w:val="22"/>
        </w:rPr>
        <w:t>2a. Homeostasis and blood glucose</w:t>
      </w:r>
      <w:r w:rsidRPr="006C4434">
        <w:rPr>
          <w:rFonts w:ascii="Arial" w:hAnsi="Arial" w:cs="Arial"/>
          <w:sz w:val="22"/>
        </w:rPr>
        <w:br/>
        <w:t>Homeostasis is the body’s ability to maintain a stable internal environment. For blood glucose, homeostasis keeps fasting levels within approximately 4–6 mmol/L (NICE, 2022). If glucose rises excessively (hyperglycaemia), it may cause immediate symptoms such as thirst and fatigue and, over time, lead to complications like cardiovascular disease and neuropathy. If glucose falls too low (hypoglycaemia), symptoms may include sweating, confusion, seizures, and loss of consciousness (Diabetes UK, 2023).</w:t>
      </w:r>
    </w:p>
    <w:p w14:paraId="1FB4D686" w14:textId="77777777" w:rsidR="002B52D8" w:rsidRPr="006C4434" w:rsidRDefault="002B52D8" w:rsidP="002B52D8">
      <w:pPr>
        <w:spacing w:before="40" w:after="60"/>
        <w:ind w:left="360"/>
        <w:rPr>
          <w:rFonts w:ascii="Arial" w:hAnsi="Arial" w:cs="Arial"/>
          <w:sz w:val="22"/>
        </w:rPr>
      </w:pPr>
      <w:r w:rsidRPr="006C4434">
        <w:rPr>
          <w:rFonts w:ascii="Arial" w:hAnsi="Arial" w:cs="Arial"/>
          <w:b/>
          <w:bCs/>
          <w:sz w:val="22"/>
        </w:rPr>
        <w:t>2b. What happens when blood glucose rises?</w:t>
      </w:r>
      <w:r w:rsidRPr="006C4434">
        <w:rPr>
          <w:rFonts w:ascii="Arial" w:hAnsi="Arial" w:cs="Arial"/>
          <w:sz w:val="22"/>
        </w:rPr>
        <w:br/>
        <w:t>After eating, blood glucose levels increase. Beta cells in the pancreas detect this rise and release insulin. Insulin enables cells—especially in muscle and fat tissue—to absorb glucose from the blood, facilitated by glucose transporter proteins (GLUT4). The liver also stores excess glucose as glycogen. These actions restore blood glucose to the normal range (Hall &amp; Guyton, 2021; Diabetes UK, 2023).</w:t>
      </w:r>
    </w:p>
    <w:p w14:paraId="779692AA" w14:textId="77777777" w:rsidR="002B52D8" w:rsidRPr="006C4434" w:rsidRDefault="002B52D8" w:rsidP="002B52D8">
      <w:pPr>
        <w:spacing w:before="40" w:after="60"/>
        <w:ind w:left="360"/>
        <w:rPr>
          <w:rFonts w:ascii="Arial" w:hAnsi="Arial" w:cs="Arial"/>
          <w:sz w:val="22"/>
        </w:rPr>
      </w:pPr>
      <w:r w:rsidRPr="006C4434">
        <w:rPr>
          <w:rFonts w:ascii="Arial" w:hAnsi="Arial" w:cs="Arial"/>
          <w:b/>
          <w:bCs/>
          <w:sz w:val="22"/>
        </w:rPr>
        <w:t>2c. What happens when blood glucose falls?</w:t>
      </w:r>
      <w:r w:rsidRPr="006C4434">
        <w:rPr>
          <w:rFonts w:ascii="Arial" w:hAnsi="Arial" w:cs="Arial"/>
          <w:sz w:val="22"/>
        </w:rPr>
        <w:br/>
        <w:t>When blood glucose drops during fasting or exercise, alpha cells in the pancreas release glucagon. Glucagon signals the liver to break down stored glycogen into glucose and release it into the bloodstream, restoring blood glucose to a safe level (NICE, 2022).</w:t>
      </w:r>
    </w:p>
    <w:p w14:paraId="6685889B" w14:textId="40D64263" w:rsidR="002B52D8" w:rsidRPr="006C4434" w:rsidRDefault="002B52D8" w:rsidP="002B52D8">
      <w:pPr>
        <w:spacing w:before="40" w:after="60"/>
        <w:ind w:left="360"/>
        <w:rPr>
          <w:rFonts w:ascii="Arial" w:hAnsi="Arial" w:cs="Arial"/>
          <w:sz w:val="22"/>
        </w:rPr>
      </w:pPr>
      <w:r w:rsidRPr="006C4434">
        <w:rPr>
          <w:rFonts w:ascii="Arial" w:hAnsi="Arial" w:cs="Arial"/>
          <w:b/>
          <w:bCs/>
          <w:sz w:val="22"/>
        </w:rPr>
        <w:t>2d. Disruption in Type 2 diabetes</w:t>
      </w:r>
      <w:r w:rsidRPr="006C4434">
        <w:rPr>
          <w:rFonts w:ascii="Arial" w:hAnsi="Arial" w:cs="Arial"/>
          <w:sz w:val="22"/>
        </w:rPr>
        <w:br/>
        <w:t xml:space="preserve">In Type 2 diabetes, insulin resistance means cells become less responsive to insulin, so glucose cannot enter cells efficiently and remains elevated in the blood. The pancreas compensates by producing more insulin, but over time, beta cells may become exhausted and fail. Chronic hyperglycaemia results, increasing </w:t>
      </w:r>
      <w:r w:rsidR="006C4434">
        <w:rPr>
          <w:rFonts w:ascii="Arial" w:hAnsi="Arial" w:cs="Arial"/>
          <w:sz w:val="22"/>
        </w:rPr>
        <w:t>the risk of complications</w:t>
      </w:r>
      <w:r w:rsidRPr="006C4434">
        <w:rPr>
          <w:rFonts w:ascii="Arial" w:hAnsi="Arial" w:cs="Arial"/>
          <w:sz w:val="22"/>
        </w:rPr>
        <w:t xml:space="preserve"> (WHO, 2023). Many patients in the GP setting experience these issues due to Type 2 diabetes.</w:t>
      </w:r>
    </w:p>
    <w:p w14:paraId="43B64691" w14:textId="609DA368" w:rsidR="001D3E1C" w:rsidRPr="002B52D8" w:rsidRDefault="001D3E1C" w:rsidP="002B52D8">
      <w:pPr>
        <w:spacing w:before="40" w:after="60"/>
        <w:ind w:left="360"/>
      </w:pPr>
      <w:r>
        <w:rPr>
          <w:noProof/>
        </w:rPr>
        <w:lastRenderedPageBreak/>
        <w:drawing>
          <wp:inline distT="0" distB="0" distL="0" distR="0" wp14:anchorId="492D0C10" wp14:editId="6ECA0765">
            <wp:extent cx="5731510" cy="5479415"/>
            <wp:effectExtent l="0" t="0" r="2540" b="6985"/>
            <wp:docPr id="1486085082" name="Picture 3" descr="Pancreas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ncreas Outlin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479415"/>
                    </a:xfrm>
                    <a:prstGeom prst="rect">
                      <a:avLst/>
                    </a:prstGeom>
                    <a:noFill/>
                    <a:ln>
                      <a:noFill/>
                    </a:ln>
                  </pic:spPr>
                </pic:pic>
              </a:graphicData>
            </a:graphic>
          </wp:inline>
        </w:drawing>
      </w:r>
    </w:p>
    <w:p w14:paraId="2BD67E19" w14:textId="511DD0DD" w:rsidR="002B52D8" w:rsidRPr="002B52D8" w:rsidRDefault="00833BF1" w:rsidP="002B52D8">
      <w:pPr>
        <w:spacing w:before="40" w:after="60"/>
        <w:ind w:left="360"/>
      </w:pPr>
      <w:r>
        <w:rPr>
          <w:i/>
          <w:iCs/>
        </w:rPr>
        <w:t>Figure 1</w:t>
      </w:r>
      <w:r w:rsidR="000D624C">
        <w:rPr>
          <w:i/>
          <w:iCs/>
        </w:rPr>
        <w:t>:</w:t>
      </w:r>
      <w:r w:rsidR="002B52D8" w:rsidRPr="002B52D8">
        <w:rPr>
          <w:i/>
          <w:iCs/>
        </w:rPr>
        <w:t xml:space="preserve"> </w:t>
      </w:r>
      <w:r w:rsidR="009D4475">
        <w:rPr>
          <w:i/>
          <w:iCs/>
        </w:rPr>
        <w:t>A</w:t>
      </w:r>
      <w:r w:rsidR="002B52D8" w:rsidRPr="002B52D8">
        <w:rPr>
          <w:i/>
          <w:iCs/>
        </w:rPr>
        <w:t xml:space="preserve"> labelled diagram of the insulin-glucagon feedback loop, and a diagram illustrating insulin resistance in Type 2 diabetes. (Adapted from Diabetes UK, 2023).</w:t>
      </w:r>
    </w:p>
    <w:p w14:paraId="7B582C5F" w14:textId="77777777" w:rsidR="007D2ECA" w:rsidRDefault="007D2ECA" w:rsidP="00C03A91">
      <w:pPr>
        <w:pStyle w:val="Heading1"/>
        <w:spacing w:line="360" w:lineRule="auto"/>
        <w:rPr>
          <w:rFonts w:cs="Arial"/>
        </w:rPr>
      </w:pPr>
    </w:p>
    <w:p w14:paraId="44E81EF4" w14:textId="77777777" w:rsidR="007D2ECA" w:rsidRDefault="007D2ECA" w:rsidP="00C03A91">
      <w:pPr>
        <w:pStyle w:val="Heading1"/>
        <w:spacing w:line="360" w:lineRule="auto"/>
        <w:rPr>
          <w:rFonts w:cs="Arial"/>
        </w:rPr>
      </w:pPr>
    </w:p>
    <w:p w14:paraId="37618DFF" w14:textId="77777777" w:rsidR="00D2018F" w:rsidRPr="00D2018F" w:rsidRDefault="00D2018F" w:rsidP="00D2018F"/>
    <w:p w14:paraId="10FFB647" w14:textId="77777777" w:rsidR="00D2018F" w:rsidRDefault="00D2018F" w:rsidP="00C03A91">
      <w:pPr>
        <w:pStyle w:val="Heading1"/>
        <w:spacing w:line="360" w:lineRule="auto"/>
        <w:rPr>
          <w:rFonts w:cs="Arial"/>
        </w:rPr>
      </w:pPr>
    </w:p>
    <w:p w14:paraId="66782860" w14:textId="77777777" w:rsidR="000D624C" w:rsidRDefault="000D624C" w:rsidP="00C03A91">
      <w:pPr>
        <w:pStyle w:val="Heading1"/>
        <w:spacing w:line="360" w:lineRule="auto"/>
        <w:rPr>
          <w:rFonts w:cs="Arial"/>
        </w:rPr>
      </w:pPr>
    </w:p>
    <w:p w14:paraId="381CCE5B" w14:textId="52717A93" w:rsidR="000C4EDA" w:rsidRDefault="00076AC0" w:rsidP="00C03A91">
      <w:pPr>
        <w:pStyle w:val="Heading1"/>
        <w:spacing w:line="360" w:lineRule="auto"/>
        <w:rPr>
          <w:rFonts w:cs="Arial"/>
        </w:rPr>
      </w:pPr>
      <w:r>
        <w:rPr>
          <w:rFonts w:cs="Arial"/>
        </w:rPr>
        <w:t>3</w:t>
      </w:r>
      <w:r w:rsidR="000C4EDA" w:rsidRPr="00C03A91">
        <w:rPr>
          <w:rFonts w:cs="Arial"/>
        </w:rPr>
        <w:t xml:space="preserve">. </w:t>
      </w:r>
      <w:r w:rsidR="00012E0F">
        <w:rPr>
          <w:rFonts w:cs="Arial"/>
        </w:rPr>
        <w:t xml:space="preserve">Oxygen and Glucose in </w:t>
      </w:r>
      <w:r w:rsidR="007A7297">
        <w:rPr>
          <w:rFonts w:cs="Arial"/>
        </w:rPr>
        <w:t>Cellular Metabolism</w:t>
      </w:r>
      <w:r w:rsidR="000C4EDA" w:rsidRPr="00C03A91">
        <w:rPr>
          <w:rFonts w:cs="Arial"/>
        </w:rPr>
        <w:t xml:space="preserve"> </w:t>
      </w:r>
    </w:p>
    <w:p w14:paraId="5EC584E4" w14:textId="77777777" w:rsidR="00FD7104" w:rsidRPr="00A90A42" w:rsidRDefault="00FD7104" w:rsidP="00FD7104">
      <w:pPr>
        <w:spacing w:before="60" w:after="60"/>
        <w:rPr>
          <w:rFonts w:ascii="Arial" w:eastAsia="Arial" w:hAnsi="Arial" w:cs="Arial"/>
          <w:color w:val="444444"/>
          <w:sz w:val="22"/>
        </w:rPr>
      </w:pPr>
      <w:r w:rsidRPr="00A90A42">
        <w:rPr>
          <w:rFonts w:ascii="Arial" w:eastAsia="Arial" w:hAnsi="Arial" w:cs="Arial"/>
          <w:color w:val="444444"/>
          <w:sz w:val="22"/>
        </w:rPr>
        <w:t>The human body relies on oxygen and glucose to produce energy at the cellular level, a process called cellular respiration.</w:t>
      </w:r>
    </w:p>
    <w:p w14:paraId="5A880448" w14:textId="77777777" w:rsidR="00FD7104" w:rsidRPr="00A90A42" w:rsidRDefault="00FD7104" w:rsidP="00FD7104">
      <w:pPr>
        <w:spacing w:before="60" w:after="60"/>
        <w:rPr>
          <w:rFonts w:ascii="Arial" w:eastAsia="Arial" w:hAnsi="Arial" w:cs="Arial"/>
          <w:color w:val="444444"/>
          <w:sz w:val="22"/>
        </w:rPr>
      </w:pPr>
      <w:r w:rsidRPr="00A90A42">
        <w:rPr>
          <w:rFonts w:ascii="Arial" w:eastAsia="Arial" w:hAnsi="Arial" w:cs="Arial"/>
          <w:b/>
          <w:bCs/>
          <w:color w:val="444444"/>
          <w:sz w:val="22"/>
        </w:rPr>
        <w:t>3a. Cellular respiration and its importance</w:t>
      </w:r>
      <w:r w:rsidRPr="00A90A42">
        <w:rPr>
          <w:rFonts w:ascii="Arial" w:eastAsia="Arial" w:hAnsi="Arial" w:cs="Arial"/>
          <w:color w:val="444444"/>
          <w:sz w:val="22"/>
        </w:rPr>
        <w:br/>
        <w:t>Cellular respiration is the process by which cells extract energy from glucose in the presence of oxygen, known as aerobic respiration.</w:t>
      </w:r>
      <w:r w:rsidRPr="00A90A42">
        <w:rPr>
          <w:rFonts w:ascii="Arial" w:eastAsia="Arial" w:hAnsi="Arial" w:cs="Arial"/>
          <w:color w:val="444444"/>
          <w:sz w:val="22"/>
        </w:rPr>
        <w:br/>
      </w:r>
      <w:r w:rsidRPr="00A90A42">
        <w:rPr>
          <w:rFonts w:ascii="Arial" w:eastAsia="Arial" w:hAnsi="Arial" w:cs="Arial"/>
          <w:b/>
          <w:bCs/>
          <w:color w:val="444444"/>
          <w:sz w:val="22"/>
        </w:rPr>
        <w:t>Equation:</w:t>
      </w:r>
      <w:r w:rsidRPr="00A90A42">
        <w:rPr>
          <w:rFonts w:ascii="Arial" w:eastAsia="Arial" w:hAnsi="Arial" w:cs="Arial"/>
          <w:color w:val="444444"/>
          <w:sz w:val="22"/>
        </w:rPr>
        <w:br/>
        <w:t>Glucose + Oxygen → Carbon Dioxide + Water + Energy (ATP)</w:t>
      </w:r>
      <w:r w:rsidRPr="00A90A42">
        <w:rPr>
          <w:rFonts w:ascii="Arial" w:eastAsia="Arial" w:hAnsi="Arial" w:cs="Arial"/>
          <w:color w:val="444444"/>
          <w:sz w:val="22"/>
        </w:rPr>
        <w:br/>
        <w:t>C</w:t>
      </w:r>
      <w:r w:rsidRPr="00A90A42">
        <w:rPr>
          <w:rFonts w:ascii="Cambria Math" w:eastAsia="Arial" w:hAnsi="Cambria Math" w:cs="Cambria Math"/>
          <w:color w:val="444444"/>
          <w:sz w:val="22"/>
        </w:rPr>
        <w:t>₆</w:t>
      </w:r>
      <w:r w:rsidRPr="00A90A42">
        <w:rPr>
          <w:rFonts w:ascii="Arial" w:eastAsia="Arial" w:hAnsi="Arial" w:cs="Arial"/>
          <w:color w:val="444444"/>
          <w:sz w:val="22"/>
        </w:rPr>
        <w:t>H</w:t>
      </w:r>
      <w:r w:rsidRPr="00A90A42">
        <w:rPr>
          <w:rFonts w:ascii="Cambria Math" w:eastAsia="Arial" w:hAnsi="Cambria Math" w:cs="Cambria Math"/>
          <w:color w:val="444444"/>
          <w:sz w:val="22"/>
        </w:rPr>
        <w:t>₁₂</w:t>
      </w:r>
      <w:r w:rsidRPr="00A90A42">
        <w:rPr>
          <w:rFonts w:ascii="Arial" w:eastAsia="Arial" w:hAnsi="Arial" w:cs="Arial"/>
          <w:color w:val="444444"/>
          <w:sz w:val="22"/>
        </w:rPr>
        <w:t>O</w:t>
      </w:r>
      <w:r w:rsidRPr="00A90A42">
        <w:rPr>
          <w:rFonts w:ascii="Cambria Math" w:eastAsia="Arial" w:hAnsi="Cambria Math" w:cs="Cambria Math"/>
          <w:color w:val="444444"/>
          <w:sz w:val="22"/>
        </w:rPr>
        <w:t>₆</w:t>
      </w:r>
      <w:r w:rsidRPr="00A90A42">
        <w:rPr>
          <w:rFonts w:ascii="Arial" w:eastAsia="Arial" w:hAnsi="Arial" w:cs="Arial"/>
          <w:color w:val="444444"/>
          <w:sz w:val="22"/>
        </w:rPr>
        <w:t xml:space="preserve"> + 6O</w:t>
      </w:r>
      <w:r w:rsidRPr="00A90A42">
        <w:rPr>
          <w:rFonts w:ascii="Cambria Math" w:eastAsia="Arial" w:hAnsi="Cambria Math" w:cs="Cambria Math"/>
          <w:color w:val="444444"/>
          <w:sz w:val="22"/>
        </w:rPr>
        <w:t>₂</w:t>
      </w:r>
      <w:r w:rsidRPr="00A90A42">
        <w:rPr>
          <w:rFonts w:ascii="Arial" w:eastAsia="Arial" w:hAnsi="Arial" w:cs="Arial"/>
          <w:color w:val="444444"/>
          <w:sz w:val="22"/>
        </w:rPr>
        <w:t xml:space="preserve"> → 6CO</w:t>
      </w:r>
      <w:r w:rsidRPr="00A90A42">
        <w:rPr>
          <w:rFonts w:ascii="Cambria Math" w:eastAsia="Arial" w:hAnsi="Cambria Math" w:cs="Cambria Math"/>
          <w:color w:val="444444"/>
          <w:sz w:val="22"/>
        </w:rPr>
        <w:t>₂</w:t>
      </w:r>
      <w:r w:rsidRPr="00A90A42">
        <w:rPr>
          <w:rFonts w:ascii="Arial" w:eastAsia="Arial" w:hAnsi="Arial" w:cs="Arial"/>
          <w:color w:val="444444"/>
          <w:sz w:val="22"/>
        </w:rPr>
        <w:t xml:space="preserve"> + 6H</w:t>
      </w:r>
      <w:r w:rsidRPr="00A90A42">
        <w:rPr>
          <w:rFonts w:ascii="Cambria Math" w:eastAsia="Arial" w:hAnsi="Cambria Math" w:cs="Cambria Math"/>
          <w:color w:val="444444"/>
          <w:sz w:val="22"/>
        </w:rPr>
        <w:t>₂</w:t>
      </w:r>
      <w:r w:rsidRPr="00A90A42">
        <w:rPr>
          <w:rFonts w:ascii="Arial" w:eastAsia="Arial" w:hAnsi="Arial" w:cs="Arial"/>
          <w:color w:val="444444"/>
          <w:sz w:val="22"/>
        </w:rPr>
        <w:t>O + ~38 ATP</w:t>
      </w:r>
      <w:r w:rsidRPr="00A90A42">
        <w:rPr>
          <w:rFonts w:ascii="Arial" w:eastAsia="Arial" w:hAnsi="Arial" w:cs="Arial"/>
          <w:color w:val="444444"/>
          <w:sz w:val="22"/>
        </w:rPr>
        <w:br/>
        <w:t>Adenosine triphosphate (ATP) is the energy currency of the cell and is vital for processes such as muscle contraction and nerve transmission (Alberts et al., 2019).</w:t>
      </w:r>
    </w:p>
    <w:p w14:paraId="2F1915C0" w14:textId="77777777" w:rsidR="00FD7104" w:rsidRPr="00A90A42" w:rsidRDefault="00FD7104" w:rsidP="00FD7104">
      <w:pPr>
        <w:spacing w:before="60" w:after="60"/>
        <w:rPr>
          <w:rFonts w:ascii="Arial" w:eastAsia="Arial" w:hAnsi="Arial" w:cs="Arial"/>
          <w:color w:val="444444"/>
          <w:sz w:val="22"/>
        </w:rPr>
      </w:pPr>
      <w:r w:rsidRPr="00A90A42">
        <w:rPr>
          <w:rFonts w:ascii="Arial" w:eastAsia="Arial" w:hAnsi="Arial" w:cs="Arial"/>
          <w:b/>
          <w:bCs/>
          <w:color w:val="444444"/>
          <w:sz w:val="22"/>
        </w:rPr>
        <w:t>3b. Main stages of aerobic respiration</w:t>
      </w:r>
    </w:p>
    <w:p w14:paraId="70642730" w14:textId="77777777" w:rsidR="00FD7104" w:rsidRPr="00A90A42" w:rsidRDefault="00FD7104" w:rsidP="00FD7104">
      <w:pPr>
        <w:numPr>
          <w:ilvl w:val="0"/>
          <w:numId w:val="5"/>
        </w:numPr>
        <w:spacing w:before="60" w:after="60"/>
        <w:rPr>
          <w:rFonts w:ascii="Arial" w:eastAsia="Arial" w:hAnsi="Arial" w:cs="Arial"/>
          <w:color w:val="444444"/>
          <w:sz w:val="22"/>
        </w:rPr>
      </w:pPr>
      <w:r w:rsidRPr="00A90A42">
        <w:rPr>
          <w:rFonts w:ascii="Arial" w:eastAsia="Arial" w:hAnsi="Arial" w:cs="Arial"/>
          <w:b/>
          <w:bCs/>
          <w:color w:val="444444"/>
          <w:sz w:val="22"/>
        </w:rPr>
        <w:t>Glycolysis:</w:t>
      </w:r>
      <w:r w:rsidRPr="00A90A42">
        <w:rPr>
          <w:rFonts w:ascii="Arial" w:eastAsia="Arial" w:hAnsi="Arial" w:cs="Arial"/>
          <w:color w:val="444444"/>
          <w:sz w:val="22"/>
        </w:rPr>
        <w:t xml:space="preserve"> In the cytoplasm, glucose is broken down into pyruvate, generating a small amount of ATP.</w:t>
      </w:r>
    </w:p>
    <w:p w14:paraId="4D403E5E" w14:textId="77777777" w:rsidR="00FD7104" w:rsidRPr="00A90A42" w:rsidRDefault="00FD7104" w:rsidP="00FD7104">
      <w:pPr>
        <w:numPr>
          <w:ilvl w:val="0"/>
          <w:numId w:val="5"/>
        </w:numPr>
        <w:spacing w:before="60" w:after="60"/>
        <w:rPr>
          <w:rFonts w:ascii="Arial" w:eastAsia="Arial" w:hAnsi="Arial" w:cs="Arial"/>
          <w:color w:val="444444"/>
          <w:sz w:val="22"/>
        </w:rPr>
      </w:pPr>
      <w:r w:rsidRPr="00A90A42">
        <w:rPr>
          <w:rFonts w:ascii="Arial" w:eastAsia="Arial" w:hAnsi="Arial" w:cs="Arial"/>
          <w:b/>
          <w:bCs/>
          <w:color w:val="444444"/>
          <w:sz w:val="22"/>
        </w:rPr>
        <w:t>Krebs Cycle:</w:t>
      </w:r>
      <w:r w:rsidRPr="00A90A42">
        <w:rPr>
          <w:rFonts w:ascii="Arial" w:eastAsia="Arial" w:hAnsi="Arial" w:cs="Arial"/>
          <w:color w:val="444444"/>
          <w:sz w:val="22"/>
        </w:rPr>
        <w:t xml:space="preserve"> In the mitochondria, pyruvate is further broken down, producing electron carriers and releasing CO</w:t>
      </w:r>
      <w:r w:rsidRPr="00A90A42">
        <w:rPr>
          <w:rFonts w:ascii="Cambria Math" w:eastAsia="Arial" w:hAnsi="Cambria Math" w:cs="Cambria Math"/>
          <w:color w:val="444444"/>
          <w:sz w:val="22"/>
        </w:rPr>
        <w:t>₂</w:t>
      </w:r>
      <w:r w:rsidRPr="00A90A42">
        <w:rPr>
          <w:rFonts w:ascii="Arial" w:eastAsia="Arial" w:hAnsi="Arial" w:cs="Arial"/>
          <w:color w:val="444444"/>
          <w:sz w:val="22"/>
        </w:rPr>
        <w:t>.</w:t>
      </w:r>
    </w:p>
    <w:p w14:paraId="34A58593" w14:textId="77777777" w:rsidR="00FD7104" w:rsidRPr="00A90A42" w:rsidRDefault="00FD7104" w:rsidP="00FD7104">
      <w:pPr>
        <w:numPr>
          <w:ilvl w:val="0"/>
          <w:numId w:val="5"/>
        </w:numPr>
        <w:spacing w:before="60" w:after="60"/>
        <w:rPr>
          <w:rFonts w:ascii="Arial" w:eastAsia="Arial" w:hAnsi="Arial" w:cs="Arial"/>
          <w:color w:val="444444"/>
          <w:sz w:val="22"/>
        </w:rPr>
      </w:pPr>
      <w:r w:rsidRPr="00A90A42">
        <w:rPr>
          <w:rFonts w:ascii="Arial" w:eastAsia="Arial" w:hAnsi="Arial" w:cs="Arial"/>
          <w:b/>
          <w:bCs/>
          <w:color w:val="444444"/>
          <w:sz w:val="22"/>
        </w:rPr>
        <w:t>Oxidative Phosphorylation:</w:t>
      </w:r>
      <w:r w:rsidRPr="00A90A42">
        <w:rPr>
          <w:rFonts w:ascii="Arial" w:eastAsia="Arial" w:hAnsi="Arial" w:cs="Arial"/>
          <w:color w:val="444444"/>
          <w:sz w:val="22"/>
        </w:rPr>
        <w:t xml:space="preserve"> Electrons pass through the electron transport chain in mitochondria, driving the production of most ATP; oxygen acts as the final electron acceptor, forming water.</w:t>
      </w:r>
      <w:r w:rsidRPr="00A90A42">
        <w:rPr>
          <w:rFonts w:ascii="Arial" w:eastAsia="Arial" w:hAnsi="Arial" w:cs="Arial"/>
          <w:color w:val="444444"/>
          <w:sz w:val="22"/>
        </w:rPr>
        <w:br/>
        <w:t>Overall, aerobic respiration produces up to 38 ATP per glucose molecule (Nelson et al., 2017).</w:t>
      </w:r>
    </w:p>
    <w:p w14:paraId="4D0221AF" w14:textId="77777777" w:rsidR="00FD7104" w:rsidRPr="00A90A42" w:rsidRDefault="00FD7104" w:rsidP="00FD7104">
      <w:pPr>
        <w:spacing w:before="60" w:after="60"/>
        <w:rPr>
          <w:rFonts w:ascii="Arial" w:eastAsia="Arial" w:hAnsi="Arial" w:cs="Arial"/>
          <w:color w:val="444444"/>
          <w:sz w:val="22"/>
        </w:rPr>
      </w:pPr>
      <w:r w:rsidRPr="00A90A42">
        <w:rPr>
          <w:rFonts w:ascii="Arial" w:eastAsia="Arial" w:hAnsi="Arial" w:cs="Arial"/>
          <w:b/>
          <w:bCs/>
          <w:color w:val="444444"/>
          <w:sz w:val="22"/>
        </w:rPr>
        <w:t>3c. Anaerobic respiration and relevance to diabetes</w:t>
      </w:r>
      <w:r w:rsidRPr="00A90A42">
        <w:rPr>
          <w:rFonts w:ascii="Arial" w:eastAsia="Arial" w:hAnsi="Arial" w:cs="Arial"/>
          <w:color w:val="444444"/>
          <w:sz w:val="22"/>
        </w:rPr>
        <w:br/>
        <w:t>When oxygen is unavailable, cells switch to anaerobic respiration, converting glucose into lactic acid and yielding only 2 ATP per glucose. Lactic acid accumulation causes muscle fatigue. In poorly controlled diabetes, if the body cannot use glucose effectively, it may break down fat for fuel, producing ketones and risking diabetic ketoacidosis (DKA)—a dangerous, potentially life-threatening condition (Diabetes UK, 2023).</w:t>
      </w:r>
    </w:p>
    <w:p w14:paraId="7DFF48E6" w14:textId="13300E97" w:rsidR="00403CCC" w:rsidRPr="00FD7104" w:rsidRDefault="00403CCC" w:rsidP="00FD7104">
      <w:pPr>
        <w:spacing w:before="60" w:after="60"/>
        <w:rPr>
          <w:rFonts w:ascii="Arial" w:eastAsia="Arial" w:hAnsi="Arial" w:cs="Arial"/>
          <w:color w:val="444444"/>
          <w:sz w:val="20"/>
          <w:szCs w:val="20"/>
        </w:rPr>
      </w:pPr>
      <w:r>
        <w:rPr>
          <w:noProof/>
        </w:rPr>
        <w:lastRenderedPageBreak/>
        <w:drawing>
          <wp:inline distT="0" distB="0" distL="0" distR="0" wp14:anchorId="6E85A779" wp14:editId="18FF3F67">
            <wp:extent cx="4438650" cy="6273800"/>
            <wp:effectExtent l="0" t="0" r="0" b="0"/>
            <wp:docPr id="2079125204" name="Picture 4" descr="Glycolysis, Krebs cycle, and electron transport chain - Class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ycolysis, Krebs cycle, and electron transport chain - Class No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8650" cy="6273800"/>
                    </a:xfrm>
                    <a:prstGeom prst="rect">
                      <a:avLst/>
                    </a:prstGeom>
                    <a:noFill/>
                    <a:ln>
                      <a:noFill/>
                    </a:ln>
                  </pic:spPr>
                </pic:pic>
              </a:graphicData>
            </a:graphic>
          </wp:inline>
        </w:drawing>
      </w:r>
    </w:p>
    <w:p w14:paraId="65D302C6" w14:textId="63FC3EE4" w:rsidR="00FD7104" w:rsidRPr="00FD7104" w:rsidRDefault="009E5F08" w:rsidP="00FD7104">
      <w:pPr>
        <w:spacing w:before="60" w:after="60"/>
        <w:rPr>
          <w:rFonts w:ascii="Arial" w:eastAsia="Arial" w:hAnsi="Arial" w:cs="Arial"/>
          <w:color w:val="444444"/>
          <w:sz w:val="20"/>
          <w:szCs w:val="20"/>
        </w:rPr>
      </w:pPr>
      <w:r>
        <w:rPr>
          <w:rFonts w:ascii="Arial" w:eastAsia="Arial" w:hAnsi="Arial" w:cs="Arial"/>
          <w:i/>
          <w:iCs/>
          <w:color w:val="444444"/>
          <w:sz w:val="20"/>
          <w:szCs w:val="20"/>
        </w:rPr>
        <w:t xml:space="preserve">Figure 2: A flowchart showing glycolysis, the Krebs cycle, and the </w:t>
      </w:r>
      <w:r w:rsidR="00FD7104" w:rsidRPr="00FD7104">
        <w:rPr>
          <w:rFonts w:ascii="Arial" w:eastAsia="Arial" w:hAnsi="Arial" w:cs="Arial"/>
          <w:i/>
          <w:iCs/>
          <w:color w:val="444444"/>
          <w:sz w:val="20"/>
          <w:szCs w:val="20"/>
        </w:rPr>
        <w:t>electron transport chain, with ATP yields and oxygen use (Adapted from Nelson et al., 2017).</w:t>
      </w:r>
    </w:p>
    <w:p w14:paraId="43A604CD" w14:textId="77777777" w:rsidR="00012E0F" w:rsidRDefault="00012E0F" w:rsidP="00012E0F">
      <w:pPr>
        <w:spacing w:before="60" w:after="60"/>
        <w:rPr>
          <w:rFonts w:ascii="Arial" w:eastAsia="Arial" w:hAnsi="Arial" w:cs="Arial"/>
          <w:color w:val="444444"/>
          <w:sz w:val="20"/>
          <w:szCs w:val="20"/>
        </w:rPr>
      </w:pPr>
    </w:p>
    <w:p w14:paraId="0A78DD58" w14:textId="77777777" w:rsidR="00403CCC" w:rsidRDefault="00403CCC" w:rsidP="00012E0F">
      <w:pPr>
        <w:pStyle w:val="Heading1"/>
        <w:spacing w:line="360" w:lineRule="auto"/>
        <w:rPr>
          <w:rFonts w:cs="Arial"/>
        </w:rPr>
      </w:pPr>
    </w:p>
    <w:p w14:paraId="150C1AD4" w14:textId="77777777" w:rsidR="0084160F" w:rsidRDefault="0084160F" w:rsidP="00012E0F">
      <w:pPr>
        <w:pStyle w:val="Heading1"/>
        <w:spacing w:line="360" w:lineRule="auto"/>
        <w:rPr>
          <w:rFonts w:cs="Arial"/>
        </w:rPr>
      </w:pPr>
    </w:p>
    <w:p w14:paraId="38EA70CD" w14:textId="77777777" w:rsidR="0084160F" w:rsidRPr="0084160F" w:rsidRDefault="0084160F" w:rsidP="0084160F"/>
    <w:p w14:paraId="173E7AC6" w14:textId="5E0C32F7" w:rsidR="00012E0F" w:rsidRDefault="00012E0F" w:rsidP="00012E0F">
      <w:pPr>
        <w:pStyle w:val="Heading1"/>
        <w:spacing w:line="360" w:lineRule="auto"/>
        <w:rPr>
          <w:rFonts w:cs="Arial"/>
        </w:rPr>
      </w:pPr>
      <w:r>
        <w:rPr>
          <w:rFonts w:cs="Arial"/>
        </w:rPr>
        <w:lastRenderedPageBreak/>
        <w:t>4</w:t>
      </w:r>
      <w:r w:rsidRPr="00C03A91">
        <w:rPr>
          <w:rFonts w:cs="Arial"/>
        </w:rPr>
        <w:t xml:space="preserve">. </w:t>
      </w:r>
      <w:r>
        <w:rPr>
          <w:rFonts w:cs="Arial"/>
        </w:rPr>
        <w:t xml:space="preserve">Recording and Tracking Blood Sugar Levels </w:t>
      </w:r>
      <w:r w:rsidRPr="00C03A91">
        <w:rPr>
          <w:rFonts w:cs="Arial"/>
        </w:rPr>
        <w:t xml:space="preserve"> </w:t>
      </w:r>
    </w:p>
    <w:p w14:paraId="136C6F2C" w14:textId="77777777" w:rsidR="00A6507B" w:rsidRPr="00A90A42" w:rsidRDefault="00A6507B" w:rsidP="00A6507B">
      <w:pPr>
        <w:spacing w:before="60" w:after="60"/>
        <w:rPr>
          <w:rFonts w:ascii="Arial" w:eastAsia="Arial" w:hAnsi="Arial" w:cs="Arial"/>
          <w:color w:val="444444"/>
          <w:sz w:val="22"/>
        </w:rPr>
      </w:pPr>
      <w:r w:rsidRPr="00A90A42">
        <w:rPr>
          <w:rFonts w:ascii="Arial" w:eastAsia="Arial" w:hAnsi="Arial" w:cs="Arial"/>
          <w:color w:val="444444"/>
          <w:sz w:val="22"/>
        </w:rPr>
        <w:t>Accurate monitoring of blood glucose is fundamental for individuals with Type 2 diabetes to manage their condition safely and effectively. Regular tracking enables both patients and clinicians to identify patterns, avoid complications, and optimise care plans (Diabetes UK, 2023).</w:t>
      </w:r>
    </w:p>
    <w:p w14:paraId="41F1B636" w14:textId="77777777" w:rsidR="00A6507B" w:rsidRPr="00A90A42" w:rsidRDefault="00A6507B" w:rsidP="00A6507B">
      <w:pPr>
        <w:spacing w:before="60" w:after="60"/>
        <w:rPr>
          <w:rFonts w:ascii="Arial" w:eastAsia="Arial" w:hAnsi="Arial" w:cs="Arial"/>
          <w:color w:val="444444"/>
          <w:sz w:val="22"/>
        </w:rPr>
      </w:pPr>
      <w:r w:rsidRPr="00A90A42">
        <w:rPr>
          <w:rFonts w:ascii="Arial" w:eastAsia="Arial" w:hAnsi="Arial" w:cs="Arial"/>
          <w:b/>
          <w:bCs/>
          <w:color w:val="444444"/>
          <w:sz w:val="22"/>
        </w:rPr>
        <w:t>4a. Methods for monitoring blood glucose</w:t>
      </w:r>
    </w:p>
    <w:p w14:paraId="70E81D8A" w14:textId="77777777" w:rsidR="00A6507B" w:rsidRPr="00A90A42" w:rsidRDefault="00A6507B" w:rsidP="00A6507B">
      <w:pPr>
        <w:numPr>
          <w:ilvl w:val="0"/>
          <w:numId w:val="6"/>
        </w:numPr>
        <w:spacing w:before="60" w:after="60"/>
        <w:rPr>
          <w:rFonts w:ascii="Arial" w:eastAsia="Arial" w:hAnsi="Arial" w:cs="Arial"/>
          <w:color w:val="444444"/>
          <w:sz w:val="22"/>
        </w:rPr>
      </w:pPr>
      <w:r w:rsidRPr="00A90A42">
        <w:rPr>
          <w:rFonts w:ascii="Arial" w:eastAsia="Arial" w:hAnsi="Arial" w:cs="Arial"/>
          <w:b/>
          <w:bCs/>
          <w:color w:val="444444"/>
          <w:sz w:val="22"/>
        </w:rPr>
        <w:t>Self-Monitoring of Blood Glucose (SMBG):</w:t>
      </w:r>
      <w:r w:rsidRPr="00A90A42">
        <w:rPr>
          <w:rFonts w:ascii="Arial" w:eastAsia="Arial" w:hAnsi="Arial" w:cs="Arial"/>
          <w:color w:val="444444"/>
          <w:sz w:val="22"/>
        </w:rPr>
        <w:t xml:space="preserve"> Finger-prick blood tests using a portable glucose meter provide immediate feedback on blood sugar levels, helping patients understand the impact of meals, exercise, and medication (NICE, 2022).</w:t>
      </w:r>
    </w:p>
    <w:p w14:paraId="13C234DE" w14:textId="77777777" w:rsidR="00A6507B" w:rsidRPr="00A90A42" w:rsidRDefault="00A6507B" w:rsidP="00A6507B">
      <w:pPr>
        <w:numPr>
          <w:ilvl w:val="0"/>
          <w:numId w:val="6"/>
        </w:numPr>
        <w:spacing w:before="60" w:after="60"/>
        <w:rPr>
          <w:rFonts w:ascii="Arial" w:eastAsia="Arial" w:hAnsi="Arial" w:cs="Arial"/>
          <w:color w:val="444444"/>
          <w:sz w:val="22"/>
        </w:rPr>
      </w:pPr>
      <w:r w:rsidRPr="00A90A42">
        <w:rPr>
          <w:rFonts w:ascii="Arial" w:eastAsia="Arial" w:hAnsi="Arial" w:cs="Arial"/>
          <w:b/>
          <w:bCs/>
          <w:color w:val="444444"/>
          <w:sz w:val="22"/>
        </w:rPr>
        <w:t>HbA1c Testing:</w:t>
      </w:r>
      <w:r w:rsidRPr="00A90A42">
        <w:rPr>
          <w:rFonts w:ascii="Arial" w:eastAsia="Arial" w:hAnsi="Arial" w:cs="Arial"/>
          <w:color w:val="444444"/>
          <w:sz w:val="22"/>
        </w:rPr>
        <w:t xml:space="preserve"> Laboratory blood tests measure average blood glucose over 2–3 months by assessing the percentage of glycated haemoglobin. The target for most adults is ≤48 mmol/mol (6.5%) (NICE, 2022; Diabetes UK, 2023).</w:t>
      </w:r>
    </w:p>
    <w:p w14:paraId="1C72D456" w14:textId="77777777" w:rsidR="00A6507B" w:rsidRPr="00A90A42" w:rsidRDefault="00A6507B" w:rsidP="00A6507B">
      <w:pPr>
        <w:numPr>
          <w:ilvl w:val="0"/>
          <w:numId w:val="6"/>
        </w:numPr>
        <w:spacing w:before="60" w:after="60"/>
        <w:rPr>
          <w:rFonts w:ascii="Arial" w:eastAsia="Arial" w:hAnsi="Arial" w:cs="Arial"/>
          <w:color w:val="444444"/>
          <w:sz w:val="22"/>
        </w:rPr>
      </w:pPr>
      <w:r w:rsidRPr="00A90A42">
        <w:rPr>
          <w:rFonts w:ascii="Arial" w:eastAsia="Arial" w:hAnsi="Arial" w:cs="Arial"/>
          <w:b/>
          <w:bCs/>
          <w:color w:val="444444"/>
          <w:sz w:val="22"/>
        </w:rPr>
        <w:t>Continuous Glucose Monitoring (CGM):</w:t>
      </w:r>
      <w:r w:rsidRPr="00A90A42">
        <w:rPr>
          <w:rFonts w:ascii="Arial" w:eastAsia="Arial" w:hAnsi="Arial" w:cs="Arial"/>
          <w:color w:val="444444"/>
          <w:sz w:val="22"/>
        </w:rPr>
        <w:t xml:space="preserve"> A sensor under the skin provides real-time glucose readings and alerts users to rising or falling levels (Diabetes UK, 2023).</w:t>
      </w:r>
    </w:p>
    <w:p w14:paraId="0B4E89F4" w14:textId="6B6457A7" w:rsidR="005D1697" w:rsidRPr="00A6507B" w:rsidRDefault="00050D2F" w:rsidP="00A6507B">
      <w:pPr>
        <w:numPr>
          <w:ilvl w:val="0"/>
          <w:numId w:val="6"/>
        </w:numPr>
        <w:spacing w:before="60" w:after="60"/>
        <w:rPr>
          <w:rFonts w:ascii="Arial" w:eastAsia="Arial" w:hAnsi="Arial" w:cs="Arial"/>
          <w:color w:val="444444"/>
          <w:sz w:val="20"/>
          <w:szCs w:val="20"/>
        </w:rPr>
      </w:pPr>
      <w:r>
        <w:rPr>
          <w:noProof/>
        </w:rPr>
        <w:drawing>
          <wp:inline distT="0" distB="0" distL="0" distR="0" wp14:anchorId="6A3C888A" wp14:editId="4F282276">
            <wp:extent cx="5731510" cy="3303905"/>
            <wp:effectExtent l="0" t="0" r="2540" b="0"/>
            <wp:docPr id="596339027" name="Picture 5" descr="570 Continuous Glucose Monitor Sensor Images, Stock Photos &amp; Ve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70 Continuous Glucose Monitor Sensor Images, Stock Photos &amp; Vector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03905"/>
                    </a:xfrm>
                    <a:prstGeom prst="rect">
                      <a:avLst/>
                    </a:prstGeom>
                    <a:noFill/>
                    <a:ln>
                      <a:noFill/>
                    </a:ln>
                  </pic:spPr>
                </pic:pic>
              </a:graphicData>
            </a:graphic>
          </wp:inline>
        </w:drawing>
      </w:r>
    </w:p>
    <w:p w14:paraId="7C4896BE" w14:textId="548C06A4" w:rsidR="00A6507B" w:rsidRPr="001825C6" w:rsidRDefault="00BB5F8C" w:rsidP="00A6507B">
      <w:pPr>
        <w:spacing w:before="60" w:after="60"/>
        <w:rPr>
          <w:rFonts w:ascii="Arial" w:eastAsia="Arial" w:hAnsi="Arial" w:cs="Arial"/>
          <w:i/>
          <w:iCs/>
          <w:color w:val="444444"/>
          <w:sz w:val="20"/>
          <w:szCs w:val="20"/>
        </w:rPr>
      </w:pPr>
      <w:r>
        <w:rPr>
          <w:rFonts w:ascii="Arial" w:eastAsia="Arial" w:hAnsi="Arial" w:cs="Arial"/>
          <w:i/>
          <w:iCs/>
          <w:color w:val="444444"/>
          <w:sz w:val="20"/>
          <w:szCs w:val="20"/>
        </w:rPr>
        <w:t xml:space="preserve">Figure </w:t>
      </w:r>
      <w:r w:rsidR="0021757D">
        <w:rPr>
          <w:rFonts w:ascii="Arial" w:eastAsia="Arial" w:hAnsi="Arial" w:cs="Arial"/>
          <w:i/>
          <w:iCs/>
          <w:color w:val="444444"/>
          <w:sz w:val="20"/>
          <w:szCs w:val="20"/>
        </w:rPr>
        <w:t>3</w:t>
      </w:r>
      <w:r>
        <w:rPr>
          <w:rFonts w:ascii="Arial" w:eastAsia="Arial" w:hAnsi="Arial" w:cs="Arial"/>
          <w:i/>
          <w:iCs/>
          <w:color w:val="444444"/>
          <w:sz w:val="20"/>
          <w:szCs w:val="20"/>
        </w:rPr>
        <w:t xml:space="preserve">: </w:t>
      </w:r>
      <w:r w:rsidR="00050D2F">
        <w:rPr>
          <w:rFonts w:ascii="Arial" w:eastAsia="Arial" w:hAnsi="Arial" w:cs="Arial"/>
          <w:i/>
          <w:iCs/>
          <w:color w:val="444444"/>
          <w:sz w:val="20"/>
          <w:szCs w:val="20"/>
        </w:rPr>
        <w:t>A</w:t>
      </w:r>
      <w:r w:rsidR="00A6507B" w:rsidRPr="00A6507B">
        <w:rPr>
          <w:rFonts w:ascii="Arial" w:eastAsia="Arial" w:hAnsi="Arial" w:cs="Arial"/>
          <w:i/>
          <w:iCs/>
          <w:color w:val="444444"/>
          <w:sz w:val="20"/>
          <w:szCs w:val="20"/>
        </w:rPr>
        <w:t xml:space="preserve"> glucose meter, an HbA1c timeline, and a CGM sensor with smartphone display (Adapted from Diabetes UK, 2023).</w:t>
      </w:r>
    </w:p>
    <w:p w14:paraId="1AFBDDF0" w14:textId="7EFE0D9C" w:rsidR="00BB5F8C" w:rsidRDefault="00BB5F8C" w:rsidP="00A6507B">
      <w:pPr>
        <w:spacing w:before="60" w:after="60"/>
        <w:rPr>
          <w:rFonts w:ascii="Arial" w:eastAsia="Arial" w:hAnsi="Arial" w:cs="Arial"/>
          <w:b/>
          <w:bCs/>
          <w:color w:val="444444"/>
          <w:sz w:val="20"/>
          <w:szCs w:val="20"/>
        </w:rPr>
      </w:pPr>
    </w:p>
    <w:p w14:paraId="44C96E57" w14:textId="77777777" w:rsidR="00A90A42" w:rsidRDefault="00A6507B" w:rsidP="00A6507B">
      <w:pPr>
        <w:spacing w:before="60" w:after="60"/>
        <w:rPr>
          <w:rFonts w:ascii="Arial" w:eastAsia="Arial" w:hAnsi="Arial" w:cs="Arial"/>
          <w:b/>
          <w:bCs/>
          <w:color w:val="444444"/>
          <w:sz w:val="22"/>
        </w:rPr>
      </w:pPr>
      <w:r w:rsidRPr="00A90A42">
        <w:rPr>
          <w:rFonts w:ascii="Arial" w:eastAsia="Arial" w:hAnsi="Arial" w:cs="Arial"/>
          <w:b/>
          <w:bCs/>
          <w:color w:val="444444"/>
          <w:sz w:val="22"/>
        </w:rPr>
        <w:t>4b. Importance of consistent tracking</w:t>
      </w:r>
    </w:p>
    <w:p w14:paraId="07CBFD60" w14:textId="6C4C4394" w:rsidR="00A6507B" w:rsidRPr="00A90A42" w:rsidRDefault="00A6507B" w:rsidP="00A6507B">
      <w:pPr>
        <w:spacing w:before="60" w:after="60"/>
        <w:rPr>
          <w:rFonts w:ascii="Arial" w:eastAsia="Arial" w:hAnsi="Arial" w:cs="Arial"/>
          <w:color w:val="444444"/>
          <w:sz w:val="22"/>
        </w:rPr>
      </w:pPr>
      <w:r w:rsidRPr="00A90A42">
        <w:rPr>
          <w:rFonts w:ascii="Arial" w:eastAsia="Arial" w:hAnsi="Arial" w:cs="Arial"/>
          <w:color w:val="444444"/>
          <w:sz w:val="22"/>
        </w:rPr>
        <w:br/>
        <w:t>Consistent monitoring is vital to prevent acute complications, support safe medication adjustments, identify patterns related to diet and activity, and empower patients to manage their condition (Funnell et al., 2022). In the GP context, this supports collaborative care planning and improves safety and patient outcomes.</w:t>
      </w:r>
    </w:p>
    <w:p w14:paraId="36FE9ADA" w14:textId="77777777" w:rsidR="00DE477A" w:rsidRDefault="00DE477A" w:rsidP="00DE477A">
      <w:pPr>
        <w:spacing w:before="60" w:after="60"/>
        <w:rPr>
          <w:rFonts w:ascii="Arial" w:eastAsia="Arial" w:hAnsi="Arial" w:cs="Arial"/>
          <w:color w:val="444444"/>
          <w:sz w:val="20"/>
          <w:szCs w:val="20"/>
        </w:rPr>
      </w:pPr>
    </w:p>
    <w:p w14:paraId="0245484F" w14:textId="77777777" w:rsidR="00AE1E92" w:rsidRDefault="00AE1E92" w:rsidP="00DE477A">
      <w:pPr>
        <w:pStyle w:val="Heading1"/>
        <w:spacing w:line="360" w:lineRule="auto"/>
        <w:rPr>
          <w:rFonts w:cs="Arial"/>
        </w:rPr>
      </w:pPr>
    </w:p>
    <w:p w14:paraId="0415DAD1" w14:textId="77777777" w:rsidR="00AE1E92" w:rsidRDefault="00AE1E92" w:rsidP="00AE1E92"/>
    <w:p w14:paraId="0059B770" w14:textId="77777777" w:rsidR="00AE1E92" w:rsidRPr="00AE1E92" w:rsidRDefault="00AE1E92" w:rsidP="00AE1E92"/>
    <w:p w14:paraId="5EC89A6B" w14:textId="0A268191" w:rsidR="00DE477A" w:rsidRDefault="00DE477A" w:rsidP="00DE477A">
      <w:pPr>
        <w:pStyle w:val="Heading1"/>
        <w:spacing w:line="360" w:lineRule="auto"/>
        <w:rPr>
          <w:rFonts w:cs="Arial"/>
        </w:rPr>
      </w:pPr>
      <w:r>
        <w:rPr>
          <w:rFonts w:cs="Arial"/>
        </w:rPr>
        <w:t>5</w:t>
      </w:r>
      <w:r w:rsidRPr="00C03A91">
        <w:rPr>
          <w:rFonts w:cs="Arial"/>
        </w:rPr>
        <w:t xml:space="preserve">. </w:t>
      </w:r>
      <w:r>
        <w:rPr>
          <w:rFonts w:cs="Arial"/>
        </w:rPr>
        <w:t xml:space="preserve">Evidence-Based Lifestyle Recommendations </w:t>
      </w:r>
      <w:r w:rsidRPr="00C03A91">
        <w:rPr>
          <w:rFonts w:cs="Arial"/>
        </w:rPr>
        <w:t xml:space="preserve"> </w:t>
      </w:r>
    </w:p>
    <w:p w14:paraId="1BD381DF" w14:textId="27F054C9" w:rsidR="005708E8" w:rsidRDefault="005708E8" w:rsidP="005708E8">
      <w:pPr>
        <w:spacing w:before="60" w:after="60"/>
        <w:rPr>
          <w:rFonts w:ascii="Arial" w:eastAsia="Arial" w:hAnsi="Arial" w:cs="Arial"/>
          <w:color w:val="444444"/>
          <w:sz w:val="22"/>
        </w:rPr>
      </w:pPr>
      <w:r w:rsidRPr="005708E8">
        <w:rPr>
          <w:rFonts w:ascii="Arial" w:eastAsia="Arial" w:hAnsi="Arial" w:cs="Arial"/>
          <w:color w:val="444444"/>
          <w:sz w:val="20"/>
          <w:szCs w:val="20"/>
        </w:rPr>
        <w:t xml:space="preserve"> </w:t>
      </w:r>
      <w:r w:rsidRPr="005708E8">
        <w:rPr>
          <w:rFonts w:ascii="Arial" w:eastAsia="Arial" w:hAnsi="Arial" w:cs="Arial"/>
          <w:color w:val="444444"/>
          <w:sz w:val="22"/>
        </w:rPr>
        <w:t>Lifestyle interventions are central to Type 2 diabetes management, directly influencing blood glucose, reducing cardiovascular risk, and improving wellbeing. As a practice nurse, providing clear, evidence-based advice on diet, exercise, and smoking cessation empowers patients (Diabetes UK, 2023; NICE, 2022).</w:t>
      </w:r>
    </w:p>
    <w:p w14:paraId="1C2A151E" w14:textId="77777777" w:rsidR="005708E8" w:rsidRPr="005708E8" w:rsidRDefault="005708E8" w:rsidP="005708E8">
      <w:pPr>
        <w:spacing w:before="60" w:after="60"/>
        <w:rPr>
          <w:rFonts w:ascii="Arial" w:eastAsia="Arial" w:hAnsi="Arial" w:cs="Arial"/>
          <w:color w:val="444444"/>
          <w:sz w:val="22"/>
        </w:rPr>
      </w:pPr>
      <w:r w:rsidRPr="005708E8">
        <w:rPr>
          <w:rFonts w:ascii="Arial" w:eastAsia="Arial" w:hAnsi="Arial" w:cs="Arial"/>
          <w:b/>
          <w:bCs/>
          <w:color w:val="444444"/>
          <w:sz w:val="22"/>
        </w:rPr>
        <w:t>5a. Diet and blood glucose management</w:t>
      </w:r>
    </w:p>
    <w:p w14:paraId="1578CFDB" w14:textId="77777777" w:rsidR="005708E8" w:rsidRPr="005708E8" w:rsidRDefault="005708E8" w:rsidP="005708E8">
      <w:pPr>
        <w:numPr>
          <w:ilvl w:val="0"/>
          <w:numId w:val="7"/>
        </w:numPr>
        <w:spacing w:before="60" w:after="60"/>
        <w:rPr>
          <w:rFonts w:ascii="Arial" w:eastAsia="Arial" w:hAnsi="Arial" w:cs="Arial"/>
          <w:color w:val="444444"/>
          <w:sz w:val="22"/>
        </w:rPr>
      </w:pPr>
      <w:r w:rsidRPr="005708E8">
        <w:rPr>
          <w:rFonts w:ascii="Arial" w:eastAsia="Arial" w:hAnsi="Arial" w:cs="Arial"/>
          <w:b/>
          <w:bCs/>
          <w:color w:val="444444"/>
          <w:sz w:val="22"/>
        </w:rPr>
        <w:t>Low Glycaemic Index (GI) foods:</w:t>
      </w:r>
      <w:r w:rsidRPr="005708E8">
        <w:rPr>
          <w:rFonts w:ascii="Arial" w:eastAsia="Arial" w:hAnsi="Arial" w:cs="Arial"/>
          <w:color w:val="444444"/>
          <w:sz w:val="22"/>
        </w:rPr>
        <w:t xml:space="preserve"> Slow-release carbs (e.g., whole grains, legumes, some fruits/vegetables) prevent glucose spikes (NICE, 2022).</w:t>
      </w:r>
    </w:p>
    <w:p w14:paraId="56CAC1A0" w14:textId="77777777" w:rsidR="005708E8" w:rsidRPr="005708E8" w:rsidRDefault="005708E8" w:rsidP="005708E8">
      <w:pPr>
        <w:numPr>
          <w:ilvl w:val="0"/>
          <w:numId w:val="7"/>
        </w:numPr>
        <w:spacing w:before="60" w:after="60"/>
        <w:rPr>
          <w:rFonts w:ascii="Arial" w:eastAsia="Arial" w:hAnsi="Arial" w:cs="Arial"/>
          <w:color w:val="444444"/>
          <w:sz w:val="22"/>
        </w:rPr>
      </w:pPr>
      <w:r w:rsidRPr="005708E8">
        <w:rPr>
          <w:rFonts w:ascii="Arial" w:eastAsia="Arial" w:hAnsi="Arial" w:cs="Arial"/>
          <w:b/>
          <w:bCs/>
          <w:color w:val="444444"/>
          <w:sz w:val="22"/>
        </w:rPr>
        <w:t>Reduce refined carbohydrates/sugars:</w:t>
      </w:r>
      <w:r w:rsidRPr="005708E8">
        <w:rPr>
          <w:rFonts w:ascii="Arial" w:eastAsia="Arial" w:hAnsi="Arial" w:cs="Arial"/>
          <w:color w:val="444444"/>
          <w:sz w:val="22"/>
        </w:rPr>
        <w:t xml:space="preserve"> Limiting white bread, pastries, and sugary drinks helps stabilise blood glucose (Diabetes UK, 2023).</w:t>
      </w:r>
    </w:p>
    <w:p w14:paraId="3B72F263" w14:textId="77777777" w:rsidR="005708E8" w:rsidRPr="005708E8" w:rsidRDefault="005708E8" w:rsidP="005708E8">
      <w:pPr>
        <w:numPr>
          <w:ilvl w:val="0"/>
          <w:numId w:val="7"/>
        </w:numPr>
        <w:spacing w:before="60" w:after="60"/>
        <w:rPr>
          <w:rFonts w:ascii="Arial" w:eastAsia="Arial" w:hAnsi="Arial" w:cs="Arial"/>
          <w:color w:val="444444"/>
          <w:sz w:val="22"/>
        </w:rPr>
      </w:pPr>
      <w:r w:rsidRPr="005708E8">
        <w:rPr>
          <w:rFonts w:ascii="Arial" w:eastAsia="Arial" w:hAnsi="Arial" w:cs="Arial"/>
          <w:b/>
          <w:bCs/>
          <w:color w:val="444444"/>
          <w:sz w:val="22"/>
        </w:rPr>
        <w:t>Mediterranean diet:</w:t>
      </w:r>
      <w:r w:rsidRPr="005708E8">
        <w:rPr>
          <w:rFonts w:ascii="Arial" w:eastAsia="Arial" w:hAnsi="Arial" w:cs="Arial"/>
          <w:color w:val="444444"/>
          <w:sz w:val="22"/>
        </w:rPr>
        <w:t xml:space="preserve"> Emphasising vegetables, fruits, nuts, olive oil, and fish improves glycaemic control and reduces cardiovascular risk (Esposito et al., 2015).</w:t>
      </w:r>
    </w:p>
    <w:p w14:paraId="24E6E7B9" w14:textId="43C9A2F2" w:rsidR="003426C8" w:rsidRDefault="005708E8" w:rsidP="005708E8">
      <w:pPr>
        <w:numPr>
          <w:ilvl w:val="0"/>
          <w:numId w:val="7"/>
        </w:numPr>
        <w:spacing w:before="60" w:after="60"/>
        <w:rPr>
          <w:rFonts w:ascii="Arial" w:eastAsia="Arial" w:hAnsi="Arial" w:cs="Arial"/>
          <w:color w:val="444444"/>
          <w:sz w:val="20"/>
          <w:szCs w:val="20"/>
        </w:rPr>
      </w:pPr>
      <w:r w:rsidRPr="005708E8">
        <w:rPr>
          <w:rFonts w:ascii="Arial" w:eastAsia="Arial" w:hAnsi="Arial" w:cs="Arial"/>
          <w:b/>
          <w:bCs/>
          <w:color w:val="444444"/>
          <w:sz w:val="22"/>
        </w:rPr>
        <w:t>Portion control:</w:t>
      </w:r>
      <w:r w:rsidRPr="005708E8">
        <w:rPr>
          <w:rFonts w:ascii="Arial" w:eastAsia="Arial" w:hAnsi="Arial" w:cs="Arial"/>
          <w:color w:val="444444"/>
          <w:sz w:val="22"/>
        </w:rPr>
        <w:t xml:space="preserve"> Spreading carbohydrate intake and mindful portions support steady blood</w:t>
      </w:r>
    </w:p>
    <w:p w14:paraId="61DD884B" w14:textId="51405C26" w:rsidR="00485A9A" w:rsidRPr="003426C8" w:rsidRDefault="00485A9A" w:rsidP="003426C8">
      <w:pPr>
        <w:numPr>
          <w:ilvl w:val="0"/>
          <w:numId w:val="7"/>
        </w:numPr>
        <w:spacing w:before="60" w:after="60"/>
        <w:rPr>
          <w:rFonts w:ascii="Arial" w:eastAsia="Arial" w:hAnsi="Arial" w:cs="Arial"/>
          <w:color w:val="444444"/>
          <w:sz w:val="20"/>
          <w:szCs w:val="20"/>
        </w:rPr>
      </w:pPr>
      <w:r>
        <w:rPr>
          <w:noProof/>
        </w:rPr>
        <w:drawing>
          <wp:inline distT="0" distB="0" distL="0" distR="0" wp14:anchorId="0BFA9C3D" wp14:editId="0BA11B19">
            <wp:extent cx="5731510" cy="4298950"/>
            <wp:effectExtent l="0" t="0" r="2540" b="6350"/>
            <wp:docPr id="1979747070" name="Picture 6" descr="Back-to-School Meal Plan: 7 Easy Dinners for Blood Sugar Ba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ck-to-School Meal Plan: 7 Easy Dinners for Blood Sugar Bal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9546C5D" w14:textId="42D84E5B" w:rsidR="003426C8" w:rsidRDefault="00BB5F8C" w:rsidP="003426C8">
      <w:pPr>
        <w:spacing w:before="60" w:after="60"/>
        <w:rPr>
          <w:rFonts w:ascii="Arial" w:eastAsia="Arial" w:hAnsi="Arial" w:cs="Arial"/>
          <w:i/>
          <w:iCs/>
          <w:color w:val="444444"/>
          <w:sz w:val="20"/>
          <w:szCs w:val="20"/>
        </w:rPr>
      </w:pPr>
      <w:r>
        <w:rPr>
          <w:rFonts w:ascii="Arial" w:eastAsia="Arial" w:hAnsi="Arial" w:cs="Arial"/>
          <w:i/>
          <w:iCs/>
          <w:color w:val="444444"/>
          <w:sz w:val="20"/>
          <w:szCs w:val="20"/>
        </w:rPr>
        <w:t>Figure</w:t>
      </w:r>
      <w:r w:rsidR="00610F2E">
        <w:rPr>
          <w:rFonts w:ascii="Arial" w:eastAsia="Arial" w:hAnsi="Arial" w:cs="Arial"/>
          <w:i/>
          <w:iCs/>
          <w:color w:val="444444"/>
          <w:sz w:val="20"/>
          <w:szCs w:val="20"/>
        </w:rPr>
        <w:t xml:space="preserve"> </w:t>
      </w:r>
      <w:r w:rsidR="000A3C3D">
        <w:rPr>
          <w:rFonts w:ascii="Arial" w:eastAsia="Arial" w:hAnsi="Arial" w:cs="Arial"/>
          <w:i/>
          <w:iCs/>
          <w:color w:val="444444"/>
          <w:sz w:val="20"/>
          <w:szCs w:val="20"/>
        </w:rPr>
        <w:t>4</w:t>
      </w:r>
      <w:r w:rsidR="00610F2E">
        <w:rPr>
          <w:rFonts w:ascii="Arial" w:eastAsia="Arial" w:hAnsi="Arial" w:cs="Arial"/>
          <w:i/>
          <w:iCs/>
          <w:color w:val="444444"/>
          <w:sz w:val="20"/>
          <w:szCs w:val="20"/>
        </w:rPr>
        <w:t xml:space="preserve">: </w:t>
      </w:r>
      <w:r w:rsidR="00B25B8D">
        <w:rPr>
          <w:rFonts w:ascii="Arial" w:eastAsia="Arial" w:hAnsi="Arial" w:cs="Arial"/>
          <w:i/>
          <w:iCs/>
          <w:color w:val="444444"/>
          <w:sz w:val="20"/>
          <w:szCs w:val="20"/>
        </w:rPr>
        <w:t>A</w:t>
      </w:r>
      <w:r w:rsidR="003426C8" w:rsidRPr="003426C8">
        <w:rPr>
          <w:rFonts w:ascii="Arial" w:eastAsia="Arial" w:hAnsi="Arial" w:cs="Arial"/>
          <w:i/>
          <w:iCs/>
          <w:color w:val="444444"/>
          <w:sz w:val="20"/>
          <w:szCs w:val="20"/>
        </w:rPr>
        <w:t xml:space="preserve"> Plate model for a balanced diabetes-friendly meal (Adapted from Diabetes UK, 2023).</w:t>
      </w:r>
    </w:p>
    <w:p w14:paraId="663526F4" w14:textId="77777777" w:rsidR="00B25B8D" w:rsidRPr="003426C8" w:rsidRDefault="00B25B8D" w:rsidP="003426C8">
      <w:pPr>
        <w:spacing w:before="60" w:after="60"/>
        <w:rPr>
          <w:rFonts w:ascii="Arial" w:eastAsia="Arial" w:hAnsi="Arial" w:cs="Arial"/>
          <w:color w:val="444444"/>
          <w:sz w:val="20"/>
          <w:szCs w:val="20"/>
        </w:rPr>
      </w:pPr>
    </w:p>
    <w:p w14:paraId="46CE028D" w14:textId="77777777" w:rsidR="003426C8" w:rsidRPr="005708E8" w:rsidRDefault="003426C8" w:rsidP="003426C8">
      <w:pPr>
        <w:spacing w:before="60" w:after="60"/>
        <w:rPr>
          <w:rFonts w:ascii="Arial" w:eastAsia="Arial" w:hAnsi="Arial" w:cs="Arial"/>
          <w:color w:val="444444"/>
          <w:sz w:val="22"/>
        </w:rPr>
      </w:pPr>
      <w:r w:rsidRPr="005708E8">
        <w:rPr>
          <w:rFonts w:ascii="Arial" w:eastAsia="Arial" w:hAnsi="Arial" w:cs="Arial"/>
          <w:b/>
          <w:bCs/>
          <w:color w:val="444444"/>
          <w:sz w:val="22"/>
        </w:rPr>
        <w:t>5b. The role of physical exercise</w:t>
      </w:r>
    </w:p>
    <w:p w14:paraId="6844C219" w14:textId="77777777" w:rsidR="003426C8" w:rsidRPr="005708E8" w:rsidRDefault="003426C8" w:rsidP="003426C8">
      <w:pPr>
        <w:numPr>
          <w:ilvl w:val="0"/>
          <w:numId w:val="8"/>
        </w:numPr>
        <w:spacing w:before="60" w:after="60"/>
        <w:rPr>
          <w:rFonts w:ascii="Arial" w:eastAsia="Arial" w:hAnsi="Arial" w:cs="Arial"/>
          <w:color w:val="444444"/>
          <w:sz w:val="22"/>
        </w:rPr>
      </w:pPr>
      <w:r w:rsidRPr="005708E8">
        <w:rPr>
          <w:rFonts w:ascii="Arial" w:eastAsia="Arial" w:hAnsi="Arial" w:cs="Arial"/>
          <w:b/>
          <w:bCs/>
          <w:color w:val="444444"/>
          <w:sz w:val="22"/>
        </w:rPr>
        <w:t>Aerobic activity:</w:t>
      </w:r>
      <w:r w:rsidRPr="005708E8">
        <w:rPr>
          <w:rFonts w:ascii="Arial" w:eastAsia="Arial" w:hAnsi="Arial" w:cs="Arial"/>
          <w:color w:val="444444"/>
          <w:sz w:val="22"/>
        </w:rPr>
        <w:t xml:space="preserve"> At least 150 minutes per week of moderate-intensity exercise, e.g., brisk walking or cycling (WHO, 2022).</w:t>
      </w:r>
    </w:p>
    <w:p w14:paraId="30D721FC" w14:textId="77777777" w:rsidR="003426C8" w:rsidRPr="005708E8" w:rsidRDefault="003426C8" w:rsidP="003426C8">
      <w:pPr>
        <w:numPr>
          <w:ilvl w:val="0"/>
          <w:numId w:val="8"/>
        </w:numPr>
        <w:spacing w:before="60" w:after="60"/>
        <w:rPr>
          <w:rFonts w:ascii="Arial" w:eastAsia="Arial" w:hAnsi="Arial" w:cs="Arial"/>
          <w:color w:val="444444"/>
          <w:sz w:val="22"/>
        </w:rPr>
      </w:pPr>
      <w:r w:rsidRPr="005708E8">
        <w:rPr>
          <w:rFonts w:ascii="Arial" w:eastAsia="Arial" w:hAnsi="Arial" w:cs="Arial"/>
          <w:b/>
          <w:bCs/>
          <w:color w:val="444444"/>
          <w:sz w:val="22"/>
        </w:rPr>
        <w:t>Resistance training:</w:t>
      </w:r>
      <w:r w:rsidRPr="005708E8">
        <w:rPr>
          <w:rFonts w:ascii="Arial" w:eastAsia="Arial" w:hAnsi="Arial" w:cs="Arial"/>
          <w:color w:val="444444"/>
          <w:sz w:val="22"/>
        </w:rPr>
        <w:t xml:space="preserve"> Muscle-strengthening exercises at least two days per week.</w:t>
      </w:r>
    </w:p>
    <w:p w14:paraId="483F7F69" w14:textId="77777777" w:rsidR="003426C8" w:rsidRPr="005708E8" w:rsidRDefault="003426C8" w:rsidP="003426C8">
      <w:pPr>
        <w:numPr>
          <w:ilvl w:val="0"/>
          <w:numId w:val="8"/>
        </w:numPr>
        <w:spacing w:before="60" w:after="60"/>
        <w:rPr>
          <w:rFonts w:ascii="Arial" w:eastAsia="Arial" w:hAnsi="Arial" w:cs="Arial"/>
          <w:color w:val="444444"/>
          <w:sz w:val="22"/>
        </w:rPr>
      </w:pPr>
      <w:r w:rsidRPr="005708E8">
        <w:rPr>
          <w:rFonts w:ascii="Arial" w:eastAsia="Arial" w:hAnsi="Arial" w:cs="Arial"/>
          <w:b/>
          <w:bCs/>
          <w:color w:val="444444"/>
          <w:sz w:val="22"/>
        </w:rPr>
        <w:lastRenderedPageBreak/>
        <w:t>Reduce sedentary time:</w:t>
      </w:r>
      <w:r w:rsidRPr="005708E8">
        <w:rPr>
          <w:rFonts w:ascii="Arial" w:eastAsia="Arial" w:hAnsi="Arial" w:cs="Arial"/>
          <w:color w:val="444444"/>
          <w:sz w:val="22"/>
        </w:rPr>
        <w:t xml:space="preserve"> Breaking up long periods of sitting improves glucose control.</w:t>
      </w:r>
    </w:p>
    <w:p w14:paraId="4707C832" w14:textId="6DE5A71D" w:rsidR="003426C8" w:rsidRPr="005708E8" w:rsidRDefault="003426C8" w:rsidP="003426C8">
      <w:pPr>
        <w:spacing w:before="60" w:after="60"/>
        <w:rPr>
          <w:rFonts w:ascii="Arial" w:eastAsia="Arial" w:hAnsi="Arial" w:cs="Arial"/>
          <w:color w:val="444444"/>
          <w:sz w:val="22"/>
        </w:rPr>
      </w:pPr>
      <w:r w:rsidRPr="005708E8">
        <w:rPr>
          <w:rFonts w:ascii="Arial" w:eastAsia="Arial" w:hAnsi="Arial" w:cs="Arial"/>
          <w:color w:val="444444"/>
          <w:sz w:val="22"/>
        </w:rPr>
        <w:t>Regular exercise increases insulin sensitivity, aids weight management, and lowers cardiovascular risk (NICE, 2022).</w:t>
      </w:r>
      <w:r w:rsidR="0020335E" w:rsidRPr="005708E8">
        <w:rPr>
          <w:rFonts w:ascii="Arial" w:eastAsia="Arial" w:hAnsi="Arial" w:cs="Arial"/>
          <w:color w:val="444444"/>
          <w:sz w:val="22"/>
        </w:rPr>
        <w:t xml:space="preserve"> </w:t>
      </w:r>
    </w:p>
    <w:p w14:paraId="6FD3F5FE" w14:textId="3E17FCB0" w:rsidR="0020335E" w:rsidRPr="003426C8" w:rsidRDefault="009D7F9A" w:rsidP="003426C8">
      <w:pPr>
        <w:spacing w:before="60" w:after="60"/>
        <w:rPr>
          <w:rFonts w:ascii="Arial" w:eastAsia="Arial" w:hAnsi="Arial" w:cs="Arial"/>
          <w:color w:val="444444"/>
          <w:sz w:val="20"/>
          <w:szCs w:val="20"/>
        </w:rPr>
      </w:pPr>
      <w:r>
        <w:rPr>
          <w:noProof/>
        </w:rPr>
        <w:drawing>
          <wp:inline distT="0" distB="0" distL="0" distR="0" wp14:anchorId="02EDC68C" wp14:editId="66946A62">
            <wp:extent cx="5731510" cy="6128385"/>
            <wp:effectExtent l="0" t="0" r="2540" b="5715"/>
            <wp:docPr id="1000852687" name="Picture 7" descr="Aerobic Glyco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erobic Glycolysis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128385"/>
                    </a:xfrm>
                    <a:prstGeom prst="rect">
                      <a:avLst/>
                    </a:prstGeom>
                    <a:noFill/>
                    <a:ln>
                      <a:noFill/>
                    </a:ln>
                  </pic:spPr>
                </pic:pic>
              </a:graphicData>
            </a:graphic>
          </wp:inline>
        </w:drawing>
      </w:r>
    </w:p>
    <w:p w14:paraId="1097F2F8" w14:textId="138F461D" w:rsidR="003426C8" w:rsidRPr="00215859" w:rsidRDefault="00AC72EB" w:rsidP="003426C8">
      <w:pPr>
        <w:spacing w:before="60" w:after="60"/>
        <w:rPr>
          <w:rFonts w:ascii="Arial" w:eastAsia="Arial" w:hAnsi="Arial" w:cs="Arial"/>
          <w:i/>
          <w:iCs/>
          <w:color w:val="444444"/>
          <w:sz w:val="22"/>
        </w:rPr>
      </w:pPr>
      <w:r>
        <w:rPr>
          <w:rFonts w:ascii="Arial" w:eastAsia="Arial" w:hAnsi="Arial" w:cs="Arial"/>
          <w:i/>
          <w:iCs/>
          <w:color w:val="444444"/>
          <w:sz w:val="22"/>
        </w:rPr>
        <w:t>F</w:t>
      </w:r>
      <w:r w:rsidR="00D607D1">
        <w:rPr>
          <w:rFonts w:ascii="Arial" w:eastAsia="Arial" w:hAnsi="Arial" w:cs="Arial"/>
          <w:i/>
          <w:iCs/>
          <w:color w:val="444444"/>
          <w:sz w:val="22"/>
        </w:rPr>
        <w:t xml:space="preserve">igure 5: </w:t>
      </w:r>
      <w:r w:rsidR="003426C8" w:rsidRPr="00215859">
        <w:rPr>
          <w:rFonts w:ascii="Arial" w:eastAsia="Arial" w:hAnsi="Arial" w:cs="Arial"/>
          <w:i/>
          <w:iCs/>
          <w:color w:val="444444"/>
          <w:sz w:val="22"/>
        </w:rPr>
        <w:t xml:space="preserve"> Icons showing aerobic and resistance exercises (Adapted from WHO, 2022).</w:t>
      </w:r>
    </w:p>
    <w:p w14:paraId="6604957F" w14:textId="77777777" w:rsidR="005143C3" w:rsidRPr="00215859" w:rsidRDefault="005143C3" w:rsidP="003426C8">
      <w:pPr>
        <w:spacing w:before="60" w:after="60"/>
        <w:rPr>
          <w:rFonts w:ascii="Arial" w:eastAsia="Arial" w:hAnsi="Arial" w:cs="Arial"/>
          <w:color w:val="444444"/>
          <w:sz w:val="22"/>
        </w:rPr>
      </w:pPr>
    </w:p>
    <w:p w14:paraId="3050CE8A" w14:textId="53E76A90" w:rsidR="003426C8" w:rsidRPr="00D607D1" w:rsidRDefault="003426C8" w:rsidP="003426C8">
      <w:pPr>
        <w:spacing w:before="60" w:after="60"/>
        <w:rPr>
          <w:rFonts w:ascii="Arial" w:eastAsia="Arial" w:hAnsi="Arial" w:cs="Arial"/>
          <w:color w:val="444444"/>
          <w:sz w:val="22"/>
        </w:rPr>
      </w:pPr>
      <w:r w:rsidRPr="00D607D1">
        <w:rPr>
          <w:rFonts w:ascii="Arial" w:eastAsia="Arial" w:hAnsi="Arial" w:cs="Arial"/>
          <w:b/>
          <w:bCs/>
          <w:color w:val="444444"/>
          <w:sz w:val="22"/>
        </w:rPr>
        <w:t>5c. Impact of smoking</w:t>
      </w:r>
      <w:r w:rsidRPr="00D607D1">
        <w:rPr>
          <w:rFonts w:ascii="Arial" w:eastAsia="Arial" w:hAnsi="Arial" w:cs="Arial"/>
          <w:color w:val="444444"/>
          <w:sz w:val="22"/>
        </w:rPr>
        <w:br/>
      </w:r>
      <w:r w:rsidR="005143C3" w:rsidRPr="00D607D1">
        <w:rPr>
          <w:rFonts w:ascii="Arial" w:eastAsia="Arial" w:hAnsi="Arial" w:cs="Arial"/>
          <w:color w:val="444444"/>
          <w:sz w:val="22"/>
        </w:rPr>
        <w:t>It</w:t>
      </w:r>
      <w:r w:rsidR="00D6760D" w:rsidRPr="00D607D1">
        <w:rPr>
          <w:rFonts w:ascii="Arial" w:eastAsia="Arial" w:hAnsi="Arial" w:cs="Arial"/>
          <w:color w:val="444444"/>
          <w:sz w:val="22"/>
        </w:rPr>
        <w:t xml:space="preserve"> </w:t>
      </w:r>
      <w:r w:rsidRPr="00D607D1">
        <w:rPr>
          <w:rFonts w:ascii="Arial" w:eastAsia="Arial" w:hAnsi="Arial" w:cs="Arial"/>
          <w:color w:val="444444"/>
          <w:sz w:val="22"/>
        </w:rPr>
        <w:t>increases insulin resistance and cardiovascular risk, while exacerbating diabetes complications (NICE, 2022).</w:t>
      </w:r>
      <w:r w:rsidRPr="00D607D1">
        <w:rPr>
          <w:rFonts w:ascii="Arial" w:eastAsia="Arial" w:hAnsi="Arial" w:cs="Arial"/>
          <w:color w:val="444444"/>
          <w:sz w:val="22"/>
        </w:rPr>
        <w:br/>
      </w:r>
      <w:r w:rsidRPr="00D607D1">
        <w:rPr>
          <w:rFonts w:ascii="Arial" w:eastAsia="Arial" w:hAnsi="Arial" w:cs="Arial"/>
          <w:b/>
          <w:bCs/>
          <w:color w:val="444444"/>
          <w:sz w:val="22"/>
        </w:rPr>
        <w:t>Cessation support:</w:t>
      </w:r>
      <w:r w:rsidRPr="00D607D1">
        <w:rPr>
          <w:rFonts w:ascii="Arial" w:eastAsia="Arial" w:hAnsi="Arial" w:cs="Arial"/>
          <w:color w:val="444444"/>
          <w:sz w:val="22"/>
        </w:rPr>
        <w:t xml:space="preserve"> Practice nurses should offer behavioural support, nicotine replacement therapy, and referrals to stop-smoking services (WHO, 2022; Diabetes UK, 2023).</w:t>
      </w:r>
    </w:p>
    <w:p w14:paraId="271051AF" w14:textId="77777777" w:rsidR="003426C8" w:rsidRPr="00D607D1" w:rsidRDefault="003426C8" w:rsidP="003426C8">
      <w:pPr>
        <w:spacing w:before="60" w:after="60"/>
        <w:rPr>
          <w:rFonts w:ascii="Arial" w:eastAsia="Arial" w:hAnsi="Arial" w:cs="Arial"/>
          <w:color w:val="444444"/>
          <w:sz w:val="22"/>
        </w:rPr>
      </w:pPr>
      <w:r w:rsidRPr="00D607D1">
        <w:rPr>
          <w:rFonts w:ascii="Arial" w:eastAsia="Arial" w:hAnsi="Arial" w:cs="Arial"/>
          <w:i/>
          <w:iCs/>
          <w:color w:val="444444"/>
          <w:sz w:val="22"/>
        </w:rPr>
        <w:t>Diagram suggestion: Flow chart showing smoking → increased insulin resistance → higher blood glucose &amp; risk (Adapted from NICE, 2022).</w:t>
      </w:r>
    </w:p>
    <w:p w14:paraId="55795024" w14:textId="77777777" w:rsidR="00DE477A" w:rsidRPr="00D607D1" w:rsidRDefault="00DE477A" w:rsidP="00DE477A">
      <w:pPr>
        <w:spacing w:before="60" w:after="60"/>
        <w:rPr>
          <w:rFonts w:ascii="Arial" w:eastAsia="Arial" w:hAnsi="Arial" w:cs="Arial"/>
          <w:color w:val="444444"/>
          <w:sz w:val="22"/>
        </w:rPr>
      </w:pPr>
    </w:p>
    <w:p w14:paraId="5C674D35" w14:textId="77777777" w:rsidR="005143C3" w:rsidRPr="00D607D1" w:rsidRDefault="005143C3" w:rsidP="00DE477A">
      <w:pPr>
        <w:spacing w:before="60" w:after="60"/>
        <w:rPr>
          <w:rFonts w:ascii="Arial" w:eastAsiaTheme="majorEastAsia" w:hAnsi="Arial" w:cs="Arial"/>
          <w:b/>
          <w:sz w:val="22"/>
        </w:rPr>
      </w:pPr>
    </w:p>
    <w:p w14:paraId="4FE7AE06" w14:textId="77777777" w:rsidR="005143C3" w:rsidRPr="00D607D1" w:rsidRDefault="005143C3" w:rsidP="00DE477A">
      <w:pPr>
        <w:spacing w:before="60" w:after="60"/>
        <w:rPr>
          <w:rFonts w:ascii="Arial" w:eastAsiaTheme="majorEastAsia" w:hAnsi="Arial" w:cs="Arial"/>
          <w:b/>
          <w:sz w:val="22"/>
        </w:rPr>
      </w:pPr>
    </w:p>
    <w:p w14:paraId="12D612E9" w14:textId="77777777" w:rsidR="005143C3" w:rsidRPr="00D607D1" w:rsidRDefault="005143C3" w:rsidP="00DE477A">
      <w:pPr>
        <w:spacing w:before="60" w:after="60"/>
        <w:rPr>
          <w:rFonts w:ascii="Arial" w:eastAsiaTheme="majorEastAsia" w:hAnsi="Arial" w:cs="Arial"/>
          <w:b/>
          <w:sz w:val="22"/>
        </w:rPr>
      </w:pPr>
    </w:p>
    <w:p w14:paraId="062E52B0" w14:textId="060BEED5" w:rsidR="00DE477A" w:rsidRPr="00D607D1" w:rsidRDefault="00A153DB" w:rsidP="00DE477A">
      <w:pPr>
        <w:spacing w:before="60" w:after="60"/>
        <w:rPr>
          <w:rFonts w:ascii="Arial" w:eastAsiaTheme="majorEastAsia" w:hAnsi="Arial" w:cs="Arial"/>
          <w:b/>
          <w:sz w:val="22"/>
        </w:rPr>
      </w:pPr>
      <w:r w:rsidRPr="00D607D1">
        <w:rPr>
          <w:rFonts w:ascii="Arial" w:eastAsiaTheme="majorEastAsia" w:hAnsi="Arial" w:cs="Arial"/>
          <w:b/>
          <w:sz w:val="22"/>
        </w:rPr>
        <w:t>6. Conclusion</w:t>
      </w:r>
    </w:p>
    <w:p w14:paraId="6A6268CA" w14:textId="77777777" w:rsidR="00637D1D" w:rsidRPr="00D607D1" w:rsidRDefault="00637D1D" w:rsidP="00637D1D">
      <w:pPr>
        <w:spacing w:before="60" w:after="60"/>
        <w:rPr>
          <w:rFonts w:ascii="Arial" w:eastAsiaTheme="majorEastAsia" w:hAnsi="Arial" w:cs="Arial"/>
          <w:bCs/>
          <w:sz w:val="22"/>
        </w:rPr>
      </w:pPr>
      <w:r w:rsidRPr="00D607D1">
        <w:rPr>
          <w:rFonts w:ascii="Arial" w:eastAsiaTheme="majorEastAsia" w:hAnsi="Arial" w:cs="Arial"/>
          <w:bCs/>
          <w:sz w:val="22"/>
        </w:rPr>
        <w:t>This report has explored the growing challenge of Type 2 diabetes in general practice, focusing on patient education, physiological blood glucose regulation, and evidence-based lifestyle interventions. Blood glucose homeostasis is maintained through the actions of insulin and glucagon, but insulin resistance in Type 2 diabetes disrupts this balance, leading to chronic hyperglycaemia and increased risk of complications. Understanding how oxygen and glucose fuel cellular energy production further underlines the importance of stable blood glucose levels.</w:t>
      </w:r>
    </w:p>
    <w:p w14:paraId="5C5AFCF3" w14:textId="77777777" w:rsidR="00637D1D" w:rsidRPr="00D607D1" w:rsidRDefault="00637D1D" w:rsidP="00637D1D">
      <w:pPr>
        <w:spacing w:before="60" w:after="60"/>
        <w:rPr>
          <w:rFonts w:ascii="Arial" w:eastAsiaTheme="majorEastAsia" w:hAnsi="Arial" w:cs="Arial"/>
          <w:bCs/>
          <w:sz w:val="22"/>
        </w:rPr>
      </w:pPr>
      <w:r w:rsidRPr="00D607D1">
        <w:rPr>
          <w:rFonts w:ascii="Arial" w:eastAsiaTheme="majorEastAsia" w:hAnsi="Arial" w:cs="Arial"/>
          <w:bCs/>
          <w:sz w:val="22"/>
        </w:rPr>
        <w:t>Effective monitoring enables early detection of abnormal patterns, supports safe medication adjustments, and empowers patients. Evidence shows that lifestyle modifications—including healthy eating, regular activity, and smoking cessation—substantially improve glycaemic control and reduce risks. Combining physiological understanding with practical self-management equips patients to engage more effectively with their care plans, leading to better outcomes and quality of life. Ongoing education and support from practice nurses are essential for patient confidence and proactive management.</w:t>
      </w:r>
    </w:p>
    <w:p w14:paraId="508EDAAA" w14:textId="77777777" w:rsidR="005143C3" w:rsidRPr="00D607D1" w:rsidRDefault="005143C3" w:rsidP="00DE477A">
      <w:pPr>
        <w:spacing w:before="60" w:after="60"/>
        <w:rPr>
          <w:rFonts w:ascii="Arial" w:eastAsiaTheme="majorEastAsia" w:hAnsi="Arial" w:cs="Arial"/>
          <w:b/>
          <w:sz w:val="22"/>
        </w:rPr>
      </w:pPr>
    </w:p>
    <w:p w14:paraId="080992E7" w14:textId="77777777" w:rsidR="005143C3" w:rsidRPr="003606AE" w:rsidRDefault="005143C3" w:rsidP="00DE477A">
      <w:pPr>
        <w:spacing w:before="60" w:after="60"/>
        <w:rPr>
          <w:rFonts w:ascii="Arial" w:eastAsiaTheme="majorEastAsia" w:hAnsi="Arial" w:cs="Arial"/>
          <w:b/>
          <w:sz w:val="22"/>
        </w:rPr>
      </w:pPr>
    </w:p>
    <w:p w14:paraId="4D587D9E" w14:textId="77777777" w:rsidR="005143C3" w:rsidRPr="003606AE" w:rsidRDefault="005143C3" w:rsidP="00DE477A">
      <w:pPr>
        <w:spacing w:before="60" w:after="60"/>
        <w:rPr>
          <w:rFonts w:ascii="Arial" w:eastAsiaTheme="majorEastAsia" w:hAnsi="Arial" w:cs="Arial"/>
          <w:b/>
          <w:sz w:val="22"/>
        </w:rPr>
      </w:pPr>
    </w:p>
    <w:p w14:paraId="33FD3348" w14:textId="77777777" w:rsidR="005143C3" w:rsidRPr="003606AE" w:rsidRDefault="005143C3" w:rsidP="00DE477A">
      <w:pPr>
        <w:spacing w:before="60" w:after="60"/>
        <w:rPr>
          <w:rFonts w:ascii="Arial" w:eastAsiaTheme="majorEastAsia" w:hAnsi="Arial" w:cs="Arial"/>
          <w:b/>
          <w:sz w:val="22"/>
        </w:rPr>
      </w:pPr>
    </w:p>
    <w:p w14:paraId="435AFFB4" w14:textId="77777777" w:rsidR="005143C3" w:rsidRPr="003606AE" w:rsidRDefault="005143C3" w:rsidP="00DE477A">
      <w:pPr>
        <w:spacing w:before="60" w:after="60"/>
        <w:rPr>
          <w:rFonts w:ascii="Arial" w:eastAsiaTheme="majorEastAsia" w:hAnsi="Arial" w:cs="Arial"/>
          <w:b/>
          <w:sz w:val="22"/>
        </w:rPr>
      </w:pPr>
    </w:p>
    <w:p w14:paraId="349CFB35" w14:textId="77777777" w:rsidR="005143C3" w:rsidRDefault="005143C3" w:rsidP="00DE477A">
      <w:pPr>
        <w:spacing w:before="60" w:after="60"/>
        <w:rPr>
          <w:rFonts w:ascii="Arial" w:eastAsiaTheme="majorEastAsia" w:hAnsi="Arial" w:cs="Arial"/>
          <w:b/>
          <w:sz w:val="32"/>
          <w:szCs w:val="32"/>
        </w:rPr>
      </w:pPr>
    </w:p>
    <w:p w14:paraId="01EB7569" w14:textId="77777777" w:rsidR="005143C3" w:rsidRDefault="005143C3" w:rsidP="00DE477A">
      <w:pPr>
        <w:spacing w:before="60" w:after="60"/>
        <w:rPr>
          <w:rFonts w:ascii="Arial" w:eastAsiaTheme="majorEastAsia" w:hAnsi="Arial" w:cs="Arial"/>
          <w:b/>
          <w:sz w:val="32"/>
          <w:szCs w:val="32"/>
        </w:rPr>
      </w:pPr>
    </w:p>
    <w:p w14:paraId="5046C905" w14:textId="77777777" w:rsidR="005143C3" w:rsidRDefault="005143C3" w:rsidP="00DE477A">
      <w:pPr>
        <w:spacing w:before="60" w:after="60"/>
        <w:rPr>
          <w:rFonts w:ascii="Arial" w:eastAsiaTheme="majorEastAsia" w:hAnsi="Arial" w:cs="Arial"/>
          <w:b/>
          <w:sz w:val="32"/>
          <w:szCs w:val="32"/>
        </w:rPr>
      </w:pPr>
    </w:p>
    <w:p w14:paraId="365AB278" w14:textId="77777777" w:rsidR="005143C3" w:rsidRDefault="005143C3" w:rsidP="00DE477A">
      <w:pPr>
        <w:spacing w:before="60" w:after="60"/>
        <w:rPr>
          <w:rFonts w:ascii="Arial" w:eastAsiaTheme="majorEastAsia" w:hAnsi="Arial" w:cs="Arial"/>
          <w:b/>
          <w:sz w:val="32"/>
          <w:szCs w:val="32"/>
        </w:rPr>
      </w:pPr>
    </w:p>
    <w:p w14:paraId="78A5C178" w14:textId="77777777" w:rsidR="005143C3" w:rsidRDefault="005143C3" w:rsidP="00DE477A">
      <w:pPr>
        <w:spacing w:before="60" w:after="60"/>
        <w:rPr>
          <w:rFonts w:ascii="Arial" w:eastAsiaTheme="majorEastAsia" w:hAnsi="Arial" w:cs="Arial"/>
          <w:b/>
          <w:sz w:val="32"/>
          <w:szCs w:val="32"/>
        </w:rPr>
      </w:pPr>
    </w:p>
    <w:p w14:paraId="25871059" w14:textId="77777777" w:rsidR="005143C3" w:rsidRDefault="005143C3" w:rsidP="00DE477A">
      <w:pPr>
        <w:spacing w:before="60" w:after="60"/>
        <w:rPr>
          <w:rFonts w:ascii="Arial" w:eastAsiaTheme="majorEastAsia" w:hAnsi="Arial" w:cs="Arial"/>
          <w:b/>
          <w:sz w:val="32"/>
          <w:szCs w:val="32"/>
        </w:rPr>
      </w:pPr>
    </w:p>
    <w:p w14:paraId="7EEDAD88" w14:textId="77777777" w:rsidR="00AC72EB" w:rsidRDefault="00AC72EB" w:rsidP="00DE477A">
      <w:pPr>
        <w:spacing w:before="60" w:after="60"/>
        <w:rPr>
          <w:rFonts w:ascii="Arial" w:eastAsiaTheme="majorEastAsia" w:hAnsi="Arial" w:cs="Arial"/>
          <w:b/>
          <w:sz w:val="32"/>
          <w:szCs w:val="32"/>
        </w:rPr>
      </w:pPr>
    </w:p>
    <w:p w14:paraId="1E25CE40" w14:textId="77777777" w:rsidR="00AC72EB" w:rsidRDefault="00AC72EB" w:rsidP="00DE477A">
      <w:pPr>
        <w:spacing w:before="60" w:after="60"/>
        <w:rPr>
          <w:rFonts w:ascii="Arial" w:eastAsiaTheme="majorEastAsia" w:hAnsi="Arial" w:cs="Arial"/>
          <w:b/>
          <w:sz w:val="32"/>
          <w:szCs w:val="32"/>
        </w:rPr>
      </w:pPr>
    </w:p>
    <w:p w14:paraId="09F0BB00" w14:textId="77777777" w:rsidR="00AC72EB" w:rsidRDefault="00AC72EB" w:rsidP="00DE477A">
      <w:pPr>
        <w:spacing w:before="60" w:after="60"/>
        <w:rPr>
          <w:rFonts w:ascii="Arial" w:eastAsiaTheme="majorEastAsia" w:hAnsi="Arial" w:cs="Arial"/>
          <w:b/>
          <w:sz w:val="32"/>
          <w:szCs w:val="32"/>
        </w:rPr>
      </w:pPr>
    </w:p>
    <w:p w14:paraId="6151121B" w14:textId="77777777" w:rsidR="00AC72EB" w:rsidRDefault="00AC72EB" w:rsidP="00DE477A">
      <w:pPr>
        <w:spacing w:before="60" w:after="60"/>
        <w:rPr>
          <w:rFonts w:ascii="Arial" w:eastAsiaTheme="majorEastAsia" w:hAnsi="Arial" w:cs="Arial"/>
          <w:b/>
          <w:sz w:val="32"/>
          <w:szCs w:val="32"/>
        </w:rPr>
      </w:pPr>
    </w:p>
    <w:p w14:paraId="2811CD1C" w14:textId="77777777" w:rsidR="00AC72EB" w:rsidRDefault="00AC72EB" w:rsidP="00DE477A">
      <w:pPr>
        <w:spacing w:before="60" w:after="60"/>
        <w:rPr>
          <w:rFonts w:ascii="Arial" w:eastAsiaTheme="majorEastAsia" w:hAnsi="Arial" w:cs="Arial"/>
          <w:b/>
          <w:sz w:val="32"/>
          <w:szCs w:val="32"/>
        </w:rPr>
      </w:pPr>
    </w:p>
    <w:p w14:paraId="02F8312F" w14:textId="77777777" w:rsidR="00AC72EB" w:rsidRDefault="00AC72EB" w:rsidP="00DE477A">
      <w:pPr>
        <w:spacing w:before="60" w:after="60"/>
        <w:rPr>
          <w:rFonts w:ascii="Arial" w:eastAsiaTheme="majorEastAsia" w:hAnsi="Arial" w:cs="Arial"/>
          <w:b/>
          <w:sz w:val="32"/>
          <w:szCs w:val="32"/>
        </w:rPr>
      </w:pPr>
    </w:p>
    <w:p w14:paraId="7E2EC1AC" w14:textId="77777777" w:rsidR="00AC72EB" w:rsidRDefault="00AC72EB" w:rsidP="00DE477A">
      <w:pPr>
        <w:spacing w:before="60" w:after="60"/>
        <w:rPr>
          <w:rFonts w:ascii="Arial" w:eastAsiaTheme="majorEastAsia" w:hAnsi="Arial" w:cs="Arial"/>
          <w:b/>
          <w:sz w:val="32"/>
          <w:szCs w:val="32"/>
        </w:rPr>
      </w:pPr>
    </w:p>
    <w:p w14:paraId="4E10010D" w14:textId="77777777" w:rsidR="00AC72EB" w:rsidRDefault="00AC72EB" w:rsidP="00DE477A">
      <w:pPr>
        <w:spacing w:before="60" w:after="60"/>
        <w:rPr>
          <w:rFonts w:ascii="Arial" w:eastAsiaTheme="majorEastAsia" w:hAnsi="Arial" w:cs="Arial"/>
          <w:b/>
          <w:sz w:val="32"/>
          <w:szCs w:val="32"/>
        </w:rPr>
      </w:pPr>
    </w:p>
    <w:p w14:paraId="7D06E03F" w14:textId="77777777" w:rsidR="00AC72EB" w:rsidRDefault="00AC72EB" w:rsidP="00DE477A">
      <w:pPr>
        <w:spacing w:before="60" w:after="60"/>
        <w:rPr>
          <w:rFonts w:ascii="Arial" w:eastAsiaTheme="majorEastAsia" w:hAnsi="Arial" w:cs="Arial"/>
          <w:b/>
          <w:sz w:val="32"/>
          <w:szCs w:val="32"/>
        </w:rPr>
      </w:pPr>
    </w:p>
    <w:p w14:paraId="252D8C3F" w14:textId="77777777" w:rsidR="00AC72EB" w:rsidRDefault="00AC72EB" w:rsidP="00DE477A">
      <w:pPr>
        <w:spacing w:before="60" w:after="60"/>
        <w:rPr>
          <w:rFonts w:ascii="Arial" w:eastAsiaTheme="majorEastAsia" w:hAnsi="Arial" w:cs="Arial"/>
          <w:b/>
          <w:sz w:val="32"/>
          <w:szCs w:val="32"/>
        </w:rPr>
      </w:pPr>
    </w:p>
    <w:p w14:paraId="00B0E08E" w14:textId="77777777" w:rsidR="00AC72EB" w:rsidRDefault="00AC72EB" w:rsidP="00DE477A">
      <w:pPr>
        <w:spacing w:before="60" w:after="60"/>
        <w:rPr>
          <w:rFonts w:ascii="Arial" w:eastAsiaTheme="majorEastAsia" w:hAnsi="Arial" w:cs="Arial"/>
          <w:b/>
          <w:sz w:val="32"/>
          <w:szCs w:val="32"/>
        </w:rPr>
      </w:pPr>
    </w:p>
    <w:p w14:paraId="4B173646" w14:textId="5F6A00E3" w:rsidR="00DE477A" w:rsidRDefault="00DE477A" w:rsidP="00DE477A">
      <w:pPr>
        <w:spacing w:before="60" w:after="60"/>
        <w:rPr>
          <w:rFonts w:ascii="Arial" w:eastAsiaTheme="majorEastAsia" w:hAnsi="Arial" w:cs="Arial"/>
          <w:b/>
          <w:sz w:val="32"/>
          <w:szCs w:val="32"/>
        </w:rPr>
      </w:pPr>
      <w:r>
        <w:rPr>
          <w:rFonts w:ascii="Arial" w:eastAsiaTheme="majorEastAsia" w:hAnsi="Arial" w:cs="Arial"/>
          <w:b/>
          <w:sz w:val="32"/>
          <w:szCs w:val="32"/>
        </w:rPr>
        <w:t>6. Reference List</w:t>
      </w:r>
    </w:p>
    <w:p w14:paraId="32F71ACF" w14:textId="77777777" w:rsidR="00DE477A" w:rsidRDefault="00DE477A" w:rsidP="00DE477A">
      <w:pPr>
        <w:spacing w:before="60" w:after="60"/>
      </w:pPr>
    </w:p>
    <w:p w14:paraId="4A276CFF" w14:textId="77777777" w:rsidR="005C33CA" w:rsidRPr="005C33CA" w:rsidRDefault="005C33CA" w:rsidP="005C33CA">
      <w:pPr>
        <w:spacing w:before="60" w:after="60"/>
        <w:rPr>
          <w:b/>
          <w:bCs/>
        </w:rPr>
      </w:pPr>
      <w:r w:rsidRPr="005C33CA">
        <w:rPr>
          <w:b/>
          <w:bCs/>
        </w:rPr>
        <w:t>Reference List</w:t>
      </w:r>
    </w:p>
    <w:p w14:paraId="77574607" w14:textId="4ADFA01F" w:rsidR="005C33CA" w:rsidRDefault="005C33CA" w:rsidP="005C33CA">
      <w:pPr>
        <w:numPr>
          <w:ilvl w:val="0"/>
          <w:numId w:val="9"/>
        </w:numPr>
        <w:spacing w:before="60" w:after="60"/>
      </w:pPr>
      <w:r w:rsidRPr="005C33CA">
        <w:t xml:space="preserve">Alberts, B., Johnson, A., Lewis, J., et al. (2019). </w:t>
      </w:r>
      <w:r w:rsidRPr="005C33CA">
        <w:rPr>
          <w:i/>
          <w:iCs/>
        </w:rPr>
        <w:t>Molecular Biology of the Cell</w:t>
      </w:r>
      <w:r w:rsidRPr="005C33CA">
        <w:t>. 7th ed. New York: Garland Science.</w:t>
      </w:r>
    </w:p>
    <w:p w14:paraId="6A266038" w14:textId="77777777" w:rsidR="005C33CA" w:rsidRPr="005C33CA" w:rsidRDefault="005C33CA" w:rsidP="00A01ADC">
      <w:pPr>
        <w:numPr>
          <w:ilvl w:val="0"/>
          <w:numId w:val="9"/>
        </w:numPr>
        <w:spacing w:before="60" w:after="60"/>
      </w:pPr>
      <w:r w:rsidRPr="005C33CA">
        <w:t xml:space="preserve">Diabetes UK. (2023). Diabetes facts and stats. [online] Available at: </w:t>
      </w:r>
      <w:hyperlink r:id="rId14" w:tgtFrame="_blank" w:history="1">
        <w:r w:rsidRPr="005C33CA">
          <w:rPr>
            <w:rStyle w:val="Hyperlink"/>
          </w:rPr>
          <w:t>https://www.diabetes.org.uk</w:t>
        </w:r>
      </w:hyperlink>
    </w:p>
    <w:p w14:paraId="5D4630EA" w14:textId="77777777" w:rsidR="005C33CA" w:rsidRPr="005C33CA" w:rsidRDefault="005C33CA" w:rsidP="005C33CA">
      <w:pPr>
        <w:numPr>
          <w:ilvl w:val="0"/>
          <w:numId w:val="9"/>
        </w:numPr>
        <w:spacing w:before="60" w:after="60"/>
      </w:pPr>
      <w:r w:rsidRPr="005C33CA">
        <w:t xml:space="preserve">Diabetes UK. (2023). Food, diet and diabetes. [online] Available at: </w:t>
      </w:r>
      <w:hyperlink r:id="rId15" w:tgtFrame="_blank" w:history="1">
        <w:r w:rsidRPr="005C33CA">
          <w:rPr>
            <w:rStyle w:val="Hyperlink"/>
          </w:rPr>
          <w:t>https://www.diabetes.org.uk</w:t>
        </w:r>
      </w:hyperlink>
    </w:p>
    <w:p w14:paraId="68CF626A" w14:textId="77777777" w:rsidR="005C33CA" w:rsidRDefault="005C33CA" w:rsidP="005C33CA">
      <w:pPr>
        <w:numPr>
          <w:ilvl w:val="0"/>
          <w:numId w:val="9"/>
        </w:numPr>
        <w:spacing w:before="60" w:after="60"/>
      </w:pPr>
      <w:r w:rsidRPr="005C33CA">
        <w:t xml:space="preserve">Esposito, K., Chiodini, P., Maiorino, M.I., et al. (2015). Which diet for prevention of type 2 diabetes? </w:t>
      </w:r>
      <w:r w:rsidRPr="005C33CA">
        <w:rPr>
          <w:i/>
          <w:iCs/>
        </w:rPr>
        <w:t>Endocrine</w:t>
      </w:r>
      <w:r w:rsidRPr="005C33CA">
        <w:t>, 47(1), pp.107–116.</w:t>
      </w:r>
    </w:p>
    <w:p w14:paraId="66B50DA4" w14:textId="372CE042" w:rsidR="00C64BF3" w:rsidRPr="00A01ADC" w:rsidRDefault="00C64BF3" w:rsidP="00C64BF3">
      <w:pPr>
        <w:pStyle w:val="ListParagraph"/>
        <w:numPr>
          <w:ilvl w:val="0"/>
          <w:numId w:val="9"/>
        </w:numPr>
        <w:spacing w:before="60" w:after="60"/>
        <w:rPr>
          <w:rFonts w:ascii="Arial" w:eastAsia="Arial" w:hAnsi="Arial" w:cs="Arial"/>
          <w:color w:val="444444"/>
          <w:sz w:val="20"/>
          <w:szCs w:val="20"/>
        </w:rPr>
      </w:pPr>
      <w:r>
        <w:rPr>
          <w:rFonts w:ascii="Arial" w:eastAsia="Arial" w:hAnsi="Arial" w:cs="Arial"/>
          <w:i/>
          <w:iCs/>
          <w:color w:val="444444"/>
          <w:sz w:val="20"/>
          <w:szCs w:val="20"/>
        </w:rPr>
        <w:t>Figure</w:t>
      </w:r>
      <w:r w:rsidR="008425DB">
        <w:rPr>
          <w:rFonts w:ascii="Arial" w:eastAsia="Arial" w:hAnsi="Arial" w:cs="Arial"/>
          <w:i/>
          <w:iCs/>
          <w:color w:val="444444"/>
          <w:sz w:val="20"/>
          <w:szCs w:val="20"/>
        </w:rPr>
        <w:t xml:space="preserve"> 1:</w:t>
      </w:r>
      <w:r>
        <w:rPr>
          <w:rFonts w:ascii="Arial" w:eastAsia="Arial" w:hAnsi="Arial" w:cs="Arial"/>
          <w:i/>
          <w:iCs/>
          <w:color w:val="444444"/>
          <w:sz w:val="20"/>
          <w:szCs w:val="20"/>
        </w:rPr>
        <w:t xml:space="preserve"> </w:t>
      </w:r>
      <w:r w:rsidRPr="005D1AA1">
        <w:rPr>
          <w:rFonts w:ascii="Arial" w:eastAsia="Arial" w:hAnsi="Arial" w:cs="Arial"/>
          <w:i/>
          <w:iCs/>
          <w:color w:val="444444"/>
          <w:sz w:val="20"/>
          <w:szCs w:val="20"/>
        </w:rPr>
        <w:t>A flowchart showing glycolysis, Krebs cycle, and electron transport chain, with ATP yields and oxygen use (Adapted from Nelson et al., 2017).</w:t>
      </w:r>
    </w:p>
    <w:p w14:paraId="665B8334" w14:textId="61B0090C" w:rsidR="00A01ADC" w:rsidRPr="005C33CA" w:rsidRDefault="007F4744" w:rsidP="00A01ADC">
      <w:pPr>
        <w:numPr>
          <w:ilvl w:val="0"/>
          <w:numId w:val="9"/>
        </w:numPr>
        <w:spacing w:before="60" w:after="60"/>
      </w:pPr>
      <w:r>
        <w:t xml:space="preserve">Figure 2: </w:t>
      </w:r>
      <w:hyperlink r:id="rId16" w:history="1">
        <w:r w:rsidR="00A01ADC">
          <w:rPr>
            <w:rStyle w:val="Hyperlink"/>
          </w:rPr>
          <w:t xml:space="preserve">A </w:t>
        </w:r>
        <w:r w:rsidR="00A01ADC" w:rsidRPr="00400839">
          <w:rPr>
            <w:rStyle w:val="Hyperlink"/>
          </w:rPr>
          <w:t>labelled diagram of the insulin-glucagon feedback loop, and a diagram illustrating insulin resistance in Type 2 diabetes. (Adapted from Diabetes UK, 2023). s</w:t>
        </w:r>
      </w:hyperlink>
    </w:p>
    <w:p w14:paraId="070AF9EC" w14:textId="77777777" w:rsidR="008425DB" w:rsidRPr="007F4744" w:rsidRDefault="008425DB" w:rsidP="007F4744">
      <w:pPr>
        <w:pStyle w:val="ListParagraph"/>
        <w:numPr>
          <w:ilvl w:val="0"/>
          <w:numId w:val="9"/>
        </w:numPr>
        <w:spacing w:before="60" w:after="60"/>
        <w:rPr>
          <w:rFonts w:ascii="Arial" w:eastAsia="Arial" w:hAnsi="Arial" w:cs="Arial"/>
          <w:color w:val="444444"/>
          <w:sz w:val="20"/>
          <w:szCs w:val="20"/>
        </w:rPr>
      </w:pPr>
      <w:r w:rsidRPr="007F4744">
        <w:rPr>
          <w:rFonts w:ascii="Arial" w:eastAsia="Arial" w:hAnsi="Arial" w:cs="Arial"/>
          <w:i/>
          <w:iCs/>
          <w:color w:val="444444"/>
          <w:sz w:val="20"/>
          <w:szCs w:val="20"/>
        </w:rPr>
        <w:t>Figure 3: A glucose meter, an HbA1c timeline, and a CGM sensor with smartphone display (Adapted from Diabetes UK, 2023).</w:t>
      </w:r>
    </w:p>
    <w:p w14:paraId="67E88C4D" w14:textId="77777777" w:rsidR="00443E34" w:rsidRDefault="00443E34" w:rsidP="00443E34">
      <w:pPr>
        <w:pStyle w:val="ListParagraph"/>
        <w:numPr>
          <w:ilvl w:val="0"/>
          <w:numId w:val="9"/>
        </w:numPr>
        <w:spacing w:before="60" w:after="60"/>
        <w:rPr>
          <w:rFonts w:ascii="Arial" w:eastAsia="Arial" w:hAnsi="Arial" w:cs="Arial"/>
          <w:i/>
          <w:iCs/>
          <w:color w:val="444444"/>
          <w:sz w:val="20"/>
          <w:szCs w:val="20"/>
        </w:rPr>
      </w:pPr>
      <w:r w:rsidRPr="00745FAD">
        <w:rPr>
          <w:rFonts w:ascii="Arial" w:eastAsia="Arial" w:hAnsi="Arial" w:cs="Arial"/>
          <w:i/>
          <w:iCs/>
          <w:color w:val="444444"/>
          <w:sz w:val="20"/>
          <w:szCs w:val="20"/>
        </w:rPr>
        <w:t xml:space="preserve">Figure </w:t>
      </w:r>
      <w:r>
        <w:rPr>
          <w:rFonts w:ascii="Arial" w:eastAsia="Arial" w:hAnsi="Arial" w:cs="Arial"/>
          <w:i/>
          <w:iCs/>
          <w:color w:val="444444"/>
          <w:sz w:val="20"/>
          <w:szCs w:val="20"/>
        </w:rPr>
        <w:t>4</w:t>
      </w:r>
      <w:r w:rsidRPr="00745FAD">
        <w:rPr>
          <w:rFonts w:ascii="Arial" w:eastAsia="Arial" w:hAnsi="Arial" w:cs="Arial"/>
          <w:i/>
          <w:iCs/>
          <w:color w:val="444444"/>
          <w:sz w:val="20"/>
          <w:szCs w:val="20"/>
        </w:rPr>
        <w:t>: A Plate model for a balanced diabetes-friendly meal (Adapted from Diabetes UK, 2023).</w:t>
      </w:r>
    </w:p>
    <w:p w14:paraId="0EC4367C" w14:textId="6FA376A2" w:rsidR="00FC33F2" w:rsidRPr="007F4744" w:rsidRDefault="00BF24BF" w:rsidP="007F4744">
      <w:pPr>
        <w:pStyle w:val="ListParagraph"/>
        <w:numPr>
          <w:ilvl w:val="0"/>
          <w:numId w:val="9"/>
        </w:numPr>
        <w:spacing w:before="60" w:after="60"/>
        <w:rPr>
          <w:rFonts w:ascii="Arial" w:eastAsia="Arial" w:hAnsi="Arial" w:cs="Arial"/>
          <w:i/>
          <w:iCs/>
          <w:color w:val="444444"/>
          <w:sz w:val="20"/>
          <w:szCs w:val="20"/>
        </w:rPr>
      </w:pPr>
      <w:r w:rsidRPr="007F4744">
        <w:rPr>
          <w:rFonts w:ascii="Arial" w:eastAsia="Arial" w:hAnsi="Arial" w:cs="Arial"/>
          <w:i/>
          <w:iCs/>
          <w:color w:val="444444"/>
          <w:sz w:val="22"/>
        </w:rPr>
        <w:t>Fig</w:t>
      </w:r>
      <w:r w:rsidR="00443E34" w:rsidRPr="007F4744">
        <w:rPr>
          <w:rFonts w:ascii="Arial" w:eastAsia="Arial" w:hAnsi="Arial" w:cs="Arial"/>
          <w:i/>
          <w:iCs/>
          <w:color w:val="444444"/>
          <w:sz w:val="22"/>
        </w:rPr>
        <w:t xml:space="preserve">ure </w:t>
      </w:r>
      <w:proofErr w:type="gramStart"/>
      <w:r w:rsidR="00443E34" w:rsidRPr="007F4744">
        <w:rPr>
          <w:rFonts w:ascii="Arial" w:eastAsia="Arial" w:hAnsi="Arial" w:cs="Arial"/>
          <w:i/>
          <w:iCs/>
          <w:color w:val="444444"/>
          <w:sz w:val="22"/>
        </w:rPr>
        <w:t>5:</w:t>
      </w:r>
      <w:r w:rsidR="00FC33F2" w:rsidRPr="007F4744">
        <w:rPr>
          <w:rFonts w:ascii="Arial" w:eastAsia="Arial" w:hAnsi="Arial" w:cs="Arial"/>
          <w:i/>
          <w:iCs/>
          <w:color w:val="444444"/>
          <w:sz w:val="22"/>
        </w:rPr>
        <w:t>Icons</w:t>
      </w:r>
      <w:proofErr w:type="gramEnd"/>
      <w:r w:rsidR="00FC33F2" w:rsidRPr="007F4744">
        <w:rPr>
          <w:rFonts w:ascii="Arial" w:eastAsia="Arial" w:hAnsi="Arial" w:cs="Arial"/>
          <w:i/>
          <w:iCs/>
          <w:color w:val="444444"/>
          <w:sz w:val="22"/>
        </w:rPr>
        <w:t xml:space="preserve"> showing aerobic and resistance exercises (Adapted from WHO, 2022).</w:t>
      </w:r>
    </w:p>
    <w:p w14:paraId="76FF5B70" w14:textId="77777777" w:rsidR="005C33CA" w:rsidRPr="005C33CA" w:rsidRDefault="005C33CA" w:rsidP="00AC72EB">
      <w:pPr>
        <w:numPr>
          <w:ilvl w:val="0"/>
          <w:numId w:val="9"/>
        </w:numPr>
        <w:spacing w:before="60" w:after="60"/>
      </w:pPr>
      <w:r w:rsidRPr="005C33CA">
        <w:t xml:space="preserve">Funnell, M.M., et al. (2022). Empowerment and Self-Management in Diabetes. </w:t>
      </w:r>
      <w:r w:rsidRPr="00AC72EB">
        <w:rPr>
          <w:i/>
          <w:iCs/>
        </w:rPr>
        <w:t>Diabetes Spectrum</w:t>
      </w:r>
      <w:r w:rsidRPr="005C33CA">
        <w:t>, 35(1), pp. 12–20.</w:t>
      </w:r>
    </w:p>
    <w:p w14:paraId="3D63DD36" w14:textId="77777777" w:rsidR="005C33CA" w:rsidRDefault="005C33CA" w:rsidP="005C33CA">
      <w:pPr>
        <w:numPr>
          <w:ilvl w:val="0"/>
          <w:numId w:val="9"/>
        </w:numPr>
        <w:spacing w:before="60" w:after="60"/>
      </w:pPr>
      <w:r w:rsidRPr="005C33CA">
        <w:t xml:space="preserve">Guyton, A.C. &amp; Hall, J.E. (2021). </w:t>
      </w:r>
      <w:r w:rsidRPr="005C33CA">
        <w:rPr>
          <w:i/>
          <w:iCs/>
        </w:rPr>
        <w:t>Textbook of Medical Physiology</w:t>
      </w:r>
      <w:r w:rsidRPr="005C33CA">
        <w:t>. 14th ed. Philadelphia: Elsevier.</w:t>
      </w:r>
    </w:p>
    <w:p w14:paraId="3B2A2E78" w14:textId="77777777" w:rsidR="005C33CA" w:rsidRPr="005C33CA" w:rsidRDefault="005C33CA" w:rsidP="005C33CA">
      <w:pPr>
        <w:numPr>
          <w:ilvl w:val="0"/>
          <w:numId w:val="9"/>
        </w:numPr>
        <w:spacing w:before="60" w:after="60"/>
      </w:pPr>
      <w:r w:rsidRPr="005C33CA">
        <w:t xml:space="preserve">National Institute for Health and Care Excellence (NICE). (2022). </w:t>
      </w:r>
      <w:r w:rsidRPr="005C33CA">
        <w:rPr>
          <w:i/>
          <w:iCs/>
        </w:rPr>
        <w:t>Type 2 diabetes in adults: management (NG28)</w:t>
      </w:r>
      <w:r w:rsidRPr="005C33CA">
        <w:t xml:space="preserve">. [online] Available at: </w:t>
      </w:r>
      <w:hyperlink r:id="rId17" w:tgtFrame="_blank" w:history="1">
        <w:r w:rsidRPr="005C33CA">
          <w:rPr>
            <w:rStyle w:val="Hyperlink"/>
          </w:rPr>
          <w:t>https://www.nice.org.uk/guidance/ng28</w:t>
        </w:r>
      </w:hyperlink>
    </w:p>
    <w:p w14:paraId="5C4580DE" w14:textId="77777777" w:rsidR="005C33CA" w:rsidRPr="005C33CA" w:rsidRDefault="005C33CA" w:rsidP="005C33CA">
      <w:pPr>
        <w:numPr>
          <w:ilvl w:val="0"/>
          <w:numId w:val="9"/>
        </w:numPr>
        <w:spacing w:before="60" w:after="60"/>
      </w:pPr>
      <w:r w:rsidRPr="005C33CA">
        <w:t xml:space="preserve">Nelson, D.L., Cox, M.M. (2017). </w:t>
      </w:r>
      <w:proofErr w:type="spellStart"/>
      <w:r w:rsidRPr="005C33CA">
        <w:rPr>
          <w:i/>
          <w:iCs/>
        </w:rPr>
        <w:t>Lehninger</w:t>
      </w:r>
      <w:proofErr w:type="spellEnd"/>
      <w:r w:rsidRPr="005C33CA">
        <w:rPr>
          <w:i/>
          <w:iCs/>
        </w:rPr>
        <w:t xml:space="preserve"> Principles of Biochemistry</w:t>
      </w:r>
      <w:r w:rsidRPr="005C33CA">
        <w:t>. 7th ed. New York: W.H. Freeman.</w:t>
      </w:r>
    </w:p>
    <w:p w14:paraId="716DA53A" w14:textId="77777777" w:rsidR="005C33CA" w:rsidRPr="005C33CA" w:rsidRDefault="005C33CA" w:rsidP="005C33CA">
      <w:pPr>
        <w:numPr>
          <w:ilvl w:val="0"/>
          <w:numId w:val="9"/>
        </w:numPr>
        <w:spacing w:before="60" w:after="60"/>
      </w:pPr>
      <w:r w:rsidRPr="005C33CA">
        <w:t xml:space="preserve">World Health Organization (WHO). (2022). </w:t>
      </w:r>
      <w:r w:rsidRPr="005C33CA">
        <w:rPr>
          <w:i/>
          <w:iCs/>
        </w:rPr>
        <w:t>WHO guidelines on physical activity and sedentary behaviour</w:t>
      </w:r>
      <w:r w:rsidRPr="005C33CA">
        <w:t xml:space="preserve">. [online] Available at: </w:t>
      </w:r>
      <w:hyperlink r:id="rId18" w:tgtFrame="_blank" w:history="1">
        <w:r w:rsidRPr="005C33CA">
          <w:rPr>
            <w:rStyle w:val="Hyperlink"/>
          </w:rPr>
          <w:t>https://www.who.int</w:t>
        </w:r>
      </w:hyperlink>
    </w:p>
    <w:p w14:paraId="1668A772" w14:textId="77777777" w:rsidR="005C33CA" w:rsidRPr="005C33CA" w:rsidRDefault="005C33CA" w:rsidP="005C33CA">
      <w:pPr>
        <w:numPr>
          <w:ilvl w:val="0"/>
          <w:numId w:val="9"/>
        </w:numPr>
        <w:spacing w:before="60" w:after="60"/>
      </w:pPr>
      <w:r w:rsidRPr="005C33CA">
        <w:t xml:space="preserve">World Health Organization (WHO). (2023). </w:t>
      </w:r>
      <w:r w:rsidRPr="005C33CA">
        <w:rPr>
          <w:i/>
          <w:iCs/>
        </w:rPr>
        <w:t>Diabetes</w:t>
      </w:r>
      <w:r w:rsidRPr="005C33CA">
        <w:t xml:space="preserve">. [online] Available at: </w:t>
      </w:r>
      <w:hyperlink r:id="rId19" w:tgtFrame="_blank" w:history="1">
        <w:r w:rsidRPr="005C33CA">
          <w:rPr>
            <w:rStyle w:val="Hyperlink"/>
          </w:rPr>
          <w:t>https://www.who.int/news-room/fact-sheets/detail/diabetes</w:t>
        </w:r>
      </w:hyperlink>
    </w:p>
    <w:p w14:paraId="1908E762" w14:textId="77777777" w:rsidR="00DE477A" w:rsidRDefault="00DE477A" w:rsidP="00DE477A">
      <w:pPr>
        <w:spacing w:before="60" w:after="60"/>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38E0DB32" w14:textId="77777777" w:rsidR="00DE477A" w:rsidRDefault="00DE477A" w:rsidP="00DE477A">
      <w:pPr>
        <w:spacing w:before="60" w:after="60"/>
      </w:pPr>
    </w:p>
    <w:p w14:paraId="1C1B5B6E" w14:textId="5E5D0720" w:rsidR="001B7A40" w:rsidRPr="00DE477A" w:rsidRDefault="001B7A40" w:rsidP="00DE477A">
      <w:pPr>
        <w:spacing w:line="360" w:lineRule="auto"/>
        <w:jc w:val="center"/>
        <w:rPr>
          <w:rFonts w:ascii="Arial" w:hAnsi="Arial" w:cs="Arial"/>
          <w:b/>
          <w:bCs/>
        </w:rPr>
      </w:pPr>
    </w:p>
    <w:sectPr w:rsidR="001B7A40" w:rsidRPr="00DE477A" w:rsidSect="0037028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9AE43" w14:textId="77777777" w:rsidR="007B0B6C" w:rsidRDefault="007B0B6C" w:rsidP="00C03A91">
      <w:pPr>
        <w:spacing w:after="0" w:line="240" w:lineRule="auto"/>
      </w:pPr>
      <w:r>
        <w:separator/>
      </w:r>
    </w:p>
  </w:endnote>
  <w:endnote w:type="continuationSeparator" w:id="0">
    <w:p w14:paraId="56FC9435" w14:textId="77777777" w:rsidR="007B0B6C" w:rsidRDefault="007B0B6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00E7A" w14:textId="77777777" w:rsidR="007B0B6C" w:rsidRDefault="007B0B6C" w:rsidP="00C03A91">
      <w:pPr>
        <w:spacing w:after="0" w:line="240" w:lineRule="auto"/>
      </w:pPr>
      <w:r>
        <w:separator/>
      </w:r>
    </w:p>
  </w:footnote>
  <w:footnote w:type="continuationSeparator" w:id="0">
    <w:p w14:paraId="5A6F58F8" w14:textId="77777777" w:rsidR="007B0B6C" w:rsidRDefault="007B0B6C"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B7126"/>
    <w:multiLevelType w:val="multilevel"/>
    <w:tmpl w:val="31F0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177BD"/>
    <w:multiLevelType w:val="multilevel"/>
    <w:tmpl w:val="A7FC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6563A3"/>
    <w:multiLevelType w:val="multilevel"/>
    <w:tmpl w:val="567A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C4746"/>
    <w:multiLevelType w:val="multilevel"/>
    <w:tmpl w:val="0FFA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83733C"/>
    <w:multiLevelType w:val="multilevel"/>
    <w:tmpl w:val="3626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944685">
    <w:abstractNumId w:val="5"/>
  </w:num>
  <w:num w:numId="2" w16cid:durableId="1940680655">
    <w:abstractNumId w:val="3"/>
  </w:num>
  <w:num w:numId="3" w16cid:durableId="342167121">
    <w:abstractNumId w:val="7"/>
  </w:num>
  <w:num w:numId="4" w16cid:durableId="848447299">
    <w:abstractNumId w:val="6"/>
  </w:num>
  <w:num w:numId="5" w16cid:durableId="1589735147">
    <w:abstractNumId w:val="8"/>
  </w:num>
  <w:num w:numId="6" w16cid:durableId="798451735">
    <w:abstractNumId w:val="4"/>
  </w:num>
  <w:num w:numId="7" w16cid:durableId="1806921188">
    <w:abstractNumId w:val="1"/>
  </w:num>
  <w:num w:numId="8" w16cid:durableId="380980730">
    <w:abstractNumId w:val="0"/>
  </w:num>
  <w:num w:numId="9" w16cid:durableId="8790550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5F7"/>
    <w:rsid w:val="00012E0F"/>
    <w:rsid w:val="00022633"/>
    <w:rsid w:val="00050D2F"/>
    <w:rsid w:val="00065C95"/>
    <w:rsid w:val="00076AC0"/>
    <w:rsid w:val="00091338"/>
    <w:rsid w:val="0009254B"/>
    <w:rsid w:val="000A3C3D"/>
    <w:rsid w:val="000B17F2"/>
    <w:rsid w:val="000C4EDA"/>
    <w:rsid w:val="000D624C"/>
    <w:rsid w:val="001825C6"/>
    <w:rsid w:val="001B7A40"/>
    <w:rsid w:val="001D3E1C"/>
    <w:rsid w:val="001E5191"/>
    <w:rsid w:val="001F6DDB"/>
    <w:rsid w:val="0020335E"/>
    <w:rsid w:val="00204706"/>
    <w:rsid w:val="00215859"/>
    <w:rsid w:val="00216C85"/>
    <w:rsid w:val="0021757D"/>
    <w:rsid w:val="00265758"/>
    <w:rsid w:val="00273EDD"/>
    <w:rsid w:val="002B52D8"/>
    <w:rsid w:val="002B66E5"/>
    <w:rsid w:val="002C3965"/>
    <w:rsid w:val="002D5EDB"/>
    <w:rsid w:val="00321C4C"/>
    <w:rsid w:val="003426C8"/>
    <w:rsid w:val="00356D2D"/>
    <w:rsid w:val="003606AE"/>
    <w:rsid w:val="00370282"/>
    <w:rsid w:val="00396659"/>
    <w:rsid w:val="003D7BAE"/>
    <w:rsid w:val="003F1A81"/>
    <w:rsid w:val="00400839"/>
    <w:rsid w:val="0040264D"/>
    <w:rsid w:val="00403CCC"/>
    <w:rsid w:val="00443E34"/>
    <w:rsid w:val="004577F7"/>
    <w:rsid w:val="00485A9A"/>
    <w:rsid w:val="004B098B"/>
    <w:rsid w:val="005143C3"/>
    <w:rsid w:val="00523B58"/>
    <w:rsid w:val="005247B0"/>
    <w:rsid w:val="00563AF8"/>
    <w:rsid w:val="005708E8"/>
    <w:rsid w:val="0057616D"/>
    <w:rsid w:val="005851AD"/>
    <w:rsid w:val="005B50A4"/>
    <w:rsid w:val="005B6C4F"/>
    <w:rsid w:val="005C33CA"/>
    <w:rsid w:val="005D1697"/>
    <w:rsid w:val="005D1AA1"/>
    <w:rsid w:val="00610F2E"/>
    <w:rsid w:val="00637D1D"/>
    <w:rsid w:val="00650D5F"/>
    <w:rsid w:val="0067742A"/>
    <w:rsid w:val="006853F1"/>
    <w:rsid w:val="006C4434"/>
    <w:rsid w:val="006D2463"/>
    <w:rsid w:val="00705C92"/>
    <w:rsid w:val="00706073"/>
    <w:rsid w:val="00733D9B"/>
    <w:rsid w:val="00745FAD"/>
    <w:rsid w:val="0075385E"/>
    <w:rsid w:val="00762BE1"/>
    <w:rsid w:val="007632BD"/>
    <w:rsid w:val="00764CCF"/>
    <w:rsid w:val="00783512"/>
    <w:rsid w:val="007A7297"/>
    <w:rsid w:val="007B0B6C"/>
    <w:rsid w:val="007D271A"/>
    <w:rsid w:val="007D2ECA"/>
    <w:rsid w:val="007E7745"/>
    <w:rsid w:val="007F0A27"/>
    <w:rsid w:val="007F4744"/>
    <w:rsid w:val="00831347"/>
    <w:rsid w:val="00833AFE"/>
    <w:rsid w:val="00833BF1"/>
    <w:rsid w:val="008353D4"/>
    <w:rsid w:val="0084160F"/>
    <w:rsid w:val="008425DB"/>
    <w:rsid w:val="008942A0"/>
    <w:rsid w:val="0090490E"/>
    <w:rsid w:val="00940407"/>
    <w:rsid w:val="00986F78"/>
    <w:rsid w:val="00995C46"/>
    <w:rsid w:val="009D1D1E"/>
    <w:rsid w:val="009D4475"/>
    <w:rsid w:val="009D7F9A"/>
    <w:rsid w:val="009E5F08"/>
    <w:rsid w:val="00A01ADC"/>
    <w:rsid w:val="00A035FD"/>
    <w:rsid w:val="00A153DB"/>
    <w:rsid w:val="00A438E9"/>
    <w:rsid w:val="00A6507B"/>
    <w:rsid w:val="00A90A42"/>
    <w:rsid w:val="00AA4DD8"/>
    <w:rsid w:val="00AC72EB"/>
    <w:rsid w:val="00AD431F"/>
    <w:rsid w:val="00AD5FD1"/>
    <w:rsid w:val="00AE1E92"/>
    <w:rsid w:val="00B23531"/>
    <w:rsid w:val="00B25B8D"/>
    <w:rsid w:val="00B372E8"/>
    <w:rsid w:val="00B53626"/>
    <w:rsid w:val="00B839F0"/>
    <w:rsid w:val="00B87E7D"/>
    <w:rsid w:val="00B94BB3"/>
    <w:rsid w:val="00BB5F8C"/>
    <w:rsid w:val="00BE479E"/>
    <w:rsid w:val="00BF24BF"/>
    <w:rsid w:val="00BF7262"/>
    <w:rsid w:val="00C03A91"/>
    <w:rsid w:val="00C0767B"/>
    <w:rsid w:val="00C150F0"/>
    <w:rsid w:val="00C2612B"/>
    <w:rsid w:val="00C32C15"/>
    <w:rsid w:val="00C53BDF"/>
    <w:rsid w:val="00C54502"/>
    <w:rsid w:val="00C64BF3"/>
    <w:rsid w:val="00C85E18"/>
    <w:rsid w:val="00CD2863"/>
    <w:rsid w:val="00CD73C3"/>
    <w:rsid w:val="00CE7A90"/>
    <w:rsid w:val="00D0599D"/>
    <w:rsid w:val="00D12406"/>
    <w:rsid w:val="00D2018F"/>
    <w:rsid w:val="00D607D1"/>
    <w:rsid w:val="00D6760D"/>
    <w:rsid w:val="00D73FB0"/>
    <w:rsid w:val="00D84DFD"/>
    <w:rsid w:val="00D870AB"/>
    <w:rsid w:val="00DA2A1E"/>
    <w:rsid w:val="00DB6D4B"/>
    <w:rsid w:val="00DC3EC6"/>
    <w:rsid w:val="00DE477A"/>
    <w:rsid w:val="00E2038D"/>
    <w:rsid w:val="00E51B14"/>
    <w:rsid w:val="00E6072D"/>
    <w:rsid w:val="00E740BE"/>
    <w:rsid w:val="00E92200"/>
    <w:rsid w:val="00EB12BC"/>
    <w:rsid w:val="00EC71DB"/>
    <w:rsid w:val="00F137E3"/>
    <w:rsid w:val="00F23281"/>
    <w:rsid w:val="00F34CE2"/>
    <w:rsid w:val="00F41B89"/>
    <w:rsid w:val="00F44C8F"/>
    <w:rsid w:val="00F73D55"/>
    <w:rsid w:val="00FC33F2"/>
    <w:rsid w:val="00FC571A"/>
    <w:rsid w:val="00FD60AA"/>
    <w:rsid w:val="00FD7104"/>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hyperlink" Target="https://www.who.i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www.nice.org.uk/guidance/ng28" TargetMode="External"/><Relationship Id="rId2" Type="http://schemas.openxmlformats.org/officeDocument/2006/relationships/styles" Target="styles.xml"/><Relationship Id="rId16" Type="http://schemas.openxmlformats.org/officeDocument/2006/relationships/hyperlink" Target="https://www.bing.com/images/search?q=Diagram+suggestion%3a+Include+a+labelled+diagram+of+the+insulin-glucagon+feedback+loop%2c+and+a+diagram+illustrating+insulin+resistance+in+Type+2+diabetes.+(Adapted+from+Diabetes+UK%2c+2023).&amp;form=HDRSC3&amp;first=1"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diabetes.org.uk" TargetMode="External"/><Relationship Id="rId10" Type="http://schemas.openxmlformats.org/officeDocument/2006/relationships/image" Target="media/image3.jpeg"/><Relationship Id="rId19" Type="http://schemas.openxmlformats.org/officeDocument/2006/relationships/hyperlink" Target="https://www.who.int/news-room/fact-sheets/detail/diabete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diabetes.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TotalTime>
  <Pages>13</Pages>
  <Words>2154</Words>
  <Characters>12280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BEN ADEWOLE</cp:lastModifiedBy>
  <cp:revision>106</cp:revision>
  <dcterms:created xsi:type="dcterms:W3CDTF">2026-08-02T11:42:00Z</dcterms:created>
  <dcterms:modified xsi:type="dcterms:W3CDTF">2026-08-02T18:31:00Z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6ae0813f-f726-4671-8f32-98c21da71aab</vt:lpwstr>
  </property>
</Properties>
</file>