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542F" w:rsidRDefault="00D5542F" w:rsidP="00D5542F">
      <w:pPr>
        <w:jc w:val="center"/>
        <w:rPr>
          <w:rFonts w:ascii="Arial" w:hAnsi="Arial" w:cs="Arial"/>
          <w:b/>
          <w:sz w:val="48"/>
          <w:szCs w:val="48"/>
        </w:rPr>
      </w:pPr>
    </w:p>
    <w:p w:rsidR="00D5542F" w:rsidRDefault="00D5542F" w:rsidP="00D5542F">
      <w:pPr>
        <w:jc w:val="center"/>
        <w:rPr>
          <w:rFonts w:ascii="Arial" w:hAnsi="Arial" w:cs="Arial"/>
          <w:b/>
          <w:sz w:val="48"/>
          <w:szCs w:val="48"/>
        </w:rPr>
      </w:pPr>
    </w:p>
    <w:p w:rsidR="00D5542F" w:rsidRDefault="00D5542F" w:rsidP="00D5542F">
      <w:pPr>
        <w:jc w:val="center"/>
        <w:rPr>
          <w:rFonts w:ascii="Arial" w:hAnsi="Arial" w:cs="Arial"/>
          <w:b/>
          <w:sz w:val="48"/>
          <w:szCs w:val="48"/>
        </w:rPr>
      </w:pPr>
    </w:p>
    <w:p w:rsidR="00D5542F" w:rsidRDefault="00D5542F" w:rsidP="00D5542F">
      <w:pPr>
        <w:jc w:val="center"/>
        <w:rPr>
          <w:rFonts w:ascii="Arial" w:hAnsi="Arial" w:cs="Arial"/>
          <w:b/>
          <w:sz w:val="48"/>
          <w:szCs w:val="48"/>
        </w:rPr>
      </w:pPr>
      <w:r w:rsidRPr="00D5542F">
        <w:rPr>
          <w:rFonts w:ascii="Arial" w:hAnsi="Arial" w:cs="Arial"/>
          <w:b/>
          <w:sz w:val="48"/>
          <w:szCs w:val="48"/>
        </w:rPr>
        <w:t xml:space="preserve">FINANCIAL MANAGEMENT </w:t>
      </w:r>
    </w:p>
    <w:p w:rsidR="00D5542F" w:rsidRPr="00D5542F" w:rsidRDefault="00D5542F" w:rsidP="00D5542F">
      <w:pPr>
        <w:jc w:val="center"/>
        <w:rPr>
          <w:rFonts w:ascii="Arial" w:hAnsi="Arial" w:cs="Arial"/>
          <w:b/>
          <w:sz w:val="48"/>
          <w:szCs w:val="48"/>
        </w:rPr>
      </w:pPr>
      <w:r w:rsidRPr="00D5542F">
        <w:rPr>
          <w:rFonts w:ascii="Arial" w:hAnsi="Arial" w:cs="Arial"/>
          <w:b/>
          <w:sz w:val="48"/>
          <w:szCs w:val="48"/>
        </w:rPr>
        <w:t>LCMB7002</w:t>
      </w:r>
    </w:p>
    <w:p w:rsidR="00D5542F" w:rsidRPr="00D5542F" w:rsidRDefault="00D5542F" w:rsidP="00D5542F">
      <w:pPr>
        <w:jc w:val="center"/>
        <w:rPr>
          <w:rFonts w:ascii="Arial" w:hAnsi="Arial" w:cs="Arial"/>
          <w:b/>
          <w:sz w:val="48"/>
          <w:szCs w:val="48"/>
        </w:rPr>
      </w:pPr>
      <w:proofErr w:type="spellStart"/>
      <w:r w:rsidRPr="00D5542F">
        <w:rPr>
          <w:rFonts w:ascii="Arial" w:hAnsi="Arial" w:cs="Arial"/>
          <w:b/>
          <w:sz w:val="48"/>
          <w:szCs w:val="48"/>
        </w:rPr>
        <w:t>Velichka</w:t>
      </w:r>
      <w:proofErr w:type="spellEnd"/>
      <w:r w:rsidRPr="00D5542F">
        <w:rPr>
          <w:rFonts w:ascii="Arial" w:hAnsi="Arial" w:cs="Arial"/>
          <w:b/>
          <w:sz w:val="48"/>
          <w:szCs w:val="48"/>
        </w:rPr>
        <w:t xml:space="preserve"> </w:t>
      </w:r>
      <w:proofErr w:type="spellStart"/>
      <w:r w:rsidRPr="00D5542F">
        <w:rPr>
          <w:rFonts w:ascii="Arial" w:hAnsi="Arial" w:cs="Arial"/>
          <w:b/>
          <w:sz w:val="48"/>
          <w:szCs w:val="48"/>
        </w:rPr>
        <w:t>Todorova</w:t>
      </w:r>
      <w:proofErr w:type="spellEnd"/>
      <w:r w:rsidRPr="00D5542F">
        <w:rPr>
          <w:rFonts w:ascii="Arial" w:hAnsi="Arial" w:cs="Arial"/>
          <w:b/>
          <w:sz w:val="48"/>
          <w:szCs w:val="48"/>
        </w:rPr>
        <w:t xml:space="preserve"> </w:t>
      </w:r>
      <w:proofErr w:type="spellStart"/>
      <w:r w:rsidRPr="00D5542F">
        <w:rPr>
          <w:rFonts w:ascii="Arial" w:hAnsi="Arial" w:cs="Arial"/>
          <w:b/>
          <w:sz w:val="48"/>
          <w:szCs w:val="48"/>
        </w:rPr>
        <w:t>Proklinova</w:t>
      </w:r>
      <w:proofErr w:type="spellEnd"/>
    </w:p>
    <w:p w:rsidR="00D5542F" w:rsidRPr="00D5542F" w:rsidRDefault="00D5542F" w:rsidP="00D5542F">
      <w:pPr>
        <w:jc w:val="center"/>
        <w:rPr>
          <w:rFonts w:ascii="Arial" w:hAnsi="Arial" w:cs="Arial"/>
          <w:b/>
          <w:sz w:val="48"/>
          <w:szCs w:val="48"/>
        </w:rPr>
      </w:pPr>
      <w:r w:rsidRPr="00D5542F">
        <w:rPr>
          <w:rFonts w:ascii="Arial" w:hAnsi="Arial" w:cs="Arial"/>
          <w:b/>
          <w:sz w:val="48"/>
          <w:szCs w:val="48"/>
        </w:rPr>
        <w:t>Student No 2010826</w:t>
      </w:r>
    </w:p>
    <w:p w:rsidR="00514DBD" w:rsidRDefault="00D5542F" w:rsidP="00D5542F">
      <w:pPr>
        <w:jc w:val="center"/>
        <w:rPr>
          <w:rFonts w:ascii="Arial" w:hAnsi="Arial" w:cs="Arial"/>
          <w:b/>
          <w:sz w:val="48"/>
          <w:szCs w:val="48"/>
        </w:rPr>
      </w:pPr>
      <w:r>
        <w:rPr>
          <w:rFonts w:ascii="Arial" w:hAnsi="Arial" w:cs="Arial"/>
          <w:b/>
          <w:sz w:val="48"/>
          <w:szCs w:val="48"/>
        </w:rPr>
        <w:t xml:space="preserve">Tutor – </w:t>
      </w:r>
      <w:proofErr w:type="spellStart"/>
      <w:r w:rsidRPr="00D5542F">
        <w:rPr>
          <w:rFonts w:ascii="Arial" w:hAnsi="Arial" w:cs="Arial"/>
          <w:b/>
          <w:sz w:val="48"/>
          <w:szCs w:val="48"/>
        </w:rPr>
        <w:t>Jia</w:t>
      </w:r>
      <w:proofErr w:type="spellEnd"/>
      <w:r w:rsidRPr="00D5542F">
        <w:rPr>
          <w:rFonts w:ascii="Arial" w:hAnsi="Arial" w:cs="Arial"/>
          <w:b/>
          <w:sz w:val="48"/>
          <w:szCs w:val="48"/>
        </w:rPr>
        <w:t xml:space="preserve"> Miao</w:t>
      </w:r>
    </w:p>
    <w:p w:rsidR="00264738" w:rsidRDefault="00264738" w:rsidP="00D5542F">
      <w:pPr>
        <w:jc w:val="center"/>
        <w:rPr>
          <w:rFonts w:ascii="Arial" w:hAnsi="Arial" w:cs="Arial"/>
          <w:b/>
          <w:sz w:val="48"/>
          <w:szCs w:val="48"/>
        </w:rPr>
      </w:pPr>
    </w:p>
    <w:p w:rsidR="00264738" w:rsidRDefault="00264738" w:rsidP="00D5542F">
      <w:pPr>
        <w:jc w:val="center"/>
        <w:rPr>
          <w:rFonts w:ascii="Arial" w:hAnsi="Arial" w:cs="Arial"/>
          <w:b/>
          <w:sz w:val="48"/>
          <w:szCs w:val="48"/>
        </w:rPr>
      </w:pPr>
    </w:p>
    <w:p w:rsidR="00264738" w:rsidRDefault="00264738" w:rsidP="00D5542F">
      <w:pPr>
        <w:jc w:val="center"/>
        <w:rPr>
          <w:rFonts w:ascii="Arial" w:hAnsi="Arial" w:cs="Arial"/>
          <w:b/>
          <w:sz w:val="48"/>
          <w:szCs w:val="48"/>
        </w:rPr>
      </w:pPr>
    </w:p>
    <w:p w:rsidR="00264738" w:rsidRDefault="00264738" w:rsidP="00264738">
      <w:pPr>
        <w:jc w:val="both"/>
        <w:rPr>
          <w:rFonts w:ascii="Arial" w:hAnsi="Arial" w:cs="Arial"/>
          <w:b/>
          <w:sz w:val="48"/>
          <w:szCs w:val="48"/>
        </w:rPr>
      </w:pPr>
    </w:p>
    <w:p w:rsidR="00264738" w:rsidRDefault="00264738" w:rsidP="00264738">
      <w:pPr>
        <w:jc w:val="both"/>
        <w:rPr>
          <w:rFonts w:ascii="Arial" w:hAnsi="Arial" w:cs="Arial"/>
          <w:b/>
          <w:sz w:val="48"/>
          <w:szCs w:val="48"/>
        </w:rPr>
      </w:pPr>
    </w:p>
    <w:p w:rsidR="00264738" w:rsidRDefault="00264738" w:rsidP="00264738">
      <w:pPr>
        <w:jc w:val="both"/>
        <w:rPr>
          <w:rFonts w:ascii="Arial" w:hAnsi="Arial" w:cs="Arial"/>
          <w:b/>
          <w:sz w:val="48"/>
          <w:szCs w:val="48"/>
        </w:rPr>
      </w:pPr>
    </w:p>
    <w:p w:rsidR="00264738" w:rsidRDefault="00264738" w:rsidP="00264738">
      <w:pPr>
        <w:jc w:val="both"/>
        <w:rPr>
          <w:rFonts w:ascii="Arial" w:hAnsi="Arial" w:cs="Arial"/>
          <w:b/>
          <w:sz w:val="48"/>
          <w:szCs w:val="48"/>
        </w:rPr>
      </w:pPr>
    </w:p>
    <w:p w:rsidR="00264738" w:rsidRDefault="00264738" w:rsidP="00264738">
      <w:pPr>
        <w:jc w:val="both"/>
        <w:rPr>
          <w:rFonts w:ascii="Arial" w:hAnsi="Arial" w:cs="Arial"/>
          <w:b/>
          <w:sz w:val="48"/>
          <w:szCs w:val="48"/>
        </w:rPr>
      </w:pPr>
    </w:p>
    <w:p w:rsidR="00264738" w:rsidRDefault="00264738" w:rsidP="00264738">
      <w:pPr>
        <w:jc w:val="both"/>
        <w:rPr>
          <w:rFonts w:ascii="Arial" w:hAnsi="Arial" w:cs="Arial"/>
          <w:b/>
          <w:sz w:val="48"/>
          <w:szCs w:val="48"/>
        </w:rPr>
      </w:pPr>
    </w:p>
    <w:sdt>
      <w:sdtPr>
        <w:rPr>
          <w:rFonts w:asciiTheme="minorHAnsi" w:eastAsiaTheme="minorHAnsi" w:hAnsiTheme="minorHAnsi" w:cstheme="minorBidi"/>
          <w:b w:val="0"/>
          <w:bCs w:val="0"/>
          <w:color w:val="auto"/>
          <w:sz w:val="22"/>
          <w:szCs w:val="22"/>
          <w:lang w:val="en-GB" w:eastAsia="en-US"/>
        </w:rPr>
        <w:id w:val="455377380"/>
        <w:docPartObj>
          <w:docPartGallery w:val="Table of Contents"/>
          <w:docPartUnique/>
        </w:docPartObj>
      </w:sdtPr>
      <w:sdtEndPr>
        <w:rPr>
          <w:noProof/>
        </w:rPr>
      </w:sdtEndPr>
      <w:sdtContent>
        <w:p w:rsidR="009C3332" w:rsidRPr="009C3332" w:rsidRDefault="009C3332">
          <w:pPr>
            <w:pStyle w:val="TOCHeading"/>
            <w:rPr>
              <w:rFonts w:ascii="Arial" w:hAnsi="Arial" w:cs="Arial"/>
              <w:sz w:val="24"/>
              <w:szCs w:val="24"/>
            </w:rPr>
          </w:pPr>
          <w:r w:rsidRPr="009C3332">
            <w:rPr>
              <w:rFonts w:ascii="Arial" w:hAnsi="Arial" w:cs="Arial"/>
              <w:sz w:val="24"/>
              <w:szCs w:val="24"/>
            </w:rPr>
            <w:t>Contents</w:t>
          </w:r>
        </w:p>
        <w:p w:rsidR="001B1BB7" w:rsidRDefault="009C3332">
          <w:pPr>
            <w:pStyle w:val="TOC1"/>
            <w:tabs>
              <w:tab w:val="right" w:leader="dot" w:pos="9016"/>
            </w:tabs>
            <w:rPr>
              <w:rFonts w:eastAsiaTheme="minorEastAsia"/>
              <w:noProof/>
              <w:lang w:eastAsia="en-GB"/>
            </w:rPr>
          </w:pPr>
          <w:r w:rsidRPr="009C3332">
            <w:rPr>
              <w:rFonts w:ascii="Arial" w:hAnsi="Arial" w:cs="Arial"/>
              <w:sz w:val="24"/>
              <w:szCs w:val="24"/>
            </w:rPr>
            <w:fldChar w:fldCharType="begin"/>
          </w:r>
          <w:r w:rsidRPr="009C3332">
            <w:rPr>
              <w:rFonts w:ascii="Arial" w:hAnsi="Arial" w:cs="Arial"/>
              <w:sz w:val="24"/>
              <w:szCs w:val="24"/>
            </w:rPr>
            <w:instrText xml:space="preserve"> TOC \o "1-3" \h \z \u </w:instrText>
          </w:r>
          <w:r w:rsidRPr="009C3332">
            <w:rPr>
              <w:rFonts w:ascii="Arial" w:hAnsi="Arial" w:cs="Arial"/>
              <w:sz w:val="24"/>
              <w:szCs w:val="24"/>
            </w:rPr>
            <w:fldChar w:fldCharType="separate"/>
          </w:r>
          <w:hyperlink w:anchor="_Toc61470856" w:history="1">
            <w:r w:rsidR="001B1BB7" w:rsidRPr="001406DF">
              <w:rPr>
                <w:rStyle w:val="Hyperlink"/>
                <w:noProof/>
              </w:rPr>
              <w:t>Part-A</w:t>
            </w:r>
            <w:r w:rsidR="001B1BB7">
              <w:rPr>
                <w:noProof/>
                <w:webHidden/>
              </w:rPr>
              <w:tab/>
            </w:r>
            <w:r w:rsidR="001B1BB7">
              <w:rPr>
                <w:noProof/>
                <w:webHidden/>
              </w:rPr>
              <w:fldChar w:fldCharType="begin"/>
            </w:r>
            <w:r w:rsidR="001B1BB7">
              <w:rPr>
                <w:noProof/>
                <w:webHidden/>
              </w:rPr>
              <w:instrText xml:space="preserve"> PAGEREF _Toc61470856 \h </w:instrText>
            </w:r>
            <w:r w:rsidR="001B1BB7">
              <w:rPr>
                <w:noProof/>
                <w:webHidden/>
              </w:rPr>
            </w:r>
            <w:r w:rsidR="001B1BB7">
              <w:rPr>
                <w:noProof/>
                <w:webHidden/>
              </w:rPr>
              <w:fldChar w:fldCharType="separate"/>
            </w:r>
            <w:r w:rsidR="001B1BB7">
              <w:rPr>
                <w:noProof/>
                <w:webHidden/>
              </w:rPr>
              <w:t>3</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57" w:history="1">
            <w:r w:rsidR="001B1BB7" w:rsidRPr="001406DF">
              <w:rPr>
                <w:rStyle w:val="Hyperlink"/>
                <w:noProof/>
              </w:rPr>
              <w:t>I. Introduction</w:t>
            </w:r>
            <w:r w:rsidR="001B1BB7">
              <w:rPr>
                <w:noProof/>
                <w:webHidden/>
              </w:rPr>
              <w:tab/>
            </w:r>
            <w:r w:rsidR="001B1BB7">
              <w:rPr>
                <w:noProof/>
                <w:webHidden/>
              </w:rPr>
              <w:fldChar w:fldCharType="begin"/>
            </w:r>
            <w:r w:rsidR="001B1BB7">
              <w:rPr>
                <w:noProof/>
                <w:webHidden/>
              </w:rPr>
              <w:instrText xml:space="preserve"> PAGEREF _Toc61470857 \h </w:instrText>
            </w:r>
            <w:r w:rsidR="001B1BB7">
              <w:rPr>
                <w:noProof/>
                <w:webHidden/>
              </w:rPr>
            </w:r>
            <w:r w:rsidR="001B1BB7">
              <w:rPr>
                <w:noProof/>
                <w:webHidden/>
              </w:rPr>
              <w:fldChar w:fldCharType="separate"/>
            </w:r>
            <w:r w:rsidR="001B1BB7">
              <w:rPr>
                <w:noProof/>
                <w:webHidden/>
              </w:rPr>
              <w:t>3</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58" w:history="1">
            <w:r w:rsidR="001B1BB7" w:rsidRPr="001406DF">
              <w:rPr>
                <w:rStyle w:val="Hyperlink"/>
                <w:noProof/>
              </w:rPr>
              <w:t>Part-B</w:t>
            </w:r>
            <w:r w:rsidR="001B1BB7">
              <w:rPr>
                <w:noProof/>
                <w:webHidden/>
              </w:rPr>
              <w:tab/>
            </w:r>
            <w:r w:rsidR="001B1BB7">
              <w:rPr>
                <w:noProof/>
                <w:webHidden/>
              </w:rPr>
              <w:fldChar w:fldCharType="begin"/>
            </w:r>
            <w:r w:rsidR="001B1BB7">
              <w:rPr>
                <w:noProof/>
                <w:webHidden/>
              </w:rPr>
              <w:instrText xml:space="preserve"> PAGEREF _Toc61470858 \h </w:instrText>
            </w:r>
            <w:r w:rsidR="001B1BB7">
              <w:rPr>
                <w:noProof/>
                <w:webHidden/>
              </w:rPr>
            </w:r>
            <w:r w:rsidR="001B1BB7">
              <w:rPr>
                <w:noProof/>
                <w:webHidden/>
              </w:rPr>
              <w:fldChar w:fldCharType="separate"/>
            </w:r>
            <w:r w:rsidR="001B1BB7">
              <w:rPr>
                <w:noProof/>
                <w:webHidden/>
              </w:rPr>
              <w:t>4</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59" w:history="1">
            <w:r w:rsidR="001B1BB7" w:rsidRPr="001406DF">
              <w:rPr>
                <w:rStyle w:val="Hyperlink"/>
                <w:noProof/>
              </w:rPr>
              <w:t>II. Financial analysis of Royal Dutch Shell</w:t>
            </w:r>
            <w:r w:rsidR="001B1BB7">
              <w:rPr>
                <w:noProof/>
                <w:webHidden/>
              </w:rPr>
              <w:tab/>
            </w:r>
            <w:r w:rsidR="001B1BB7">
              <w:rPr>
                <w:noProof/>
                <w:webHidden/>
              </w:rPr>
              <w:fldChar w:fldCharType="begin"/>
            </w:r>
            <w:r w:rsidR="001B1BB7">
              <w:rPr>
                <w:noProof/>
                <w:webHidden/>
              </w:rPr>
              <w:instrText xml:space="preserve"> PAGEREF _Toc61470859 \h </w:instrText>
            </w:r>
            <w:r w:rsidR="001B1BB7">
              <w:rPr>
                <w:noProof/>
                <w:webHidden/>
              </w:rPr>
            </w:r>
            <w:r w:rsidR="001B1BB7">
              <w:rPr>
                <w:noProof/>
                <w:webHidden/>
              </w:rPr>
              <w:fldChar w:fldCharType="separate"/>
            </w:r>
            <w:r w:rsidR="001B1BB7">
              <w:rPr>
                <w:noProof/>
                <w:webHidden/>
              </w:rPr>
              <w:t>4</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60" w:history="1">
            <w:r w:rsidR="001B1BB7" w:rsidRPr="001406DF">
              <w:rPr>
                <w:rStyle w:val="Hyperlink"/>
                <w:noProof/>
              </w:rPr>
              <w:t>Profitability ratios of Royal Dutch Shell (2015-2019) and BP Plc (2019)</w:t>
            </w:r>
            <w:r w:rsidR="001B1BB7">
              <w:rPr>
                <w:noProof/>
                <w:webHidden/>
              </w:rPr>
              <w:tab/>
            </w:r>
            <w:r w:rsidR="001B1BB7">
              <w:rPr>
                <w:noProof/>
                <w:webHidden/>
              </w:rPr>
              <w:fldChar w:fldCharType="begin"/>
            </w:r>
            <w:r w:rsidR="001B1BB7">
              <w:rPr>
                <w:noProof/>
                <w:webHidden/>
              </w:rPr>
              <w:instrText xml:space="preserve"> PAGEREF _Toc61470860 \h </w:instrText>
            </w:r>
            <w:r w:rsidR="001B1BB7">
              <w:rPr>
                <w:noProof/>
                <w:webHidden/>
              </w:rPr>
            </w:r>
            <w:r w:rsidR="001B1BB7">
              <w:rPr>
                <w:noProof/>
                <w:webHidden/>
              </w:rPr>
              <w:fldChar w:fldCharType="separate"/>
            </w:r>
            <w:r w:rsidR="001B1BB7">
              <w:rPr>
                <w:noProof/>
                <w:webHidden/>
              </w:rPr>
              <w:t>4</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61" w:history="1">
            <w:r w:rsidR="001B1BB7" w:rsidRPr="001406DF">
              <w:rPr>
                <w:rStyle w:val="Hyperlink"/>
                <w:noProof/>
              </w:rPr>
              <w:t>Efficiency ratios of Royal Dutch Shell (2015-2019) and BP Plc (2019)</w:t>
            </w:r>
            <w:r w:rsidR="001B1BB7">
              <w:rPr>
                <w:noProof/>
                <w:webHidden/>
              </w:rPr>
              <w:tab/>
            </w:r>
            <w:r w:rsidR="001B1BB7">
              <w:rPr>
                <w:noProof/>
                <w:webHidden/>
              </w:rPr>
              <w:fldChar w:fldCharType="begin"/>
            </w:r>
            <w:r w:rsidR="001B1BB7">
              <w:rPr>
                <w:noProof/>
                <w:webHidden/>
              </w:rPr>
              <w:instrText xml:space="preserve"> PAGEREF _Toc61470861 \h </w:instrText>
            </w:r>
            <w:r w:rsidR="001B1BB7">
              <w:rPr>
                <w:noProof/>
                <w:webHidden/>
              </w:rPr>
            </w:r>
            <w:r w:rsidR="001B1BB7">
              <w:rPr>
                <w:noProof/>
                <w:webHidden/>
              </w:rPr>
              <w:fldChar w:fldCharType="separate"/>
            </w:r>
            <w:r w:rsidR="001B1BB7">
              <w:rPr>
                <w:noProof/>
                <w:webHidden/>
              </w:rPr>
              <w:t>6</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62" w:history="1">
            <w:r w:rsidR="001B1BB7" w:rsidRPr="001406DF">
              <w:rPr>
                <w:rStyle w:val="Hyperlink"/>
                <w:noProof/>
              </w:rPr>
              <w:t>Liquidity ratios of Royal Dutch Shell (2015-2019) and BP Plc (2019)</w:t>
            </w:r>
            <w:r w:rsidR="001B1BB7">
              <w:rPr>
                <w:noProof/>
                <w:webHidden/>
              </w:rPr>
              <w:tab/>
            </w:r>
            <w:r w:rsidR="001B1BB7">
              <w:rPr>
                <w:noProof/>
                <w:webHidden/>
              </w:rPr>
              <w:fldChar w:fldCharType="begin"/>
            </w:r>
            <w:r w:rsidR="001B1BB7">
              <w:rPr>
                <w:noProof/>
                <w:webHidden/>
              </w:rPr>
              <w:instrText xml:space="preserve"> PAGEREF _Toc61470862 \h </w:instrText>
            </w:r>
            <w:r w:rsidR="001B1BB7">
              <w:rPr>
                <w:noProof/>
                <w:webHidden/>
              </w:rPr>
            </w:r>
            <w:r w:rsidR="001B1BB7">
              <w:rPr>
                <w:noProof/>
                <w:webHidden/>
              </w:rPr>
              <w:fldChar w:fldCharType="separate"/>
            </w:r>
            <w:r w:rsidR="001B1BB7">
              <w:rPr>
                <w:noProof/>
                <w:webHidden/>
              </w:rPr>
              <w:t>7</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63" w:history="1">
            <w:r w:rsidR="001B1BB7" w:rsidRPr="001406DF">
              <w:rPr>
                <w:rStyle w:val="Hyperlink"/>
                <w:noProof/>
              </w:rPr>
              <w:t>Leverage (Gearing) ratios of Royal Dutch Shell (2015-2019) and BP Plc (2019)</w:t>
            </w:r>
            <w:r w:rsidR="001B1BB7">
              <w:rPr>
                <w:noProof/>
                <w:webHidden/>
              </w:rPr>
              <w:tab/>
            </w:r>
            <w:r w:rsidR="001B1BB7">
              <w:rPr>
                <w:noProof/>
                <w:webHidden/>
              </w:rPr>
              <w:fldChar w:fldCharType="begin"/>
            </w:r>
            <w:r w:rsidR="001B1BB7">
              <w:rPr>
                <w:noProof/>
                <w:webHidden/>
              </w:rPr>
              <w:instrText xml:space="preserve"> PAGEREF _Toc61470863 \h </w:instrText>
            </w:r>
            <w:r w:rsidR="001B1BB7">
              <w:rPr>
                <w:noProof/>
                <w:webHidden/>
              </w:rPr>
            </w:r>
            <w:r w:rsidR="001B1BB7">
              <w:rPr>
                <w:noProof/>
                <w:webHidden/>
              </w:rPr>
              <w:fldChar w:fldCharType="separate"/>
            </w:r>
            <w:r w:rsidR="001B1BB7">
              <w:rPr>
                <w:noProof/>
                <w:webHidden/>
              </w:rPr>
              <w:t>9</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64" w:history="1">
            <w:r w:rsidR="001B1BB7" w:rsidRPr="001406DF">
              <w:rPr>
                <w:rStyle w:val="Hyperlink"/>
                <w:noProof/>
              </w:rPr>
              <w:t>Part-C</w:t>
            </w:r>
            <w:r w:rsidR="001B1BB7">
              <w:rPr>
                <w:noProof/>
                <w:webHidden/>
              </w:rPr>
              <w:tab/>
            </w:r>
            <w:r w:rsidR="001B1BB7">
              <w:rPr>
                <w:noProof/>
                <w:webHidden/>
              </w:rPr>
              <w:fldChar w:fldCharType="begin"/>
            </w:r>
            <w:r w:rsidR="001B1BB7">
              <w:rPr>
                <w:noProof/>
                <w:webHidden/>
              </w:rPr>
              <w:instrText xml:space="preserve"> PAGEREF _Toc61470864 \h </w:instrText>
            </w:r>
            <w:r w:rsidR="001B1BB7">
              <w:rPr>
                <w:noProof/>
                <w:webHidden/>
              </w:rPr>
            </w:r>
            <w:r w:rsidR="001B1BB7">
              <w:rPr>
                <w:noProof/>
                <w:webHidden/>
              </w:rPr>
              <w:fldChar w:fldCharType="separate"/>
            </w:r>
            <w:r w:rsidR="001B1BB7">
              <w:rPr>
                <w:noProof/>
                <w:webHidden/>
              </w:rPr>
              <w:t>11</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65" w:history="1">
            <w:r w:rsidR="001B1BB7" w:rsidRPr="001406DF">
              <w:rPr>
                <w:rStyle w:val="Hyperlink"/>
                <w:noProof/>
              </w:rPr>
              <w:t>A</w:t>
            </w:r>
            <w:r w:rsidR="001B1BB7">
              <w:rPr>
                <w:noProof/>
                <w:webHidden/>
              </w:rPr>
              <w:tab/>
            </w:r>
            <w:r w:rsidR="001B1BB7">
              <w:rPr>
                <w:noProof/>
                <w:webHidden/>
              </w:rPr>
              <w:fldChar w:fldCharType="begin"/>
            </w:r>
            <w:r w:rsidR="001B1BB7">
              <w:rPr>
                <w:noProof/>
                <w:webHidden/>
              </w:rPr>
              <w:instrText xml:space="preserve"> PAGEREF _Toc61470865 \h </w:instrText>
            </w:r>
            <w:r w:rsidR="001B1BB7">
              <w:rPr>
                <w:noProof/>
                <w:webHidden/>
              </w:rPr>
            </w:r>
            <w:r w:rsidR="001B1BB7">
              <w:rPr>
                <w:noProof/>
                <w:webHidden/>
              </w:rPr>
              <w:fldChar w:fldCharType="separate"/>
            </w:r>
            <w:r w:rsidR="001B1BB7">
              <w:rPr>
                <w:noProof/>
                <w:webHidden/>
              </w:rPr>
              <w:t>11</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66" w:history="1">
            <w:r w:rsidR="001B1BB7" w:rsidRPr="001406DF">
              <w:rPr>
                <w:rStyle w:val="Hyperlink"/>
                <w:noProof/>
              </w:rPr>
              <w:t>B</w:t>
            </w:r>
            <w:r w:rsidR="001B1BB7">
              <w:rPr>
                <w:noProof/>
                <w:webHidden/>
              </w:rPr>
              <w:tab/>
            </w:r>
            <w:r w:rsidR="001B1BB7">
              <w:rPr>
                <w:noProof/>
                <w:webHidden/>
              </w:rPr>
              <w:fldChar w:fldCharType="begin"/>
            </w:r>
            <w:r w:rsidR="001B1BB7">
              <w:rPr>
                <w:noProof/>
                <w:webHidden/>
              </w:rPr>
              <w:instrText xml:space="preserve"> PAGEREF _Toc61470866 \h </w:instrText>
            </w:r>
            <w:r w:rsidR="001B1BB7">
              <w:rPr>
                <w:noProof/>
                <w:webHidden/>
              </w:rPr>
            </w:r>
            <w:r w:rsidR="001B1BB7">
              <w:rPr>
                <w:noProof/>
                <w:webHidden/>
              </w:rPr>
              <w:fldChar w:fldCharType="separate"/>
            </w:r>
            <w:r w:rsidR="001B1BB7">
              <w:rPr>
                <w:noProof/>
                <w:webHidden/>
              </w:rPr>
              <w:t>12</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67" w:history="1">
            <w:r w:rsidR="001B1BB7" w:rsidRPr="001406DF">
              <w:rPr>
                <w:rStyle w:val="Hyperlink"/>
                <w:rFonts w:ascii="Arial" w:hAnsi="Arial" w:cs="Arial"/>
                <w:noProof/>
              </w:rPr>
              <w:t>PAY BACK PERIOD</w:t>
            </w:r>
            <w:r w:rsidR="001B1BB7">
              <w:rPr>
                <w:noProof/>
                <w:webHidden/>
              </w:rPr>
              <w:tab/>
            </w:r>
            <w:r w:rsidR="001B1BB7">
              <w:rPr>
                <w:noProof/>
                <w:webHidden/>
              </w:rPr>
              <w:fldChar w:fldCharType="begin"/>
            </w:r>
            <w:r w:rsidR="001B1BB7">
              <w:rPr>
                <w:noProof/>
                <w:webHidden/>
              </w:rPr>
              <w:instrText xml:space="preserve"> PAGEREF _Toc61470867 \h </w:instrText>
            </w:r>
            <w:r w:rsidR="001B1BB7">
              <w:rPr>
                <w:noProof/>
                <w:webHidden/>
              </w:rPr>
            </w:r>
            <w:r w:rsidR="001B1BB7">
              <w:rPr>
                <w:noProof/>
                <w:webHidden/>
              </w:rPr>
              <w:fldChar w:fldCharType="separate"/>
            </w:r>
            <w:r w:rsidR="001B1BB7">
              <w:rPr>
                <w:noProof/>
                <w:webHidden/>
              </w:rPr>
              <w:t>12</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68" w:history="1">
            <w:r w:rsidR="001B1BB7" w:rsidRPr="001406DF">
              <w:rPr>
                <w:rStyle w:val="Hyperlink"/>
                <w:noProof/>
              </w:rPr>
              <w:t>ACCOUNTING RATE OF RETURN</w:t>
            </w:r>
            <w:r w:rsidR="001B1BB7">
              <w:rPr>
                <w:noProof/>
                <w:webHidden/>
              </w:rPr>
              <w:tab/>
            </w:r>
            <w:r w:rsidR="001B1BB7">
              <w:rPr>
                <w:noProof/>
                <w:webHidden/>
              </w:rPr>
              <w:fldChar w:fldCharType="begin"/>
            </w:r>
            <w:r w:rsidR="001B1BB7">
              <w:rPr>
                <w:noProof/>
                <w:webHidden/>
              </w:rPr>
              <w:instrText xml:space="preserve"> PAGEREF _Toc61470868 \h </w:instrText>
            </w:r>
            <w:r w:rsidR="001B1BB7">
              <w:rPr>
                <w:noProof/>
                <w:webHidden/>
              </w:rPr>
            </w:r>
            <w:r w:rsidR="001B1BB7">
              <w:rPr>
                <w:noProof/>
                <w:webHidden/>
              </w:rPr>
              <w:fldChar w:fldCharType="separate"/>
            </w:r>
            <w:r w:rsidR="001B1BB7">
              <w:rPr>
                <w:noProof/>
                <w:webHidden/>
              </w:rPr>
              <w:t>12</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69" w:history="1">
            <w:r w:rsidR="001B1BB7" w:rsidRPr="001406DF">
              <w:rPr>
                <w:rStyle w:val="Hyperlink"/>
                <w:noProof/>
              </w:rPr>
              <w:t>NET PRESENT VALUE</w:t>
            </w:r>
            <w:r w:rsidR="001B1BB7">
              <w:rPr>
                <w:noProof/>
                <w:webHidden/>
              </w:rPr>
              <w:tab/>
            </w:r>
            <w:r w:rsidR="001B1BB7">
              <w:rPr>
                <w:noProof/>
                <w:webHidden/>
              </w:rPr>
              <w:fldChar w:fldCharType="begin"/>
            </w:r>
            <w:r w:rsidR="001B1BB7">
              <w:rPr>
                <w:noProof/>
                <w:webHidden/>
              </w:rPr>
              <w:instrText xml:space="preserve"> PAGEREF _Toc61470869 \h </w:instrText>
            </w:r>
            <w:r w:rsidR="001B1BB7">
              <w:rPr>
                <w:noProof/>
                <w:webHidden/>
              </w:rPr>
            </w:r>
            <w:r w:rsidR="001B1BB7">
              <w:rPr>
                <w:noProof/>
                <w:webHidden/>
              </w:rPr>
              <w:fldChar w:fldCharType="separate"/>
            </w:r>
            <w:r w:rsidR="001B1BB7">
              <w:rPr>
                <w:noProof/>
                <w:webHidden/>
              </w:rPr>
              <w:t>13</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70" w:history="1">
            <w:r w:rsidR="001B1BB7" w:rsidRPr="001406DF">
              <w:rPr>
                <w:rStyle w:val="Hyperlink"/>
                <w:noProof/>
              </w:rPr>
              <w:t>Non-financial factors for investment</w:t>
            </w:r>
            <w:r w:rsidR="001B1BB7" w:rsidRPr="001406DF">
              <w:rPr>
                <w:rStyle w:val="Hyperlink"/>
                <w:noProof/>
                <w:lang w:val="bg-BG"/>
              </w:rPr>
              <w:t>:</w:t>
            </w:r>
            <w:r w:rsidR="001B1BB7">
              <w:rPr>
                <w:noProof/>
                <w:webHidden/>
              </w:rPr>
              <w:tab/>
            </w:r>
            <w:r w:rsidR="001B1BB7">
              <w:rPr>
                <w:noProof/>
                <w:webHidden/>
              </w:rPr>
              <w:fldChar w:fldCharType="begin"/>
            </w:r>
            <w:r w:rsidR="001B1BB7">
              <w:rPr>
                <w:noProof/>
                <w:webHidden/>
              </w:rPr>
              <w:instrText xml:space="preserve"> PAGEREF _Toc61470870 \h </w:instrText>
            </w:r>
            <w:r w:rsidR="001B1BB7">
              <w:rPr>
                <w:noProof/>
                <w:webHidden/>
              </w:rPr>
            </w:r>
            <w:r w:rsidR="001B1BB7">
              <w:rPr>
                <w:noProof/>
                <w:webHidden/>
              </w:rPr>
              <w:fldChar w:fldCharType="separate"/>
            </w:r>
            <w:r w:rsidR="001B1BB7">
              <w:rPr>
                <w:noProof/>
                <w:webHidden/>
              </w:rPr>
              <w:t>14</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71" w:history="1">
            <w:r w:rsidR="001B1BB7" w:rsidRPr="001406DF">
              <w:rPr>
                <w:rStyle w:val="Hyperlink"/>
                <w:rFonts w:eastAsia="Times New Roman"/>
                <w:noProof/>
                <w:lang w:eastAsia="en-GB"/>
              </w:rPr>
              <w:t>Appendix:</w:t>
            </w:r>
            <w:r w:rsidR="001B1BB7">
              <w:rPr>
                <w:noProof/>
                <w:webHidden/>
              </w:rPr>
              <w:tab/>
            </w:r>
            <w:r w:rsidR="001B1BB7">
              <w:rPr>
                <w:noProof/>
                <w:webHidden/>
              </w:rPr>
              <w:fldChar w:fldCharType="begin"/>
            </w:r>
            <w:r w:rsidR="001B1BB7">
              <w:rPr>
                <w:noProof/>
                <w:webHidden/>
              </w:rPr>
              <w:instrText xml:space="preserve"> PAGEREF _Toc61470871 \h </w:instrText>
            </w:r>
            <w:r w:rsidR="001B1BB7">
              <w:rPr>
                <w:noProof/>
                <w:webHidden/>
              </w:rPr>
            </w:r>
            <w:r w:rsidR="001B1BB7">
              <w:rPr>
                <w:noProof/>
                <w:webHidden/>
              </w:rPr>
              <w:fldChar w:fldCharType="separate"/>
            </w:r>
            <w:r w:rsidR="001B1BB7">
              <w:rPr>
                <w:noProof/>
                <w:webHidden/>
              </w:rPr>
              <w:t>16</w:t>
            </w:r>
            <w:r w:rsidR="001B1BB7">
              <w:rPr>
                <w:noProof/>
                <w:webHidden/>
              </w:rPr>
              <w:fldChar w:fldCharType="end"/>
            </w:r>
          </w:hyperlink>
        </w:p>
        <w:p w:rsidR="001B1BB7" w:rsidRDefault="006E11A0">
          <w:pPr>
            <w:pStyle w:val="TOC1"/>
            <w:tabs>
              <w:tab w:val="right" w:leader="dot" w:pos="9016"/>
            </w:tabs>
            <w:rPr>
              <w:rFonts w:eastAsiaTheme="minorEastAsia"/>
              <w:noProof/>
              <w:lang w:eastAsia="en-GB"/>
            </w:rPr>
          </w:pPr>
          <w:hyperlink w:anchor="_Toc61470872" w:history="1">
            <w:r w:rsidR="001B1BB7" w:rsidRPr="001406DF">
              <w:rPr>
                <w:rStyle w:val="Hyperlink"/>
                <w:rFonts w:eastAsia="Times New Roman"/>
                <w:noProof/>
              </w:rPr>
              <w:t>Table.1</w:t>
            </w:r>
            <w:r w:rsidR="001B1BB7">
              <w:rPr>
                <w:noProof/>
                <w:webHidden/>
              </w:rPr>
              <w:tab/>
            </w:r>
            <w:r w:rsidR="001B1BB7">
              <w:rPr>
                <w:noProof/>
                <w:webHidden/>
              </w:rPr>
              <w:fldChar w:fldCharType="begin"/>
            </w:r>
            <w:r w:rsidR="001B1BB7">
              <w:rPr>
                <w:noProof/>
                <w:webHidden/>
              </w:rPr>
              <w:instrText xml:space="preserve"> PAGEREF _Toc61470872 \h </w:instrText>
            </w:r>
            <w:r w:rsidR="001B1BB7">
              <w:rPr>
                <w:noProof/>
                <w:webHidden/>
              </w:rPr>
            </w:r>
            <w:r w:rsidR="001B1BB7">
              <w:rPr>
                <w:noProof/>
                <w:webHidden/>
              </w:rPr>
              <w:fldChar w:fldCharType="separate"/>
            </w:r>
            <w:r w:rsidR="001B1BB7">
              <w:rPr>
                <w:noProof/>
                <w:webHidden/>
              </w:rPr>
              <w:t>16</w:t>
            </w:r>
            <w:r w:rsidR="001B1BB7">
              <w:rPr>
                <w:noProof/>
                <w:webHidden/>
              </w:rPr>
              <w:fldChar w:fldCharType="end"/>
            </w:r>
          </w:hyperlink>
        </w:p>
        <w:p w:rsidR="009C3332" w:rsidRDefault="009C3332">
          <w:r w:rsidRPr="009C3332">
            <w:rPr>
              <w:rFonts w:ascii="Arial" w:hAnsi="Arial" w:cs="Arial"/>
              <w:b/>
              <w:bCs/>
              <w:noProof/>
              <w:sz w:val="24"/>
              <w:szCs w:val="24"/>
            </w:rPr>
            <w:fldChar w:fldCharType="end"/>
          </w:r>
        </w:p>
      </w:sdtContent>
    </w:sdt>
    <w:p w:rsidR="000A79C0" w:rsidRDefault="000A79C0" w:rsidP="009C3332">
      <w:pPr>
        <w:pStyle w:val="Heading1"/>
      </w:pPr>
    </w:p>
    <w:p w:rsidR="000A79C0" w:rsidRDefault="000A79C0" w:rsidP="00264738">
      <w:pPr>
        <w:jc w:val="both"/>
        <w:rPr>
          <w:rFonts w:ascii="Arial" w:hAnsi="Arial" w:cs="Arial"/>
          <w:b/>
        </w:rPr>
      </w:pPr>
    </w:p>
    <w:p w:rsidR="009C3332" w:rsidRDefault="009C3332" w:rsidP="00264738">
      <w:pPr>
        <w:jc w:val="both"/>
        <w:rPr>
          <w:rFonts w:ascii="Arial" w:hAnsi="Arial" w:cs="Arial"/>
          <w:b/>
        </w:rPr>
      </w:pPr>
    </w:p>
    <w:p w:rsidR="009C3332" w:rsidRDefault="009C3332" w:rsidP="00264738">
      <w:pPr>
        <w:jc w:val="both"/>
        <w:rPr>
          <w:rFonts w:ascii="Arial" w:hAnsi="Arial" w:cs="Arial"/>
          <w:b/>
        </w:rPr>
      </w:pPr>
    </w:p>
    <w:p w:rsidR="009C3332" w:rsidRDefault="009C3332" w:rsidP="00264738">
      <w:pPr>
        <w:jc w:val="both"/>
        <w:rPr>
          <w:rFonts w:ascii="Arial" w:hAnsi="Arial" w:cs="Arial"/>
          <w:b/>
        </w:rPr>
      </w:pPr>
    </w:p>
    <w:p w:rsidR="009C3332" w:rsidRDefault="009C3332" w:rsidP="00264738">
      <w:pPr>
        <w:jc w:val="both"/>
        <w:rPr>
          <w:rFonts w:ascii="Arial" w:hAnsi="Arial" w:cs="Arial"/>
          <w:b/>
        </w:rPr>
      </w:pPr>
    </w:p>
    <w:p w:rsidR="009C3332" w:rsidRDefault="009C3332" w:rsidP="00264738">
      <w:pPr>
        <w:jc w:val="both"/>
        <w:rPr>
          <w:rFonts w:ascii="Arial" w:hAnsi="Arial" w:cs="Arial"/>
          <w:b/>
        </w:rPr>
      </w:pPr>
    </w:p>
    <w:p w:rsidR="009C3332" w:rsidRDefault="009C3332" w:rsidP="00264738">
      <w:pPr>
        <w:jc w:val="both"/>
        <w:rPr>
          <w:rFonts w:ascii="Arial" w:hAnsi="Arial" w:cs="Arial"/>
          <w:b/>
        </w:rPr>
      </w:pPr>
    </w:p>
    <w:p w:rsidR="009C3332" w:rsidRDefault="009C3332" w:rsidP="00264738">
      <w:pPr>
        <w:jc w:val="both"/>
        <w:rPr>
          <w:rFonts w:ascii="Arial" w:hAnsi="Arial" w:cs="Arial"/>
          <w:b/>
        </w:rPr>
      </w:pPr>
    </w:p>
    <w:p w:rsidR="009C3332" w:rsidRDefault="009C3332" w:rsidP="00264738">
      <w:pPr>
        <w:jc w:val="both"/>
        <w:rPr>
          <w:rFonts w:ascii="Arial" w:hAnsi="Arial" w:cs="Arial"/>
          <w:b/>
        </w:rPr>
      </w:pPr>
    </w:p>
    <w:p w:rsidR="009C3332" w:rsidRDefault="009C3332" w:rsidP="00264738">
      <w:pPr>
        <w:jc w:val="both"/>
        <w:rPr>
          <w:rFonts w:ascii="Arial" w:hAnsi="Arial" w:cs="Arial"/>
          <w:b/>
        </w:rPr>
      </w:pPr>
    </w:p>
    <w:p w:rsidR="0079767F" w:rsidRDefault="0079767F" w:rsidP="009C3332">
      <w:pPr>
        <w:pStyle w:val="Heading1"/>
      </w:pPr>
      <w:bookmarkStart w:id="0" w:name="_Toc61470856"/>
      <w:r>
        <w:lastRenderedPageBreak/>
        <w:t>Part-A</w:t>
      </w:r>
      <w:bookmarkEnd w:id="0"/>
    </w:p>
    <w:p w:rsidR="00264738" w:rsidRDefault="001A0FAC" w:rsidP="009C3332">
      <w:pPr>
        <w:pStyle w:val="Heading1"/>
        <w:rPr>
          <w:lang w:val="bg-BG"/>
        </w:rPr>
      </w:pPr>
      <w:bookmarkStart w:id="1" w:name="_Toc61470857"/>
      <w:r w:rsidRPr="0079767F">
        <w:t>I. Introduction</w:t>
      </w:r>
      <w:bookmarkEnd w:id="1"/>
    </w:p>
    <w:p w:rsidR="001A0C07" w:rsidRDefault="0024430E" w:rsidP="00DF5B7D">
      <w:pPr>
        <w:jc w:val="both"/>
        <w:rPr>
          <w:rFonts w:ascii="Arial" w:hAnsi="Arial" w:cs="Arial"/>
          <w:lang w:val="bg-BG"/>
        </w:rPr>
      </w:pPr>
      <w:r w:rsidRPr="0024430E">
        <w:rPr>
          <w:rFonts w:ascii="Arial" w:hAnsi="Arial" w:cs="Arial"/>
          <w:lang w:val="bg-BG"/>
        </w:rPr>
        <w:t>Although its history dates back to the early 19th century, when the Samuel family still sold mussel shells in a small shop in London, Royal Dutch Shell was founded in 1907. It employs an average of 94,000 people and operates in more than 70 countries, one of the largest energy companies in the world- Today it's Shell. The Chief Executive Officer is Ben van Bürden, based in The Hague, the Netherlands. Royal Dutch Shell plc is the parent company of the Shell Group, is registered in England and Wales. The main strategy of the Shell Group is to respond responsibly to global energy needs and strengthen its position as a leader in the oil and gas industry. At the heart of our activities is safety and environmental and social responsibility.</w:t>
      </w:r>
    </w:p>
    <w:p w:rsidR="00DF5B7D" w:rsidRPr="00DF5B7D" w:rsidRDefault="00DF5B7D" w:rsidP="00DF5B7D">
      <w:pPr>
        <w:jc w:val="both"/>
        <w:rPr>
          <w:rFonts w:ascii="Arial" w:hAnsi="Arial" w:cs="Arial"/>
          <w:lang w:val="bg-BG"/>
        </w:rPr>
      </w:pPr>
      <w:r w:rsidRPr="00DF5B7D">
        <w:rPr>
          <w:rFonts w:ascii="Arial" w:hAnsi="Arial" w:cs="Arial"/>
          <w:lang w:val="bg-BG"/>
        </w:rPr>
        <w:t>•</w:t>
      </w:r>
      <w:r w:rsidRPr="00DF5B7D">
        <w:rPr>
          <w:rFonts w:ascii="Arial" w:hAnsi="Arial" w:cs="Arial"/>
          <w:lang w:val="bg-BG"/>
        </w:rPr>
        <w:tab/>
        <w:t>They operate in more than 70 countries</w:t>
      </w:r>
    </w:p>
    <w:p w:rsidR="00DF5B7D" w:rsidRPr="00DF5B7D" w:rsidRDefault="00DF5B7D" w:rsidP="00DF5B7D">
      <w:pPr>
        <w:jc w:val="both"/>
        <w:rPr>
          <w:rFonts w:ascii="Arial" w:hAnsi="Arial" w:cs="Arial"/>
          <w:lang w:val="bg-BG"/>
        </w:rPr>
      </w:pPr>
      <w:r w:rsidRPr="00DF5B7D">
        <w:rPr>
          <w:rFonts w:ascii="Arial" w:hAnsi="Arial" w:cs="Arial"/>
          <w:lang w:val="bg-BG"/>
        </w:rPr>
        <w:t>•</w:t>
      </w:r>
      <w:r w:rsidRPr="00DF5B7D">
        <w:rPr>
          <w:rFonts w:ascii="Arial" w:hAnsi="Arial" w:cs="Arial"/>
          <w:lang w:val="bg-BG"/>
        </w:rPr>
        <w:tab/>
        <w:t>Average number of employees - 86,000</w:t>
      </w:r>
    </w:p>
    <w:p w:rsidR="00DF5B7D" w:rsidRPr="00DF5B7D" w:rsidRDefault="00DF5B7D" w:rsidP="00DF5B7D">
      <w:pPr>
        <w:jc w:val="both"/>
        <w:rPr>
          <w:rFonts w:ascii="Arial" w:hAnsi="Arial" w:cs="Arial"/>
          <w:lang w:val="bg-BG"/>
        </w:rPr>
      </w:pPr>
      <w:r w:rsidRPr="00DF5B7D">
        <w:rPr>
          <w:rFonts w:ascii="Arial" w:hAnsi="Arial" w:cs="Arial"/>
          <w:lang w:val="bg-BG"/>
        </w:rPr>
        <w:t>•</w:t>
      </w:r>
      <w:r w:rsidRPr="00DF5B7D">
        <w:rPr>
          <w:rFonts w:ascii="Arial" w:hAnsi="Arial" w:cs="Arial"/>
          <w:lang w:val="bg-BG"/>
        </w:rPr>
        <w:tab/>
        <w:t>66 million tons of liquefied natural gas sales during the year</w:t>
      </w:r>
    </w:p>
    <w:p w:rsidR="00DF5B7D" w:rsidRPr="00DF5B7D" w:rsidRDefault="00DF5B7D" w:rsidP="00DF5B7D">
      <w:pPr>
        <w:jc w:val="both"/>
        <w:rPr>
          <w:rFonts w:ascii="Arial" w:hAnsi="Arial" w:cs="Arial"/>
          <w:lang w:val="bg-BG"/>
        </w:rPr>
      </w:pPr>
      <w:r w:rsidRPr="00DF5B7D">
        <w:rPr>
          <w:rFonts w:ascii="Arial" w:hAnsi="Arial" w:cs="Arial"/>
          <w:lang w:val="bg-BG"/>
        </w:rPr>
        <w:t>•</w:t>
      </w:r>
      <w:r w:rsidRPr="00DF5B7D">
        <w:rPr>
          <w:rFonts w:ascii="Arial" w:hAnsi="Arial" w:cs="Arial"/>
          <w:lang w:val="bg-BG"/>
        </w:rPr>
        <w:tab/>
        <w:t>They participate in 21 refineries</w:t>
      </w:r>
    </w:p>
    <w:p w:rsidR="00DF5B7D" w:rsidRPr="00DF5B7D" w:rsidRDefault="00DF5B7D" w:rsidP="00DF5B7D">
      <w:pPr>
        <w:jc w:val="both"/>
        <w:rPr>
          <w:rFonts w:ascii="Arial" w:hAnsi="Arial" w:cs="Arial"/>
          <w:lang w:val="bg-BG"/>
        </w:rPr>
      </w:pPr>
      <w:r w:rsidRPr="00DF5B7D">
        <w:rPr>
          <w:rFonts w:ascii="Arial" w:hAnsi="Arial" w:cs="Arial"/>
          <w:lang w:val="bg-BG"/>
        </w:rPr>
        <w:t>•</w:t>
      </w:r>
      <w:r w:rsidRPr="00DF5B7D">
        <w:rPr>
          <w:rFonts w:ascii="Arial" w:hAnsi="Arial" w:cs="Arial"/>
          <w:lang w:val="bg-BG"/>
        </w:rPr>
        <w:tab/>
        <w:t>In producing of 3.7 million barrels of oil equivalent daily</w:t>
      </w:r>
    </w:p>
    <w:p w:rsidR="00DF5B7D" w:rsidRPr="00DF5B7D" w:rsidRDefault="00DF5B7D" w:rsidP="00DF5B7D">
      <w:pPr>
        <w:jc w:val="both"/>
        <w:rPr>
          <w:rFonts w:ascii="Arial" w:hAnsi="Arial" w:cs="Arial"/>
          <w:lang w:val="bg-BG"/>
        </w:rPr>
      </w:pPr>
      <w:r w:rsidRPr="00DF5B7D">
        <w:rPr>
          <w:rFonts w:ascii="Arial" w:hAnsi="Arial" w:cs="Arial"/>
          <w:lang w:val="bg-BG"/>
        </w:rPr>
        <w:t>Financial report</w:t>
      </w:r>
    </w:p>
    <w:p w:rsidR="00DF5B7D" w:rsidRPr="00DF5B7D" w:rsidRDefault="00DF5B7D" w:rsidP="00DF5B7D">
      <w:pPr>
        <w:jc w:val="both"/>
        <w:rPr>
          <w:rFonts w:ascii="Arial" w:hAnsi="Arial" w:cs="Arial"/>
          <w:lang w:val="bg-BG"/>
        </w:rPr>
      </w:pPr>
      <w:r w:rsidRPr="00DF5B7D">
        <w:rPr>
          <w:rFonts w:ascii="Arial" w:hAnsi="Arial" w:cs="Arial"/>
          <w:lang w:val="bg-BG"/>
        </w:rPr>
        <w:t>•</w:t>
      </w:r>
      <w:r w:rsidRPr="00DF5B7D">
        <w:rPr>
          <w:rFonts w:ascii="Arial" w:hAnsi="Arial" w:cs="Arial"/>
          <w:lang w:val="bg-BG"/>
        </w:rPr>
        <w:tab/>
        <w:t>Income: $ 305.2 billion</w:t>
      </w:r>
    </w:p>
    <w:p w:rsidR="00DF5B7D" w:rsidRPr="00DF5B7D" w:rsidRDefault="00DF5B7D" w:rsidP="00DF5B7D">
      <w:pPr>
        <w:jc w:val="both"/>
        <w:rPr>
          <w:rFonts w:ascii="Arial" w:hAnsi="Arial" w:cs="Arial"/>
          <w:lang w:val="bg-BG"/>
        </w:rPr>
      </w:pPr>
      <w:r w:rsidRPr="00DF5B7D">
        <w:rPr>
          <w:rFonts w:ascii="Arial" w:hAnsi="Arial" w:cs="Arial"/>
          <w:lang w:val="bg-BG"/>
        </w:rPr>
        <w:t>•</w:t>
      </w:r>
      <w:r w:rsidRPr="00DF5B7D">
        <w:rPr>
          <w:rFonts w:ascii="Arial" w:hAnsi="Arial" w:cs="Arial"/>
          <w:lang w:val="bg-BG"/>
        </w:rPr>
        <w:tab/>
        <w:t>Cost: $ 13.4 billion</w:t>
      </w:r>
    </w:p>
    <w:p w:rsidR="00DF5B7D" w:rsidRPr="00DF5B7D" w:rsidRDefault="00DF5B7D" w:rsidP="00DF5B7D">
      <w:pPr>
        <w:jc w:val="both"/>
        <w:rPr>
          <w:rFonts w:ascii="Arial" w:hAnsi="Arial" w:cs="Arial"/>
          <w:lang w:val="bg-BG"/>
        </w:rPr>
      </w:pPr>
      <w:r w:rsidRPr="00DF5B7D">
        <w:rPr>
          <w:rFonts w:ascii="Arial" w:hAnsi="Arial" w:cs="Arial"/>
          <w:lang w:val="bg-BG"/>
        </w:rPr>
        <w:t>•</w:t>
      </w:r>
      <w:r w:rsidRPr="00DF5B7D">
        <w:rPr>
          <w:rFonts w:ascii="Arial" w:hAnsi="Arial" w:cs="Arial"/>
          <w:lang w:val="bg-BG"/>
        </w:rPr>
        <w:tab/>
        <w:t>Capital investment: $ 24 billion</w:t>
      </w:r>
    </w:p>
    <w:p w:rsidR="00DF5B7D" w:rsidRPr="00DF5B7D" w:rsidRDefault="00DF5B7D" w:rsidP="00DF5B7D">
      <w:pPr>
        <w:jc w:val="both"/>
        <w:rPr>
          <w:rFonts w:ascii="Arial" w:hAnsi="Arial" w:cs="Arial"/>
          <w:lang w:val="bg-BG"/>
        </w:rPr>
      </w:pPr>
      <w:r w:rsidRPr="00DF5B7D">
        <w:rPr>
          <w:rFonts w:ascii="Arial" w:hAnsi="Arial" w:cs="Arial"/>
          <w:lang w:val="bg-BG"/>
        </w:rPr>
        <w:t>•</w:t>
      </w:r>
      <w:r w:rsidRPr="00DF5B7D">
        <w:rPr>
          <w:rFonts w:ascii="Arial" w:hAnsi="Arial" w:cs="Arial"/>
          <w:lang w:val="bg-BG"/>
        </w:rPr>
        <w:tab/>
        <w:t>Investment in research and development: $ 922 million</w:t>
      </w:r>
    </w:p>
    <w:p w:rsidR="00DF5B7D" w:rsidRPr="00DF5B7D" w:rsidRDefault="00DF5B7D" w:rsidP="00DF5B7D">
      <w:pPr>
        <w:jc w:val="both"/>
        <w:rPr>
          <w:rFonts w:ascii="Arial" w:hAnsi="Arial" w:cs="Arial"/>
          <w:lang w:val="bg-BG"/>
        </w:rPr>
      </w:pPr>
      <w:r w:rsidRPr="00DF5B7D">
        <w:rPr>
          <w:rFonts w:ascii="Arial" w:hAnsi="Arial" w:cs="Arial"/>
          <w:lang w:val="bg-BG"/>
        </w:rPr>
        <w:t>Royal Dutch Shell competitors include BP. Royal Dutch Shell ranks 1st in CEO Score on Comparably vs its competitors. See below how Royal Dutch Shell compares to its competitors with CEO Rankings, Product &amp; Services, NPS, Pricing, Customer Services, Overall Culture Score, eNPS, Gender and Diversity Scores.</w:t>
      </w:r>
    </w:p>
    <w:p w:rsidR="0024430E" w:rsidRDefault="0024430E" w:rsidP="00DF5B7D">
      <w:pPr>
        <w:jc w:val="both"/>
        <w:rPr>
          <w:rFonts w:ascii="Arial" w:hAnsi="Arial" w:cs="Arial"/>
        </w:rPr>
      </w:pPr>
      <w:r w:rsidRPr="0024430E">
        <w:rPr>
          <w:rFonts w:ascii="Arial" w:hAnsi="Arial" w:cs="Arial"/>
          <w:lang w:val="bg-BG"/>
        </w:rPr>
        <w:t>Upstream, downstream, and integrated gas - these are the three main business segments of the Royal Dutch Shell oil company. Its downstream revenues are from oil and gas refining for the production and sale of petroleum and chemical products, while upstream profits are from the exploration and production of crude oil and natural gas. Production and sale of natural gas and liquefied natural gas is part of its integrated gas segment.</w:t>
      </w:r>
    </w:p>
    <w:p w:rsidR="0024430E" w:rsidRDefault="0024430E" w:rsidP="00DF5B7D">
      <w:pPr>
        <w:jc w:val="both"/>
        <w:rPr>
          <w:rFonts w:ascii="Arial" w:hAnsi="Arial" w:cs="Arial"/>
          <w:lang w:val="bg-BG"/>
        </w:rPr>
      </w:pPr>
      <w:r w:rsidRPr="0024430E">
        <w:rPr>
          <w:rFonts w:ascii="Arial" w:hAnsi="Arial" w:cs="Arial"/>
          <w:lang w:val="bg-BG"/>
        </w:rPr>
        <w:t>The impact on the company's upstream profits and integrated gas comes from the prices of crude oil, natural gas and LNG. Segments weaken when prices are lower, and strengthen at higher prices. Purification margins, marketing margins, productivity and trading activities are leading the company's profits downstream.</w:t>
      </w:r>
    </w:p>
    <w:p w:rsidR="00DF5B7D" w:rsidRPr="00DF5B7D" w:rsidRDefault="00DF5B7D" w:rsidP="00DF5B7D">
      <w:pPr>
        <w:jc w:val="both"/>
        <w:rPr>
          <w:rFonts w:ascii="Arial" w:hAnsi="Arial" w:cs="Arial"/>
          <w:lang w:val="bg-BG"/>
        </w:rPr>
      </w:pPr>
      <w:r w:rsidRPr="00DF5B7D">
        <w:rPr>
          <w:rFonts w:ascii="Arial" w:hAnsi="Arial" w:cs="Arial"/>
          <w:lang w:val="bg-BG"/>
        </w:rPr>
        <w:t>Director change</w:t>
      </w:r>
    </w:p>
    <w:p w:rsidR="00DF5B7D" w:rsidRPr="00DF5B7D" w:rsidRDefault="00DF5B7D" w:rsidP="00DF5B7D">
      <w:pPr>
        <w:jc w:val="both"/>
        <w:rPr>
          <w:rFonts w:ascii="Arial" w:hAnsi="Arial" w:cs="Arial"/>
          <w:lang w:val="bg-BG"/>
        </w:rPr>
      </w:pPr>
      <w:r w:rsidRPr="00DF5B7D">
        <w:rPr>
          <w:rFonts w:ascii="Arial" w:hAnsi="Arial" w:cs="Arial"/>
          <w:lang w:val="bg-BG"/>
        </w:rPr>
        <w:lastRenderedPageBreak/>
        <w:t>Linda Stuntz, Non-executive Director, and Gerard Kleisterlee, Deputy Chair and Senior Independent Director, will not stand for re-election as Directors of the Company at the 2020 Annual General Meeting (AGM), having served as Directors for nine years.</w:t>
      </w:r>
    </w:p>
    <w:p w:rsidR="00DF5B7D" w:rsidRPr="00DF5B7D" w:rsidRDefault="00DF5B7D" w:rsidP="00DF5B7D">
      <w:pPr>
        <w:jc w:val="both"/>
        <w:rPr>
          <w:rFonts w:ascii="Arial" w:hAnsi="Arial" w:cs="Arial"/>
          <w:lang w:val="bg-BG"/>
        </w:rPr>
      </w:pPr>
      <w:r w:rsidRPr="00DF5B7D">
        <w:rPr>
          <w:rFonts w:ascii="Arial" w:hAnsi="Arial" w:cs="Arial"/>
          <w:lang w:val="bg-BG"/>
        </w:rPr>
        <w:t>Company Chair, Chad Holliday, said “Linda and Gerard have each proven themselves to be outstanding Directors, leaving legacies of which they should respectively be proud</w:t>
      </w:r>
    </w:p>
    <w:p w:rsidR="0079767F" w:rsidRPr="0079767F" w:rsidRDefault="0079767F" w:rsidP="009C3332">
      <w:pPr>
        <w:pStyle w:val="Heading1"/>
      </w:pPr>
      <w:bookmarkStart w:id="2" w:name="_Toc61470858"/>
      <w:r>
        <w:t>Part-B</w:t>
      </w:r>
      <w:bookmarkEnd w:id="2"/>
    </w:p>
    <w:p w:rsidR="001A0FAC" w:rsidRDefault="001A0FAC" w:rsidP="009C3332">
      <w:pPr>
        <w:pStyle w:val="Heading1"/>
        <w:rPr>
          <w:lang w:val="bg-BG"/>
        </w:rPr>
      </w:pPr>
      <w:bookmarkStart w:id="3" w:name="_Toc61470859"/>
      <w:r>
        <w:t xml:space="preserve">II. </w:t>
      </w:r>
      <w:r w:rsidRPr="001A0FAC">
        <w:t>F</w:t>
      </w:r>
      <w:r>
        <w:t>inancial analysis of Royal Dutch Shell</w:t>
      </w:r>
      <w:bookmarkEnd w:id="3"/>
    </w:p>
    <w:p w:rsidR="001A0FAC" w:rsidRPr="00AE4F64" w:rsidRDefault="00681198" w:rsidP="00AE4F64">
      <w:pPr>
        <w:jc w:val="both"/>
        <w:rPr>
          <w:rFonts w:ascii="Arial" w:hAnsi="Arial" w:cs="Arial"/>
        </w:rPr>
      </w:pPr>
      <w:r w:rsidRPr="00681198">
        <w:rPr>
          <w:rFonts w:ascii="Arial" w:hAnsi="Arial" w:cs="Arial"/>
          <w:lang w:val="bg-BG"/>
        </w:rPr>
        <w:t>A comparison of items in the financial statements of a business is an analysis of the ratio. The liquidity, efficiency of operations and profitability of an enterprise, as well as an assessment of a number of its problems, is made by the analysis of the ratio. outside the business. Insiders have better access to more detailed operational information about the organization. For them, the analysis of the ratio is less useful for this reason.</w:t>
      </w:r>
      <w:r w:rsidR="004C7832" w:rsidRPr="004C7832">
        <w:rPr>
          <w:rFonts w:ascii="Arial" w:hAnsi="Arial" w:cs="Arial"/>
          <w:lang w:val="bg-BG"/>
        </w:rPr>
        <w:t>In order to be able to calculate the profitability ratios for a year and thus to perform a qualitative analysis for different periods or years, the ratio analysis is used to make a more accurate comparison of the differe</w:t>
      </w:r>
      <w:r w:rsidR="004C7832">
        <w:rPr>
          <w:rFonts w:ascii="Arial" w:hAnsi="Arial" w:cs="Arial"/>
          <w:lang w:val="bg-BG"/>
        </w:rPr>
        <w:t>nt profit values that are shown</w:t>
      </w:r>
      <w:r w:rsidR="004C7832" w:rsidRPr="004C7832">
        <w:rPr>
          <w:rFonts w:ascii="Arial" w:hAnsi="Arial" w:cs="Arial"/>
          <w:lang w:val="bg-BG"/>
        </w:rPr>
        <w:t xml:space="preserve"> in the income statement.</w:t>
      </w:r>
      <w:r w:rsidR="002430D1" w:rsidRPr="002430D1">
        <w:t xml:space="preserve"> </w:t>
      </w:r>
      <w:r w:rsidR="002430D1" w:rsidRPr="002430D1">
        <w:rPr>
          <w:rFonts w:ascii="Arial" w:hAnsi="Arial" w:cs="Arial"/>
          <w:lang w:val="bg-BG"/>
        </w:rPr>
        <w:t>Profitability ratios, liquidity ratios, efficiency ratios and investment ratios - these are the four main groups in which the ratios can be grouped.</w:t>
      </w:r>
    </w:p>
    <w:p w:rsidR="001A0FAC" w:rsidRPr="00A226F8" w:rsidRDefault="001A0FAC" w:rsidP="009C3332">
      <w:pPr>
        <w:pStyle w:val="Heading1"/>
      </w:pPr>
      <w:r w:rsidRPr="001A0FAC">
        <w:t xml:space="preserve"> </w:t>
      </w:r>
      <w:bookmarkStart w:id="4" w:name="_Toc61470860"/>
      <w:r w:rsidRPr="001A0FAC">
        <w:t>Profitability ratios of Royal Dutch Shell (2015-2019)</w:t>
      </w:r>
      <w:r w:rsidR="00D11CF6">
        <w:t xml:space="preserve"> </w:t>
      </w:r>
      <w:r w:rsidRPr="00D11CF6">
        <w:t xml:space="preserve">and BP </w:t>
      </w:r>
      <w:proofErr w:type="spellStart"/>
      <w:r w:rsidRPr="00D11CF6">
        <w:t>Plc</w:t>
      </w:r>
      <w:proofErr w:type="spellEnd"/>
      <w:r w:rsidRPr="00D11CF6">
        <w:t xml:space="preserve"> (2019)</w:t>
      </w:r>
      <w:bookmarkEnd w:id="4"/>
    </w:p>
    <w:p w:rsidR="00A226F8" w:rsidRPr="00A226F8" w:rsidRDefault="00A226F8" w:rsidP="00A226F8">
      <w:pPr>
        <w:jc w:val="both"/>
        <w:rPr>
          <w:rFonts w:ascii="Arial" w:hAnsi="Arial" w:cs="Arial"/>
          <w:lang w:val="bg-BG"/>
        </w:rPr>
      </w:pPr>
      <w:r w:rsidRPr="00A226F8">
        <w:rPr>
          <w:rFonts w:ascii="Arial" w:hAnsi="Arial" w:cs="Arial"/>
          <w:lang w:val="bg-BG"/>
        </w:rPr>
        <w:t>The profitability of a company is one of the most important things for it. Financial ratios, which are profitability ratios, are one of the most commonly used tools for analyzing the financial condition of a company. They determine the return on equity of investors, as well as to determine the bottom of the company for its managers. For both the company's managers and its owners, profitability measures are of great importance. To steer a business in the right direction, management must have a measure of profitability. The management of the company must show the profitability of capital investors, if it wants to have external investors to buy shares in the company.</w:t>
      </w:r>
      <w:r w:rsidR="00027F00" w:rsidRPr="00027F00">
        <w:t xml:space="preserve"> </w:t>
      </w:r>
      <w:r w:rsidR="00027F00" w:rsidRPr="00027F00">
        <w:rPr>
          <w:rFonts w:ascii="Arial" w:hAnsi="Arial" w:cs="Arial"/>
          <w:lang w:val="bg-BG"/>
        </w:rPr>
        <w:t>The overall efficiency of the company in using its assets and results at the end of each quarter or year, as discussed and illustrated below, is shown by profitability ratios. Margin ratios and return ratios are the two groups into which profitability ratios are divided. 1. Representing the company's ability to convert sales dollars into profits at different stages of measurement, is the ratio that shows the margins. 2. The ability of the company to measure the overall efficiency of the company in generating returns for its shareholders are represented by the coefficients that show the return on capital.</w:t>
      </w:r>
    </w:p>
    <w:p w:rsidR="00850A7E" w:rsidRPr="009C3332" w:rsidRDefault="00850A7E" w:rsidP="0079767F">
      <w:pPr>
        <w:jc w:val="both"/>
      </w:pPr>
    </w:p>
    <w:p w:rsidR="0079767F" w:rsidRDefault="0079767F" w:rsidP="0079767F">
      <w:pPr>
        <w:jc w:val="both"/>
        <w:rPr>
          <w:rFonts w:ascii="Arial" w:hAnsi="Arial" w:cs="Arial"/>
          <w:b/>
        </w:rPr>
      </w:pPr>
      <w:r w:rsidRPr="0079767F">
        <w:rPr>
          <w:noProof/>
          <w:lang w:eastAsia="en-GB"/>
        </w:rPr>
        <w:lastRenderedPageBreak/>
        <w:drawing>
          <wp:inline distT="0" distB="0" distL="0" distR="0" wp14:anchorId="5AC3490A" wp14:editId="10D5F1CE">
            <wp:extent cx="5731510" cy="2433068"/>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433068"/>
                    </a:xfrm>
                    <a:prstGeom prst="rect">
                      <a:avLst/>
                    </a:prstGeom>
                    <a:noFill/>
                    <a:ln>
                      <a:noFill/>
                    </a:ln>
                  </pic:spPr>
                </pic:pic>
              </a:graphicData>
            </a:graphic>
          </wp:inline>
        </w:drawing>
      </w:r>
    </w:p>
    <w:p w:rsidR="00850A7E" w:rsidRPr="00AE4F64" w:rsidRDefault="00850A7E" w:rsidP="0079767F">
      <w:pPr>
        <w:jc w:val="both"/>
        <w:rPr>
          <w:rFonts w:ascii="Arial" w:hAnsi="Arial" w:cs="Arial"/>
          <w:sz w:val="18"/>
          <w:szCs w:val="18"/>
        </w:rPr>
      </w:pPr>
      <w:proofErr w:type="gramStart"/>
      <w:r w:rsidRPr="00AE4F64">
        <w:rPr>
          <w:rFonts w:ascii="Arial" w:hAnsi="Arial" w:cs="Arial"/>
          <w:sz w:val="18"/>
          <w:szCs w:val="18"/>
        </w:rPr>
        <w:t xml:space="preserve">Table </w:t>
      </w:r>
      <w:r w:rsidR="00AE4F64" w:rsidRPr="00AE4F64">
        <w:rPr>
          <w:rFonts w:ascii="Arial" w:hAnsi="Arial" w:cs="Arial"/>
          <w:sz w:val="18"/>
          <w:szCs w:val="18"/>
        </w:rPr>
        <w:t>1</w:t>
      </w:r>
      <w:r w:rsidRPr="00AE4F64">
        <w:rPr>
          <w:rFonts w:ascii="Arial" w:hAnsi="Arial" w:cs="Arial"/>
          <w:sz w:val="18"/>
          <w:szCs w:val="18"/>
        </w:rPr>
        <w:t>.</w:t>
      </w:r>
      <w:proofErr w:type="gramEnd"/>
      <w:r w:rsidRPr="00AE4F64">
        <w:rPr>
          <w:rFonts w:ascii="Arial" w:hAnsi="Arial" w:cs="Arial"/>
          <w:sz w:val="18"/>
          <w:szCs w:val="18"/>
        </w:rPr>
        <w:t xml:space="preserve"> Profitability ratios of Royal Dutch Shell (2015-2019) and BP </w:t>
      </w:r>
      <w:proofErr w:type="spellStart"/>
      <w:r w:rsidRPr="00AE4F64">
        <w:rPr>
          <w:rFonts w:ascii="Arial" w:hAnsi="Arial" w:cs="Arial"/>
          <w:sz w:val="18"/>
          <w:szCs w:val="18"/>
        </w:rPr>
        <w:t>Plc</w:t>
      </w:r>
      <w:proofErr w:type="spellEnd"/>
      <w:r w:rsidRPr="00AE4F64">
        <w:rPr>
          <w:rFonts w:ascii="Arial" w:hAnsi="Arial" w:cs="Arial"/>
          <w:sz w:val="18"/>
          <w:szCs w:val="18"/>
        </w:rPr>
        <w:t xml:space="preserve"> (2019)</w:t>
      </w:r>
    </w:p>
    <w:p w:rsidR="006F4570" w:rsidRDefault="008F2B81" w:rsidP="0079767F">
      <w:pPr>
        <w:jc w:val="both"/>
        <w:rPr>
          <w:rFonts w:ascii="Arial" w:hAnsi="Arial" w:cs="Arial"/>
        </w:rPr>
      </w:pPr>
      <w:r w:rsidRPr="008F2B81">
        <w:rPr>
          <w:rFonts w:ascii="Arial" w:hAnsi="Arial" w:cs="Arial"/>
          <w:lang w:val="bg-BG"/>
        </w:rPr>
        <w:t>The return on cash used is used to measure a company's profitability. Investors typically use this ratio to determine whether a corporation is safe to invest in it or not. Vital to the company's profitability, ROCE is the profitability information generated by the company's total investment (Pike &amp; Neale, 2009). By dividing operating profit by total equity plus current liabilities, this is how ROCE is calculated in this study. In their study, Saleem and Rehman (2011) calculated it in the same way. It is based on accounting figures that can be easily manipulated, this is one of its weaknesses. Sometimes the values ​​used to calculate them do not provide up-to-date information on the company's results, this is another weakness of this ratio. According to Watson &amp; Head (2010), despite its weaknesses, for the company's profitability, ROCE remains the</w:t>
      </w:r>
      <w:r w:rsidR="006F4570">
        <w:rPr>
          <w:rFonts w:ascii="Arial" w:hAnsi="Arial" w:cs="Arial"/>
          <w:lang w:val="bg-BG"/>
        </w:rPr>
        <w:t xml:space="preserve"> best indicator. </w:t>
      </w:r>
    </w:p>
    <w:p w:rsidR="006F4570" w:rsidRPr="006F4570" w:rsidRDefault="006F4570" w:rsidP="0079767F">
      <w:pPr>
        <w:jc w:val="both"/>
        <w:rPr>
          <w:rFonts w:ascii="Arial" w:hAnsi="Arial" w:cs="Arial"/>
        </w:rPr>
      </w:pPr>
      <w:r>
        <w:rPr>
          <w:rFonts w:ascii="Arial" w:hAnsi="Arial" w:cs="Arial"/>
        </w:rPr>
        <w:t xml:space="preserve">               </w:t>
      </w:r>
      <w:r>
        <w:rPr>
          <w:rFonts w:ascii="Arial" w:hAnsi="Arial" w:cs="Arial"/>
          <w:noProof/>
          <w:lang w:eastAsia="en-GB"/>
        </w:rPr>
        <w:drawing>
          <wp:inline distT="0" distB="0" distL="0" distR="0" wp14:anchorId="7AAA3842" wp14:editId="6F3D46AB">
            <wp:extent cx="4584700" cy="2749550"/>
            <wp:effectExtent l="0" t="0" r="635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rsidR="008F2B81" w:rsidRDefault="006F4570" w:rsidP="0079767F">
      <w:pPr>
        <w:jc w:val="both"/>
        <w:rPr>
          <w:rFonts w:ascii="Arial" w:hAnsi="Arial" w:cs="Arial"/>
          <w:lang w:val="bg-BG"/>
        </w:rPr>
      </w:pPr>
      <w:r>
        <w:rPr>
          <w:rFonts w:ascii="Arial" w:hAnsi="Arial" w:cs="Arial"/>
          <w:lang w:val="bg-BG"/>
        </w:rPr>
        <w:t xml:space="preserve">The </w:t>
      </w:r>
      <w:r>
        <w:rPr>
          <w:rFonts w:ascii="Arial" w:hAnsi="Arial" w:cs="Arial"/>
        </w:rPr>
        <w:t>graph</w:t>
      </w:r>
      <w:r>
        <w:rPr>
          <w:rFonts w:ascii="Arial" w:hAnsi="Arial" w:cs="Arial"/>
          <w:lang w:val="bg-BG"/>
        </w:rPr>
        <w:t xml:space="preserve"> </w:t>
      </w:r>
      <w:r>
        <w:rPr>
          <w:rFonts w:ascii="Arial" w:hAnsi="Arial" w:cs="Arial"/>
        </w:rPr>
        <w:t>above</w:t>
      </w:r>
      <w:r w:rsidR="008F2B81" w:rsidRPr="008F2B81">
        <w:rPr>
          <w:rFonts w:ascii="Arial" w:hAnsi="Arial" w:cs="Arial"/>
          <w:lang w:val="bg-BG"/>
        </w:rPr>
        <w:t xml:space="preserve"> shows the changes in ROCE for the last five years at Royal Dutch Shell, as well as the profitability indicators of BP Group, which will be compared with each other for the period from 2019.</w:t>
      </w:r>
      <w:r w:rsidRPr="006F4570">
        <w:t xml:space="preserve"> </w:t>
      </w:r>
      <w:r w:rsidRPr="006F4570">
        <w:rPr>
          <w:rFonts w:ascii="Arial" w:hAnsi="Arial" w:cs="Arial"/>
          <w:lang w:val="bg-BG"/>
        </w:rPr>
        <w:t xml:space="preserve">In fact, this chart shows the ratious of the company (ROSE, ROE and ROA) for a period of 5 years. Obviously, the three ratios move with almost identical indicators in the different years of the period under review. In 2015 their levels are the lowest, but in the next three years they increase relatively. This is due to good management </w:t>
      </w:r>
      <w:r w:rsidRPr="006F4570">
        <w:rPr>
          <w:rFonts w:ascii="Arial" w:hAnsi="Arial" w:cs="Arial"/>
          <w:lang w:val="bg-BG"/>
        </w:rPr>
        <w:lastRenderedPageBreak/>
        <w:t>and the money conversion cycle.</w:t>
      </w:r>
      <w:r w:rsidR="000317EB" w:rsidRPr="000317EB">
        <w:t xml:space="preserve"> </w:t>
      </w:r>
      <w:r w:rsidR="000317EB">
        <w:rPr>
          <w:rFonts w:ascii="Arial" w:hAnsi="Arial" w:cs="Arial"/>
        </w:rPr>
        <w:t>In table 1 c</w:t>
      </w:r>
      <w:r w:rsidR="000317EB" w:rsidRPr="000317EB">
        <w:rPr>
          <w:rFonts w:ascii="Arial" w:hAnsi="Arial" w:cs="Arial"/>
          <w:lang w:val="bg-BG"/>
        </w:rPr>
        <w:t>omparing the three profitability ratios (ROSE, ROE and ROA) of the oil company Shell for 2019, with the same ratios of BP Group for the same period, it is seen that the rate of profitability of Shell is almost twice as high as that of BP Group.</w:t>
      </w:r>
      <w:r w:rsidR="000317EB" w:rsidRPr="000317EB">
        <w:t xml:space="preserve"> </w:t>
      </w:r>
      <w:r w:rsidR="000317EB" w:rsidRPr="000317EB">
        <w:rPr>
          <w:rFonts w:ascii="Arial" w:hAnsi="Arial" w:cs="Arial"/>
          <w:lang w:val="bg-BG"/>
        </w:rPr>
        <w:t>This shows that Shell is more profitable and performs better in the oil market.</w:t>
      </w:r>
    </w:p>
    <w:p w:rsidR="003431CB" w:rsidRPr="008F2B81" w:rsidRDefault="003431CB" w:rsidP="0079767F">
      <w:pPr>
        <w:jc w:val="both"/>
        <w:rPr>
          <w:rFonts w:ascii="Arial" w:hAnsi="Arial" w:cs="Arial"/>
          <w:lang w:val="bg-BG"/>
        </w:rPr>
      </w:pPr>
      <w:r w:rsidRPr="003431CB">
        <w:rPr>
          <w:rFonts w:ascii="Arial" w:hAnsi="Arial" w:cs="Arial"/>
          <w:lang w:val="bg-BG"/>
        </w:rPr>
        <w:t xml:space="preserve">The percentage of profit that the company receives from its activities before taxes and interest is reflected in </w:t>
      </w:r>
      <w:r w:rsidRPr="003431CB">
        <w:rPr>
          <w:rFonts w:ascii="Arial" w:hAnsi="Arial" w:cs="Arial"/>
          <w:b/>
          <w:lang w:val="bg-BG"/>
        </w:rPr>
        <w:t>the operating profit margin</w:t>
      </w:r>
      <w:r w:rsidRPr="003431CB">
        <w:rPr>
          <w:rFonts w:ascii="Arial" w:hAnsi="Arial" w:cs="Arial"/>
          <w:lang w:val="bg-BG"/>
        </w:rPr>
        <w:t xml:space="preserve"> is a coefficient of profitability or efficiency. By dividing the operating profit by total revenue, is the way to calculate it. A percentage of the operating ratio is the company's operating expenses. Most often, this financial ratio is used for industries for which, for maintenance and operation, a large percentage of revenue is required. It is beneficial for the organization to have a higher operating margin ratio. This means that operating income takes most of the company's revenue. To maintain the financial health of the company, the operating margin ratio is of great importance.</w:t>
      </w:r>
      <w:r w:rsidR="006E2FA9" w:rsidRPr="006E2FA9">
        <w:t xml:space="preserve"> </w:t>
      </w:r>
      <w:r w:rsidR="006E2FA9" w:rsidRPr="006E2FA9">
        <w:rPr>
          <w:rFonts w:ascii="Arial" w:hAnsi="Arial" w:cs="Arial"/>
          <w:lang w:val="bg-BG"/>
        </w:rPr>
        <w:t>Table 1 shows that for the period from 2015 to 2019 that the rate of return increases proportionally, almost doubled each year. Only in 2019 there is a slight decline due to higher operating costs. Comparing Shell with BP Group for the period from 2019, it can be seen that the value of Shell's profitability ratio is twice as high as that of BP Group. This again, as with the other three profitability ratios, shows that Shell is more profitable than BP Group.</w:t>
      </w:r>
    </w:p>
    <w:p w:rsidR="00D11CF6" w:rsidRPr="001D4D53" w:rsidRDefault="00D11CF6" w:rsidP="009C3332">
      <w:pPr>
        <w:pStyle w:val="Heading1"/>
      </w:pPr>
      <w:bookmarkStart w:id="5" w:name="_Toc61470861"/>
      <w:r w:rsidRPr="00D11CF6">
        <w:t xml:space="preserve">Efficiency ratios of Royal Dutch Shell (2015-2019) and BP </w:t>
      </w:r>
      <w:proofErr w:type="spellStart"/>
      <w:r w:rsidRPr="00D11CF6">
        <w:t>Plc</w:t>
      </w:r>
      <w:proofErr w:type="spellEnd"/>
      <w:r w:rsidRPr="00D11CF6">
        <w:t xml:space="preserve"> (2019)</w:t>
      </w:r>
      <w:bookmarkEnd w:id="5"/>
    </w:p>
    <w:p w:rsidR="001D4D53" w:rsidRPr="00B93E48" w:rsidRDefault="00B93E48" w:rsidP="001D4D53">
      <w:pPr>
        <w:jc w:val="both"/>
        <w:rPr>
          <w:rFonts w:ascii="Arial" w:hAnsi="Arial" w:cs="Arial"/>
          <w:lang w:val="bg-BG"/>
        </w:rPr>
      </w:pPr>
      <w:r w:rsidRPr="00B93E48">
        <w:rPr>
          <w:rFonts w:ascii="Arial" w:hAnsi="Arial" w:cs="Arial"/>
          <w:lang w:val="bg-BG"/>
        </w:rPr>
        <w:t>The company's ability to use its assets and manage its liabilities effectively over the current period or in the short term is the efficiency ratio. Inventory turnover ratio, asset turnover ratio and receivables turnover ratio are included in the efficiency ratios. When the bank's costs increase or its revenues decrease, it means that the efficiency ratio has increased. An optimum efficiency ratio of 50% or less is considered optimal. Business is better the higher this ratio is. The way to improve the ratio is to increase revenue, and this can be done by serving more customers</w:t>
      </w:r>
      <w:r>
        <w:rPr>
          <w:rFonts w:ascii="Arial" w:hAnsi="Arial" w:cs="Arial"/>
          <w:lang w:val="bg-BG"/>
        </w:rPr>
        <w:t xml:space="preserve"> (</w:t>
      </w:r>
      <w:r w:rsidRPr="00B93E48">
        <w:rPr>
          <w:rFonts w:ascii="Arial" w:hAnsi="Arial" w:cs="Arial"/>
          <w:lang w:val="bg-BG"/>
        </w:rPr>
        <w:t>ocom.com.au/</w:t>
      </w:r>
      <w:r>
        <w:rPr>
          <w:rFonts w:ascii="Arial" w:hAnsi="Arial" w:cs="Arial"/>
          <w:lang w:val="bg-BG"/>
        </w:rPr>
        <w:t>)</w:t>
      </w:r>
      <w:r w:rsidRPr="00B93E48">
        <w:rPr>
          <w:rFonts w:ascii="Arial" w:hAnsi="Arial" w:cs="Arial"/>
          <w:lang w:val="bg-BG"/>
        </w:rPr>
        <w:t>.</w:t>
      </w:r>
    </w:p>
    <w:p w:rsidR="0079767F" w:rsidRDefault="0079767F" w:rsidP="0079767F">
      <w:pPr>
        <w:jc w:val="both"/>
        <w:rPr>
          <w:rFonts w:ascii="Arial" w:hAnsi="Arial" w:cs="Arial"/>
          <w:b/>
        </w:rPr>
      </w:pPr>
      <w:r w:rsidRPr="0079767F">
        <w:rPr>
          <w:noProof/>
          <w:lang w:eastAsia="en-GB"/>
        </w:rPr>
        <w:drawing>
          <wp:inline distT="0" distB="0" distL="0" distR="0" wp14:anchorId="1CCCF05B" wp14:editId="7D2D8BA0">
            <wp:extent cx="5731510" cy="1224392"/>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224392"/>
                    </a:xfrm>
                    <a:prstGeom prst="rect">
                      <a:avLst/>
                    </a:prstGeom>
                    <a:noFill/>
                    <a:ln>
                      <a:noFill/>
                    </a:ln>
                  </pic:spPr>
                </pic:pic>
              </a:graphicData>
            </a:graphic>
          </wp:inline>
        </w:drawing>
      </w:r>
    </w:p>
    <w:p w:rsidR="00850A7E" w:rsidRDefault="00AE4F64" w:rsidP="0079767F">
      <w:pPr>
        <w:jc w:val="both"/>
        <w:rPr>
          <w:rFonts w:ascii="Arial" w:hAnsi="Arial" w:cs="Arial"/>
          <w:sz w:val="18"/>
          <w:szCs w:val="18"/>
          <w:lang w:val="bg-BG"/>
        </w:rPr>
      </w:pPr>
      <w:proofErr w:type="gramStart"/>
      <w:r w:rsidRPr="00AE4F64">
        <w:rPr>
          <w:rFonts w:ascii="Arial" w:hAnsi="Arial" w:cs="Arial"/>
          <w:sz w:val="18"/>
          <w:szCs w:val="18"/>
        </w:rPr>
        <w:t>Table 2</w:t>
      </w:r>
      <w:r w:rsidR="00850A7E" w:rsidRPr="00AE4F64">
        <w:rPr>
          <w:rFonts w:ascii="Arial" w:hAnsi="Arial" w:cs="Arial"/>
          <w:sz w:val="18"/>
          <w:szCs w:val="18"/>
        </w:rPr>
        <w:t>.</w:t>
      </w:r>
      <w:proofErr w:type="gramEnd"/>
      <w:r w:rsidR="00850A7E" w:rsidRPr="00AE4F64">
        <w:rPr>
          <w:sz w:val="18"/>
          <w:szCs w:val="18"/>
        </w:rPr>
        <w:t xml:space="preserve"> </w:t>
      </w:r>
      <w:r w:rsidR="00850A7E" w:rsidRPr="00AE4F64">
        <w:rPr>
          <w:rFonts w:ascii="Arial" w:hAnsi="Arial" w:cs="Arial"/>
          <w:sz w:val="18"/>
          <w:szCs w:val="18"/>
        </w:rPr>
        <w:t xml:space="preserve">Efficiency ratios of Royal Dutch Shell (2015-2019) and BP </w:t>
      </w:r>
      <w:proofErr w:type="spellStart"/>
      <w:r w:rsidR="00850A7E" w:rsidRPr="00AE4F64">
        <w:rPr>
          <w:rFonts w:ascii="Arial" w:hAnsi="Arial" w:cs="Arial"/>
          <w:sz w:val="18"/>
          <w:szCs w:val="18"/>
        </w:rPr>
        <w:t>Plc</w:t>
      </w:r>
      <w:proofErr w:type="spellEnd"/>
      <w:r w:rsidR="00850A7E" w:rsidRPr="00AE4F64">
        <w:rPr>
          <w:rFonts w:ascii="Arial" w:hAnsi="Arial" w:cs="Arial"/>
          <w:sz w:val="18"/>
          <w:szCs w:val="18"/>
        </w:rPr>
        <w:t xml:space="preserve"> (2019)</w:t>
      </w:r>
    </w:p>
    <w:p w:rsidR="00023B8B" w:rsidRDefault="00023B8B" w:rsidP="006E52DA">
      <w:pPr>
        <w:jc w:val="both"/>
        <w:rPr>
          <w:rFonts w:ascii="Arial" w:hAnsi="Arial" w:cs="Arial"/>
          <w:lang w:val="bg-BG"/>
        </w:rPr>
      </w:pPr>
      <w:r w:rsidRPr="00023B8B">
        <w:rPr>
          <w:rFonts w:ascii="Arial" w:hAnsi="Arial" w:cs="Arial"/>
          <w:lang w:val="bg-BG"/>
        </w:rPr>
        <w:t xml:space="preserve">The ratio of total sales or revenue to average assets is </w:t>
      </w:r>
      <w:r w:rsidRPr="00023B8B">
        <w:rPr>
          <w:rFonts w:ascii="Arial" w:hAnsi="Arial" w:cs="Arial"/>
          <w:b/>
          <w:lang w:val="bg-BG"/>
        </w:rPr>
        <w:t>the assets</w:t>
      </w:r>
      <w:r w:rsidRPr="00023B8B">
        <w:rPr>
          <w:rFonts w:ascii="Arial" w:hAnsi="Arial" w:cs="Arial"/>
          <w:b/>
        </w:rPr>
        <w:t xml:space="preserve"> turnover</w:t>
      </w:r>
      <w:r w:rsidRPr="00023B8B">
        <w:rPr>
          <w:rFonts w:ascii="Arial" w:hAnsi="Arial" w:cs="Arial"/>
          <w:lang w:val="bg-BG"/>
        </w:rPr>
        <w:t>. To understand investors how effectively companies use their assets to generate sales, they use this metric. Also, to compare similar companies in the same sector or group, investors use the asset turnover ratio. The ratio between the value of sales or revenue of the company and the value of its assets, the turnover ratio of assets. Determining factor for the efficiency of the company is the turnover of assets. The efficiency with which a company expands its assets is an indicator of this.</w:t>
      </w:r>
      <w:r w:rsidRPr="00023B8B">
        <w:t xml:space="preserve"> </w:t>
      </w:r>
      <w:r w:rsidRPr="00023B8B">
        <w:rPr>
          <w:rFonts w:ascii="Arial" w:hAnsi="Arial" w:cs="Arial"/>
          <w:lang w:val="bg-BG"/>
        </w:rPr>
        <w:t>An asset turnover ratio of 2.5 or more can be considered good in the retail sector, while an asset turnover of between 0.25 and 0.5 in the utilities sector is good.</w:t>
      </w:r>
      <w:r w:rsidRPr="00023B8B">
        <w:t xml:space="preserve"> </w:t>
      </w:r>
      <w:r w:rsidRPr="00023B8B">
        <w:rPr>
          <w:rFonts w:ascii="Arial" w:hAnsi="Arial" w:cs="Arial"/>
          <w:lang w:val="bg-BG"/>
        </w:rPr>
        <w:t xml:space="preserve">The fact that the company uses its assets more efficiently can be seen from the higher </w:t>
      </w:r>
      <w:r w:rsidRPr="00023B8B">
        <w:rPr>
          <w:rFonts w:ascii="Arial" w:hAnsi="Arial" w:cs="Arial"/>
          <w:lang w:val="bg-BG"/>
        </w:rPr>
        <w:lastRenderedPageBreak/>
        <w:t>turnover ratios. When a company does not use its assets efficiently, it is shown by lower ratio levels. In this case, there are probably problems with management or production. When a company's net sales are equal to the average total assets for the year, the ratio is. In other words, the company generates sales for every pound invested in assets.</w:t>
      </w:r>
      <w:r w:rsidR="006E52DA" w:rsidRPr="006E52DA">
        <w:t xml:space="preserve"> </w:t>
      </w:r>
      <w:r w:rsidR="006E52DA" w:rsidRPr="006E52DA">
        <w:rPr>
          <w:rFonts w:ascii="Arial" w:hAnsi="Arial" w:cs="Arial"/>
          <w:lang w:val="bg-BG"/>
        </w:rPr>
        <w:t>Table 2 shows for the period from 2015 to 2019 the levels of assetss turnover ratio. The curve of their period is variable and the average for the five years is about 0.7836, which in turn is a relatively good level of this ratio. Comparing BP Group sys Shell for the period 2019, it can be seen that BP Group presents it</w:t>
      </w:r>
      <w:r w:rsidR="006E52DA">
        <w:rPr>
          <w:rFonts w:ascii="Arial" w:hAnsi="Arial" w:cs="Arial"/>
          <w:lang w:val="bg-BG"/>
        </w:rPr>
        <w:t>self in a slightly better light</w:t>
      </w:r>
      <w:r w:rsidR="006E52DA" w:rsidRPr="006E52DA">
        <w:t xml:space="preserve"> </w:t>
      </w:r>
      <w:r w:rsidR="006E52DA">
        <w:rPr>
          <w:rFonts w:ascii="Arial" w:hAnsi="Arial" w:cs="Arial"/>
          <w:lang w:val="bg-BG"/>
        </w:rPr>
        <w:t>(</w:t>
      </w:r>
      <w:r w:rsidR="006E52DA" w:rsidRPr="006E52DA">
        <w:rPr>
          <w:rFonts w:ascii="Arial" w:hAnsi="Arial" w:cs="Arial"/>
          <w:lang w:val="bg-BG"/>
        </w:rPr>
        <w:t>Melville, 2017, p.369)</w:t>
      </w:r>
      <w:r w:rsidR="006E52DA">
        <w:rPr>
          <w:rFonts w:ascii="Arial" w:hAnsi="Arial" w:cs="Arial"/>
          <w:lang w:val="bg-BG"/>
        </w:rPr>
        <w:t>.</w:t>
      </w:r>
    </w:p>
    <w:p w:rsidR="00112D9F" w:rsidRPr="006F4570" w:rsidRDefault="00112D9F" w:rsidP="006E52DA">
      <w:pPr>
        <w:jc w:val="both"/>
        <w:rPr>
          <w:rFonts w:ascii="Arial" w:hAnsi="Arial" w:cs="Arial"/>
        </w:rPr>
      </w:pPr>
      <w:r w:rsidRPr="00112D9F">
        <w:rPr>
          <w:rFonts w:ascii="Arial" w:hAnsi="Arial" w:cs="Arial"/>
          <w:b/>
          <w:lang w:val="bg-BG"/>
        </w:rPr>
        <w:t>The fixed assets turnover</w:t>
      </w:r>
      <w:r w:rsidRPr="00112D9F">
        <w:rPr>
          <w:rFonts w:ascii="Arial" w:hAnsi="Arial" w:cs="Arial"/>
          <w:lang w:val="bg-BG"/>
        </w:rPr>
        <w:t xml:space="preserve"> ratio is usually used by analysts to measure operating results. The company's ability to generate net sales from its investments in fixed assets, namely property, plant and equipment, is measured by an efficiency ratio that compares net sales (income statement) with fixed assets (balance sheet). How efficiently a company is to generate sales from its existing fixed assets is revealed by the turnover ratio of fixed assets revealed. If management uses its fixed assets more efficiently, the ratio is higher. The company's ability to generate solid profits or cash flows does not say anything about the high ratio of fixed assets turnover ratio. An indicator of greater efficiency in managing fixed assets investments is the higher turnover ratio, but whether one company has been effective in generating income from such investments, there is no exact number or range to dictate this. Analysts and investors therefore compare the company's latest ratio or average ratios for the company's industry as a whole.</w:t>
      </w:r>
      <w:r w:rsidR="00056A16" w:rsidRPr="00056A16">
        <w:t xml:space="preserve"> </w:t>
      </w:r>
      <w:r w:rsidR="00056A16" w:rsidRPr="00056A16">
        <w:rPr>
          <w:rFonts w:ascii="Arial" w:hAnsi="Arial" w:cs="Arial"/>
          <w:lang w:val="bg-BG"/>
        </w:rPr>
        <w:t>Table 2 shows for the period from 2015 to 2019 the levels of the turnover ratio of fixed assets. For a period of 5 years they vary. The level of turnover ratio of Shell's fixed assets in 2019 compared to BP Group is slightly lower, but this is not an indication that they are not performing well.</w:t>
      </w:r>
    </w:p>
    <w:p w:rsidR="00F93C20" w:rsidRPr="00476E26" w:rsidRDefault="001D544D" w:rsidP="009C3332">
      <w:pPr>
        <w:pStyle w:val="Heading1"/>
      </w:pPr>
      <w:r w:rsidRPr="001D544D">
        <w:t xml:space="preserve"> </w:t>
      </w:r>
      <w:bookmarkStart w:id="6" w:name="_Toc61470862"/>
      <w:r w:rsidRPr="001D544D">
        <w:t xml:space="preserve">Liquidity ratios of Royal Dutch Shell (2015-2019) and BP </w:t>
      </w:r>
      <w:proofErr w:type="spellStart"/>
      <w:r w:rsidRPr="001D544D">
        <w:t>Plc</w:t>
      </w:r>
      <w:proofErr w:type="spellEnd"/>
      <w:r w:rsidRPr="001D544D">
        <w:t xml:space="preserve"> (2019)</w:t>
      </w:r>
      <w:bookmarkEnd w:id="6"/>
    </w:p>
    <w:p w:rsidR="00476E26" w:rsidRPr="001E595F" w:rsidRDefault="0012273A" w:rsidP="00476E26">
      <w:pPr>
        <w:jc w:val="both"/>
        <w:rPr>
          <w:rFonts w:ascii="Arial" w:hAnsi="Arial" w:cs="Arial"/>
        </w:rPr>
      </w:pPr>
      <w:r w:rsidRPr="0012273A">
        <w:rPr>
          <w:rFonts w:ascii="Arial" w:hAnsi="Arial" w:cs="Arial"/>
          <w:lang w:val="bg-BG"/>
        </w:rPr>
        <w:t>The liquidity ratio is used to determine the company's ability to pay its short-term debt. The ability of a company to use its current or liquid assets to cover its current liabilities is determined by this indicator.</w:t>
      </w:r>
      <w:r w:rsidR="00324F55" w:rsidRPr="00324F55">
        <w:t xml:space="preserve"> </w:t>
      </w:r>
      <w:r w:rsidR="00324F55" w:rsidRPr="00324F55">
        <w:rPr>
          <w:rFonts w:ascii="Arial" w:hAnsi="Arial" w:cs="Arial"/>
          <w:lang w:val="bg-BG"/>
        </w:rPr>
        <w:t>Any amount greater than 1 is a good liquidity ratio. The company is very unlikely to face financial difficulties. It is a good indicator that the company is in good financial health. The higher the safety margin, the higher the ratio that a business has to cover its current liabilities.</w:t>
      </w:r>
      <w:r w:rsidR="001E595F" w:rsidRPr="001E595F">
        <w:t xml:space="preserve"> </w:t>
      </w:r>
      <w:r w:rsidR="001E595F" w:rsidRPr="001E595F">
        <w:rPr>
          <w:rFonts w:ascii="Arial" w:hAnsi="Arial" w:cs="Arial"/>
          <w:lang w:val="bg-BG"/>
        </w:rPr>
        <w:t xml:space="preserve">This report examines three of the ratios of the liquidity ratio. These are the </w:t>
      </w:r>
      <w:r w:rsidR="001E595F" w:rsidRPr="00A8443F">
        <w:rPr>
          <w:rFonts w:ascii="Arial" w:hAnsi="Arial" w:cs="Arial"/>
          <w:b/>
          <w:lang w:val="bg-BG"/>
        </w:rPr>
        <w:t>Current ratio, Quick ratios, and Cash ratios</w:t>
      </w:r>
      <w:r w:rsidR="001E595F" w:rsidRPr="001E595F">
        <w:rPr>
          <w:rFonts w:ascii="Arial" w:hAnsi="Arial" w:cs="Arial"/>
          <w:lang w:val="bg-BG"/>
        </w:rPr>
        <w:t>.</w:t>
      </w:r>
    </w:p>
    <w:p w:rsidR="0079767F" w:rsidRPr="0078649A" w:rsidRDefault="0078649A" w:rsidP="0079767F">
      <w:pPr>
        <w:jc w:val="both"/>
        <w:rPr>
          <w:rFonts w:ascii="Arial" w:hAnsi="Arial" w:cs="Arial"/>
          <w:b/>
          <w:lang w:val="bg-BG"/>
        </w:rPr>
      </w:pPr>
      <w:r w:rsidRPr="0078649A">
        <w:rPr>
          <w:noProof/>
          <w:lang w:eastAsia="en-GB"/>
        </w:rPr>
        <w:drawing>
          <wp:inline distT="0" distB="0" distL="0" distR="0" wp14:anchorId="57527EA5" wp14:editId="12D17429">
            <wp:extent cx="5731510" cy="2153123"/>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153123"/>
                    </a:xfrm>
                    <a:prstGeom prst="rect">
                      <a:avLst/>
                    </a:prstGeom>
                    <a:noFill/>
                    <a:ln>
                      <a:noFill/>
                    </a:ln>
                  </pic:spPr>
                </pic:pic>
              </a:graphicData>
            </a:graphic>
          </wp:inline>
        </w:drawing>
      </w:r>
    </w:p>
    <w:p w:rsidR="00850A7E" w:rsidRDefault="00850A7E" w:rsidP="0079767F">
      <w:pPr>
        <w:jc w:val="both"/>
        <w:rPr>
          <w:rFonts w:ascii="Arial" w:hAnsi="Arial" w:cs="Arial"/>
          <w:sz w:val="18"/>
          <w:szCs w:val="18"/>
          <w:lang w:val="bg-BG"/>
        </w:rPr>
      </w:pPr>
      <w:proofErr w:type="gramStart"/>
      <w:r w:rsidRPr="00A8443F">
        <w:rPr>
          <w:rFonts w:ascii="Arial" w:hAnsi="Arial" w:cs="Arial"/>
          <w:sz w:val="18"/>
          <w:szCs w:val="18"/>
        </w:rPr>
        <w:t xml:space="preserve">Table </w:t>
      </w:r>
      <w:r w:rsidR="00AE4F64">
        <w:rPr>
          <w:rFonts w:ascii="Arial" w:hAnsi="Arial" w:cs="Arial"/>
          <w:sz w:val="18"/>
          <w:szCs w:val="18"/>
        </w:rPr>
        <w:t>3</w:t>
      </w:r>
      <w:r w:rsidRPr="00A8443F">
        <w:rPr>
          <w:rFonts w:ascii="Arial" w:hAnsi="Arial" w:cs="Arial"/>
          <w:sz w:val="18"/>
          <w:szCs w:val="18"/>
        </w:rPr>
        <w:t>.</w:t>
      </w:r>
      <w:proofErr w:type="gramEnd"/>
      <w:r w:rsidRPr="00A8443F">
        <w:rPr>
          <w:sz w:val="18"/>
          <w:szCs w:val="18"/>
        </w:rPr>
        <w:t xml:space="preserve"> </w:t>
      </w:r>
      <w:r w:rsidRPr="00A8443F">
        <w:rPr>
          <w:rFonts w:ascii="Arial" w:hAnsi="Arial" w:cs="Arial"/>
          <w:sz w:val="18"/>
          <w:szCs w:val="18"/>
        </w:rPr>
        <w:t xml:space="preserve">Liquidity ratios of Royal Dutch Shell (2015-2019) and BP </w:t>
      </w:r>
      <w:proofErr w:type="spellStart"/>
      <w:r w:rsidRPr="00A8443F">
        <w:rPr>
          <w:rFonts w:ascii="Arial" w:hAnsi="Arial" w:cs="Arial"/>
          <w:sz w:val="18"/>
          <w:szCs w:val="18"/>
        </w:rPr>
        <w:t>Plc</w:t>
      </w:r>
      <w:proofErr w:type="spellEnd"/>
      <w:r w:rsidRPr="00A8443F">
        <w:rPr>
          <w:rFonts w:ascii="Arial" w:hAnsi="Arial" w:cs="Arial"/>
          <w:sz w:val="18"/>
          <w:szCs w:val="18"/>
        </w:rPr>
        <w:t xml:space="preserve"> (2019)</w:t>
      </w:r>
    </w:p>
    <w:p w:rsidR="00A8443F" w:rsidRPr="000B5BFF" w:rsidRDefault="00A8443F" w:rsidP="0079767F">
      <w:pPr>
        <w:jc w:val="both"/>
        <w:rPr>
          <w:rFonts w:ascii="Arial" w:hAnsi="Arial" w:cs="Arial"/>
          <w:lang w:val="bg-BG"/>
        </w:rPr>
      </w:pPr>
      <w:r w:rsidRPr="00A8443F">
        <w:rPr>
          <w:rFonts w:ascii="Arial" w:hAnsi="Arial" w:cs="Arial"/>
          <w:lang w:val="bg-BG"/>
        </w:rPr>
        <w:lastRenderedPageBreak/>
        <w:t xml:space="preserve">The values ​​of the </w:t>
      </w:r>
      <w:r w:rsidRPr="00A8443F">
        <w:rPr>
          <w:rFonts w:ascii="Arial" w:hAnsi="Arial" w:cs="Arial"/>
          <w:b/>
          <w:lang w:val="bg-BG"/>
        </w:rPr>
        <w:t>current ratio</w:t>
      </w:r>
      <w:r w:rsidRPr="00A8443F">
        <w:rPr>
          <w:rFonts w:ascii="Arial" w:hAnsi="Arial" w:cs="Arial"/>
          <w:lang w:val="bg-BG"/>
        </w:rPr>
        <w:t xml:space="preserve"> is of great importance for the liquidity of the company.</w:t>
      </w:r>
      <w:r w:rsidR="00347780" w:rsidRPr="00347780">
        <w:t xml:space="preserve"> </w:t>
      </w:r>
      <w:r w:rsidR="00347780" w:rsidRPr="00347780">
        <w:rPr>
          <w:rFonts w:ascii="Arial" w:hAnsi="Arial" w:cs="Arial"/>
          <w:lang w:val="bg-BG"/>
        </w:rPr>
        <w:t>An indicator for the balance sheet financial performance of the company's liquidity is the current ratio. The company's ability to meet short-term debt obligations is shown by the current ratio. Whether a company has enough resources to pay off its debts over the next 12 months depends on the current ratio. This ratio is used by potential lenders when deciding to grant short-term loans. What is the efficiency of the company's operating cycle or its ability to turn its product into money, the current ratio can give an idea of ​​this. Working capital ratio is another name for the current ratio.</w:t>
      </w:r>
      <w:r w:rsidRPr="00A8443F">
        <w:rPr>
          <w:rFonts w:ascii="Arial" w:hAnsi="Arial" w:cs="Arial"/>
          <w:lang w:val="bg-BG"/>
        </w:rPr>
        <w:t xml:space="preserve"> The status of the company is much better, with higher values ​​of th</w:t>
      </w:r>
      <w:r w:rsidR="00347780">
        <w:rPr>
          <w:rFonts w:ascii="Arial" w:hAnsi="Arial" w:cs="Arial"/>
          <w:lang w:val="bg-BG"/>
        </w:rPr>
        <w:t xml:space="preserve">e ratio (Watson &amp; Head, 2010). </w:t>
      </w:r>
      <w:r w:rsidR="00347780">
        <w:rPr>
          <w:rFonts w:ascii="Arial" w:hAnsi="Arial" w:cs="Arial"/>
        </w:rPr>
        <w:t>For some companies t</w:t>
      </w:r>
      <w:r w:rsidR="00347780">
        <w:rPr>
          <w:rFonts w:ascii="Arial" w:hAnsi="Arial" w:cs="Arial"/>
          <w:lang w:val="bg-BG"/>
        </w:rPr>
        <w:t>he current ratio</w:t>
      </w:r>
      <w:r w:rsidRPr="00A8443F">
        <w:rPr>
          <w:rFonts w:ascii="Arial" w:hAnsi="Arial" w:cs="Arial"/>
          <w:lang w:val="bg-BG"/>
        </w:rPr>
        <w:t xml:space="preserve"> 2</w:t>
      </w:r>
      <w:r w:rsidR="00347780">
        <w:rPr>
          <w:rFonts w:ascii="Arial" w:hAnsi="Arial" w:cs="Arial"/>
        </w:rPr>
        <w:t xml:space="preserve"> is good</w:t>
      </w:r>
      <w:r w:rsidRPr="00A8443F">
        <w:rPr>
          <w:rFonts w:ascii="Arial" w:hAnsi="Arial" w:cs="Arial"/>
          <w:lang w:val="bg-BG"/>
        </w:rPr>
        <w:t>, but other companies are happy with the current odds of 1.5. A good enough indicator of problems in fulfilling its current obligations is a ratio below one. Strong operating cash flow can often be a support for the low current ratio. Also, there may be problems with working capital management at high values ​​of the current ratio. . Values ​​above 2 are accepted. As investing in current assets does not generate a return for the organizations, the results of the ratios show a negative relationship between the liquidity and profitability of the company (Pike &amp; Neale, 2009).</w:t>
      </w:r>
      <w:r w:rsidR="00347780">
        <w:rPr>
          <w:rFonts w:ascii="Arial" w:hAnsi="Arial" w:cs="Arial"/>
        </w:rPr>
        <w:t xml:space="preserve"> </w:t>
      </w:r>
      <w:r w:rsidR="00AE4F64">
        <w:rPr>
          <w:rFonts w:ascii="Arial" w:hAnsi="Arial" w:cs="Arial"/>
        </w:rPr>
        <w:t>Table 3</w:t>
      </w:r>
      <w:r w:rsidR="0091074A" w:rsidRPr="0091074A">
        <w:rPr>
          <w:rFonts w:ascii="Arial" w:hAnsi="Arial" w:cs="Arial"/>
        </w:rPr>
        <w:t xml:space="preserve"> above shows that the current ratio in the oil company Shell varies in the period from 2015 to 2019. In 2015 the current ratio was 1.31: 1, in 2016 - 1.17: 1, 2017 - 1.19: 1, in 2018 - 1.25: 1 and in 2019 1.16: 1, which in turn shows that the company's ability to pay its short-term liabilities is volatile. This depends on the company's profit over the years and also on the company's costs for each year. When costs are low the profit is higher. Therefore, the company's ability to repay short-term liabilities is greater. For the period 2019, comparing Shell with one of the competitors in the market - BP Group, we see that for the given period of BP Group the current ratio is 1.12: 1 and for Shell 1.16 :. The difference is not large, but it can be seen that in the given period Shell is in a better position to repay its current liabilities. Therefore, investors will prefer Shell compared to BP Group.</w:t>
      </w:r>
    </w:p>
    <w:p w:rsidR="008E2045" w:rsidRDefault="008E2045" w:rsidP="0079767F">
      <w:pPr>
        <w:jc w:val="both"/>
        <w:rPr>
          <w:rFonts w:ascii="Arial" w:hAnsi="Arial" w:cs="Arial"/>
          <w:lang w:val="bg-BG"/>
        </w:rPr>
      </w:pPr>
      <w:r>
        <w:rPr>
          <w:rFonts w:ascii="Arial" w:hAnsi="Arial" w:cs="Arial"/>
          <w:lang w:val="bg-BG"/>
        </w:rPr>
        <w:t xml:space="preserve">The </w:t>
      </w:r>
      <w:r w:rsidRPr="008E2045">
        <w:rPr>
          <w:rFonts w:ascii="Arial" w:hAnsi="Arial" w:cs="Arial"/>
          <w:b/>
        </w:rPr>
        <w:t>quick</w:t>
      </w:r>
      <w:r w:rsidRPr="008E2045">
        <w:rPr>
          <w:rFonts w:ascii="Arial" w:hAnsi="Arial" w:cs="Arial"/>
          <w:b/>
          <w:lang w:val="bg-BG"/>
        </w:rPr>
        <w:t xml:space="preserve"> ratio</w:t>
      </w:r>
      <w:r w:rsidRPr="008E2045">
        <w:rPr>
          <w:rFonts w:ascii="Arial" w:hAnsi="Arial" w:cs="Arial"/>
          <w:lang w:val="bg-BG"/>
        </w:rPr>
        <w:t>, using its most liquid assets, shows the company's ability to meet its short-term obligations. Fast assets are those assets of the company that can be quickly converted into cash. The fast ratio can measure the financial strength or weakness of a company.</w:t>
      </w:r>
      <w:r w:rsidR="000B5BFF" w:rsidRPr="000B5BFF">
        <w:t xml:space="preserve"> </w:t>
      </w:r>
      <w:r w:rsidR="000B5BFF" w:rsidRPr="000B5BFF">
        <w:rPr>
          <w:rFonts w:ascii="Arial" w:hAnsi="Arial" w:cs="Arial"/>
          <w:lang w:val="bg-BG"/>
        </w:rPr>
        <w:t>The company's ability to pay its current liabilities without the need to sell its inventory or obtain additional financing is the fast ratio. The company has better liquidity and financial health when the ratio is higher. Conversely, the probability that the company will struggle with the payment of debts increases with a lower ratio. The amount of short-term marketable assets available to cover short-term liabilities is the quick ratio. The value of the fast coefficient is 1 or higher to be good. In order for a company to cover its short-term liabilities and debts, it must have more liquid assets. A higher ratio of the fast ratio indicates that the company has more more liquid assets.</w:t>
      </w:r>
      <w:r w:rsidRPr="008E2045">
        <w:rPr>
          <w:rFonts w:ascii="Arial" w:hAnsi="Arial" w:cs="Arial"/>
          <w:lang w:val="bg-BG"/>
        </w:rPr>
        <w:t xml:space="preserve"> The company's liquidity period can be determined by the value of the fast ratio. Lenders take information from the fast ratio to meet the company's short-term debt. This can happen if all the company's liquid assets are sold in the short term. The financial condition of the company is considered good when the values ​​of the ratio are higher than 1. When the fast ratio is below 1, it is a bad sign for partners and investors because it shows that the company cannot cover its current liabilities</w:t>
      </w:r>
      <w:r w:rsidR="00937216" w:rsidRPr="00937216">
        <w:t xml:space="preserve"> </w:t>
      </w:r>
      <w:r w:rsidR="00937216" w:rsidRPr="00937216">
        <w:rPr>
          <w:rFonts w:ascii="Arial" w:hAnsi="Arial" w:cs="Arial"/>
          <w:lang w:val="bg-BG"/>
        </w:rPr>
        <w:t xml:space="preserve"> ( Melville, 2017, p.368)</w:t>
      </w:r>
      <w:r w:rsidRPr="008E2045">
        <w:rPr>
          <w:rFonts w:ascii="Arial" w:hAnsi="Arial" w:cs="Arial"/>
          <w:lang w:val="bg-BG"/>
        </w:rPr>
        <w:t>.</w:t>
      </w:r>
      <w:r w:rsidR="00697937">
        <w:rPr>
          <w:rFonts w:ascii="Arial" w:hAnsi="Arial" w:cs="Arial"/>
          <w:lang w:val="bg-BG"/>
        </w:rPr>
        <w:t xml:space="preserve">        </w:t>
      </w:r>
      <w:r w:rsidR="00AE4F64">
        <w:rPr>
          <w:rFonts w:ascii="Arial" w:hAnsi="Arial" w:cs="Arial"/>
          <w:lang w:val="bg-BG"/>
        </w:rPr>
        <w:t xml:space="preserve">Table </w:t>
      </w:r>
      <w:r w:rsidR="00AE4F64">
        <w:rPr>
          <w:rFonts w:ascii="Arial" w:hAnsi="Arial" w:cs="Arial"/>
        </w:rPr>
        <w:t>3</w:t>
      </w:r>
      <w:r w:rsidR="00697937" w:rsidRPr="00697937">
        <w:rPr>
          <w:rFonts w:ascii="Arial" w:hAnsi="Arial" w:cs="Arial"/>
          <w:lang w:val="bg-BG"/>
        </w:rPr>
        <w:t xml:space="preserve"> above shows that the fast ratio in the oil company Shell varies in the period from 2015 to 2019. In 2015 the fast ratio was 1.09: 1, in 2016 - 0.87: 1, in 2017 - 0.87 : 1, in 2018 - 0.98: 1 and in 2019 0.86: 1. From the analysis made so far it can be said that the fast ratio was in the best position in 2015 compared to other years. This shows that, although a profitable company, Shell cannot cover its short-term liabilities without selling its products or raw materials. Comparing Shell with its competitor in the market - BP Group for the period </w:t>
      </w:r>
      <w:r w:rsidR="00697937" w:rsidRPr="00697937">
        <w:rPr>
          <w:rFonts w:ascii="Arial" w:hAnsi="Arial" w:cs="Arial"/>
          <w:lang w:val="bg-BG"/>
        </w:rPr>
        <w:lastRenderedPageBreak/>
        <w:t>from 2019, we see that it has a value of 0.83: 1, which is more unacceptable than Shell's values ​​for this period are 0.86: 1. The difference is not big, but the Shell company is presented in a better light to investors than BP Group.</w:t>
      </w:r>
    </w:p>
    <w:p w:rsidR="00D8387F" w:rsidRPr="001416A4" w:rsidRDefault="00D8387F" w:rsidP="0079767F">
      <w:pPr>
        <w:jc w:val="both"/>
      </w:pPr>
      <w:r w:rsidRPr="00D8387F">
        <w:rPr>
          <w:rFonts w:ascii="Arial" w:hAnsi="Arial" w:cs="Arial"/>
        </w:rPr>
        <w:t xml:space="preserve">The company's ability to cover its short-term liabilities using only cash and cash equivalents is shown by the </w:t>
      </w:r>
      <w:r w:rsidRPr="00D8387F">
        <w:rPr>
          <w:rFonts w:ascii="Arial" w:hAnsi="Arial" w:cs="Arial"/>
          <w:b/>
        </w:rPr>
        <w:t>cash ratio</w:t>
      </w:r>
      <w:r w:rsidRPr="00D8387F">
        <w:rPr>
          <w:rFonts w:ascii="Arial" w:hAnsi="Arial" w:cs="Arial"/>
        </w:rPr>
        <w:t>, which in turn is a measure of liquidity. The company's total cash reserves and almost all monetary securities represent the monetary ratio. All collected together and then divided into its total current liabilities. To determine the amount of money available to pay the borrower's interest expenses, the cash coverage ratio is very useful. For the amount of interest that must be paid to the available cash, this is the monetary ratio. The ratio must be significantly greater than 1: 1 to show sufficient solvency. The company's ability to repay short-term liabilities with highly liquid assets, which are measured by the liquidity-to-money ratio. A ratio of at least 0.5 to 1 is preferable. In order for the financial condition of the business to be better, your cash ratio should be higher. A signal of financial problems is when cash coverage falls below 2, while falling below 1 means that the business is in danger of default.</w:t>
      </w:r>
      <w:r w:rsidR="001416A4" w:rsidRPr="001416A4">
        <w:t xml:space="preserve"> </w:t>
      </w:r>
      <w:r w:rsidR="00AE4F64">
        <w:rPr>
          <w:rFonts w:ascii="Arial" w:hAnsi="Arial" w:cs="Arial"/>
        </w:rPr>
        <w:t>Table 3</w:t>
      </w:r>
      <w:r w:rsidR="001416A4" w:rsidRPr="001416A4">
        <w:rPr>
          <w:rFonts w:ascii="Arial" w:hAnsi="Arial" w:cs="Arial"/>
        </w:rPr>
        <w:t xml:space="preserve"> above shows that the monetary ratio in the oil company Shell varies in the period from 2015 to 2019. In 2015 the monetary ratio was 0.45: 1, in 2016 - 0.26: 1, in 2017 - 0.25: 1, in 2018 - 0.34: 1 and in 2019 - 0.22: 1. </w:t>
      </w:r>
      <w:r w:rsidR="000033A9" w:rsidRPr="001416A4">
        <w:rPr>
          <w:rFonts w:ascii="Arial" w:hAnsi="Arial" w:cs="Arial"/>
        </w:rPr>
        <w:t>Analysing</w:t>
      </w:r>
      <w:r w:rsidR="001416A4" w:rsidRPr="001416A4">
        <w:rPr>
          <w:rFonts w:ascii="Arial" w:hAnsi="Arial" w:cs="Arial"/>
        </w:rPr>
        <w:t xml:space="preserve"> the whole five-year period, it can be seen that the monetary ratio is not satisfactory, because it is below 0.5: 1. However, comparing it with the competitor in the oil business BP Group, which has a monetary ratio for 2019 of 0.31: 1, it can be seen that it is not above 0.5: 1 ratio. However, with this ratio, the period 2019 is better for BP Group than for Shell Company. In order to become clearer about the position of these two companies, a more detailed analysis should be made comparing the levels in the industry as a whole. After such an analysis for 2019, it can be seen that the monetary condition of oil companies worldwide is in the ratio 0.18: 1. This in turn means that both Shell and BP Group are at a good level (</w:t>
      </w:r>
      <w:hyperlink r:id="rId13" w:history="1">
        <w:r w:rsidR="001416A4" w:rsidRPr="003C2A30">
          <w:rPr>
            <w:rStyle w:val="Hyperlink"/>
            <w:rFonts w:ascii="Arial" w:hAnsi="Arial" w:cs="Arial"/>
          </w:rPr>
          <w:t>www.readyratios.com</w:t>
        </w:r>
      </w:hyperlink>
      <w:r w:rsidR="001416A4" w:rsidRPr="001416A4">
        <w:rPr>
          <w:rFonts w:ascii="Arial" w:hAnsi="Arial" w:cs="Arial"/>
        </w:rPr>
        <w:t>).</w:t>
      </w:r>
    </w:p>
    <w:p w:rsidR="001416A4" w:rsidRPr="008E2045" w:rsidRDefault="001416A4" w:rsidP="0079767F">
      <w:pPr>
        <w:jc w:val="both"/>
        <w:rPr>
          <w:rFonts w:ascii="Arial" w:hAnsi="Arial" w:cs="Arial"/>
        </w:rPr>
      </w:pPr>
    </w:p>
    <w:p w:rsidR="001A0FAC" w:rsidRPr="00090E78" w:rsidRDefault="0079767F" w:rsidP="009C3332">
      <w:pPr>
        <w:pStyle w:val="Heading1"/>
      </w:pPr>
      <w:r>
        <w:t xml:space="preserve"> </w:t>
      </w:r>
      <w:bookmarkStart w:id="7" w:name="_Toc61470863"/>
      <w:r w:rsidR="00090E78">
        <w:t>Leverage (</w:t>
      </w:r>
      <w:r>
        <w:t>G</w:t>
      </w:r>
      <w:r w:rsidR="00090E78">
        <w:t xml:space="preserve">earing) </w:t>
      </w:r>
      <w:r w:rsidR="00F93C20" w:rsidRPr="00F93C20">
        <w:t xml:space="preserve">ratios of Royal Dutch Shell (2015-2019) and BP </w:t>
      </w:r>
      <w:proofErr w:type="spellStart"/>
      <w:r w:rsidR="00F93C20" w:rsidRPr="00F93C20">
        <w:t>Plc</w:t>
      </w:r>
      <w:proofErr w:type="spellEnd"/>
      <w:r w:rsidR="00F93C20" w:rsidRPr="00F93C20">
        <w:t xml:space="preserve"> (2019)</w:t>
      </w:r>
      <w:bookmarkEnd w:id="7"/>
    </w:p>
    <w:p w:rsidR="00171319" w:rsidRPr="00E4530E" w:rsidRDefault="00090E78" w:rsidP="00090E78">
      <w:pPr>
        <w:jc w:val="both"/>
        <w:rPr>
          <w:rFonts w:ascii="Arial" w:hAnsi="Arial" w:cs="Arial"/>
        </w:rPr>
      </w:pPr>
      <w:r w:rsidRPr="00090E78">
        <w:rPr>
          <w:rFonts w:ascii="Arial" w:hAnsi="Arial" w:cs="Arial"/>
          <w:lang w:val="bg-BG"/>
        </w:rPr>
        <w:t>Leverage has a significant impact on a company's profitability due to the tax shield (Dhaliwal, 2005). The function of the tax shield is to reduce the cost of capital, which in turn increases profits. In companies with leverage in financing / capital structure, management is under pressure to perform at a good level (Akintoye, 2008). Companies that generate an optimal capital structure can take advantage, this is the opinion of some researchers of leverage (Titman and Wessles, 1988; Upneja and Dalbor, 2001). A negative relationship between leverage and profitability was found by another group of researchers who conducted working capital and profitability studies and used leverage as a control variable (Samiloglu and Demirgunes, 2008; Christopher and Kamalavalli, 2009; Mathuva, 2010).</w:t>
      </w:r>
      <w:r w:rsidR="00171319" w:rsidRPr="00171319">
        <w:t xml:space="preserve"> </w:t>
      </w:r>
      <w:r w:rsidR="00171319" w:rsidRPr="00171319">
        <w:rPr>
          <w:rFonts w:ascii="Arial" w:hAnsi="Arial" w:cs="Arial"/>
          <w:lang w:val="bg-BG"/>
        </w:rPr>
        <w:t>Comparing the company's debt with other financial indicators, such as equity or company assets, a group of popular financial ratios, these are the ratios of financial absorption (gearing ratios).</w:t>
      </w:r>
      <w:r w:rsidR="00171319" w:rsidRPr="00171319">
        <w:t xml:space="preserve"> </w:t>
      </w:r>
      <w:r w:rsidR="00171319" w:rsidRPr="00171319">
        <w:rPr>
          <w:rFonts w:ascii="Arial" w:hAnsi="Arial" w:cs="Arial"/>
          <w:lang w:val="bg-BG"/>
        </w:rPr>
        <w:t>A measure of financial leverage, which determines the extent to which the company's actions are financed by share capital compared to the funds of creditors, these are гearing ratios.</w:t>
      </w:r>
      <w:r w:rsidR="00747D12" w:rsidRPr="00747D12">
        <w:t xml:space="preserve"> </w:t>
      </w:r>
      <w:r w:rsidR="00747D12" w:rsidRPr="00747D12">
        <w:rPr>
          <w:rFonts w:ascii="Arial" w:hAnsi="Arial" w:cs="Arial"/>
          <w:lang w:val="bg-BG"/>
        </w:rPr>
        <w:t>To ensure clarity about the source of funding for the company's activities, calculations of the gear ratio are of great help.</w:t>
      </w:r>
      <w:r w:rsidR="00D47E46" w:rsidRPr="00D47E46">
        <w:t xml:space="preserve"> </w:t>
      </w:r>
      <w:r w:rsidR="00D47E46" w:rsidRPr="00D47E46">
        <w:rPr>
          <w:rFonts w:ascii="Arial" w:hAnsi="Arial" w:cs="Arial"/>
          <w:lang w:val="bg-BG"/>
        </w:rPr>
        <w:t xml:space="preserve">This, in turn, shows whether they are able to </w:t>
      </w:r>
      <w:r w:rsidR="00D47E46" w:rsidRPr="00D47E46">
        <w:rPr>
          <w:rFonts w:ascii="Arial" w:hAnsi="Arial" w:cs="Arial"/>
          <w:lang w:val="bg-BG"/>
        </w:rPr>
        <w:lastRenderedPageBreak/>
        <w:t>withstand periods of financial instability, and also provides a better idea of the company's reliability.</w:t>
      </w:r>
    </w:p>
    <w:p w:rsidR="0079767F" w:rsidRDefault="00E4530E" w:rsidP="0079767F">
      <w:pPr>
        <w:jc w:val="both"/>
        <w:rPr>
          <w:rFonts w:ascii="Arial" w:hAnsi="Arial" w:cs="Arial"/>
          <w:b/>
        </w:rPr>
      </w:pPr>
      <w:r w:rsidRPr="00E4530E">
        <w:rPr>
          <w:noProof/>
          <w:lang w:eastAsia="en-GB"/>
        </w:rPr>
        <w:drawing>
          <wp:inline distT="0" distB="0" distL="0" distR="0" wp14:anchorId="0861F1CF" wp14:editId="30864C6B">
            <wp:extent cx="5731510" cy="1335388"/>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335388"/>
                    </a:xfrm>
                    <a:prstGeom prst="rect">
                      <a:avLst/>
                    </a:prstGeom>
                    <a:noFill/>
                    <a:ln>
                      <a:noFill/>
                    </a:ln>
                  </pic:spPr>
                </pic:pic>
              </a:graphicData>
            </a:graphic>
          </wp:inline>
        </w:drawing>
      </w:r>
    </w:p>
    <w:p w:rsidR="00850A7E" w:rsidRPr="00AE4F64" w:rsidRDefault="00AE4F64" w:rsidP="0079767F">
      <w:pPr>
        <w:jc w:val="both"/>
        <w:rPr>
          <w:rFonts w:ascii="Arial" w:hAnsi="Arial" w:cs="Arial"/>
          <w:sz w:val="18"/>
          <w:szCs w:val="18"/>
        </w:rPr>
      </w:pPr>
      <w:proofErr w:type="gramStart"/>
      <w:r w:rsidRPr="00AE4F64">
        <w:rPr>
          <w:rFonts w:ascii="Arial" w:hAnsi="Arial" w:cs="Arial"/>
          <w:sz w:val="18"/>
          <w:szCs w:val="18"/>
        </w:rPr>
        <w:t>Table 4</w:t>
      </w:r>
      <w:r w:rsidR="00850A7E" w:rsidRPr="00AE4F64">
        <w:rPr>
          <w:rFonts w:ascii="Arial" w:hAnsi="Arial" w:cs="Arial"/>
          <w:sz w:val="18"/>
          <w:szCs w:val="18"/>
        </w:rPr>
        <w:t>.</w:t>
      </w:r>
      <w:proofErr w:type="gramEnd"/>
      <w:r w:rsidR="00850A7E" w:rsidRPr="00AE4F64">
        <w:rPr>
          <w:sz w:val="18"/>
          <w:szCs w:val="18"/>
        </w:rPr>
        <w:t xml:space="preserve"> </w:t>
      </w:r>
      <w:r w:rsidR="00850A7E" w:rsidRPr="00AE4F64">
        <w:rPr>
          <w:rFonts w:ascii="Arial" w:hAnsi="Arial" w:cs="Arial"/>
          <w:sz w:val="18"/>
          <w:szCs w:val="18"/>
        </w:rPr>
        <w:t xml:space="preserve">Leverage (Gearing) ratios of Royal Dutch Shell (2015-2019) and BP </w:t>
      </w:r>
      <w:proofErr w:type="spellStart"/>
      <w:r w:rsidR="00850A7E" w:rsidRPr="00AE4F64">
        <w:rPr>
          <w:rFonts w:ascii="Arial" w:hAnsi="Arial" w:cs="Arial"/>
          <w:sz w:val="18"/>
          <w:szCs w:val="18"/>
        </w:rPr>
        <w:t>Plc</w:t>
      </w:r>
      <w:proofErr w:type="spellEnd"/>
      <w:r w:rsidR="00850A7E" w:rsidRPr="00AE4F64">
        <w:rPr>
          <w:rFonts w:ascii="Arial" w:hAnsi="Arial" w:cs="Arial"/>
          <w:sz w:val="18"/>
          <w:szCs w:val="18"/>
        </w:rPr>
        <w:t xml:space="preserve"> (2019)</w:t>
      </w:r>
    </w:p>
    <w:p w:rsidR="00171319" w:rsidRDefault="00171319" w:rsidP="001D2B80">
      <w:pPr>
        <w:jc w:val="both"/>
        <w:rPr>
          <w:rFonts w:ascii="Arial" w:hAnsi="Arial" w:cs="Arial"/>
          <w:lang w:val="bg-BG"/>
        </w:rPr>
      </w:pPr>
      <w:r w:rsidRPr="001D2B80">
        <w:rPr>
          <w:rFonts w:ascii="Arial" w:hAnsi="Arial" w:cs="Arial"/>
          <w:lang w:val="bg-BG"/>
        </w:rPr>
        <w:t xml:space="preserve">The comparison of the company's total liabilities with its share capital, which can be used to estimate how much leverage a company uses, is the </w:t>
      </w:r>
      <w:r w:rsidRPr="001D2B80">
        <w:rPr>
          <w:rFonts w:ascii="Arial" w:hAnsi="Arial" w:cs="Arial"/>
          <w:b/>
          <w:lang w:val="bg-BG"/>
        </w:rPr>
        <w:t>debt / equity ratio</w:t>
      </w:r>
      <w:r w:rsidRPr="001D2B80">
        <w:rPr>
          <w:rFonts w:ascii="Arial" w:hAnsi="Arial" w:cs="Arial"/>
          <w:lang w:val="bg-BG"/>
        </w:rPr>
        <w:t>.</w:t>
      </w:r>
      <w:r w:rsidR="00B11017" w:rsidRPr="001D2B80">
        <w:rPr>
          <w:rFonts w:ascii="Arial" w:hAnsi="Arial" w:cs="Arial"/>
        </w:rPr>
        <w:t xml:space="preserve"> </w:t>
      </w:r>
      <w:r w:rsidR="00B11017" w:rsidRPr="001D2B80">
        <w:rPr>
          <w:rFonts w:ascii="Arial" w:hAnsi="Arial" w:cs="Arial"/>
          <w:lang w:val="bg-BG"/>
        </w:rPr>
        <w:t>A company or stocks with a higher risk for shareholders usually show higher leverage ratios.</w:t>
      </w:r>
      <w:r w:rsidR="006C4385" w:rsidRPr="001D2B80">
        <w:rPr>
          <w:rFonts w:ascii="Arial" w:hAnsi="Arial" w:cs="Arial"/>
        </w:rPr>
        <w:t xml:space="preserve"> </w:t>
      </w:r>
      <w:r w:rsidR="006C4385" w:rsidRPr="001D2B80">
        <w:rPr>
          <w:rFonts w:ascii="Arial" w:hAnsi="Arial" w:cs="Arial"/>
          <w:lang w:val="bg-BG"/>
        </w:rPr>
        <w:t>The debt /equity ratio means how many pounds of debt a company has for every 1 pound of equity.</w:t>
      </w:r>
      <w:r w:rsidR="00942D1C" w:rsidRPr="001D2B80">
        <w:rPr>
          <w:rFonts w:ascii="Arial" w:hAnsi="Arial" w:cs="Arial"/>
        </w:rPr>
        <w:t xml:space="preserve"> </w:t>
      </w:r>
      <w:r w:rsidR="00942D1C" w:rsidRPr="001D2B80">
        <w:rPr>
          <w:rFonts w:ascii="Arial" w:hAnsi="Arial" w:cs="Arial"/>
          <w:lang w:val="bg-BG"/>
        </w:rPr>
        <w:t>When the amount of debt financing through lenders is lower than the financing through equity through shareholders, it is shown with a low debt / equity ratio. Conversely, when a company obtains most of its financing by borrowing money, which in turn exposes the company to potential risk, if debt levels are too high, then the ratio is higher. The risk of bankruptcy if the business hits hard times, when most of the company's operations rely on borrowed money. The danger comes from the fact that even if the company has not earned enough to meet its obligations, it still has to pay minimum loan payments. Reducing profits can lead to financial stress or the bankruptcy of a company with high leverage.</w:t>
      </w:r>
      <w:r w:rsidR="009D3626" w:rsidRPr="001D2B80">
        <w:rPr>
          <w:rFonts w:ascii="Arial" w:hAnsi="Arial" w:cs="Arial"/>
        </w:rPr>
        <w:t xml:space="preserve"> </w:t>
      </w:r>
      <w:r w:rsidR="009D3626" w:rsidRPr="001D2B80">
        <w:rPr>
          <w:rFonts w:ascii="Arial" w:hAnsi="Arial" w:cs="Arial"/>
          <w:lang w:val="bg-BG"/>
        </w:rPr>
        <w:t>What is considered a "good" debt / equity ratio depends on the nature of the business and its industry. Generally speaking, a debt-to-equity ratio below 1.0 would be considered relatively safe. A 2.0 or higher will be considered risky, but some industries have much higher debt / equity ratios than others.</w:t>
      </w:r>
      <w:r w:rsidR="00AE4F64">
        <w:rPr>
          <w:rFonts w:ascii="Arial" w:hAnsi="Arial" w:cs="Arial"/>
        </w:rPr>
        <w:t xml:space="preserve"> In the </w:t>
      </w:r>
      <w:r w:rsidR="00AE4F64" w:rsidRPr="001D2B80">
        <w:rPr>
          <w:rFonts w:ascii="Arial" w:hAnsi="Arial" w:cs="Arial"/>
          <w:lang w:val="bg-BG"/>
        </w:rPr>
        <w:t>Table</w:t>
      </w:r>
      <w:r w:rsidR="00AE4F64">
        <w:rPr>
          <w:rFonts w:ascii="Arial" w:hAnsi="Arial" w:cs="Arial"/>
        </w:rPr>
        <w:t xml:space="preserve"> 4. In</w:t>
      </w:r>
      <w:r w:rsidR="009961DB" w:rsidRPr="001D2B80">
        <w:rPr>
          <w:rFonts w:ascii="Arial" w:hAnsi="Arial" w:cs="Arial"/>
          <w:lang w:val="bg-BG"/>
        </w:rPr>
        <w:t xml:space="preserve"> </w:t>
      </w:r>
      <w:r w:rsidR="009961DB" w:rsidRPr="001D2B80">
        <w:rPr>
          <w:rFonts w:ascii="Arial" w:hAnsi="Arial" w:cs="Arial"/>
        </w:rPr>
        <w:t>the</w:t>
      </w:r>
      <w:r w:rsidR="009961DB" w:rsidRPr="001D2B80">
        <w:rPr>
          <w:rFonts w:ascii="Arial" w:hAnsi="Arial" w:cs="Arial"/>
          <w:lang w:val="bg-BG"/>
        </w:rPr>
        <w:t xml:space="preserve"> given task, the analysis is made on the basis of a five-year period 2015-2019 in the company Shell, on the debt / equity ratio.</w:t>
      </w:r>
      <w:r w:rsidR="001D2B80" w:rsidRPr="001D2B80">
        <w:rPr>
          <w:rFonts w:ascii="Arial" w:hAnsi="Arial" w:cs="Arial"/>
          <w:lang w:val="bg-BG"/>
        </w:rPr>
        <w:t xml:space="preserve"> From the analysis made for the period 2015-2019 in the oil company Shell, the debt / equity ratio varies and the average for this five-year period is of the order of 1,080. This is a good debt / equity ratio and there is no risk for shareholders.</w:t>
      </w:r>
      <w:r w:rsidR="009961DB" w:rsidRPr="001D2B80">
        <w:rPr>
          <w:rFonts w:ascii="Arial" w:hAnsi="Arial" w:cs="Arial"/>
          <w:lang w:val="bg-BG"/>
        </w:rPr>
        <w:t xml:space="preserve"> Analyzes have also been made of Shell's comparison with its competitor BP Group based on the period from 2019.</w:t>
      </w:r>
      <w:r w:rsidR="0003139E" w:rsidRPr="001D2B80">
        <w:rPr>
          <w:rFonts w:ascii="Arial" w:hAnsi="Arial" w:cs="Arial"/>
          <w:lang w:val="bg-BG"/>
        </w:rPr>
        <w:t xml:space="preserve"> A clearer picture of how companies perform is given by comparing the ratios with the company within their industries. Comparing Shell and BP Group shows that in 2019 Shell had 1,122 pounds of debt for every pound of equity while the debt of BP Group was 1,931 per pound of equity.</w:t>
      </w:r>
      <w:r w:rsidR="007237B8" w:rsidRPr="001D2B80">
        <w:rPr>
          <w:rFonts w:ascii="Arial" w:hAnsi="Arial" w:cs="Arial"/>
        </w:rPr>
        <w:t xml:space="preserve"> </w:t>
      </w:r>
      <w:r w:rsidR="007237B8" w:rsidRPr="001D2B80">
        <w:rPr>
          <w:rFonts w:ascii="Arial" w:hAnsi="Arial" w:cs="Arial"/>
          <w:lang w:val="bg-BG"/>
        </w:rPr>
        <w:t>A comparison with the BP Group competition for 2019 shows that Shell is in better debt / equity ratios.</w:t>
      </w:r>
    </w:p>
    <w:p w:rsidR="00AE4F64" w:rsidRDefault="00AE4F64" w:rsidP="002643D0">
      <w:pPr>
        <w:jc w:val="both"/>
        <w:rPr>
          <w:rFonts w:ascii="Arial" w:hAnsi="Arial" w:cs="Arial"/>
        </w:rPr>
      </w:pPr>
      <w:r w:rsidRPr="00AE4F64">
        <w:rPr>
          <w:rFonts w:ascii="Arial" w:hAnsi="Arial" w:cs="Arial"/>
          <w:lang w:val="bg-BG"/>
        </w:rPr>
        <w:t xml:space="preserve">Dividing a company's total debt by its total capital, which is total debt plus total equity, is the way the </w:t>
      </w:r>
      <w:r w:rsidRPr="00AE4F64">
        <w:rPr>
          <w:rFonts w:ascii="Arial" w:hAnsi="Arial" w:cs="Arial"/>
          <w:b/>
          <w:lang w:val="bg-BG"/>
        </w:rPr>
        <w:t>debt / Capital ratio</w:t>
      </w:r>
      <w:r w:rsidRPr="00AE4F64">
        <w:rPr>
          <w:rFonts w:ascii="Arial" w:hAnsi="Arial" w:cs="Arial"/>
          <w:lang w:val="bg-BG"/>
        </w:rPr>
        <w:t xml:space="preserve"> is calculated. By comparing its total liabilities with total capital, the debt / Capital ratio measures the financial leverage of a company. In other words, to finance its current operations compared to capital, businesses use the debt / Capital formula. What is considered a "good" debt / capital ratio depends on the nature of the business and its industry. In short, a ratio of 2.0 or higher would be considered risky, while a debt-to-capital ratio below 1.0 would be considered relatively safe.</w:t>
      </w:r>
      <w:r w:rsidR="00074962" w:rsidRPr="00074962">
        <w:t xml:space="preserve"> </w:t>
      </w:r>
      <w:r w:rsidR="00074962" w:rsidRPr="00074962">
        <w:rPr>
          <w:rFonts w:ascii="Arial" w:hAnsi="Arial" w:cs="Arial"/>
          <w:lang w:val="bg-BG"/>
        </w:rPr>
        <w:t xml:space="preserve">In Table 4 the values of all five years of the considered period are below 1. This shows that the company's financial leverage is good and the company can easily finance its current operations compared to the </w:t>
      </w:r>
      <w:r w:rsidR="00074962" w:rsidRPr="00074962">
        <w:rPr>
          <w:rFonts w:ascii="Arial" w:hAnsi="Arial" w:cs="Arial"/>
          <w:lang w:val="bg-BG"/>
        </w:rPr>
        <w:lastRenderedPageBreak/>
        <w:t>capital. The c</w:t>
      </w:r>
      <w:r w:rsidR="00702888">
        <w:rPr>
          <w:rFonts w:ascii="Arial" w:hAnsi="Arial" w:cs="Arial"/>
          <w:lang w:val="bg-BG"/>
        </w:rPr>
        <w:t xml:space="preserve">omparison between the oil </w:t>
      </w:r>
      <w:r w:rsidR="00702888">
        <w:rPr>
          <w:rFonts w:ascii="Arial" w:hAnsi="Arial" w:cs="Arial"/>
        </w:rPr>
        <w:t>company</w:t>
      </w:r>
      <w:bookmarkStart w:id="8" w:name="_GoBack"/>
      <w:bookmarkEnd w:id="8"/>
      <w:r w:rsidR="00074962" w:rsidRPr="00074962">
        <w:rPr>
          <w:rFonts w:ascii="Arial" w:hAnsi="Arial" w:cs="Arial"/>
          <w:lang w:val="bg-BG"/>
        </w:rPr>
        <w:t xml:space="preserve"> Shell and its business rival BP Group shows that both companies have a good debt/Capital ratio, because both ratios for 2019 are below 1. If we look at the figures accurately, Shell is in a better position than BP Group.</w:t>
      </w:r>
    </w:p>
    <w:p w:rsidR="00AE4F64" w:rsidRDefault="00AE4F64" w:rsidP="002643D0">
      <w:pPr>
        <w:jc w:val="both"/>
        <w:rPr>
          <w:rFonts w:ascii="Arial" w:hAnsi="Arial" w:cs="Arial"/>
          <w:b/>
          <w:color w:val="FF0000"/>
        </w:rPr>
      </w:pPr>
    </w:p>
    <w:p w:rsidR="0079767F" w:rsidRDefault="0079767F" w:rsidP="009C3332">
      <w:pPr>
        <w:pStyle w:val="Heading1"/>
      </w:pPr>
      <w:bookmarkStart w:id="9" w:name="_Toc61470864"/>
      <w:r>
        <w:t>Part-C</w:t>
      </w:r>
      <w:bookmarkEnd w:id="9"/>
    </w:p>
    <w:p w:rsidR="00FD1DD9" w:rsidRDefault="00FD1DD9" w:rsidP="009C3332">
      <w:pPr>
        <w:pStyle w:val="Heading1"/>
      </w:pPr>
      <w:bookmarkStart w:id="10" w:name="_Toc61470865"/>
      <w:r>
        <w:t>A</w:t>
      </w:r>
      <w:bookmarkEnd w:id="10"/>
    </w:p>
    <w:p w:rsidR="00ED75C0" w:rsidRDefault="00121C00" w:rsidP="002643D0">
      <w:pPr>
        <w:jc w:val="both"/>
        <w:rPr>
          <w:rFonts w:ascii="Arial" w:hAnsi="Arial" w:cs="Arial"/>
          <w:b/>
        </w:rPr>
      </w:pPr>
      <w:r w:rsidRPr="00121C00">
        <w:rPr>
          <w:noProof/>
          <w:lang w:eastAsia="en-GB"/>
        </w:rPr>
        <w:drawing>
          <wp:inline distT="0" distB="0" distL="0" distR="0" wp14:anchorId="2B2E83E2" wp14:editId="328634DE">
            <wp:extent cx="4790440" cy="30568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90440" cy="3056890"/>
                    </a:xfrm>
                    <a:prstGeom prst="rect">
                      <a:avLst/>
                    </a:prstGeom>
                    <a:noFill/>
                    <a:ln>
                      <a:noFill/>
                    </a:ln>
                  </pic:spPr>
                </pic:pic>
              </a:graphicData>
            </a:graphic>
          </wp:inline>
        </w:drawing>
      </w:r>
    </w:p>
    <w:p w:rsidR="00B87600" w:rsidRDefault="00B87600" w:rsidP="002643D0">
      <w:pPr>
        <w:jc w:val="both"/>
        <w:rPr>
          <w:rFonts w:ascii="Arial" w:hAnsi="Arial" w:cs="Arial"/>
          <w:b/>
        </w:rPr>
      </w:pPr>
    </w:p>
    <w:p w:rsidR="00B87600" w:rsidRDefault="00B87600" w:rsidP="002643D0">
      <w:pPr>
        <w:jc w:val="both"/>
        <w:rPr>
          <w:rFonts w:ascii="Arial" w:hAnsi="Arial" w:cs="Arial"/>
          <w:b/>
        </w:rPr>
      </w:pPr>
      <w:r w:rsidRPr="00B87600">
        <w:rPr>
          <w:noProof/>
          <w:lang w:eastAsia="en-GB"/>
        </w:rPr>
        <w:drawing>
          <wp:inline distT="0" distB="0" distL="0" distR="0" wp14:anchorId="61A6F23A" wp14:editId="5CA78325">
            <wp:extent cx="4790440" cy="28657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90440" cy="2865755"/>
                    </a:xfrm>
                    <a:prstGeom prst="rect">
                      <a:avLst/>
                    </a:prstGeom>
                    <a:noFill/>
                    <a:ln>
                      <a:noFill/>
                    </a:ln>
                  </pic:spPr>
                </pic:pic>
              </a:graphicData>
            </a:graphic>
          </wp:inline>
        </w:drawing>
      </w:r>
    </w:p>
    <w:p w:rsidR="004C0D86" w:rsidRPr="004C0D86" w:rsidRDefault="004C0D86" w:rsidP="002643D0">
      <w:pPr>
        <w:jc w:val="both"/>
        <w:rPr>
          <w:rFonts w:ascii="Arial" w:hAnsi="Arial" w:cs="Arial"/>
        </w:rPr>
      </w:pPr>
      <w:r w:rsidRPr="004C0D86">
        <w:rPr>
          <w:rFonts w:ascii="Arial" w:hAnsi="Arial" w:cs="Arial"/>
        </w:rPr>
        <w:t xml:space="preserve">In this case project B is better than project A because </w:t>
      </w:r>
      <w:r>
        <w:rPr>
          <w:rFonts w:ascii="Arial" w:hAnsi="Arial" w:cs="Arial"/>
        </w:rPr>
        <w:t xml:space="preserve">payback period is shorter. Budgeting net profit will be higher. Also the revenue will be higher with project B. </w:t>
      </w:r>
    </w:p>
    <w:p w:rsidR="00FD1DD9" w:rsidRDefault="00FD1DD9" w:rsidP="009C3332">
      <w:pPr>
        <w:pStyle w:val="Heading1"/>
      </w:pPr>
      <w:bookmarkStart w:id="11" w:name="_Toc61470866"/>
      <w:r>
        <w:lastRenderedPageBreak/>
        <w:t>B</w:t>
      </w:r>
      <w:bookmarkEnd w:id="11"/>
    </w:p>
    <w:p w:rsidR="0078757C" w:rsidRDefault="0078757C" w:rsidP="009C3332">
      <w:pPr>
        <w:pStyle w:val="Heading1"/>
        <w:rPr>
          <w:rFonts w:ascii="Arial" w:hAnsi="Arial" w:cs="Arial"/>
          <w:lang w:val="bg-BG"/>
        </w:rPr>
      </w:pPr>
      <w:bookmarkStart w:id="12" w:name="_Toc61470867"/>
      <w:r>
        <w:rPr>
          <w:rFonts w:ascii="Arial" w:hAnsi="Arial" w:cs="Arial"/>
        </w:rPr>
        <w:t>PAY BACK PERIOD</w:t>
      </w:r>
      <w:bookmarkEnd w:id="12"/>
    </w:p>
    <w:p w:rsidR="00D82ACD" w:rsidRDefault="00B56529" w:rsidP="002643D0">
      <w:pPr>
        <w:jc w:val="both"/>
        <w:rPr>
          <w:lang w:val="bg-BG"/>
        </w:rPr>
      </w:pPr>
      <w:r w:rsidRPr="00B56529">
        <w:rPr>
          <w:rFonts w:ascii="Arial" w:hAnsi="Arial" w:cs="Arial"/>
          <w:lang w:val="bg-BG"/>
        </w:rPr>
        <w:t>To describe how long it will take the business to recoup the investment made in the project, the financial term payback period is used. It does not take into account the time values of the money and does not include the cash flow after the investment. Some perspective on capital budgeting is provided by the assessment of the payback period, although it does not offer businesses a detailed analysis of the project. Also, if the payback period exceeds a certain schedule, some investors will not finance the project.</w:t>
      </w:r>
      <w:r w:rsidR="004677F0" w:rsidRPr="004677F0">
        <w:t xml:space="preserve"> </w:t>
      </w:r>
    </w:p>
    <w:p w:rsidR="00D82ACD" w:rsidRDefault="00D82ACD" w:rsidP="002643D0">
      <w:pPr>
        <w:jc w:val="both"/>
        <w:rPr>
          <w:rFonts w:ascii="Arial" w:hAnsi="Arial" w:cs="Arial"/>
          <w:b/>
          <w:lang w:val="bg-BG"/>
        </w:rPr>
      </w:pPr>
      <w:r w:rsidRPr="00D82ACD">
        <w:rPr>
          <w:rFonts w:ascii="Arial" w:hAnsi="Arial" w:cs="Arial"/>
          <w:b/>
        </w:rPr>
        <w:t>Advantages of the Payback Method</w:t>
      </w:r>
    </w:p>
    <w:p w:rsidR="00D82ACD" w:rsidRDefault="00D82ACD" w:rsidP="002643D0">
      <w:pPr>
        <w:jc w:val="both"/>
        <w:rPr>
          <w:rFonts w:ascii="Arial" w:hAnsi="Arial" w:cs="Arial"/>
          <w:lang w:val="bg-BG"/>
        </w:rPr>
      </w:pPr>
      <w:r w:rsidRPr="00D82ACD">
        <w:rPr>
          <w:rFonts w:ascii="Arial" w:hAnsi="Arial" w:cs="Arial"/>
          <w:lang w:val="bg-BG"/>
        </w:rPr>
        <w:t>The simplicity of the repayment method is its most significant advantage. Comparing several projects in this easy way and then selecting the project with a faster payback period. However, there are several practical and theoretical shortcomings in the return.</w:t>
      </w:r>
    </w:p>
    <w:p w:rsidR="00D82ACD" w:rsidRDefault="00D82ACD" w:rsidP="002643D0">
      <w:pPr>
        <w:jc w:val="both"/>
        <w:rPr>
          <w:rFonts w:ascii="Arial" w:hAnsi="Arial" w:cs="Arial"/>
          <w:b/>
          <w:lang w:val="bg-BG"/>
        </w:rPr>
      </w:pPr>
      <w:r w:rsidRPr="00D82ACD">
        <w:rPr>
          <w:rFonts w:ascii="Arial" w:hAnsi="Arial" w:cs="Arial"/>
          <w:b/>
          <w:lang w:val="bg-BG"/>
        </w:rPr>
        <w:t>Disadvantages of the Payback Method</w:t>
      </w:r>
    </w:p>
    <w:p w:rsidR="00450BE8" w:rsidRPr="00F152DC" w:rsidRDefault="00450BE8" w:rsidP="002643D0">
      <w:pPr>
        <w:jc w:val="both"/>
        <w:rPr>
          <w:rFonts w:ascii="Arial" w:hAnsi="Arial" w:cs="Arial"/>
        </w:rPr>
      </w:pPr>
      <w:r w:rsidRPr="00450BE8">
        <w:rPr>
          <w:rFonts w:ascii="Arial" w:hAnsi="Arial" w:cs="Arial"/>
          <w:lang w:val="bg-BG"/>
        </w:rPr>
        <w:t xml:space="preserve">1. Does not take into account the time value of money and this is the biggest drawback of the repayment method. Greater weight of cash flows receive cash flows received in the early years of a project than those received in subsequent years. In cases where there are two projects with the same period, but one has higher income in the early period of the project and the other vice versa. If the method of payment is used, then the decision which project </w:t>
      </w:r>
      <w:r w:rsidR="00F152DC">
        <w:rPr>
          <w:rFonts w:ascii="Arial" w:hAnsi="Arial" w:cs="Arial"/>
          <w:lang w:val="bg-BG"/>
        </w:rPr>
        <w:t>is better will not be objective</w:t>
      </w:r>
      <w:r w:rsidR="00F152DC">
        <w:t>.</w:t>
      </w:r>
    </w:p>
    <w:p w:rsidR="00450BE8" w:rsidRDefault="00450BE8" w:rsidP="002643D0">
      <w:pPr>
        <w:jc w:val="both"/>
        <w:rPr>
          <w:rFonts w:ascii="Arial" w:hAnsi="Arial" w:cs="Arial"/>
          <w:lang w:val="bg-BG"/>
        </w:rPr>
      </w:pPr>
      <w:r w:rsidRPr="00450BE8">
        <w:rPr>
          <w:rFonts w:ascii="Arial" w:hAnsi="Arial" w:cs="Arial"/>
          <w:lang w:val="bg-BG"/>
        </w:rPr>
        <w:t>2. Cash flows received after the payback period are disregarded and may in themselves result in higher returns and earlier returns.</w:t>
      </w:r>
    </w:p>
    <w:p w:rsidR="00450BE8" w:rsidRDefault="00450BE8" w:rsidP="002643D0">
      <w:pPr>
        <w:jc w:val="both"/>
        <w:rPr>
          <w:rFonts w:ascii="Arial" w:hAnsi="Arial" w:cs="Arial"/>
          <w:lang w:val="bg-BG"/>
        </w:rPr>
      </w:pPr>
      <w:r w:rsidRPr="00450BE8">
        <w:rPr>
          <w:rFonts w:ascii="Arial" w:hAnsi="Arial" w:cs="Arial"/>
          <w:lang w:val="bg-BG"/>
        </w:rPr>
        <w:t>3. Neglects the profitability of the project. The short payback period does not mean a large income and vice versa. It would be an unwise investment to invest in a project that will never return a profit, due to drastically reduced cash flows at the beginning of the period.</w:t>
      </w:r>
    </w:p>
    <w:p w:rsidR="00C86A5E" w:rsidRPr="00450BE8" w:rsidRDefault="00C86A5E" w:rsidP="002643D0">
      <w:pPr>
        <w:jc w:val="both"/>
        <w:rPr>
          <w:rFonts w:ascii="Arial" w:hAnsi="Arial" w:cs="Arial"/>
          <w:lang w:val="bg-BG"/>
        </w:rPr>
      </w:pPr>
      <w:r w:rsidRPr="00C86A5E">
        <w:rPr>
          <w:rFonts w:ascii="Arial" w:hAnsi="Arial" w:cs="Arial"/>
          <w:lang w:val="bg-BG"/>
        </w:rPr>
        <w:t>4. The return on investment in a project is not taken into account. In some companies, the project can be rejected only because, capital investment does not exceed a certain obstacle to the rate of return. The rate of return on certain projects is not accoun</w:t>
      </w:r>
      <w:r w:rsidR="00F152DC">
        <w:rPr>
          <w:rFonts w:ascii="Arial" w:hAnsi="Arial" w:cs="Arial"/>
          <w:lang w:val="bg-BG"/>
        </w:rPr>
        <w:t>ted for by the repayment method</w:t>
      </w:r>
      <w:r w:rsidR="00F152DC" w:rsidRPr="00F152DC">
        <w:t xml:space="preserve"> </w:t>
      </w:r>
      <w:r w:rsidR="00F152DC" w:rsidRPr="00F152DC">
        <w:rPr>
          <w:rFonts w:ascii="Arial" w:hAnsi="Arial" w:cs="Arial"/>
          <w:lang w:val="bg-BG"/>
        </w:rPr>
        <w:t>(Götze, 2008).</w:t>
      </w:r>
    </w:p>
    <w:p w:rsidR="00450BE8" w:rsidRDefault="00450BE8" w:rsidP="009C3332">
      <w:pPr>
        <w:pStyle w:val="Heading1"/>
        <w:rPr>
          <w:lang w:val="bg-BG"/>
        </w:rPr>
      </w:pPr>
    </w:p>
    <w:p w:rsidR="00A92A0E" w:rsidRDefault="00A92A0E" w:rsidP="009C3332">
      <w:pPr>
        <w:pStyle w:val="Heading1"/>
        <w:rPr>
          <w:lang w:val="bg-BG"/>
        </w:rPr>
      </w:pPr>
      <w:bookmarkStart w:id="13" w:name="_Toc61470868"/>
      <w:r w:rsidRPr="00A92A0E">
        <w:t>ACCOUNTING RATE OF RETURN</w:t>
      </w:r>
      <w:bookmarkEnd w:id="13"/>
    </w:p>
    <w:p w:rsidR="001A5CA6" w:rsidRPr="00A94FE2" w:rsidRDefault="001A5CA6" w:rsidP="002643D0">
      <w:pPr>
        <w:jc w:val="both"/>
        <w:rPr>
          <w:rFonts w:ascii="Arial" w:hAnsi="Arial" w:cs="Arial"/>
          <w:lang w:val="bg-BG"/>
        </w:rPr>
      </w:pPr>
      <w:r w:rsidRPr="00A94FE2">
        <w:rPr>
          <w:rFonts w:ascii="Arial" w:hAnsi="Arial" w:cs="Arial"/>
          <w:lang w:val="bg-BG"/>
        </w:rPr>
        <w:t>The average net income divided by the average capital expenditures, expressed as an annual percentage, is the Accounting Rate of Return (ARR). The ARR formula is used for capital budget decisions. When deciding on a new project, this formula is applied. Compared to capital expenditures and based on expected future net profit.</w:t>
      </w:r>
    </w:p>
    <w:p w:rsidR="00A92A0E" w:rsidRDefault="00A92A0E" w:rsidP="002643D0">
      <w:pPr>
        <w:jc w:val="both"/>
        <w:rPr>
          <w:rFonts w:ascii="Arial" w:hAnsi="Arial" w:cs="Arial"/>
          <w:b/>
          <w:lang w:val="bg-BG"/>
        </w:rPr>
      </w:pPr>
      <w:r w:rsidRPr="00A92A0E">
        <w:rPr>
          <w:rFonts w:ascii="Arial" w:hAnsi="Arial" w:cs="Arial"/>
          <w:b/>
        </w:rPr>
        <w:t>Advantages of ARR</w:t>
      </w:r>
    </w:p>
    <w:p w:rsidR="00A92A0E" w:rsidRDefault="00A92A0E" w:rsidP="00A92A0E">
      <w:pPr>
        <w:rPr>
          <w:rFonts w:ascii="Arial" w:hAnsi="Arial" w:cs="Arial"/>
          <w:lang w:val="bg-BG"/>
        </w:rPr>
      </w:pPr>
      <w:r>
        <w:rPr>
          <w:rFonts w:ascii="Arial" w:hAnsi="Arial" w:cs="Arial"/>
          <w:lang w:val="bg-BG"/>
        </w:rPr>
        <w:lastRenderedPageBreak/>
        <w:t>1.</w:t>
      </w:r>
      <w:r w:rsidRPr="00A92A0E">
        <w:rPr>
          <w:rFonts w:ascii="Arial" w:hAnsi="Arial" w:cs="Arial"/>
          <w:lang w:val="bg-BG"/>
        </w:rPr>
        <w:t>Compared to the target return, AR</w:t>
      </w:r>
      <w:r>
        <w:rPr>
          <w:rFonts w:ascii="Arial" w:hAnsi="Arial" w:cs="Arial"/>
          <w:lang w:val="bg-BG"/>
        </w:rPr>
        <w:t>R provides a percentage return.                                        2.</w:t>
      </w:r>
      <w:r w:rsidRPr="00A92A0E">
        <w:rPr>
          <w:rFonts w:ascii="Arial" w:hAnsi="Arial" w:cs="Arial"/>
          <w:lang w:val="bg-BG"/>
        </w:rPr>
        <w:t>The entire profitability of the pr</w:t>
      </w:r>
      <w:r>
        <w:rPr>
          <w:rFonts w:ascii="Arial" w:hAnsi="Arial" w:cs="Arial"/>
          <w:lang w:val="bg-BG"/>
        </w:rPr>
        <w:t>oject is considered by the ARR.                                              3.</w:t>
      </w:r>
      <w:r w:rsidRPr="00A92A0E">
        <w:rPr>
          <w:rFonts w:ascii="Arial" w:hAnsi="Arial" w:cs="Arial"/>
          <w:lang w:val="bg-BG"/>
        </w:rPr>
        <w:t>Profitability takes its full focus.</w:t>
      </w:r>
      <w:r w:rsidR="00A94FE2" w:rsidRPr="00A94FE2">
        <w:t xml:space="preserve"> </w:t>
      </w:r>
      <w:r w:rsidR="00A94FE2">
        <w:rPr>
          <w:lang w:val="bg-BG"/>
        </w:rPr>
        <w:t xml:space="preserve">                                                                                                                        </w:t>
      </w:r>
      <w:r w:rsidR="00A94FE2">
        <w:rPr>
          <w:rFonts w:ascii="Arial" w:hAnsi="Arial" w:cs="Arial"/>
          <w:lang w:val="bg-BG"/>
        </w:rPr>
        <w:t>4.</w:t>
      </w:r>
      <w:r w:rsidR="00A94FE2" w:rsidRPr="00A94FE2">
        <w:rPr>
          <w:rFonts w:ascii="Arial" w:hAnsi="Arial" w:cs="Arial"/>
          <w:lang w:val="bg-BG"/>
        </w:rPr>
        <w:t>The profit accounting concept for calculating the rate of return is considered only by this method. Easy calculation of accounting profit.</w:t>
      </w:r>
    </w:p>
    <w:p w:rsidR="00A92A0E" w:rsidRDefault="00A92A0E" w:rsidP="00A92A0E">
      <w:pPr>
        <w:rPr>
          <w:rFonts w:ascii="Arial" w:hAnsi="Arial" w:cs="Arial"/>
          <w:b/>
          <w:lang w:val="bg-BG"/>
        </w:rPr>
      </w:pPr>
      <w:r w:rsidRPr="00A92A0E">
        <w:rPr>
          <w:rFonts w:ascii="Arial" w:hAnsi="Arial" w:cs="Arial"/>
          <w:b/>
          <w:lang w:val="bg-BG"/>
        </w:rPr>
        <w:t>Disadvantages of ARR</w:t>
      </w:r>
    </w:p>
    <w:p w:rsidR="0068321C" w:rsidRPr="00A94FE2" w:rsidRDefault="0068321C" w:rsidP="0068321C">
      <w:pPr>
        <w:rPr>
          <w:rFonts w:ascii="Arial" w:hAnsi="Arial" w:cs="Arial"/>
          <w:lang w:val="bg-BG"/>
        </w:rPr>
      </w:pPr>
      <w:r w:rsidRPr="00A94FE2">
        <w:rPr>
          <w:rFonts w:ascii="Arial" w:hAnsi="Arial" w:cs="Arial"/>
          <w:lang w:val="bg-BG"/>
        </w:rPr>
        <w:t>1.Reports only profits, but not cash flows (sometimes not the same)                                      2.The time value of the money is not reported                                                                         3.Profits that arise earlier are treated in the same way as those that come out at the end of the project period.</w:t>
      </w:r>
      <w:r w:rsidR="00A94FE2">
        <w:rPr>
          <w:rFonts w:ascii="Arial" w:hAnsi="Arial" w:cs="Arial"/>
          <w:lang w:val="bg-BG"/>
        </w:rPr>
        <w:t xml:space="preserve">                                                                                                                    </w:t>
      </w:r>
      <w:r w:rsidR="00A94FE2" w:rsidRPr="00A94FE2">
        <w:t xml:space="preserve"> </w:t>
      </w:r>
      <w:r w:rsidR="00A94FE2">
        <w:rPr>
          <w:rFonts w:ascii="Arial" w:hAnsi="Arial" w:cs="Arial"/>
          <w:lang w:val="bg-BG"/>
        </w:rPr>
        <w:t>4.</w:t>
      </w:r>
      <w:r w:rsidR="00A94FE2" w:rsidRPr="00A94FE2">
        <w:rPr>
          <w:rFonts w:ascii="Arial" w:hAnsi="Arial" w:cs="Arial"/>
          <w:lang w:val="bg-BG"/>
        </w:rPr>
        <w:t>Cash inflows do not take into account, but only accounting profits which in this case are not so important.</w:t>
      </w:r>
      <w:r w:rsidR="004C0D86" w:rsidRPr="004C0D86">
        <w:t xml:space="preserve"> </w:t>
      </w:r>
      <w:r w:rsidR="004C0D86">
        <w:rPr>
          <w:lang w:val="bg-BG"/>
        </w:rPr>
        <w:t xml:space="preserve">                                                                                                                                                </w:t>
      </w:r>
      <w:r w:rsidR="004C0D86">
        <w:rPr>
          <w:rFonts w:ascii="Arial" w:hAnsi="Arial" w:cs="Arial"/>
          <w:lang w:val="bg-BG"/>
        </w:rPr>
        <w:t>5.</w:t>
      </w:r>
      <w:r w:rsidR="004C0D86" w:rsidRPr="004C0D86">
        <w:rPr>
          <w:rFonts w:ascii="Arial" w:hAnsi="Arial" w:cs="Arial"/>
          <w:lang w:val="bg-BG"/>
        </w:rPr>
        <w:t>In a situation where the investment in a project is made in parts</w:t>
      </w:r>
      <w:r w:rsidR="00F152DC">
        <w:rPr>
          <w:rFonts w:ascii="Arial" w:hAnsi="Arial" w:cs="Arial"/>
          <w:lang w:val="bg-BG"/>
        </w:rPr>
        <w:t>, this method cannot be applied</w:t>
      </w:r>
      <w:r w:rsidR="00F152DC" w:rsidRPr="00F152DC">
        <w:t xml:space="preserve"> </w:t>
      </w:r>
      <w:r w:rsidR="00F152DC" w:rsidRPr="00F152DC">
        <w:rPr>
          <w:rFonts w:ascii="Arial" w:hAnsi="Arial" w:cs="Arial"/>
          <w:lang w:val="bg-BG"/>
        </w:rPr>
        <w:t>(Götze, 2008).</w:t>
      </w:r>
    </w:p>
    <w:p w:rsidR="00A92A0E" w:rsidRPr="00A92A0E" w:rsidRDefault="00A92A0E" w:rsidP="009C3332">
      <w:pPr>
        <w:pStyle w:val="Heading1"/>
      </w:pPr>
    </w:p>
    <w:p w:rsidR="00FD1DD9" w:rsidRDefault="00FD1DD9" w:rsidP="009C3332">
      <w:pPr>
        <w:pStyle w:val="Heading1"/>
        <w:rPr>
          <w:lang w:val="bg-BG"/>
        </w:rPr>
      </w:pPr>
      <w:bookmarkStart w:id="14" w:name="_Toc61470869"/>
      <w:r>
        <w:t>NET PRESENT VALUE</w:t>
      </w:r>
      <w:bookmarkEnd w:id="14"/>
    </w:p>
    <w:p w:rsidR="00363731" w:rsidRDefault="00363731" w:rsidP="002643D0">
      <w:pPr>
        <w:jc w:val="both"/>
        <w:rPr>
          <w:rFonts w:ascii="Arial" w:hAnsi="Arial" w:cs="Arial"/>
          <w:lang w:val="bg-BG"/>
        </w:rPr>
      </w:pPr>
      <w:r w:rsidRPr="00363731">
        <w:rPr>
          <w:rFonts w:ascii="Arial" w:hAnsi="Arial" w:cs="Arial"/>
          <w:lang w:val="bg-BG"/>
        </w:rPr>
        <w:t>Subtracted from the present value of the benefits and the present value of the costs associated with a project is the net present value. The comparison of this cash flow with the current value of the project cash flows using the current value of the project cash flow is performed by the net present value. The difference between the present value of both cash flows is the net present value. Because the value of a dollar today usually exceeds the value of a dollar tomorrow, future cash flows and outflows in today's dollars are monetized by the concept of present value.</w:t>
      </w:r>
    </w:p>
    <w:p w:rsidR="004C0D86" w:rsidRDefault="004C0D86" w:rsidP="002643D0">
      <w:pPr>
        <w:jc w:val="both"/>
        <w:rPr>
          <w:rFonts w:ascii="Arial" w:hAnsi="Arial" w:cs="Arial"/>
        </w:rPr>
      </w:pPr>
    </w:p>
    <w:p w:rsidR="0068321C" w:rsidRPr="0068321C" w:rsidRDefault="0068321C" w:rsidP="002643D0">
      <w:pPr>
        <w:jc w:val="both"/>
        <w:rPr>
          <w:rFonts w:ascii="Arial" w:hAnsi="Arial" w:cs="Arial"/>
          <w:b/>
          <w:lang w:val="bg-BG"/>
        </w:rPr>
      </w:pPr>
      <w:r w:rsidRPr="0068321C">
        <w:rPr>
          <w:rFonts w:ascii="Arial" w:hAnsi="Arial" w:cs="Arial"/>
          <w:b/>
        </w:rPr>
        <w:t>Advantages of the Net Present Value</w:t>
      </w:r>
    </w:p>
    <w:p w:rsidR="00FD1DD9" w:rsidRDefault="006E2CA3" w:rsidP="006E2CA3">
      <w:pPr>
        <w:jc w:val="both"/>
        <w:rPr>
          <w:rFonts w:ascii="Arial" w:hAnsi="Arial" w:cs="Arial"/>
          <w:lang w:val="bg-BG"/>
        </w:rPr>
      </w:pPr>
      <w:r w:rsidRPr="006E2CA3">
        <w:rPr>
          <w:rFonts w:ascii="Arial" w:hAnsi="Arial" w:cs="Arial"/>
        </w:rPr>
        <w:t>1. It is based on the idea that dollars received in the future cost less than dollars in the bank today, and this is the most important feature o</w:t>
      </w:r>
      <w:r>
        <w:rPr>
          <w:rFonts w:ascii="Arial" w:hAnsi="Arial" w:cs="Arial"/>
        </w:rPr>
        <w:t>f the net present value method.</w:t>
      </w:r>
      <w:r>
        <w:rPr>
          <w:rFonts w:ascii="Arial" w:hAnsi="Arial" w:cs="Arial"/>
          <w:lang w:val="bg-BG"/>
        </w:rPr>
        <w:t xml:space="preserve">                       </w:t>
      </w:r>
      <w:r w:rsidRPr="006E2CA3">
        <w:rPr>
          <w:rFonts w:ascii="Arial" w:hAnsi="Arial" w:cs="Arial"/>
        </w:rPr>
        <w:t xml:space="preserve">2. To find the value of cash flows from future years, the method discounts them back to the present. </w:t>
      </w:r>
      <w:r>
        <w:rPr>
          <w:rFonts w:ascii="Arial" w:hAnsi="Arial" w:cs="Arial"/>
          <w:lang w:val="bg-BG"/>
        </w:rPr>
        <w:t xml:space="preserve">                                                                                                                                   </w:t>
      </w:r>
      <w:r w:rsidRPr="006E2CA3">
        <w:rPr>
          <w:rFonts w:ascii="Arial" w:hAnsi="Arial" w:cs="Arial"/>
        </w:rPr>
        <w:t>3. To what extent a project will contribute to their value, through the NPV method can b</w:t>
      </w:r>
      <w:r>
        <w:rPr>
          <w:rFonts w:ascii="Arial" w:hAnsi="Arial" w:cs="Arial"/>
        </w:rPr>
        <w:t>e clearly seen by shareholders.</w:t>
      </w:r>
      <w:r>
        <w:rPr>
          <w:rFonts w:ascii="Arial" w:hAnsi="Arial" w:cs="Arial"/>
          <w:lang w:val="bg-BG"/>
        </w:rPr>
        <w:t xml:space="preserve">                                                                                                  </w:t>
      </w:r>
      <w:r w:rsidRPr="006E2CA3">
        <w:rPr>
          <w:rFonts w:ascii="Arial" w:hAnsi="Arial" w:cs="Arial"/>
        </w:rPr>
        <w:t>4. The cost of the company's capital as a discount rate is used to calculate the NPV. By investing in the company, this is the minimum that shareholders want to return on their capital invested in the project</w:t>
      </w:r>
      <w:r w:rsidR="00F152DC" w:rsidRPr="00F152DC">
        <w:t xml:space="preserve"> </w:t>
      </w:r>
      <w:r w:rsidR="00F152DC" w:rsidRPr="00F152DC">
        <w:rPr>
          <w:rFonts w:ascii="Arial" w:hAnsi="Arial" w:cs="Arial"/>
        </w:rPr>
        <w:t>(</w:t>
      </w:r>
      <w:proofErr w:type="spellStart"/>
      <w:r w:rsidR="00F152DC" w:rsidRPr="00F152DC">
        <w:rPr>
          <w:rFonts w:ascii="Arial" w:hAnsi="Arial" w:cs="Arial"/>
        </w:rPr>
        <w:t>Götze</w:t>
      </w:r>
      <w:proofErr w:type="spellEnd"/>
      <w:r w:rsidR="00F152DC" w:rsidRPr="00F152DC">
        <w:rPr>
          <w:rFonts w:ascii="Arial" w:hAnsi="Arial" w:cs="Arial"/>
        </w:rPr>
        <w:t>, 2008).</w:t>
      </w:r>
    </w:p>
    <w:p w:rsidR="009C3332" w:rsidRDefault="009C3332" w:rsidP="006E2CA3">
      <w:pPr>
        <w:jc w:val="both"/>
        <w:rPr>
          <w:rFonts w:ascii="Arial" w:hAnsi="Arial" w:cs="Arial"/>
          <w:b/>
        </w:rPr>
      </w:pPr>
    </w:p>
    <w:p w:rsidR="006E2CA3" w:rsidRDefault="006E2CA3" w:rsidP="006E2CA3">
      <w:pPr>
        <w:jc w:val="both"/>
        <w:rPr>
          <w:rFonts w:ascii="Arial" w:hAnsi="Arial" w:cs="Arial"/>
          <w:b/>
          <w:lang w:val="bg-BG"/>
        </w:rPr>
      </w:pPr>
      <w:r w:rsidRPr="006E2CA3">
        <w:rPr>
          <w:rFonts w:ascii="Arial" w:hAnsi="Arial" w:cs="Arial"/>
          <w:b/>
          <w:lang w:val="bg-BG"/>
        </w:rPr>
        <w:t>Disadvantages of Net Present Value</w:t>
      </w:r>
    </w:p>
    <w:p w:rsidR="00D82ACD" w:rsidRPr="00D82ACD" w:rsidRDefault="00D82ACD" w:rsidP="00D82ACD">
      <w:pPr>
        <w:jc w:val="both"/>
        <w:rPr>
          <w:rFonts w:ascii="Arial" w:hAnsi="Arial" w:cs="Arial"/>
          <w:lang w:val="bg-BG"/>
        </w:rPr>
      </w:pPr>
      <w:r w:rsidRPr="00D82ACD">
        <w:rPr>
          <w:rFonts w:ascii="Arial" w:hAnsi="Arial" w:cs="Arial"/>
          <w:lang w:val="bg-BG"/>
        </w:rPr>
        <w:t>1. Requiring guessing for future cash flows and estimating the company's capital costs is the biggest problem with using NPV.</w:t>
      </w:r>
    </w:p>
    <w:p w:rsidR="00D82ACD" w:rsidRPr="00D82ACD" w:rsidRDefault="00D82ACD" w:rsidP="00D82ACD">
      <w:pPr>
        <w:jc w:val="both"/>
        <w:rPr>
          <w:rFonts w:ascii="Arial" w:hAnsi="Arial" w:cs="Arial"/>
          <w:lang w:val="bg-BG"/>
        </w:rPr>
      </w:pPr>
      <w:r w:rsidRPr="00D82ACD">
        <w:rPr>
          <w:rFonts w:ascii="Arial" w:hAnsi="Arial" w:cs="Arial"/>
          <w:lang w:val="bg-BG"/>
        </w:rPr>
        <w:lastRenderedPageBreak/>
        <w:t>Projects where there are different investment amounts, the NPV method is not applicable in the comparison. Large projects should have a larger NPV, with a larger cash investment, but at the same time, a small project may be a better investment with less investment.</w:t>
      </w:r>
    </w:p>
    <w:p w:rsidR="00D82ACD" w:rsidRDefault="00D82ACD" w:rsidP="00D82ACD">
      <w:pPr>
        <w:jc w:val="both"/>
        <w:rPr>
          <w:rFonts w:ascii="Arial" w:hAnsi="Arial" w:cs="Arial"/>
        </w:rPr>
      </w:pPr>
      <w:r w:rsidRPr="00D82ACD">
        <w:rPr>
          <w:rFonts w:ascii="Arial" w:hAnsi="Arial" w:cs="Arial"/>
          <w:lang w:val="bg-BG"/>
        </w:rPr>
        <w:t>3. In projects that have different lifespans, NPV is difficult to implement.</w:t>
      </w:r>
    </w:p>
    <w:p w:rsidR="003D09BA" w:rsidRDefault="003D09BA" w:rsidP="009C3332">
      <w:pPr>
        <w:pStyle w:val="Heading1"/>
        <w:rPr>
          <w:lang w:val="bg-BG"/>
        </w:rPr>
      </w:pPr>
      <w:bookmarkStart w:id="15" w:name="_Toc61470870"/>
      <w:r w:rsidRPr="009C3332">
        <w:t>Non-financial factors for investment</w:t>
      </w:r>
      <w:r>
        <w:rPr>
          <w:lang w:val="bg-BG"/>
        </w:rPr>
        <w:t>:</w:t>
      </w:r>
      <w:bookmarkEnd w:id="15"/>
    </w:p>
    <w:p w:rsidR="003D09BA" w:rsidRPr="003D09BA" w:rsidRDefault="003D09BA" w:rsidP="003D09BA">
      <w:pPr>
        <w:jc w:val="both"/>
        <w:rPr>
          <w:rFonts w:ascii="Arial" w:hAnsi="Arial" w:cs="Arial"/>
          <w:lang w:val="bg-BG"/>
        </w:rPr>
      </w:pPr>
      <w:r w:rsidRPr="003D09BA">
        <w:rPr>
          <w:rFonts w:ascii="Arial" w:hAnsi="Arial" w:cs="Arial"/>
          <w:lang w:val="bg-BG"/>
        </w:rPr>
        <w:t>- suppliers and customers - improving relationships</w:t>
      </w:r>
    </w:p>
    <w:p w:rsidR="003D09BA" w:rsidRPr="003D09BA" w:rsidRDefault="003D09BA" w:rsidP="003D09BA">
      <w:pPr>
        <w:jc w:val="both"/>
        <w:rPr>
          <w:rFonts w:ascii="Arial" w:hAnsi="Arial" w:cs="Arial"/>
          <w:lang w:val="bg-BG"/>
        </w:rPr>
      </w:pPr>
      <w:r w:rsidRPr="003D09BA">
        <w:rPr>
          <w:rFonts w:ascii="Arial" w:hAnsi="Arial" w:cs="Arial"/>
          <w:lang w:val="bg-BG"/>
        </w:rPr>
        <w:t>- facilitating the recruitment and retention of staff</w:t>
      </w:r>
    </w:p>
    <w:p w:rsidR="003D09BA" w:rsidRPr="003D09BA" w:rsidRDefault="003D09BA" w:rsidP="003D09BA">
      <w:pPr>
        <w:jc w:val="both"/>
        <w:rPr>
          <w:rFonts w:ascii="Arial" w:hAnsi="Arial" w:cs="Arial"/>
          <w:lang w:val="bg-BG"/>
        </w:rPr>
      </w:pPr>
      <w:r w:rsidRPr="003D09BA">
        <w:rPr>
          <w:rFonts w:ascii="Arial" w:hAnsi="Arial" w:cs="Arial"/>
          <w:lang w:val="bg-BG"/>
        </w:rPr>
        <w:t>- Improving relations with the local community - Improving the reputation</w:t>
      </w:r>
    </w:p>
    <w:p w:rsidR="003D09BA" w:rsidRPr="003D09BA" w:rsidRDefault="003D09BA" w:rsidP="003D09BA">
      <w:pPr>
        <w:jc w:val="both"/>
        <w:rPr>
          <w:rFonts w:ascii="Arial" w:hAnsi="Arial" w:cs="Arial"/>
          <w:lang w:val="bg-BG"/>
        </w:rPr>
      </w:pPr>
      <w:r w:rsidRPr="003D09BA">
        <w:rPr>
          <w:rFonts w:ascii="Arial" w:hAnsi="Arial" w:cs="Arial"/>
          <w:lang w:val="bg-BG"/>
        </w:rPr>
        <w:t>- protection of intellectual property against potential competition</w:t>
      </w:r>
    </w:p>
    <w:p w:rsidR="003D09BA" w:rsidRPr="003D09BA" w:rsidRDefault="003D09BA" w:rsidP="003D09BA">
      <w:pPr>
        <w:jc w:val="both"/>
        <w:rPr>
          <w:rFonts w:ascii="Arial" w:hAnsi="Arial" w:cs="Arial"/>
          <w:lang w:val="bg-BG"/>
        </w:rPr>
      </w:pPr>
      <w:r w:rsidRPr="003D09BA">
        <w:rPr>
          <w:rFonts w:ascii="Arial" w:hAnsi="Arial" w:cs="Arial"/>
          <w:lang w:val="bg-BG"/>
        </w:rPr>
        <w:t>- the current and future legislation - meeting the requirements</w:t>
      </w:r>
    </w:p>
    <w:p w:rsidR="003D09BA" w:rsidRPr="00722479" w:rsidRDefault="003D09BA" w:rsidP="003D09BA">
      <w:pPr>
        <w:jc w:val="both"/>
        <w:rPr>
          <w:rFonts w:ascii="Arial" w:hAnsi="Arial" w:cs="Arial"/>
        </w:rPr>
      </w:pPr>
      <w:r w:rsidRPr="003D09BA">
        <w:rPr>
          <w:rFonts w:ascii="Arial" w:hAnsi="Arial" w:cs="Arial"/>
          <w:lang w:val="bg-BG"/>
        </w:rPr>
        <w:t>- new skills and experience in new areas or strengthening management systems</w:t>
      </w:r>
    </w:p>
    <w:p w:rsidR="003D09BA" w:rsidRPr="003D09BA" w:rsidRDefault="003D09BA" w:rsidP="00D82ACD">
      <w:pPr>
        <w:jc w:val="both"/>
        <w:rPr>
          <w:rFonts w:ascii="Arial" w:hAnsi="Arial" w:cs="Arial"/>
          <w:lang w:val="bg-BG"/>
        </w:rPr>
      </w:pPr>
    </w:p>
    <w:p w:rsidR="002643D0" w:rsidRDefault="002643D0" w:rsidP="002643D0">
      <w:pPr>
        <w:jc w:val="both"/>
        <w:rPr>
          <w:rFonts w:ascii="Arial" w:hAnsi="Arial" w:cs="Arial"/>
          <w:b/>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2643D0" w:rsidRDefault="002643D0" w:rsidP="002643D0">
      <w:pPr>
        <w:jc w:val="both"/>
        <w:rPr>
          <w:rFonts w:ascii="Arial" w:hAnsi="Arial" w:cs="Arial"/>
          <w:b/>
        </w:rPr>
      </w:pPr>
    </w:p>
    <w:p w:rsidR="00090E78" w:rsidRDefault="00090E78" w:rsidP="002643D0">
      <w:pPr>
        <w:jc w:val="both"/>
        <w:rPr>
          <w:rFonts w:ascii="Arial" w:hAnsi="Arial" w:cs="Arial"/>
          <w:b/>
        </w:rPr>
      </w:pPr>
    </w:p>
    <w:p w:rsidR="00090E78" w:rsidRDefault="00090E78" w:rsidP="002643D0">
      <w:pPr>
        <w:jc w:val="both"/>
        <w:rPr>
          <w:rFonts w:ascii="Arial" w:hAnsi="Arial" w:cs="Arial"/>
          <w:b/>
        </w:rPr>
      </w:pPr>
    </w:p>
    <w:p w:rsidR="00090E78" w:rsidRDefault="00090E78" w:rsidP="002643D0">
      <w:pPr>
        <w:jc w:val="both"/>
        <w:rPr>
          <w:rFonts w:ascii="Arial" w:hAnsi="Arial" w:cs="Arial"/>
          <w:b/>
        </w:rPr>
      </w:pPr>
    </w:p>
    <w:p w:rsidR="002643D0" w:rsidRPr="00353739" w:rsidRDefault="002643D0" w:rsidP="002643D0">
      <w:pPr>
        <w:jc w:val="both"/>
        <w:rPr>
          <w:rFonts w:ascii="Arial" w:hAnsi="Arial" w:cs="Arial"/>
          <w:b/>
          <w:sz w:val="28"/>
          <w:szCs w:val="28"/>
        </w:rPr>
      </w:pPr>
      <w:r w:rsidRPr="00353739">
        <w:rPr>
          <w:rFonts w:ascii="Arial" w:hAnsi="Arial" w:cs="Arial"/>
          <w:b/>
          <w:sz w:val="28"/>
          <w:szCs w:val="28"/>
        </w:rPr>
        <w:t>References:</w:t>
      </w:r>
    </w:p>
    <w:p w:rsidR="00090E78" w:rsidRDefault="00090E78" w:rsidP="002643D0">
      <w:pPr>
        <w:jc w:val="both"/>
        <w:rPr>
          <w:rFonts w:ascii="Arial" w:hAnsi="Arial" w:cs="Arial"/>
        </w:rPr>
      </w:pPr>
      <w:proofErr w:type="spellStart"/>
      <w:r w:rsidRPr="00090E78">
        <w:rPr>
          <w:rFonts w:ascii="Arial" w:hAnsi="Arial" w:cs="Arial"/>
        </w:rPr>
        <w:t>Akintoye</w:t>
      </w:r>
      <w:proofErr w:type="spellEnd"/>
      <w:proofErr w:type="gramStart"/>
      <w:r w:rsidRPr="00090E78">
        <w:rPr>
          <w:rFonts w:ascii="Arial" w:hAnsi="Arial" w:cs="Arial"/>
        </w:rPr>
        <w:t>,  I</w:t>
      </w:r>
      <w:proofErr w:type="gramEnd"/>
      <w:r w:rsidRPr="00090E78">
        <w:rPr>
          <w:rFonts w:ascii="Arial" w:hAnsi="Arial" w:cs="Arial"/>
        </w:rPr>
        <w:t xml:space="preserve">.  </w:t>
      </w:r>
      <w:proofErr w:type="gramStart"/>
      <w:r w:rsidRPr="00090E78">
        <w:rPr>
          <w:rFonts w:ascii="Arial" w:hAnsi="Arial" w:cs="Arial"/>
        </w:rPr>
        <w:t>R.  (</w:t>
      </w:r>
      <w:proofErr w:type="gramEnd"/>
      <w:r w:rsidRPr="00090E78">
        <w:rPr>
          <w:rFonts w:ascii="Arial" w:hAnsi="Arial" w:cs="Arial"/>
        </w:rPr>
        <w:t xml:space="preserve">2008).  </w:t>
      </w:r>
      <w:proofErr w:type="gramStart"/>
      <w:r w:rsidRPr="00090E78">
        <w:rPr>
          <w:rFonts w:ascii="Arial" w:hAnsi="Arial" w:cs="Arial"/>
        </w:rPr>
        <w:t>Sensitivity  of</w:t>
      </w:r>
      <w:proofErr w:type="gramEnd"/>
      <w:r w:rsidRPr="00090E78">
        <w:rPr>
          <w:rFonts w:ascii="Arial" w:hAnsi="Arial" w:cs="Arial"/>
        </w:rPr>
        <w:t xml:space="preserve">  Performance  to  Capital Structure. European Journal of Social Sciences, 7(1), 256 </w:t>
      </w:r>
      <w:r w:rsidR="00325408">
        <w:rPr>
          <w:rFonts w:ascii="Arial" w:hAnsi="Arial" w:cs="Arial"/>
        </w:rPr>
        <w:t>–</w:t>
      </w:r>
      <w:r w:rsidRPr="00090E78">
        <w:rPr>
          <w:rFonts w:ascii="Arial" w:hAnsi="Arial" w:cs="Arial"/>
        </w:rPr>
        <w:t xml:space="preserve"> 271</w:t>
      </w:r>
    </w:p>
    <w:p w:rsidR="0098179C" w:rsidRDefault="0098179C" w:rsidP="002643D0">
      <w:pPr>
        <w:jc w:val="both"/>
        <w:rPr>
          <w:rFonts w:ascii="Arial" w:hAnsi="Arial" w:cs="Arial"/>
        </w:rPr>
      </w:pPr>
      <w:r>
        <w:rPr>
          <w:rFonts w:ascii="Arial" w:hAnsi="Arial" w:cs="Arial"/>
        </w:rPr>
        <w:t xml:space="preserve">BP Group – Annual report 2019 – </w:t>
      </w:r>
      <w:hyperlink r:id="rId17" w:history="1">
        <w:r w:rsidRPr="003C2A30">
          <w:rPr>
            <w:rStyle w:val="Hyperlink"/>
            <w:rFonts w:ascii="Arial" w:hAnsi="Arial" w:cs="Arial"/>
          </w:rPr>
          <w:t>https://www.bp.com/content/dam/bp/business-sites/en/global/corporate/pdfs/investors/bp-annual-report-and-form-20f-2019.pdf</w:t>
        </w:r>
      </w:hyperlink>
      <w:r>
        <w:rPr>
          <w:rFonts w:ascii="Arial" w:hAnsi="Arial" w:cs="Arial"/>
        </w:rPr>
        <w:t xml:space="preserve">          </w:t>
      </w:r>
      <w:r w:rsidRPr="0098179C">
        <w:rPr>
          <w:rFonts w:ascii="Arial" w:hAnsi="Arial" w:cs="Arial"/>
        </w:rPr>
        <w:t>[Accessed 09/01/2021]</w:t>
      </w:r>
    </w:p>
    <w:p w:rsidR="00325408" w:rsidRDefault="00325408" w:rsidP="00325408">
      <w:pPr>
        <w:jc w:val="both"/>
        <w:rPr>
          <w:rFonts w:ascii="Arial" w:hAnsi="Arial" w:cs="Arial"/>
        </w:rPr>
      </w:pPr>
      <w:r w:rsidRPr="00325408">
        <w:rPr>
          <w:rFonts w:ascii="Arial" w:hAnsi="Arial" w:cs="Arial"/>
        </w:rPr>
        <w:t>Christopher</w:t>
      </w:r>
      <w:proofErr w:type="gramStart"/>
      <w:r w:rsidRPr="00325408">
        <w:rPr>
          <w:rFonts w:ascii="Arial" w:hAnsi="Arial" w:cs="Arial"/>
        </w:rPr>
        <w:t>,  S</w:t>
      </w:r>
      <w:proofErr w:type="gramEnd"/>
      <w:r w:rsidRPr="00325408">
        <w:rPr>
          <w:rFonts w:ascii="Arial" w:hAnsi="Arial" w:cs="Arial"/>
        </w:rPr>
        <w:t>.  B.</w:t>
      </w:r>
      <w:proofErr w:type="gramStart"/>
      <w:r w:rsidRPr="00325408">
        <w:rPr>
          <w:rFonts w:ascii="Arial" w:hAnsi="Arial" w:cs="Arial"/>
        </w:rPr>
        <w:t>,  &amp;</w:t>
      </w:r>
      <w:proofErr w:type="gramEnd"/>
      <w:r w:rsidRPr="00325408">
        <w:rPr>
          <w:rFonts w:ascii="Arial" w:hAnsi="Arial" w:cs="Arial"/>
        </w:rPr>
        <w:t xml:space="preserve">  </w:t>
      </w:r>
      <w:proofErr w:type="spellStart"/>
      <w:r w:rsidRPr="00325408">
        <w:rPr>
          <w:rFonts w:ascii="Arial" w:hAnsi="Arial" w:cs="Arial"/>
        </w:rPr>
        <w:t>Kamalavalli</w:t>
      </w:r>
      <w:proofErr w:type="spellEnd"/>
      <w:r w:rsidRPr="00325408">
        <w:rPr>
          <w:rFonts w:ascii="Arial" w:hAnsi="Arial" w:cs="Arial"/>
        </w:rPr>
        <w:t xml:space="preserve">,  A.  </w:t>
      </w:r>
      <w:proofErr w:type="gramStart"/>
      <w:r w:rsidRPr="00325408">
        <w:rPr>
          <w:rFonts w:ascii="Arial" w:hAnsi="Arial" w:cs="Arial"/>
        </w:rPr>
        <w:t>L.  (</w:t>
      </w:r>
      <w:proofErr w:type="gramEnd"/>
      <w:r w:rsidRPr="00325408">
        <w:rPr>
          <w:rFonts w:ascii="Arial" w:hAnsi="Arial" w:cs="Arial"/>
        </w:rPr>
        <w:t xml:space="preserve">2009). </w:t>
      </w:r>
      <w:proofErr w:type="gramStart"/>
      <w:r w:rsidRPr="00325408">
        <w:rPr>
          <w:rFonts w:ascii="Arial" w:hAnsi="Arial" w:cs="Arial"/>
        </w:rPr>
        <w:t>Sensitivity  of</w:t>
      </w:r>
      <w:proofErr w:type="gramEnd"/>
      <w:r w:rsidRPr="00325408">
        <w:rPr>
          <w:rFonts w:ascii="Arial" w:hAnsi="Arial" w:cs="Arial"/>
        </w:rPr>
        <w:t xml:space="preserve"> Profitability  to  Working  Capital  Management  in  Indian Corporate Hospitals. </w:t>
      </w:r>
      <w:proofErr w:type="gramStart"/>
      <w:r w:rsidRPr="00325408">
        <w:rPr>
          <w:rFonts w:ascii="Arial" w:hAnsi="Arial" w:cs="Arial"/>
        </w:rPr>
        <w:t>Working Paper.</w:t>
      </w:r>
      <w:proofErr w:type="gramEnd"/>
      <w:r w:rsidRPr="00325408">
        <w:rPr>
          <w:rFonts w:ascii="Arial" w:hAnsi="Arial" w:cs="Arial"/>
        </w:rPr>
        <w:t xml:space="preserve"> 1331500.  </w:t>
      </w:r>
    </w:p>
    <w:p w:rsidR="00722479" w:rsidRPr="00325408" w:rsidRDefault="00722479" w:rsidP="00325408">
      <w:pPr>
        <w:jc w:val="both"/>
        <w:rPr>
          <w:rFonts w:ascii="Arial" w:hAnsi="Arial" w:cs="Arial"/>
        </w:rPr>
      </w:pPr>
      <w:r>
        <w:rPr>
          <w:rFonts w:ascii="Arial" w:hAnsi="Arial" w:cs="Arial"/>
        </w:rPr>
        <w:t>Corporate Finance Institute – Financial Ratios eBook</w:t>
      </w:r>
    </w:p>
    <w:p w:rsidR="00090E78" w:rsidRDefault="00090E78" w:rsidP="002643D0">
      <w:pPr>
        <w:jc w:val="both"/>
        <w:rPr>
          <w:rFonts w:ascii="Arial" w:hAnsi="Arial" w:cs="Arial"/>
        </w:rPr>
      </w:pPr>
      <w:r w:rsidRPr="00090E78">
        <w:rPr>
          <w:rFonts w:ascii="Arial" w:hAnsi="Arial" w:cs="Arial"/>
          <w:lang w:val="bg-BG"/>
        </w:rPr>
        <w:t>Dhaliwal,  D.,  Heitzman,  S.,  &amp;  Li,  O.  Z.  (2005). Taxes,  Leverage, and the Cost of Equity Capital. Working paper.</w:t>
      </w:r>
    </w:p>
    <w:p w:rsidR="00F152DC" w:rsidRPr="00F152DC" w:rsidRDefault="00F152DC" w:rsidP="002643D0">
      <w:pPr>
        <w:jc w:val="both"/>
        <w:rPr>
          <w:rFonts w:ascii="Arial" w:hAnsi="Arial" w:cs="Arial"/>
        </w:rPr>
      </w:pPr>
      <w:proofErr w:type="spellStart"/>
      <w:r w:rsidRPr="00F152DC">
        <w:rPr>
          <w:rFonts w:ascii="Arial" w:hAnsi="Arial" w:cs="Arial"/>
        </w:rPr>
        <w:t>Götze</w:t>
      </w:r>
      <w:proofErr w:type="gramStart"/>
      <w:r>
        <w:rPr>
          <w:rFonts w:ascii="Arial" w:hAnsi="Arial" w:cs="Arial"/>
        </w:rPr>
        <w:t>,U</w:t>
      </w:r>
      <w:proofErr w:type="spellEnd"/>
      <w:proofErr w:type="gramEnd"/>
      <w:r>
        <w:rPr>
          <w:rFonts w:ascii="Arial" w:hAnsi="Arial" w:cs="Arial"/>
        </w:rPr>
        <w:t xml:space="preserve"> · </w:t>
      </w:r>
      <w:proofErr w:type="spellStart"/>
      <w:r w:rsidRPr="00F152DC">
        <w:rPr>
          <w:rFonts w:ascii="Arial" w:hAnsi="Arial" w:cs="Arial"/>
        </w:rPr>
        <w:t>Northcott</w:t>
      </w:r>
      <w:r>
        <w:rPr>
          <w:rFonts w:ascii="Arial" w:hAnsi="Arial" w:cs="Arial"/>
        </w:rPr>
        <w:t>,D</w:t>
      </w:r>
      <w:proofErr w:type="spellEnd"/>
      <w:r>
        <w:rPr>
          <w:rFonts w:ascii="Arial" w:hAnsi="Arial" w:cs="Arial"/>
        </w:rPr>
        <w:t xml:space="preserve"> · </w:t>
      </w:r>
      <w:proofErr w:type="spellStart"/>
      <w:r w:rsidRPr="00F152DC">
        <w:rPr>
          <w:rFonts w:ascii="Arial" w:hAnsi="Arial" w:cs="Arial"/>
        </w:rPr>
        <w:t>Schuster</w:t>
      </w:r>
      <w:r>
        <w:rPr>
          <w:rFonts w:ascii="Arial" w:hAnsi="Arial" w:cs="Arial"/>
        </w:rPr>
        <w:t>,P</w:t>
      </w:r>
      <w:proofErr w:type="spellEnd"/>
      <w:r>
        <w:rPr>
          <w:rFonts w:ascii="Arial" w:hAnsi="Arial" w:cs="Arial"/>
        </w:rPr>
        <w:t xml:space="preserve"> (2008) - </w:t>
      </w:r>
      <w:r w:rsidRPr="00F152DC">
        <w:rPr>
          <w:rFonts w:ascii="Arial" w:hAnsi="Arial" w:cs="Arial"/>
        </w:rPr>
        <w:t xml:space="preserve">Investment </w:t>
      </w:r>
      <w:r>
        <w:rPr>
          <w:rFonts w:ascii="Arial" w:hAnsi="Arial" w:cs="Arial"/>
        </w:rPr>
        <w:t xml:space="preserve">Appraisal - Methods and Models </w:t>
      </w:r>
    </w:p>
    <w:p w:rsidR="00937216" w:rsidRDefault="00937216" w:rsidP="00937216">
      <w:pPr>
        <w:jc w:val="both"/>
        <w:rPr>
          <w:rFonts w:ascii="Arial" w:hAnsi="Arial" w:cs="Arial"/>
          <w:lang w:val="bg-BG"/>
        </w:rPr>
      </w:pPr>
      <w:r w:rsidRPr="00937216">
        <w:rPr>
          <w:rFonts w:ascii="Arial" w:hAnsi="Arial" w:cs="Arial"/>
          <w:lang w:val="bg-BG"/>
        </w:rPr>
        <w:lastRenderedPageBreak/>
        <w:t>Melville, A (2017)-International Financial reporting, 6th edit</w:t>
      </w:r>
      <w:r>
        <w:rPr>
          <w:rFonts w:ascii="Arial" w:hAnsi="Arial" w:cs="Arial"/>
          <w:lang w:val="bg-BG"/>
        </w:rPr>
        <w:t xml:space="preserve">ion- Pearson Education Limited, </w:t>
      </w:r>
      <w:r w:rsidRPr="00937216">
        <w:rPr>
          <w:rFonts w:ascii="Arial" w:hAnsi="Arial" w:cs="Arial"/>
          <w:lang w:val="bg-BG"/>
        </w:rPr>
        <w:t>E-book Central</w:t>
      </w:r>
    </w:p>
    <w:p w:rsidR="005572C8" w:rsidRPr="005572C8" w:rsidRDefault="005572C8" w:rsidP="005572C8">
      <w:pPr>
        <w:rPr>
          <w:rFonts w:ascii="Arial" w:hAnsi="Arial" w:cs="Arial"/>
        </w:rPr>
      </w:pPr>
      <w:r w:rsidRPr="005572C8">
        <w:rPr>
          <w:rFonts w:ascii="Arial" w:hAnsi="Arial" w:cs="Arial"/>
          <w:lang w:val="bg-BG"/>
        </w:rPr>
        <w:t>Oil And Gas Extraction</w:t>
      </w:r>
      <w:r>
        <w:rPr>
          <w:rFonts w:ascii="Arial" w:hAnsi="Arial" w:cs="Arial"/>
        </w:rPr>
        <w:t xml:space="preserve"> </w:t>
      </w:r>
      <w:r w:rsidRPr="005572C8">
        <w:rPr>
          <w:rFonts w:ascii="Arial" w:hAnsi="Arial" w:cs="Arial"/>
          <w:lang w:val="bg-BG"/>
        </w:rPr>
        <w:t>: average industry financial ratios</w:t>
      </w:r>
      <w:r>
        <w:rPr>
          <w:rFonts w:ascii="Arial" w:hAnsi="Arial" w:cs="Arial"/>
          <w:lang w:val="bg-BG"/>
        </w:rPr>
        <w:t xml:space="preserve"> -</w:t>
      </w:r>
      <w:hyperlink r:id="rId18" w:history="1">
        <w:r w:rsidRPr="003C2A30">
          <w:rPr>
            <w:rStyle w:val="Hyperlink"/>
            <w:rFonts w:ascii="Arial" w:hAnsi="Arial" w:cs="Arial"/>
            <w:lang w:val="bg-BG"/>
          </w:rPr>
          <w:t>https://www.readyratios.com/sec/industry/13/</w:t>
        </w:r>
      </w:hyperlink>
      <w:r>
        <w:rPr>
          <w:rFonts w:ascii="Arial" w:hAnsi="Arial" w:cs="Arial"/>
          <w:lang w:val="bg-BG"/>
        </w:rPr>
        <w:t xml:space="preserve"> </w:t>
      </w:r>
      <w:r>
        <w:rPr>
          <w:rFonts w:ascii="Arial" w:hAnsi="Arial" w:cs="Arial"/>
        </w:rPr>
        <w:t xml:space="preserve"> [Accessed 10/01/2021]</w:t>
      </w:r>
    </w:p>
    <w:p w:rsidR="008F2B81" w:rsidRDefault="008F2B81" w:rsidP="002643D0">
      <w:pPr>
        <w:jc w:val="both"/>
        <w:rPr>
          <w:rFonts w:ascii="Arial" w:hAnsi="Arial" w:cs="Arial"/>
        </w:rPr>
      </w:pPr>
      <w:r w:rsidRPr="008F2B81">
        <w:rPr>
          <w:rFonts w:ascii="Arial" w:hAnsi="Arial" w:cs="Arial"/>
          <w:lang w:val="bg-BG"/>
        </w:rPr>
        <w:t>Pike, R., &amp; Neale, B. (2009). Corporate Finance and Investment: Decisions and Strategies, (6th ed ed.). London FT Prentice Hall.</w:t>
      </w:r>
      <w:r w:rsidR="005572C8">
        <w:rPr>
          <w:rFonts w:ascii="Arial" w:hAnsi="Arial" w:cs="Arial"/>
          <w:lang w:val="bg-BG"/>
        </w:rPr>
        <w:t xml:space="preserve"> </w:t>
      </w:r>
    </w:p>
    <w:p w:rsidR="00090E78" w:rsidRDefault="00AE7A51" w:rsidP="00AE7A51">
      <w:pPr>
        <w:jc w:val="both"/>
        <w:rPr>
          <w:rFonts w:ascii="Arial" w:hAnsi="Arial" w:cs="Arial"/>
        </w:rPr>
      </w:pPr>
      <w:proofErr w:type="spellStart"/>
      <w:proofErr w:type="gramStart"/>
      <w:r w:rsidRPr="00AE7A51">
        <w:rPr>
          <w:rFonts w:ascii="Arial" w:hAnsi="Arial" w:cs="Arial"/>
        </w:rPr>
        <w:t>Saleem</w:t>
      </w:r>
      <w:proofErr w:type="spellEnd"/>
      <w:r w:rsidRPr="00AE7A51">
        <w:rPr>
          <w:rFonts w:ascii="Arial" w:hAnsi="Arial" w:cs="Arial"/>
        </w:rPr>
        <w:t xml:space="preserve">, Q., &amp; </w:t>
      </w:r>
      <w:proofErr w:type="spellStart"/>
      <w:r w:rsidRPr="00AE7A51">
        <w:rPr>
          <w:rFonts w:ascii="Arial" w:hAnsi="Arial" w:cs="Arial"/>
        </w:rPr>
        <w:t>Rehman</w:t>
      </w:r>
      <w:proofErr w:type="spellEnd"/>
      <w:r w:rsidRPr="00AE7A51">
        <w:rPr>
          <w:rFonts w:ascii="Arial" w:hAnsi="Arial" w:cs="Arial"/>
        </w:rPr>
        <w:t>, R. (2011).</w:t>
      </w:r>
      <w:proofErr w:type="gramEnd"/>
      <w:r w:rsidRPr="00AE7A51">
        <w:rPr>
          <w:rFonts w:ascii="Arial" w:hAnsi="Arial" w:cs="Arial"/>
        </w:rPr>
        <w:t xml:space="preserve"> Impacts of Liquidity Ratios on Profitability:  </w:t>
      </w:r>
      <w:proofErr w:type="gramStart"/>
      <w:r w:rsidRPr="00AE7A51">
        <w:rPr>
          <w:rFonts w:ascii="Arial" w:hAnsi="Arial" w:cs="Arial"/>
        </w:rPr>
        <w:t>Case  of</w:t>
      </w:r>
      <w:proofErr w:type="gramEnd"/>
      <w:r w:rsidRPr="00AE7A51">
        <w:rPr>
          <w:rFonts w:ascii="Arial" w:hAnsi="Arial" w:cs="Arial"/>
        </w:rPr>
        <w:t xml:space="preserve">  Oil  and  Gas  Companies  of  Pakistan,. Interdisciplinary Journal of Research in Business, 1(7), 95-98. </w:t>
      </w:r>
    </w:p>
    <w:p w:rsidR="00325408" w:rsidRDefault="00325408" w:rsidP="00325408">
      <w:pPr>
        <w:jc w:val="both"/>
        <w:rPr>
          <w:rFonts w:ascii="Arial" w:hAnsi="Arial" w:cs="Arial"/>
          <w:lang w:val="bg-BG"/>
        </w:rPr>
      </w:pPr>
      <w:proofErr w:type="spellStart"/>
      <w:r w:rsidRPr="00325408">
        <w:rPr>
          <w:rFonts w:ascii="Arial" w:hAnsi="Arial" w:cs="Arial"/>
        </w:rPr>
        <w:t>Samiloglu</w:t>
      </w:r>
      <w:proofErr w:type="spellEnd"/>
      <w:proofErr w:type="gramStart"/>
      <w:r w:rsidRPr="00325408">
        <w:rPr>
          <w:rFonts w:ascii="Arial" w:hAnsi="Arial" w:cs="Arial"/>
        </w:rPr>
        <w:t>,  F</w:t>
      </w:r>
      <w:proofErr w:type="gramEnd"/>
      <w:r w:rsidRPr="00325408">
        <w:rPr>
          <w:rFonts w:ascii="Arial" w:hAnsi="Arial" w:cs="Arial"/>
        </w:rPr>
        <w:t xml:space="preserve">.,  &amp;  </w:t>
      </w:r>
      <w:proofErr w:type="spellStart"/>
      <w:r w:rsidRPr="00325408">
        <w:rPr>
          <w:rFonts w:ascii="Arial" w:hAnsi="Arial" w:cs="Arial"/>
        </w:rPr>
        <w:t>Demirgunes</w:t>
      </w:r>
      <w:proofErr w:type="spellEnd"/>
      <w:r w:rsidRPr="00325408">
        <w:rPr>
          <w:rFonts w:ascii="Arial" w:hAnsi="Arial" w:cs="Arial"/>
        </w:rPr>
        <w:t xml:space="preserve">,  K.  (2008).  The  Effect  of  Working Capital  Management  on  Firm  Profitability:  Evidence  from Turkey. </w:t>
      </w:r>
      <w:proofErr w:type="gramStart"/>
      <w:r w:rsidRPr="00325408">
        <w:rPr>
          <w:rFonts w:ascii="Arial" w:hAnsi="Arial" w:cs="Arial"/>
        </w:rPr>
        <w:t>The  International</w:t>
      </w:r>
      <w:proofErr w:type="gramEnd"/>
      <w:r w:rsidRPr="00325408">
        <w:rPr>
          <w:rFonts w:ascii="Arial" w:hAnsi="Arial" w:cs="Arial"/>
        </w:rPr>
        <w:t xml:space="preserve">  Journal  of  Applied  Economics and Finance, 2(1), 44-50.  </w:t>
      </w:r>
    </w:p>
    <w:p w:rsidR="00B93E48" w:rsidRDefault="00B93E48" w:rsidP="00325408">
      <w:pPr>
        <w:jc w:val="both"/>
        <w:rPr>
          <w:rFonts w:ascii="Arial" w:hAnsi="Arial" w:cs="Arial"/>
        </w:rPr>
      </w:pPr>
      <w:r>
        <w:rPr>
          <w:rFonts w:ascii="Arial" w:hAnsi="Arial" w:cs="Arial"/>
        </w:rPr>
        <w:t xml:space="preserve">Scott, (2017) - </w:t>
      </w:r>
      <w:r w:rsidRPr="00B93E48">
        <w:rPr>
          <w:rFonts w:ascii="Arial" w:hAnsi="Arial" w:cs="Arial"/>
          <w:lang w:val="bg-BG"/>
        </w:rPr>
        <w:t>Improve Efficiency Ratio Strategy: Remove Duplication of Work</w:t>
      </w:r>
      <w:r>
        <w:rPr>
          <w:rFonts w:ascii="Arial" w:hAnsi="Arial" w:cs="Arial"/>
          <w:lang w:val="bg-BG"/>
        </w:rPr>
        <w:t xml:space="preserve"> - </w:t>
      </w:r>
      <w:hyperlink r:id="rId19" w:history="1">
        <w:r w:rsidRPr="003C2A30">
          <w:rPr>
            <w:rStyle w:val="Hyperlink"/>
            <w:rFonts w:ascii="Arial" w:hAnsi="Arial" w:cs="Arial"/>
            <w:lang w:val="bg-BG"/>
          </w:rPr>
          <w:t>https://ocom.com.au/how-to-improve-your-business-efficiency-ratio/</w:t>
        </w:r>
      </w:hyperlink>
      <w:r>
        <w:rPr>
          <w:rFonts w:ascii="Arial" w:hAnsi="Arial" w:cs="Arial"/>
          <w:lang w:val="bg-BG"/>
        </w:rPr>
        <w:t xml:space="preserve"> </w:t>
      </w:r>
      <w:r w:rsidRPr="00B93E48">
        <w:rPr>
          <w:rFonts w:ascii="Arial" w:hAnsi="Arial" w:cs="Arial"/>
          <w:lang w:val="bg-BG"/>
        </w:rPr>
        <w:t>[Accessed 10/01/2021]</w:t>
      </w:r>
    </w:p>
    <w:p w:rsidR="00DF5B7D" w:rsidRDefault="00DF5B7D" w:rsidP="00DF5B7D">
      <w:pPr>
        <w:rPr>
          <w:rFonts w:ascii="Arial" w:hAnsi="Arial" w:cs="Arial"/>
        </w:rPr>
      </w:pPr>
      <w:r>
        <w:rPr>
          <w:rFonts w:ascii="Arial" w:hAnsi="Arial" w:cs="Arial"/>
        </w:rPr>
        <w:t xml:space="preserve">Shell Annual report 2019 - </w:t>
      </w:r>
      <w:hyperlink r:id="rId20" w:history="1">
        <w:r w:rsidRPr="003C2A30">
          <w:rPr>
            <w:rStyle w:val="Hyperlink"/>
            <w:rFonts w:ascii="Arial" w:hAnsi="Arial" w:cs="Arial"/>
          </w:rPr>
          <w:t>https://reports.shell.com/annual-report/2019/</w:t>
        </w:r>
      </w:hyperlink>
      <w:r>
        <w:rPr>
          <w:rFonts w:ascii="Arial" w:hAnsi="Arial" w:cs="Arial"/>
        </w:rPr>
        <w:t xml:space="preserve">                             </w:t>
      </w:r>
      <w:r w:rsidRPr="00DF5B7D">
        <w:rPr>
          <w:rFonts w:ascii="Arial" w:hAnsi="Arial" w:cs="Arial"/>
        </w:rPr>
        <w:t>[Accessed 10/01/2021]</w:t>
      </w:r>
    </w:p>
    <w:p w:rsidR="00DF5B7D" w:rsidRDefault="00DF5B7D" w:rsidP="00DF5B7D">
      <w:pPr>
        <w:rPr>
          <w:rFonts w:ascii="Arial" w:hAnsi="Arial" w:cs="Arial"/>
        </w:rPr>
      </w:pPr>
      <w:r>
        <w:rPr>
          <w:rFonts w:ascii="Arial" w:hAnsi="Arial" w:cs="Arial"/>
        </w:rPr>
        <w:t xml:space="preserve">Shell Annual report 2018 - </w:t>
      </w:r>
      <w:hyperlink r:id="rId21" w:history="1">
        <w:r w:rsidRPr="003C2A30">
          <w:rPr>
            <w:rStyle w:val="Hyperlink"/>
            <w:rFonts w:ascii="Arial" w:hAnsi="Arial" w:cs="Arial"/>
          </w:rPr>
          <w:t>https://www.annualreports.com/HostedData/AnnualReportArchive/r/NYSE_RDS_2018.pdf</w:t>
        </w:r>
      </w:hyperlink>
      <w:r>
        <w:rPr>
          <w:rFonts w:ascii="Arial" w:hAnsi="Arial" w:cs="Arial"/>
        </w:rPr>
        <w:t xml:space="preserve"> [Accessed 09</w:t>
      </w:r>
      <w:r w:rsidRPr="00DF5B7D">
        <w:rPr>
          <w:rFonts w:ascii="Arial" w:hAnsi="Arial" w:cs="Arial"/>
        </w:rPr>
        <w:t>/01/2021]</w:t>
      </w:r>
    </w:p>
    <w:p w:rsidR="00DF5B7D" w:rsidRDefault="00DF5B7D" w:rsidP="00DF5B7D">
      <w:pPr>
        <w:rPr>
          <w:rFonts w:ascii="Arial" w:hAnsi="Arial" w:cs="Arial"/>
        </w:rPr>
      </w:pPr>
      <w:r>
        <w:rPr>
          <w:rFonts w:ascii="Arial" w:hAnsi="Arial" w:cs="Arial"/>
        </w:rPr>
        <w:t>Shell Annual report 2017 -</w:t>
      </w:r>
      <w:r w:rsidRPr="00DF5B7D">
        <w:rPr>
          <w:rFonts w:ascii="Arial" w:hAnsi="Arial" w:cs="Arial"/>
        </w:rPr>
        <w:t xml:space="preserve"> </w:t>
      </w:r>
      <w:hyperlink r:id="rId22" w:history="1">
        <w:r w:rsidRPr="003C2A30">
          <w:rPr>
            <w:rStyle w:val="Hyperlink"/>
            <w:rFonts w:ascii="Arial" w:hAnsi="Arial" w:cs="Arial"/>
          </w:rPr>
          <w:t>https://www.annualreports.com/HostedData/AnnualReportArchive/r/NYSE_RDS.B_2017.pdf</w:t>
        </w:r>
      </w:hyperlink>
      <w:r>
        <w:rPr>
          <w:rFonts w:ascii="Arial" w:hAnsi="Arial" w:cs="Arial"/>
        </w:rPr>
        <w:t xml:space="preserve"> </w:t>
      </w:r>
      <w:r w:rsidRPr="00DF5B7D">
        <w:rPr>
          <w:rFonts w:ascii="Arial" w:hAnsi="Arial" w:cs="Arial"/>
        </w:rPr>
        <w:t>[Accessed 09/01/2021]</w:t>
      </w:r>
    </w:p>
    <w:p w:rsidR="00DF5B7D" w:rsidRPr="00DF5B7D" w:rsidRDefault="00DF5B7D" w:rsidP="00DF5B7D">
      <w:pPr>
        <w:rPr>
          <w:rFonts w:ascii="Arial" w:hAnsi="Arial" w:cs="Arial"/>
        </w:rPr>
      </w:pPr>
      <w:r>
        <w:rPr>
          <w:rFonts w:ascii="Arial" w:hAnsi="Arial" w:cs="Arial"/>
        </w:rPr>
        <w:t xml:space="preserve">Shell Annual report 2016 </w:t>
      </w:r>
      <w:proofErr w:type="gramStart"/>
      <w:r>
        <w:rPr>
          <w:rFonts w:ascii="Arial" w:hAnsi="Arial" w:cs="Arial"/>
        </w:rPr>
        <w:t xml:space="preserve">- </w:t>
      </w:r>
      <w:r w:rsidRPr="00DF5B7D">
        <w:rPr>
          <w:rFonts w:ascii="Arial" w:hAnsi="Arial" w:cs="Arial"/>
        </w:rPr>
        <w:t xml:space="preserve"> </w:t>
      </w:r>
      <w:proofErr w:type="gramEnd"/>
      <w:r>
        <w:rPr>
          <w:rFonts w:ascii="Arial" w:hAnsi="Arial" w:cs="Arial"/>
        </w:rPr>
        <w:fldChar w:fldCharType="begin"/>
      </w:r>
      <w:r>
        <w:rPr>
          <w:rFonts w:ascii="Arial" w:hAnsi="Arial" w:cs="Arial"/>
        </w:rPr>
        <w:instrText xml:space="preserve"> HYPERLINK "</w:instrText>
      </w:r>
      <w:r w:rsidRPr="00DF5B7D">
        <w:rPr>
          <w:rFonts w:ascii="Arial" w:hAnsi="Arial" w:cs="Arial"/>
        </w:rPr>
        <w:instrText>https://www.annualreports.com/HostedData/AnnualReportArchive/r/NYSE_RDS.B_2016.pdf</w:instrText>
      </w:r>
      <w:r>
        <w:rPr>
          <w:rFonts w:ascii="Arial" w:hAnsi="Arial" w:cs="Arial"/>
        </w:rPr>
        <w:instrText xml:space="preserve">" </w:instrText>
      </w:r>
      <w:r>
        <w:rPr>
          <w:rFonts w:ascii="Arial" w:hAnsi="Arial" w:cs="Arial"/>
        </w:rPr>
        <w:fldChar w:fldCharType="separate"/>
      </w:r>
      <w:r w:rsidRPr="003C2A30">
        <w:rPr>
          <w:rStyle w:val="Hyperlink"/>
          <w:rFonts w:ascii="Arial" w:hAnsi="Arial" w:cs="Arial"/>
        </w:rPr>
        <w:t>https://www.annualreports.com/HostedData/AnnualReportArchive/r/NYSE_RDS.B_2016.pdf</w:t>
      </w:r>
      <w:r>
        <w:rPr>
          <w:rFonts w:ascii="Arial" w:hAnsi="Arial" w:cs="Arial"/>
        </w:rPr>
        <w:fldChar w:fldCharType="end"/>
      </w:r>
      <w:r>
        <w:rPr>
          <w:rFonts w:ascii="Arial" w:hAnsi="Arial" w:cs="Arial"/>
        </w:rPr>
        <w:t xml:space="preserve"> </w:t>
      </w:r>
      <w:r w:rsidRPr="00DF5B7D">
        <w:rPr>
          <w:rFonts w:ascii="Arial" w:hAnsi="Arial" w:cs="Arial"/>
        </w:rPr>
        <w:t>[Accessed 09/01/2021]</w:t>
      </w:r>
    </w:p>
    <w:p w:rsidR="00AE7A51" w:rsidRDefault="00090E78" w:rsidP="00AE7A51">
      <w:pPr>
        <w:jc w:val="both"/>
        <w:rPr>
          <w:rFonts w:ascii="Arial" w:hAnsi="Arial" w:cs="Arial"/>
        </w:rPr>
      </w:pPr>
      <w:r w:rsidRPr="00090E78">
        <w:rPr>
          <w:rFonts w:ascii="Arial" w:hAnsi="Arial" w:cs="Arial"/>
        </w:rPr>
        <w:t>Titman</w:t>
      </w:r>
      <w:proofErr w:type="gramStart"/>
      <w:r w:rsidRPr="00090E78">
        <w:rPr>
          <w:rFonts w:ascii="Arial" w:hAnsi="Arial" w:cs="Arial"/>
        </w:rPr>
        <w:t>,  S</w:t>
      </w:r>
      <w:proofErr w:type="gramEnd"/>
      <w:r w:rsidRPr="00090E78">
        <w:rPr>
          <w:rFonts w:ascii="Arial" w:hAnsi="Arial" w:cs="Arial"/>
        </w:rPr>
        <w:t xml:space="preserve">.,  &amp;  </w:t>
      </w:r>
      <w:proofErr w:type="spellStart"/>
      <w:r w:rsidRPr="00090E78">
        <w:rPr>
          <w:rFonts w:ascii="Arial" w:hAnsi="Arial" w:cs="Arial"/>
        </w:rPr>
        <w:t>Wessles</w:t>
      </w:r>
      <w:proofErr w:type="spellEnd"/>
      <w:r w:rsidRPr="00090E78">
        <w:rPr>
          <w:rFonts w:ascii="Arial" w:hAnsi="Arial" w:cs="Arial"/>
        </w:rPr>
        <w:t>,  R.  (1988)</w:t>
      </w:r>
      <w:proofErr w:type="gramStart"/>
      <w:r w:rsidRPr="00090E78">
        <w:rPr>
          <w:rFonts w:ascii="Arial" w:hAnsi="Arial" w:cs="Arial"/>
        </w:rPr>
        <w:t>.  The</w:t>
      </w:r>
      <w:proofErr w:type="gramEnd"/>
      <w:r w:rsidRPr="00090E78">
        <w:rPr>
          <w:rFonts w:ascii="Arial" w:hAnsi="Arial" w:cs="Arial"/>
        </w:rPr>
        <w:t xml:space="preserve">  Determinants  of  Capital Structure Choice. Journal of Finance, 43(1), 1-19. </w:t>
      </w:r>
      <w:r w:rsidR="00AE7A51" w:rsidRPr="00AE7A51">
        <w:rPr>
          <w:rFonts w:ascii="Arial" w:hAnsi="Arial" w:cs="Arial"/>
        </w:rPr>
        <w:t xml:space="preserve"> </w:t>
      </w:r>
    </w:p>
    <w:p w:rsidR="00090E78" w:rsidRPr="00090E78" w:rsidRDefault="00090E78" w:rsidP="00090E78">
      <w:pPr>
        <w:jc w:val="both"/>
        <w:rPr>
          <w:rFonts w:ascii="Arial" w:hAnsi="Arial" w:cs="Arial"/>
        </w:rPr>
      </w:pPr>
      <w:proofErr w:type="spellStart"/>
      <w:r w:rsidRPr="00090E78">
        <w:rPr>
          <w:rFonts w:ascii="Arial" w:hAnsi="Arial" w:cs="Arial"/>
        </w:rPr>
        <w:t>Upneja</w:t>
      </w:r>
      <w:proofErr w:type="spellEnd"/>
      <w:proofErr w:type="gramStart"/>
      <w:r w:rsidRPr="00090E78">
        <w:rPr>
          <w:rFonts w:ascii="Arial" w:hAnsi="Arial" w:cs="Arial"/>
        </w:rPr>
        <w:t>,  A</w:t>
      </w:r>
      <w:proofErr w:type="gramEnd"/>
      <w:r w:rsidRPr="00090E78">
        <w:rPr>
          <w:rFonts w:ascii="Arial" w:hAnsi="Arial" w:cs="Arial"/>
        </w:rPr>
        <w:t xml:space="preserve">.,  &amp;  </w:t>
      </w:r>
      <w:proofErr w:type="spellStart"/>
      <w:r w:rsidRPr="00090E78">
        <w:rPr>
          <w:rFonts w:ascii="Arial" w:hAnsi="Arial" w:cs="Arial"/>
        </w:rPr>
        <w:t>Dalbor</w:t>
      </w:r>
      <w:proofErr w:type="spellEnd"/>
      <w:r w:rsidRPr="00090E78">
        <w:rPr>
          <w:rFonts w:ascii="Arial" w:hAnsi="Arial" w:cs="Arial"/>
        </w:rPr>
        <w:t xml:space="preserve">,  M.  </w:t>
      </w:r>
      <w:proofErr w:type="gramStart"/>
      <w:r w:rsidRPr="00090E78">
        <w:rPr>
          <w:rFonts w:ascii="Arial" w:hAnsi="Arial" w:cs="Arial"/>
        </w:rPr>
        <w:t>C.  (</w:t>
      </w:r>
      <w:proofErr w:type="gramEnd"/>
      <w:r w:rsidRPr="00090E78">
        <w:rPr>
          <w:rFonts w:ascii="Arial" w:hAnsi="Arial" w:cs="Arial"/>
        </w:rPr>
        <w:t xml:space="preserve">2001).  </w:t>
      </w:r>
      <w:proofErr w:type="gramStart"/>
      <w:r w:rsidRPr="00090E78">
        <w:rPr>
          <w:rFonts w:ascii="Arial" w:hAnsi="Arial" w:cs="Arial"/>
        </w:rPr>
        <w:t>An  Examination</w:t>
      </w:r>
      <w:proofErr w:type="gramEnd"/>
      <w:r w:rsidRPr="00090E78">
        <w:rPr>
          <w:rFonts w:ascii="Arial" w:hAnsi="Arial" w:cs="Arial"/>
        </w:rPr>
        <w:t xml:space="preserve">  of  Capital Structure    in    the    Restaurant    Industry. International Contemporary Hospitality Management, 13(2), 54-59.   </w:t>
      </w:r>
    </w:p>
    <w:p w:rsidR="00090E78" w:rsidRPr="00023B8B" w:rsidRDefault="00E25BAF" w:rsidP="00090E78">
      <w:pPr>
        <w:jc w:val="both"/>
        <w:rPr>
          <w:rFonts w:ascii="Arial" w:hAnsi="Arial" w:cs="Arial"/>
          <w:lang w:val="bg-BG"/>
        </w:rPr>
      </w:pPr>
      <w:r w:rsidRPr="00E25BAF">
        <w:rPr>
          <w:rFonts w:ascii="Arial" w:hAnsi="Arial" w:cs="Arial"/>
        </w:rPr>
        <w:t>Watson</w:t>
      </w:r>
      <w:proofErr w:type="gramStart"/>
      <w:r w:rsidRPr="00E25BAF">
        <w:rPr>
          <w:rFonts w:ascii="Arial" w:hAnsi="Arial" w:cs="Arial"/>
        </w:rPr>
        <w:t>,  D</w:t>
      </w:r>
      <w:proofErr w:type="gramEnd"/>
      <w:r w:rsidRPr="00E25BAF">
        <w:rPr>
          <w:rFonts w:ascii="Arial" w:hAnsi="Arial" w:cs="Arial"/>
        </w:rPr>
        <w:t xml:space="preserve">.,  &amp;  Head,  A.  (2010). </w:t>
      </w:r>
      <w:proofErr w:type="gramStart"/>
      <w:r w:rsidRPr="00E25BAF">
        <w:rPr>
          <w:rFonts w:ascii="Arial" w:hAnsi="Arial" w:cs="Arial"/>
        </w:rPr>
        <w:t>Corporate  Finance</w:t>
      </w:r>
      <w:proofErr w:type="gramEnd"/>
      <w:r w:rsidRPr="00E25BAF">
        <w:rPr>
          <w:rFonts w:ascii="Arial" w:hAnsi="Arial" w:cs="Arial"/>
        </w:rPr>
        <w:t xml:space="preserve">:  Principles and Practice (5th </w:t>
      </w:r>
      <w:proofErr w:type="spellStart"/>
      <w:r w:rsidRPr="00E25BAF">
        <w:rPr>
          <w:rFonts w:ascii="Arial" w:hAnsi="Arial" w:cs="Arial"/>
        </w:rPr>
        <w:t>ed</w:t>
      </w:r>
      <w:proofErr w:type="spellEnd"/>
      <w:r w:rsidRPr="00E25BAF">
        <w:rPr>
          <w:rFonts w:ascii="Arial" w:hAnsi="Arial" w:cs="Arial"/>
        </w:rPr>
        <w:t xml:space="preserve"> ed.). London: FT Prentice Hall.</w:t>
      </w:r>
    </w:p>
    <w:p w:rsidR="00AE7A51" w:rsidRPr="00AE7A51" w:rsidRDefault="00AE7A51" w:rsidP="00AE7A51">
      <w:pPr>
        <w:jc w:val="both"/>
        <w:rPr>
          <w:rFonts w:ascii="Arial" w:hAnsi="Arial" w:cs="Arial"/>
        </w:rPr>
      </w:pPr>
    </w:p>
    <w:p w:rsidR="00AE7A51" w:rsidRPr="00AE7A51" w:rsidRDefault="00AE7A51" w:rsidP="00AE7A51">
      <w:pPr>
        <w:jc w:val="both"/>
        <w:rPr>
          <w:rFonts w:ascii="Arial" w:hAnsi="Arial" w:cs="Arial"/>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79767F" w:rsidRDefault="0079767F" w:rsidP="002643D0">
      <w:pPr>
        <w:jc w:val="both"/>
        <w:rPr>
          <w:rFonts w:ascii="Arial" w:hAnsi="Arial" w:cs="Arial"/>
          <w:b/>
        </w:rPr>
      </w:pPr>
    </w:p>
    <w:p w:rsidR="000A79C0" w:rsidRDefault="000A79C0" w:rsidP="002643D0">
      <w:pPr>
        <w:jc w:val="both"/>
        <w:rPr>
          <w:rFonts w:ascii="Arial" w:hAnsi="Arial" w:cs="Arial"/>
          <w:b/>
        </w:rPr>
      </w:pPr>
    </w:p>
    <w:p w:rsidR="000A79C0" w:rsidRDefault="000A79C0" w:rsidP="002643D0">
      <w:pPr>
        <w:jc w:val="both"/>
        <w:rPr>
          <w:rFonts w:ascii="Arial" w:hAnsi="Arial" w:cs="Arial"/>
          <w:b/>
        </w:rPr>
      </w:pPr>
    </w:p>
    <w:p w:rsidR="000A79C0" w:rsidRDefault="000A79C0" w:rsidP="002643D0">
      <w:pPr>
        <w:jc w:val="both"/>
        <w:rPr>
          <w:rFonts w:ascii="Arial" w:hAnsi="Arial" w:cs="Arial"/>
          <w:b/>
        </w:rPr>
      </w:pPr>
    </w:p>
    <w:p w:rsidR="000A79C0" w:rsidRDefault="000A79C0" w:rsidP="009C3332">
      <w:pPr>
        <w:pStyle w:val="Heading1"/>
      </w:pPr>
    </w:p>
    <w:p w:rsidR="0079767F" w:rsidRPr="0079767F" w:rsidRDefault="00353739" w:rsidP="009C3332">
      <w:pPr>
        <w:pStyle w:val="Heading1"/>
        <w:rPr>
          <w:rFonts w:eastAsia="Times New Roman"/>
        </w:rPr>
      </w:pPr>
      <w:bookmarkStart w:id="16" w:name="_Toc61470871"/>
      <w:r w:rsidRPr="00353739">
        <w:rPr>
          <w:rFonts w:eastAsia="Times New Roman"/>
          <w:noProof/>
          <w:lang w:eastAsia="en-GB"/>
        </w:rPr>
        <w:t>Appendix:</w:t>
      </w:r>
      <w:bookmarkEnd w:id="16"/>
    </w:p>
    <w:p w:rsidR="0079767F" w:rsidRPr="0079767F" w:rsidRDefault="0079767F" w:rsidP="0079767F">
      <w:pPr>
        <w:spacing w:after="0" w:line="240" w:lineRule="auto"/>
        <w:jc w:val="both"/>
        <w:rPr>
          <w:rFonts w:ascii="Arial" w:eastAsia="Times New Roman" w:hAnsi="Arial" w:cs="Arial"/>
          <w:sz w:val="28"/>
          <w:szCs w:val="28"/>
        </w:rPr>
      </w:pPr>
    </w:p>
    <w:p w:rsidR="0079767F" w:rsidRPr="0079767F" w:rsidRDefault="0079767F" w:rsidP="001B1BB7">
      <w:pPr>
        <w:pStyle w:val="Heading1"/>
        <w:rPr>
          <w:rFonts w:eastAsia="Times New Roman"/>
        </w:rPr>
      </w:pPr>
      <w:bookmarkStart w:id="17" w:name="_Toc61470872"/>
      <w:r w:rsidRPr="0079767F">
        <w:rPr>
          <w:rFonts w:eastAsia="Times New Roman"/>
        </w:rPr>
        <w:t>Table.1</w:t>
      </w:r>
      <w:bookmarkEnd w:id="17"/>
    </w:p>
    <w:p w:rsidR="0079767F" w:rsidRPr="0079767F" w:rsidRDefault="0079767F" w:rsidP="0079767F">
      <w:pPr>
        <w:spacing w:after="0" w:line="240" w:lineRule="auto"/>
        <w:jc w:val="both"/>
        <w:rPr>
          <w:rFonts w:ascii="Arial" w:eastAsia="Times New Roman" w:hAnsi="Arial" w:cs="Arial"/>
          <w:b/>
          <w:bCs/>
          <w:sz w:val="28"/>
          <w:szCs w:val="28"/>
        </w:rPr>
      </w:pPr>
      <w:r w:rsidRPr="0079767F">
        <w:rPr>
          <w:rFonts w:ascii="Arial" w:eastAsia="Times New Roman" w:hAnsi="Arial" w:cs="Arial"/>
          <w:b/>
          <w:bCs/>
          <w:sz w:val="28"/>
          <w:szCs w:val="28"/>
        </w:rPr>
        <w:t xml:space="preserve"> </w:t>
      </w:r>
    </w:p>
    <w:p w:rsidR="0079767F" w:rsidRPr="0079767F" w:rsidRDefault="0079767F" w:rsidP="0079767F">
      <w:pPr>
        <w:spacing w:after="0" w:line="240" w:lineRule="auto"/>
        <w:jc w:val="both"/>
        <w:rPr>
          <w:rFonts w:ascii="Arial" w:eastAsia="Times New Roman" w:hAnsi="Arial" w:cs="Arial"/>
          <w:b/>
          <w:bCs/>
          <w:sz w:val="28"/>
          <w:szCs w:val="28"/>
        </w:rPr>
      </w:pPr>
      <w:r w:rsidRPr="0079767F">
        <w:rPr>
          <w:rFonts w:ascii="Arial" w:eastAsia="Times New Roman" w:hAnsi="Arial" w:cs="Arial"/>
          <w:b/>
          <w:bCs/>
          <w:sz w:val="28"/>
          <w:szCs w:val="28"/>
        </w:rPr>
        <w:t>Ratio analysis on Royal Dutch Shell PLC</w:t>
      </w:r>
    </w:p>
    <w:p w:rsidR="0079767F" w:rsidRPr="002643D0" w:rsidRDefault="0079767F" w:rsidP="002643D0">
      <w:pPr>
        <w:jc w:val="both"/>
        <w:rPr>
          <w:rFonts w:ascii="Arial" w:hAnsi="Arial" w:cs="Arial"/>
          <w:b/>
        </w:rPr>
      </w:pPr>
    </w:p>
    <w:p w:rsidR="001A0FAC" w:rsidRPr="0078649A" w:rsidRDefault="001A0FAC" w:rsidP="001A0FAC">
      <w:pPr>
        <w:jc w:val="both"/>
        <w:rPr>
          <w:rFonts w:ascii="Arial" w:hAnsi="Arial" w:cs="Arial"/>
          <w:b/>
          <w:lang w:val="bg-BG"/>
        </w:rPr>
      </w:pPr>
      <w:r w:rsidRPr="001A0FAC">
        <w:rPr>
          <w:rFonts w:ascii="Arial" w:hAnsi="Arial" w:cs="Arial"/>
          <w:b/>
        </w:rPr>
        <w:lastRenderedPageBreak/>
        <w:cr/>
      </w:r>
      <w:r w:rsidR="007F6ED7" w:rsidRPr="007F6ED7">
        <w:rPr>
          <w:rFonts w:ascii="Arial" w:hAnsi="Arial" w:cs="Arial"/>
          <w:b/>
        </w:rPr>
        <w:t xml:space="preserve"> </w:t>
      </w:r>
      <w:r w:rsidR="0078649A" w:rsidRPr="0078649A">
        <w:rPr>
          <w:noProof/>
          <w:lang w:eastAsia="en-GB"/>
        </w:rPr>
        <w:drawing>
          <wp:inline distT="0" distB="0" distL="0" distR="0" wp14:anchorId="4F22C7EE" wp14:editId="045CE7CE">
            <wp:extent cx="5731510" cy="6899762"/>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6899762"/>
                    </a:xfrm>
                    <a:prstGeom prst="rect">
                      <a:avLst/>
                    </a:prstGeom>
                    <a:noFill/>
                    <a:ln>
                      <a:noFill/>
                    </a:ln>
                  </pic:spPr>
                </pic:pic>
              </a:graphicData>
            </a:graphic>
          </wp:inline>
        </w:drawing>
      </w:r>
    </w:p>
    <w:p w:rsidR="0057063E" w:rsidRDefault="0057063E" w:rsidP="001A0FAC">
      <w:pPr>
        <w:jc w:val="both"/>
        <w:rPr>
          <w:rFonts w:ascii="Arial" w:hAnsi="Arial" w:cs="Arial"/>
          <w:b/>
        </w:rPr>
      </w:pPr>
    </w:p>
    <w:p w:rsidR="0057063E" w:rsidRDefault="0057063E" w:rsidP="001A0FAC">
      <w:pPr>
        <w:jc w:val="both"/>
        <w:rPr>
          <w:rFonts w:ascii="Arial" w:hAnsi="Arial" w:cs="Arial"/>
          <w:b/>
        </w:rPr>
      </w:pPr>
    </w:p>
    <w:p w:rsidR="0057063E" w:rsidRDefault="0057063E" w:rsidP="001A0FAC">
      <w:pPr>
        <w:jc w:val="both"/>
        <w:rPr>
          <w:rFonts w:ascii="Arial" w:hAnsi="Arial" w:cs="Arial"/>
          <w:b/>
        </w:rPr>
      </w:pPr>
    </w:p>
    <w:p w:rsidR="0057063E" w:rsidRDefault="0057063E" w:rsidP="001A0FAC">
      <w:pPr>
        <w:jc w:val="both"/>
        <w:rPr>
          <w:rFonts w:ascii="Arial" w:hAnsi="Arial" w:cs="Arial"/>
          <w:b/>
        </w:rPr>
      </w:pPr>
      <w:r>
        <w:rPr>
          <w:rFonts w:ascii="Arial" w:hAnsi="Arial" w:cs="Arial"/>
          <w:b/>
          <w:noProof/>
          <w:lang w:eastAsia="en-GB"/>
        </w:rPr>
        <w:lastRenderedPageBreak/>
        <w:drawing>
          <wp:inline distT="0" distB="0" distL="0" distR="0">
            <wp:extent cx="5731510" cy="5557950"/>
            <wp:effectExtent l="0" t="0" r="2540" b="5080"/>
            <wp:docPr id="10" name="Picture 10" descr="C:\Users\GAS2\Desktop\Finance\Royal Dutch Shell-Annual report and  Form 20-F 20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GAS2\Desktop\Finance\Royal Dutch Shell-Annual report and  Form 20-F 2016.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5557950"/>
                    </a:xfrm>
                    <a:prstGeom prst="rect">
                      <a:avLst/>
                    </a:prstGeom>
                    <a:noFill/>
                    <a:ln>
                      <a:noFill/>
                    </a:ln>
                  </pic:spPr>
                </pic:pic>
              </a:graphicData>
            </a:graphic>
          </wp:inline>
        </w:drawing>
      </w:r>
    </w:p>
    <w:p w:rsidR="00E62C0B" w:rsidRDefault="00E62C0B" w:rsidP="001A0FAC">
      <w:pPr>
        <w:jc w:val="both"/>
        <w:rPr>
          <w:rFonts w:ascii="Arial" w:hAnsi="Arial" w:cs="Arial"/>
          <w:b/>
        </w:rPr>
      </w:pPr>
    </w:p>
    <w:p w:rsidR="00E62C0B" w:rsidRDefault="00E62C0B" w:rsidP="001A0FAC">
      <w:pPr>
        <w:jc w:val="both"/>
        <w:rPr>
          <w:rFonts w:ascii="Arial" w:hAnsi="Arial" w:cs="Arial"/>
          <w:b/>
        </w:rPr>
      </w:pPr>
      <w:r>
        <w:rPr>
          <w:rFonts w:ascii="Arial" w:hAnsi="Arial" w:cs="Arial"/>
          <w:b/>
          <w:noProof/>
          <w:lang w:eastAsia="en-GB"/>
        </w:rPr>
        <w:lastRenderedPageBreak/>
        <w:drawing>
          <wp:inline distT="0" distB="0" distL="0" distR="0" wp14:anchorId="0779A535">
            <wp:extent cx="5511165" cy="5730875"/>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11165" cy="5730875"/>
                    </a:xfrm>
                    <a:prstGeom prst="rect">
                      <a:avLst/>
                    </a:prstGeom>
                    <a:noFill/>
                  </pic:spPr>
                </pic:pic>
              </a:graphicData>
            </a:graphic>
          </wp:inline>
        </w:drawing>
      </w:r>
    </w:p>
    <w:p w:rsidR="00E62C0B" w:rsidRDefault="00E62C0B" w:rsidP="001A0FAC">
      <w:pPr>
        <w:jc w:val="both"/>
        <w:rPr>
          <w:rFonts w:ascii="Arial" w:hAnsi="Arial" w:cs="Arial"/>
          <w:b/>
        </w:rPr>
      </w:pPr>
      <w:r>
        <w:rPr>
          <w:rFonts w:ascii="Arial" w:hAnsi="Arial" w:cs="Arial"/>
          <w:b/>
          <w:noProof/>
          <w:lang w:eastAsia="en-GB"/>
        </w:rPr>
        <w:lastRenderedPageBreak/>
        <w:drawing>
          <wp:inline distT="0" distB="0" distL="0" distR="0" wp14:anchorId="2D725E70">
            <wp:extent cx="5639435" cy="5919470"/>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39435" cy="5919470"/>
                    </a:xfrm>
                    <a:prstGeom prst="rect">
                      <a:avLst/>
                    </a:prstGeom>
                    <a:noFill/>
                  </pic:spPr>
                </pic:pic>
              </a:graphicData>
            </a:graphic>
          </wp:inline>
        </w:drawing>
      </w:r>
    </w:p>
    <w:p w:rsidR="00E62C0B" w:rsidRDefault="00E62C0B" w:rsidP="001A0FAC">
      <w:pPr>
        <w:jc w:val="both"/>
        <w:rPr>
          <w:rFonts w:ascii="Arial" w:hAnsi="Arial" w:cs="Arial"/>
          <w:b/>
        </w:rPr>
      </w:pPr>
      <w:r>
        <w:rPr>
          <w:rFonts w:ascii="Arial" w:hAnsi="Arial" w:cs="Arial"/>
          <w:b/>
          <w:noProof/>
          <w:lang w:eastAsia="en-GB"/>
        </w:rPr>
        <w:lastRenderedPageBreak/>
        <w:drawing>
          <wp:inline distT="0" distB="0" distL="0" distR="0">
            <wp:extent cx="5731510" cy="3303614"/>
            <wp:effectExtent l="0" t="0" r="2540" b="0"/>
            <wp:docPr id="11" name="Picture 11" descr="C:\Users\GAS2\Desktop\Finance\Royal Dutch Shell-Annual report and  Form 20-F 20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GAS2\Desktop\Finance\Royal Dutch Shell-Annual report and  Form 20-F 2017.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303614"/>
                    </a:xfrm>
                    <a:prstGeom prst="rect">
                      <a:avLst/>
                    </a:prstGeom>
                    <a:noFill/>
                    <a:ln>
                      <a:noFill/>
                    </a:ln>
                  </pic:spPr>
                </pic:pic>
              </a:graphicData>
            </a:graphic>
          </wp:inline>
        </w:drawing>
      </w:r>
    </w:p>
    <w:p w:rsidR="00E62C0B" w:rsidRDefault="00E62C0B" w:rsidP="001A0FAC">
      <w:pPr>
        <w:jc w:val="both"/>
        <w:rPr>
          <w:rFonts w:ascii="Arial" w:hAnsi="Arial" w:cs="Arial"/>
          <w:b/>
        </w:rPr>
      </w:pPr>
      <w:r>
        <w:rPr>
          <w:rFonts w:ascii="Arial" w:hAnsi="Arial" w:cs="Arial"/>
          <w:b/>
          <w:noProof/>
          <w:lang w:eastAsia="en-GB"/>
        </w:rPr>
        <w:drawing>
          <wp:inline distT="0" distB="0" distL="0" distR="0" wp14:anchorId="7EBC1102">
            <wp:extent cx="5944235" cy="3572510"/>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4235" cy="3572510"/>
                    </a:xfrm>
                    <a:prstGeom prst="rect">
                      <a:avLst/>
                    </a:prstGeom>
                    <a:noFill/>
                  </pic:spPr>
                </pic:pic>
              </a:graphicData>
            </a:graphic>
          </wp:inline>
        </w:drawing>
      </w:r>
    </w:p>
    <w:p w:rsidR="00C93478" w:rsidRDefault="00C93478" w:rsidP="001A0FAC">
      <w:pPr>
        <w:jc w:val="both"/>
        <w:rPr>
          <w:rFonts w:ascii="Arial" w:hAnsi="Arial" w:cs="Arial"/>
          <w:b/>
        </w:rPr>
      </w:pPr>
    </w:p>
    <w:p w:rsidR="00C93478" w:rsidRDefault="00C93478" w:rsidP="001A0FAC">
      <w:pPr>
        <w:jc w:val="both"/>
        <w:rPr>
          <w:rFonts w:ascii="Arial" w:hAnsi="Arial" w:cs="Arial"/>
          <w:b/>
        </w:rPr>
      </w:pPr>
    </w:p>
    <w:p w:rsidR="00C93478" w:rsidRDefault="00B051A8" w:rsidP="001A0FAC">
      <w:pPr>
        <w:jc w:val="both"/>
        <w:rPr>
          <w:rFonts w:ascii="Arial" w:hAnsi="Arial" w:cs="Arial"/>
          <w:b/>
        </w:rPr>
      </w:pPr>
      <w:r>
        <w:rPr>
          <w:rFonts w:ascii="Arial" w:hAnsi="Arial" w:cs="Arial"/>
          <w:b/>
          <w:noProof/>
          <w:lang w:eastAsia="en-GB"/>
        </w:rPr>
        <w:lastRenderedPageBreak/>
        <w:drawing>
          <wp:inline distT="0" distB="0" distL="0" distR="0">
            <wp:extent cx="5731510" cy="7265819"/>
            <wp:effectExtent l="0" t="0" r="2540" b="0"/>
            <wp:docPr id="18" name="Picture 18" descr="C:\Users\GAS2\Downloads\IMG_08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GAS2\Downloads\IMG_0839.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7265819"/>
                    </a:xfrm>
                    <a:prstGeom prst="rect">
                      <a:avLst/>
                    </a:prstGeom>
                    <a:noFill/>
                    <a:ln>
                      <a:noFill/>
                    </a:ln>
                  </pic:spPr>
                </pic:pic>
              </a:graphicData>
            </a:graphic>
          </wp:inline>
        </w:drawing>
      </w:r>
    </w:p>
    <w:p w:rsidR="00C93478" w:rsidRDefault="00257A8C" w:rsidP="001A0FAC">
      <w:pPr>
        <w:jc w:val="both"/>
        <w:rPr>
          <w:rFonts w:ascii="Arial" w:hAnsi="Arial" w:cs="Arial"/>
          <w:b/>
        </w:rPr>
      </w:pPr>
      <w:r>
        <w:rPr>
          <w:rFonts w:ascii="Arial" w:hAnsi="Arial" w:cs="Arial"/>
          <w:b/>
        </w:rPr>
        <w:t xml:space="preserve">    </w:t>
      </w:r>
      <w:r w:rsidR="00C93478">
        <w:rPr>
          <w:rFonts w:ascii="Arial" w:hAnsi="Arial" w:cs="Arial"/>
          <w:b/>
        </w:rPr>
        <w:t xml:space="preserve">BP Group balance sheet </w:t>
      </w:r>
      <w:r w:rsidR="00B051A8">
        <w:rPr>
          <w:rFonts w:ascii="Arial" w:hAnsi="Arial" w:cs="Arial"/>
          <w:b/>
        </w:rPr>
        <w:t>–</w:t>
      </w:r>
      <w:r w:rsidR="00C93478">
        <w:rPr>
          <w:rFonts w:ascii="Arial" w:hAnsi="Arial" w:cs="Arial"/>
          <w:b/>
        </w:rPr>
        <w:t xml:space="preserve"> 2019</w:t>
      </w:r>
    </w:p>
    <w:p w:rsidR="00B051A8" w:rsidRDefault="00B051A8" w:rsidP="001A0FAC">
      <w:pPr>
        <w:jc w:val="both"/>
        <w:rPr>
          <w:rFonts w:ascii="Arial" w:hAnsi="Arial" w:cs="Arial"/>
          <w:b/>
        </w:rPr>
      </w:pPr>
    </w:p>
    <w:p w:rsidR="00B051A8" w:rsidRDefault="00257A8C" w:rsidP="001A0FAC">
      <w:pPr>
        <w:jc w:val="both"/>
        <w:rPr>
          <w:rFonts w:ascii="Arial" w:hAnsi="Arial" w:cs="Arial"/>
          <w:b/>
        </w:rPr>
      </w:pPr>
      <w:r>
        <w:rPr>
          <w:rFonts w:ascii="Arial" w:hAnsi="Arial" w:cs="Arial"/>
          <w:b/>
          <w:noProof/>
          <w:lang w:eastAsia="en-GB"/>
        </w:rPr>
        <w:lastRenderedPageBreak/>
        <w:drawing>
          <wp:inline distT="0" distB="0" distL="0" distR="0">
            <wp:extent cx="5731510" cy="4270084"/>
            <wp:effectExtent l="0" t="0" r="2540" b="0"/>
            <wp:docPr id="19" name="Picture 19" descr="C:\Users\GAS2\Downloads\IMG_08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GAS2\Downloads\IMG_0838.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270084"/>
                    </a:xfrm>
                    <a:prstGeom prst="rect">
                      <a:avLst/>
                    </a:prstGeom>
                    <a:noFill/>
                    <a:ln>
                      <a:noFill/>
                    </a:ln>
                  </pic:spPr>
                </pic:pic>
              </a:graphicData>
            </a:graphic>
          </wp:inline>
        </w:drawing>
      </w:r>
    </w:p>
    <w:p w:rsidR="00B051A8" w:rsidRDefault="00257A8C" w:rsidP="001A0FAC">
      <w:pPr>
        <w:jc w:val="both"/>
        <w:rPr>
          <w:rFonts w:ascii="Arial" w:hAnsi="Arial" w:cs="Arial"/>
          <w:b/>
        </w:rPr>
      </w:pPr>
      <w:r>
        <w:rPr>
          <w:rFonts w:ascii="Arial" w:hAnsi="Arial" w:cs="Arial"/>
          <w:b/>
        </w:rPr>
        <w:t xml:space="preserve"> BP Group income statement - 2019</w:t>
      </w:r>
    </w:p>
    <w:p w:rsidR="00B051A8" w:rsidRPr="001A0FAC" w:rsidRDefault="00B051A8" w:rsidP="001A0FAC">
      <w:pPr>
        <w:jc w:val="both"/>
        <w:rPr>
          <w:rFonts w:ascii="Arial" w:hAnsi="Arial" w:cs="Arial"/>
          <w:b/>
        </w:rPr>
      </w:pPr>
    </w:p>
    <w:sectPr w:rsidR="00B051A8" w:rsidRPr="001A0FAC" w:rsidSect="000A79C0">
      <w:footerReference w:type="defaul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E11A0" w:rsidRDefault="006E11A0" w:rsidP="000A79C0">
      <w:pPr>
        <w:spacing w:after="0" w:line="240" w:lineRule="auto"/>
      </w:pPr>
      <w:r>
        <w:separator/>
      </w:r>
    </w:p>
  </w:endnote>
  <w:endnote w:type="continuationSeparator" w:id="0">
    <w:p w:rsidR="006E11A0" w:rsidRDefault="006E11A0" w:rsidP="000A79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pPr w:leftFromText="187" w:rightFromText="187" w:vertAnchor="text" w:tblpY="1"/>
      <w:tblW w:w="5000" w:type="pct"/>
      <w:tblLook w:val="04A0" w:firstRow="1" w:lastRow="0" w:firstColumn="1" w:lastColumn="0" w:noHBand="0" w:noVBand="1"/>
    </w:tblPr>
    <w:tblGrid>
      <w:gridCol w:w="4159"/>
      <w:gridCol w:w="924"/>
      <w:gridCol w:w="4159"/>
    </w:tblGrid>
    <w:tr w:rsidR="000A79C0">
      <w:trPr>
        <w:trHeight w:val="151"/>
      </w:trPr>
      <w:tc>
        <w:tcPr>
          <w:tcW w:w="2250" w:type="pct"/>
          <w:tcBorders>
            <w:bottom w:val="single" w:sz="4" w:space="0" w:color="4F81BD" w:themeColor="accent1"/>
          </w:tcBorders>
        </w:tcPr>
        <w:p w:rsidR="000A79C0" w:rsidRDefault="000A79C0">
          <w:pPr>
            <w:pStyle w:val="Header"/>
            <w:rPr>
              <w:rFonts w:asciiTheme="majorHAnsi" w:eastAsiaTheme="majorEastAsia" w:hAnsiTheme="majorHAnsi" w:cstheme="majorBidi"/>
              <w:b/>
              <w:bCs/>
            </w:rPr>
          </w:pPr>
        </w:p>
      </w:tc>
      <w:tc>
        <w:tcPr>
          <w:tcW w:w="500" w:type="pct"/>
          <w:vMerge w:val="restart"/>
          <w:noWrap/>
          <w:vAlign w:val="center"/>
        </w:tcPr>
        <w:p w:rsidR="000A79C0" w:rsidRDefault="000A79C0">
          <w:pPr>
            <w:pStyle w:val="NoSpacing"/>
            <w:rPr>
              <w:rFonts w:asciiTheme="majorHAnsi" w:eastAsiaTheme="majorEastAsia" w:hAnsiTheme="majorHAnsi" w:cstheme="majorBidi"/>
            </w:rPr>
          </w:pPr>
          <w:r>
            <w:rPr>
              <w:rFonts w:asciiTheme="majorHAnsi" w:eastAsiaTheme="majorEastAsia" w:hAnsiTheme="majorHAnsi" w:cstheme="majorBidi"/>
              <w:b/>
              <w:bCs/>
            </w:rPr>
            <w:t xml:space="preserve">Page </w:t>
          </w:r>
          <w:r>
            <w:fldChar w:fldCharType="begin"/>
          </w:r>
          <w:r>
            <w:instrText xml:space="preserve"> PAGE  \* MERGEFORMAT </w:instrText>
          </w:r>
          <w:r>
            <w:fldChar w:fldCharType="separate"/>
          </w:r>
          <w:r w:rsidR="00702888" w:rsidRPr="00702888">
            <w:rPr>
              <w:rFonts w:asciiTheme="majorHAnsi" w:eastAsiaTheme="majorEastAsia" w:hAnsiTheme="majorHAnsi" w:cstheme="majorBidi"/>
              <w:b/>
              <w:bCs/>
              <w:noProof/>
            </w:rPr>
            <w:t>10</w:t>
          </w:r>
          <w:r>
            <w:rPr>
              <w:rFonts w:asciiTheme="majorHAnsi" w:eastAsiaTheme="majorEastAsia" w:hAnsiTheme="majorHAnsi" w:cstheme="majorBidi"/>
              <w:b/>
              <w:bCs/>
              <w:noProof/>
            </w:rPr>
            <w:fldChar w:fldCharType="end"/>
          </w:r>
        </w:p>
      </w:tc>
      <w:tc>
        <w:tcPr>
          <w:tcW w:w="2250" w:type="pct"/>
          <w:tcBorders>
            <w:bottom w:val="single" w:sz="4" w:space="0" w:color="4F81BD" w:themeColor="accent1"/>
          </w:tcBorders>
        </w:tcPr>
        <w:p w:rsidR="000A79C0" w:rsidRDefault="000A79C0">
          <w:pPr>
            <w:pStyle w:val="Header"/>
            <w:rPr>
              <w:rFonts w:asciiTheme="majorHAnsi" w:eastAsiaTheme="majorEastAsia" w:hAnsiTheme="majorHAnsi" w:cstheme="majorBidi"/>
              <w:b/>
              <w:bCs/>
            </w:rPr>
          </w:pPr>
        </w:p>
      </w:tc>
    </w:tr>
    <w:tr w:rsidR="000A79C0">
      <w:trPr>
        <w:trHeight w:val="150"/>
      </w:trPr>
      <w:tc>
        <w:tcPr>
          <w:tcW w:w="2250" w:type="pct"/>
          <w:tcBorders>
            <w:top w:val="single" w:sz="4" w:space="0" w:color="4F81BD" w:themeColor="accent1"/>
          </w:tcBorders>
        </w:tcPr>
        <w:p w:rsidR="000A79C0" w:rsidRDefault="000A79C0">
          <w:pPr>
            <w:pStyle w:val="Header"/>
            <w:rPr>
              <w:rFonts w:asciiTheme="majorHAnsi" w:eastAsiaTheme="majorEastAsia" w:hAnsiTheme="majorHAnsi" w:cstheme="majorBidi"/>
              <w:b/>
              <w:bCs/>
            </w:rPr>
          </w:pPr>
        </w:p>
      </w:tc>
      <w:tc>
        <w:tcPr>
          <w:tcW w:w="500" w:type="pct"/>
          <w:vMerge/>
        </w:tcPr>
        <w:p w:rsidR="000A79C0" w:rsidRDefault="000A79C0">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rsidR="000A79C0" w:rsidRDefault="000A79C0">
          <w:pPr>
            <w:pStyle w:val="Header"/>
            <w:rPr>
              <w:rFonts w:asciiTheme="majorHAnsi" w:eastAsiaTheme="majorEastAsia" w:hAnsiTheme="majorHAnsi" w:cstheme="majorBidi"/>
              <w:b/>
              <w:bCs/>
            </w:rPr>
          </w:pPr>
        </w:p>
      </w:tc>
    </w:tr>
  </w:tbl>
  <w:p w:rsidR="000A79C0" w:rsidRDefault="000A79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E11A0" w:rsidRDefault="006E11A0" w:rsidP="000A79C0">
      <w:pPr>
        <w:spacing w:after="0" w:line="240" w:lineRule="auto"/>
      </w:pPr>
      <w:r>
        <w:separator/>
      </w:r>
    </w:p>
  </w:footnote>
  <w:footnote w:type="continuationSeparator" w:id="0">
    <w:p w:rsidR="006E11A0" w:rsidRDefault="006E11A0" w:rsidP="000A79C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88208B7"/>
    <w:multiLevelType w:val="hybridMultilevel"/>
    <w:tmpl w:val="F2544A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4944"/>
    <w:rsid w:val="000033A9"/>
    <w:rsid w:val="00023B8B"/>
    <w:rsid w:val="00027F00"/>
    <w:rsid w:val="0003139E"/>
    <w:rsid w:val="000317EB"/>
    <w:rsid w:val="00056A16"/>
    <w:rsid w:val="00074962"/>
    <w:rsid w:val="00090E78"/>
    <w:rsid w:val="000A79C0"/>
    <w:rsid w:val="000B34EB"/>
    <w:rsid w:val="000B5BFF"/>
    <w:rsid w:val="00112D9F"/>
    <w:rsid w:val="00121C00"/>
    <w:rsid w:val="0012273A"/>
    <w:rsid w:val="001416A4"/>
    <w:rsid w:val="00171319"/>
    <w:rsid w:val="00186937"/>
    <w:rsid w:val="001A0C07"/>
    <w:rsid w:val="001A0FAC"/>
    <w:rsid w:val="001A5CA6"/>
    <w:rsid w:val="001B1BB7"/>
    <w:rsid w:val="001D2B80"/>
    <w:rsid w:val="001D4D53"/>
    <w:rsid w:val="001D544D"/>
    <w:rsid w:val="001E595F"/>
    <w:rsid w:val="002430D1"/>
    <w:rsid w:val="0024430E"/>
    <w:rsid w:val="00257A8C"/>
    <w:rsid w:val="002643D0"/>
    <w:rsid w:val="00264738"/>
    <w:rsid w:val="0028442F"/>
    <w:rsid w:val="00324F55"/>
    <w:rsid w:val="00325408"/>
    <w:rsid w:val="003431CB"/>
    <w:rsid w:val="00347780"/>
    <w:rsid w:val="00353739"/>
    <w:rsid w:val="00363731"/>
    <w:rsid w:val="003D09BA"/>
    <w:rsid w:val="00450BE8"/>
    <w:rsid w:val="004677F0"/>
    <w:rsid w:val="00476E26"/>
    <w:rsid w:val="004C0D86"/>
    <w:rsid w:val="004C7832"/>
    <w:rsid w:val="00514DBD"/>
    <w:rsid w:val="005572C8"/>
    <w:rsid w:val="0057063E"/>
    <w:rsid w:val="00681198"/>
    <w:rsid w:val="0068321C"/>
    <w:rsid w:val="00697937"/>
    <w:rsid w:val="006C4385"/>
    <w:rsid w:val="006E11A0"/>
    <w:rsid w:val="006E2CA3"/>
    <w:rsid w:val="006E2FA9"/>
    <w:rsid w:val="006E52DA"/>
    <w:rsid w:val="006F4570"/>
    <w:rsid w:val="00702888"/>
    <w:rsid w:val="00722479"/>
    <w:rsid w:val="007237B8"/>
    <w:rsid w:val="00747D12"/>
    <w:rsid w:val="0078649A"/>
    <w:rsid w:val="0078757C"/>
    <w:rsid w:val="0079767F"/>
    <w:rsid w:val="007A1281"/>
    <w:rsid w:val="007F001F"/>
    <w:rsid w:val="007F6ED7"/>
    <w:rsid w:val="00850A7E"/>
    <w:rsid w:val="008E2045"/>
    <w:rsid w:val="008F2B81"/>
    <w:rsid w:val="0091074A"/>
    <w:rsid w:val="00937216"/>
    <w:rsid w:val="00942D1C"/>
    <w:rsid w:val="0098179C"/>
    <w:rsid w:val="009961DB"/>
    <w:rsid w:val="009C3332"/>
    <w:rsid w:val="009D3626"/>
    <w:rsid w:val="00A226F8"/>
    <w:rsid w:val="00A8443F"/>
    <w:rsid w:val="00A92A0E"/>
    <w:rsid w:val="00A94FE2"/>
    <w:rsid w:val="00AB3D15"/>
    <w:rsid w:val="00AD2977"/>
    <w:rsid w:val="00AE4F64"/>
    <w:rsid w:val="00AE7A51"/>
    <w:rsid w:val="00B051A8"/>
    <w:rsid w:val="00B11017"/>
    <w:rsid w:val="00B56529"/>
    <w:rsid w:val="00B87600"/>
    <w:rsid w:val="00B93E48"/>
    <w:rsid w:val="00C86A5E"/>
    <w:rsid w:val="00C93478"/>
    <w:rsid w:val="00CE4944"/>
    <w:rsid w:val="00D11CF6"/>
    <w:rsid w:val="00D47E46"/>
    <w:rsid w:val="00D5542F"/>
    <w:rsid w:val="00D82ACD"/>
    <w:rsid w:val="00D8387F"/>
    <w:rsid w:val="00DF5B7D"/>
    <w:rsid w:val="00E24714"/>
    <w:rsid w:val="00E25BAF"/>
    <w:rsid w:val="00E4530E"/>
    <w:rsid w:val="00E62C0B"/>
    <w:rsid w:val="00ED75C0"/>
    <w:rsid w:val="00F152DC"/>
    <w:rsid w:val="00F93C20"/>
    <w:rsid w:val="00FD1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C333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0FAC"/>
    <w:pPr>
      <w:ind w:left="720"/>
      <w:contextualSpacing/>
    </w:pPr>
  </w:style>
  <w:style w:type="paragraph" w:styleId="BalloonText">
    <w:name w:val="Balloon Text"/>
    <w:basedOn w:val="Normal"/>
    <w:link w:val="BalloonTextChar"/>
    <w:uiPriority w:val="99"/>
    <w:semiHidden/>
    <w:unhideWhenUsed/>
    <w:rsid w:val="007976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767F"/>
    <w:rPr>
      <w:rFonts w:ascii="Tahoma" w:hAnsi="Tahoma" w:cs="Tahoma"/>
      <w:sz w:val="16"/>
      <w:szCs w:val="16"/>
    </w:rPr>
  </w:style>
  <w:style w:type="character" w:styleId="Hyperlink">
    <w:name w:val="Hyperlink"/>
    <w:basedOn w:val="DefaultParagraphFont"/>
    <w:uiPriority w:val="99"/>
    <w:unhideWhenUsed/>
    <w:rsid w:val="005572C8"/>
    <w:rPr>
      <w:color w:val="0000FF" w:themeColor="hyperlink"/>
      <w:u w:val="single"/>
    </w:rPr>
  </w:style>
  <w:style w:type="paragraph" w:styleId="Header">
    <w:name w:val="header"/>
    <w:basedOn w:val="Normal"/>
    <w:link w:val="HeaderChar"/>
    <w:uiPriority w:val="99"/>
    <w:unhideWhenUsed/>
    <w:rsid w:val="000A79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9C0"/>
  </w:style>
  <w:style w:type="paragraph" w:styleId="Footer">
    <w:name w:val="footer"/>
    <w:basedOn w:val="Normal"/>
    <w:link w:val="FooterChar"/>
    <w:uiPriority w:val="99"/>
    <w:unhideWhenUsed/>
    <w:rsid w:val="000A79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9C0"/>
  </w:style>
  <w:style w:type="paragraph" w:styleId="NoSpacing">
    <w:name w:val="No Spacing"/>
    <w:link w:val="NoSpacingChar"/>
    <w:uiPriority w:val="1"/>
    <w:qFormat/>
    <w:rsid w:val="000A79C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A79C0"/>
    <w:rPr>
      <w:rFonts w:eastAsiaTheme="minorEastAsia"/>
      <w:lang w:val="en-US" w:eastAsia="ja-JP"/>
    </w:rPr>
  </w:style>
  <w:style w:type="character" w:customStyle="1" w:styleId="Heading1Char">
    <w:name w:val="Heading 1 Char"/>
    <w:basedOn w:val="DefaultParagraphFont"/>
    <w:link w:val="Heading1"/>
    <w:uiPriority w:val="9"/>
    <w:rsid w:val="009C333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C3332"/>
    <w:pPr>
      <w:outlineLvl w:val="9"/>
    </w:pPr>
    <w:rPr>
      <w:lang w:val="en-US" w:eastAsia="ja-JP"/>
    </w:rPr>
  </w:style>
  <w:style w:type="paragraph" w:styleId="TOC1">
    <w:name w:val="toc 1"/>
    <w:basedOn w:val="Normal"/>
    <w:next w:val="Normal"/>
    <w:autoRedefine/>
    <w:uiPriority w:val="39"/>
    <w:unhideWhenUsed/>
    <w:rsid w:val="009C3332"/>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C333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0FAC"/>
    <w:pPr>
      <w:ind w:left="720"/>
      <w:contextualSpacing/>
    </w:pPr>
  </w:style>
  <w:style w:type="paragraph" w:styleId="BalloonText">
    <w:name w:val="Balloon Text"/>
    <w:basedOn w:val="Normal"/>
    <w:link w:val="BalloonTextChar"/>
    <w:uiPriority w:val="99"/>
    <w:semiHidden/>
    <w:unhideWhenUsed/>
    <w:rsid w:val="007976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767F"/>
    <w:rPr>
      <w:rFonts w:ascii="Tahoma" w:hAnsi="Tahoma" w:cs="Tahoma"/>
      <w:sz w:val="16"/>
      <w:szCs w:val="16"/>
    </w:rPr>
  </w:style>
  <w:style w:type="character" w:styleId="Hyperlink">
    <w:name w:val="Hyperlink"/>
    <w:basedOn w:val="DefaultParagraphFont"/>
    <w:uiPriority w:val="99"/>
    <w:unhideWhenUsed/>
    <w:rsid w:val="005572C8"/>
    <w:rPr>
      <w:color w:val="0000FF" w:themeColor="hyperlink"/>
      <w:u w:val="single"/>
    </w:rPr>
  </w:style>
  <w:style w:type="paragraph" w:styleId="Header">
    <w:name w:val="header"/>
    <w:basedOn w:val="Normal"/>
    <w:link w:val="HeaderChar"/>
    <w:uiPriority w:val="99"/>
    <w:unhideWhenUsed/>
    <w:rsid w:val="000A79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9C0"/>
  </w:style>
  <w:style w:type="paragraph" w:styleId="Footer">
    <w:name w:val="footer"/>
    <w:basedOn w:val="Normal"/>
    <w:link w:val="FooterChar"/>
    <w:uiPriority w:val="99"/>
    <w:unhideWhenUsed/>
    <w:rsid w:val="000A79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9C0"/>
  </w:style>
  <w:style w:type="paragraph" w:styleId="NoSpacing">
    <w:name w:val="No Spacing"/>
    <w:link w:val="NoSpacingChar"/>
    <w:uiPriority w:val="1"/>
    <w:qFormat/>
    <w:rsid w:val="000A79C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A79C0"/>
    <w:rPr>
      <w:rFonts w:eastAsiaTheme="minorEastAsia"/>
      <w:lang w:val="en-US" w:eastAsia="ja-JP"/>
    </w:rPr>
  </w:style>
  <w:style w:type="character" w:customStyle="1" w:styleId="Heading1Char">
    <w:name w:val="Heading 1 Char"/>
    <w:basedOn w:val="DefaultParagraphFont"/>
    <w:link w:val="Heading1"/>
    <w:uiPriority w:val="9"/>
    <w:rsid w:val="009C333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C3332"/>
    <w:pPr>
      <w:outlineLvl w:val="9"/>
    </w:pPr>
    <w:rPr>
      <w:lang w:val="en-US" w:eastAsia="ja-JP"/>
    </w:rPr>
  </w:style>
  <w:style w:type="paragraph" w:styleId="TOC1">
    <w:name w:val="toc 1"/>
    <w:basedOn w:val="Normal"/>
    <w:next w:val="Normal"/>
    <w:autoRedefine/>
    <w:uiPriority w:val="39"/>
    <w:unhideWhenUsed/>
    <w:rsid w:val="009C333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readyratios.com" TargetMode="External"/><Relationship Id="rId18" Type="http://schemas.openxmlformats.org/officeDocument/2006/relationships/hyperlink" Target="https://www.readyratios.com/sec/industry/13/" TargetMode="External"/><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annualreports.com/HostedData/AnnualReportArchive/r/NYSE_RDS_2018.pdf" TargetMode="Externa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hyperlink" Target="https://www.bp.com/content/dam/bp/business-sites/en/global/corporate/pdfs/investors/bp-annual-report-and-form-20f-2019.pdf" TargetMode="External"/><Relationship Id="rId25" Type="http://schemas.openxmlformats.org/officeDocument/2006/relationships/image" Target="media/image10.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hyperlink" Target="https://reports.shell.com/annual-report/2019/" TargetMode="External"/><Relationship Id="rId29"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image" Target="media/image9.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emf"/><Relationship Id="rId23" Type="http://schemas.openxmlformats.org/officeDocument/2006/relationships/image" Target="media/image8.emf"/><Relationship Id="rId28" Type="http://schemas.openxmlformats.org/officeDocument/2006/relationships/image" Target="media/image13.png"/><Relationship Id="rId10" Type="http://schemas.openxmlformats.org/officeDocument/2006/relationships/image" Target="media/image2.png"/><Relationship Id="rId19" Type="http://schemas.openxmlformats.org/officeDocument/2006/relationships/hyperlink" Target="https://ocom.com.au/how-to-improve-your-business-efficiency-ratio/" TargetMode="External"/><Relationship Id="rId31"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image" Target="media/image5.emf"/><Relationship Id="rId22" Type="http://schemas.openxmlformats.org/officeDocument/2006/relationships/hyperlink" Target="https://www.annualreports.com/HostedData/AnnualReportArchive/r/NYSE_RDS.B_2017.pdf" TargetMode="External"/><Relationship Id="rId27" Type="http://schemas.openxmlformats.org/officeDocument/2006/relationships/image" Target="media/image12.png"/><Relationship Id="rId30" Type="http://schemas.openxmlformats.org/officeDocument/2006/relationships/image" Target="media/image15.jpe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D4F29E-4F42-40E3-85F6-A7035FA3B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3001</TotalTime>
  <Pages>23</Pages>
  <Words>5341</Words>
  <Characters>30447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35717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GAS2</dc:creator>
  <cp:keywords/>
  <dc:description/>
  <cp:lastModifiedBy>GAS2</cp:lastModifiedBy>
  <cp:revision>57</cp:revision>
  <dcterms:created xsi:type="dcterms:W3CDTF">2021-01-10T14:59:00Z</dcterms:created>
  <dcterms:modified xsi:type="dcterms:W3CDTF">2021-01-13T23:41:00Z</dcterms:modified>
</cp:coreProperties>
</file>