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8985BB" w14:textId="77777777" w:rsidR="000643A5" w:rsidRDefault="000643A5" w:rsidP="000643A5">
      <w:pPr>
        <w:spacing w:before="100" w:beforeAutospacing="1" w:after="100" w:afterAutospacing="1" w:line="240" w:lineRule="auto"/>
        <w:rPr>
          <w:rFonts w:ascii="Times New Roman" w:eastAsia="Times New Roman" w:hAnsi="Times New Roman" w:cs="Times New Roman"/>
          <w:b/>
          <w:bCs/>
          <w:kern w:val="36"/>
          <w:sz w:val="48"/>
          <w:szCs w:val="48"/>
          <w:lang w:eastAsia="en-GB"/>
          <w14:ligatures w14:val="none"/>
        </w:rPr>
      </w:pPr>
    </w:p>
    <w:p w14:paraId="04BC87A5" w14:textId="77777777" w:rsidR="00414036" w:rsidRDefault="00414036" w:rsidP="00414036">
      <w:pPr>
        <w:pStyle w:val="pdq2pgselectionanchorcontainer"/>
      </w:pPr>
    </w:p>
    <w:p w14:paraId="4FAC85E7" w14:textId="77777777" w:rsidR="00414036" w:rsidRPr="008F3732" w:rsidRDefault="00414036" w:rsidP="00414036">
      <w:pPr>
        <w:spacing w:line="360" w:lineRule="auto"/>
        <w:rPr>
          <w:rFonts w:ascii="Arial" w:hAnsi="Arial" w:cs="Arial"/>
        </w:rPr>
      </w:pPr>
      <w:r w:rsidRPr="008F3732">
        <w:rPr>
          <w:rFonts w:ascii="Arial" w:hAnsi="Arial" w:cs="Arial"/>
          <w:noProof/>
        </w:rPr>
        <w:drawing>
          <wp:inline distT="0" distB="0" distL="0" distR="0" wp14:anchorId="3101BFEC" wp14:editId="2B2C9D0C">
            <wp:extent cx="5715000" cy="1897380"/>
            <wp:effectExtent l="0" t="0" r="0" b="7620"/>
            <wp:docPr id="33750122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2899DB44" w14:textId="77777777" w:rsidR="00414036" w:rsidRPr="00B4153D" w:rsidRDefault="00414036" w:rsidP="00414036">
      <w:pPr>
        <w:spacing w:line="360" w:lineRule="auto"/>
        <w:rPr>
          <w:rFonts w:ascii="Arial" w:hAnsi="Arial" w:cs="Arial"/>
        </w:rPr>
      </w:pPr>
    </w:p>
    <w:p w14:paraId="317D8C35" w14:textId="77777777" w:rsidR="00414036" w:rsidRPr="005717B8" w:rsidRDefault="00414036" w:rsidP="005717B8">
      <w:pPr>
        <w:spacing w:line="360" w:lineRule="auto"/>
        <w:jc w:val="both"/>
        <w:rPr>
          <w:rFonts w:ascii="Arial" w:hAnsi="Arial" w:cs="Arial"/>
        </w:rPr>
      </w:pPr>
    </w:p>
    <w:p w14:paraId="38789230" w14:textId="77777777" w:rsidR="00414036" w:rsidRPr="005717B8" w:rsidRDefault="00414036" w:rsidP="005717B8">
      <w:pPr>
        <w:spacing w:line="360" w:lineRule="auto"/>
        <w:jc w:val="both"/>
        <w:rPr>
          <w:rFonts w:ascii="Arial" w:hAnsi="Arial" w:cs="Arial"/>
        </w:rPr>
      </w:pPr>
    </w:p>
    <w:p w14:paraId="048D197A" w14:textId="77777777" w:rsidR="00414036" w:rsidRPr="005717B8" w:rsidRDefault="00414036" w:rsidP="005717B8">
      <w:pPr>
        <w:spacing w:line="360" w:lineRule="auto"/>
        <w:jc w:val="both"/>
        <w:rPr>
          <w:rFonts w:ascii="Arial" w:hAnsi="Arial" w:cs="Arial"/>
          <w:i/>
          <w:iCs/>
        </w:rPr>
      </w:pPr>
      <w:r w:rsidRPr="005717B8">
        <w:rPr>
          <w:rFonts w:ascii="Arial" w:hAnsi="Arial" w:cs="Arial"/>
          <w:b/>
          <w:bCs/>
        </w:rPr>
        <w:t xml:space="preserve">BA(Hons) Business Management </w:t>
      </w:r>
    </w:p>
    <w:p w14:paraId="34170F39" w14:textId="66D781AE" w:rsidR="00414036" w:rsidRPr="005717B8" w:rsidRDefault="00414036" w:rsidP="005717B8">
      <w:pPr>
        <w:spacing w:line="360" w:lineRule="auto"/>
        <w:jc w:val="both"/>
        <w:rPr>
          <w:rFonts w:ascii="Arial" w:hAnsi="Arial" w:cs="Arial"/>
        </w:rPr>
      </w:pPr>
      <w:r w:rsidRPr="005717B8">
        <w:rPr>
          <w:rFonts w:ascii="Arial" w:hAnsi="Arial" w:cs="Arial"/>
          <w:b/>
          <w:bCs/>
        </w:rPr>
        <w:t xml:space="preserve">Student Name: </w:t>
      </w:r>
      <w:r w:rsidRPr="005717B8">
        <w:rPr>
          <w:rFonts w:ascii="Arial" w:hAnsi="Arial" w:cs="Arial"/>
        </w:rPr>
        <w:t>Cristina Borta</w:t>
      </w:r>
    </w:p>
    <w:p w14:paraId="73AFD67F" w14:textId="1C0C7400" w:rsidR="00414036" w:rsidRPr="005717B8" w:rsidRDefault="00414036" w:rsidP="005717B8">
      <w:pPr>
        <w:spacing w:line="360" w:lineRule="auto"/>
        <w:jc w:val="both"/>
        <w:rPr>
          <w:rFonts w:ascii="Arial" w:hAnsi="Arial" w:cs="Arial"/>
        </w:rPr>
      </w:pPr>
      <w:r w:rsidRPr="005717B8">
        <w:rPr>
          <w:rFonts w:ascii="Arial" w:hAnsi="Arial" w:cs="Arial"/>
          <w:b/>
          <w:bCs/>
        </w:rPr>
        <w:t xml:space="preserve">Student Number: </w:t>
      </w:r>
      <w:r w:rsidRPr="005717B8">
        <w:rPr>
          <w:rFonts w:ascii="Arial" w:hAnsi="Arial" w:cs="Arial"/>
        </w:rPr>
        <w:t>2239416</w:t>
      </w:r>
    </w:p>
    <w:p w14:paraId="3BC4A958" w14:textId="77777777" w:rsidR="00414036" w:rsidRPr="005717B8" w:rsidRDefault="00414036" w:rsidP="005717B8">
      <w:pPr>
        <w:spacing w:line="360" w:lineRule="auto"/>
        <w:jc w:val="both"/>
        <w:rPr>
          <w:rFonts w:ascii="Arial" w:hAnsi="Arial" w:cs="Arial"/>
        </w:rPr>
      </w:pPr>
      <w:r w:rsidRPr="005717B8">
        <w:rPr>
          <w:rFonts w:ascii="Arial" w:hAnsi="Arial" w:cs="Arial"/>
          <w:b/>
          <w:bCs/>
        </w:rPr>
        <w:t>Course Name:</w:t>
      </w:r>
      <w:r w:rsidRPr="005717B8">
        <w:rPr>
          <w:rFonts w:ascii="Arial" w:hAnsi="Arial" w:cs="Arial"/>
        </w:rPr>
        <w:t xml:space="preserve">  Project Management</w:t>
      </w:r>
    </w:p>
    <w:p w14:paraId="02A15B55" w14:textId="77777777" w:rsidR="00414036" w:rsidRPr="005717B8" w:rsidRDefault="00414036" w:rsidP="005717B8">
      <w:pPr>
        <w:spacing w:line="360" w:lineRule="auto"/>
        <w:jc w:val="both"/>
        <w:rPr>
          <w:rFonts w:ascii="Arial" w:hAnsi="Arial" w:cs="Arial"/>
        </w:rPr>
      </w:pPr>
      <w:r w:rsidRPr="005717B8">
        <w:rPr>
          <w:rFonts w:ascii="Arial" w:hAnsi="Arial" w:cs="Arial"/>
          <w:b/>
          <w:bCs/>
        </w:rPr>
        <w:t xml:space="preserve">Course Code: </w:t>
      </w:r>
      <w:r w:rsidRPr="005717B8">
        <w:rPr>
          <w:rFonts w:ascii="Arial" w:hAnsi="Arial" w:cs="Arial"/>
        </w:rPr>
        <w:t xml:space="preserve"> LCBB6006</w:t>
      </w:r>
    </w:p>
    <w:p w14:paraId="03396E80" w14:textId="77777777" w:rsidR="00414036" w:rsidRPr="005717B8" w:rsidRDefault="00414036" w:rsidP="005717B8">
      <w:pPr>
        <w:spacing w:line="360" w:lineRule="auto"/>
        <w:jc w:val="both"/>
        <w:rPr>
          <w:rFonts w:ascii="Arial" w:hAnsi="Arial" w:cs="Arial"/>
        </w:rPr>
      </w:pPr>
      <w:r w:rsidRPr="005717B8">
        <w:rPr>
          <w:rFonts w:ascii="Arial" w:hAnsi="Arial" w:cs="Arial"/>
          <w:b/>
          <w:bCs/>
        </w:rPr>
        <w:t xml:space="preserve">Lecturer Name: </w:t>
      </w:r>
      <w:r w:rsidRPr="005717B8">
        <w:rPr>
          <w:rFonts w:ascii="Arial" w:hAnsi="Arial" w:cs="Arial"/>
          <w:shd w:val="clear" w:color="auto" w:fill="FFFFFF"/>
        </w:rPr>
        <w:t>Zainab Atta</w:t>
      </w:r>
    </w:p>
    <w:p w14:paraId="4D50D4D5" w14:textId="77777777" w:rsidR="00414036" w:rsidRPr="005717B8" w:rsidRDefault="00414036" w:rsidP="005717B8">
      <w:pPr>
        <w:spacing w:line="360" w:lineRule="auto"/>
        <w:jc w:val="both"/>
        <w:rPr>
          <w:rFonts w:ascii="Arial" w:hAnsi="Arial" w:cs="Arial"/>
        </w:rPr>
      </w:pPr>
      <w:r w:rsidRPr="005717B8">
        <w:rPr>
          <w:rFonts w:ascii="Arial" w:hAnsi="Arial" w:cs="Arial"/>
          <w:b/>
          <w:bCs/>
        </w:rPr>
        <w:t xml:space="preserve">Date: </w:t>
      </w:r>
      <w:r w:rsidRPr="005717B8">
        <w:rPr>
          <w:rFonts w:ascii="Arial" w:hAnsi="Arial" w:cs="Arial"/>
        </w:rPr>
        <w:t>17 August 2026</w:t>
      </w:r>
    </w:p>
    <w:p w14:paraId="5B1F405F" w14:textId="2855C09C" w:rsidR="00414036" w:rsidRPr="005717B8" w:rsidRDefault="00414036" w:rsidP="005717B8">
      <w:pPr>
        <w:spacing w:line="360" w:lineRule="auto"/>
        <w:jc w:val="both"/>
        <w:rPr>
          <w:rFonts w:ascii="Arial" w:hAnsi="Arial" w:cs="Arial"/>
          <w:b/>
          <w:bCs/>
        </w:rPr>
      </w:pPr>
      <w:r w:rsidRPr="005717B8">
        <w:rPr>
          <w:rFonts w:ascii="Arial" w:hAnsi="Arial" w:cs="Arial"/>
          <w:b/>
          <w:bCs/>
        </w:rPr>
        <w:t xml:space="preserve">Essay: </w:t>
      </w:r>
      <w:r w:rsidRPr="005717B8">
        <w:rPr>
          <w:rFonts w:ascii="Arial" w:hAnsi="Arial" w:cs="Arial"/>
        </w:rPr>
        <w:t>Four Methods of Contracting in Project Management: A Critical Evaluation Using the Bloom Coffee Refurbishment Project</w:t>
      </w:r>
    </w:p>
    <w:p w14:paraId="57196F7D" w14:textId="77777777" w:rsidR="00414036" w:rsidRPr="005717B8" w:rsidRDefault="00414036" w:rsidP="005717B8">
      <w:pPr>
        <w:spacing w:before="100" w:beforeAutospacing="1" w:after="100" w:afterAutospacing="1" w:line="360" w:lineRule="auto"/>
        <w:jc w:val="both"/>
        <w:rPr>
          <w:rFonts w:ascii="Arial" w:eastAsia="Times New Roman" w:hAnsi="Arial" w:cs="Arial"/>
          <w:b/>
          <w:bCs/>
          <w:kern w:val="36"/>
          <w:lang w:eastAsia="en-GB"/>
          <w14:ligatures w14:val="none"/>
        </w:rPr>
      </w:pPr>
    </w:p>
    <w:p w14:paraId="200BD743" w14:textId="77777777" w:rsidR="00414036" w:rsidRDefault="00414036" w:rsidP="005717B8">
      <w:pPr>
        <w:spacing w:before="100" w:beforeAutospacing="1" w:after="100" w:afterAutospacing="1" w:line="360" w:lineRule="auto"/>
        <w:jc w:val="both"/>
        <w:rPr>
          <w:rFonts w:ascii="Arial" w:eastAsia="Times New Roman" w:hAnsi="Arial" w:cs="Arial"/>
          <w:b/>
          <w:bCs/>
          <w:kern w:val="36"/>
          <w:lang w:eastAsia="en-GB"/>
          <w14:ligatures w14:val="none"/>
        </w:rPr>
      </w:pPr>
    </w:p>
    <w:p w14:paraId="2D5C606D" w14:textId="77777777" w:rsidR="005717B8" w:rsidRPr="005717B8" w:rsidRDefault="005717B8" w:rsidP="005717B8">
      <w:pPr>
        <w:spacing w:before="100" w:beforeAutospacing="1" w:after="100" w:afterAutospacing="1" w:line="360" w:lineRule="auto"/>
        <w:jc w:val="both"/>
        <w:rPr>
          <w:rFonts w:ascii="Arial" w:eastAsia="Times New Roman" w:hAnsi="Arial" w:cs="Arial"/>
          <w:b/>
          <w:bCs/>
          <w:kern w:val="36"/>
          <w:lang w:eastAsia="en-GB"/>
          <w14:ligatures w14:val="none"/>
        </w:rPr>
      </w:pPr>
    </w:p>
    <w:p w14:paraId="23F66AEB" w14:textId="77777777" w:rsidR="00414036" w:rsidRPr="005717B8" w:rsidRDefault="00414036" w:rsidP="005717B8">
      <w:pPr>
        <w:spacing w:before="100" w:beforeAutospacing="1" w:after="100" w:afterAutospacing="1" w:line="360" w:lineRule="auto"/>
        <w:jc w:val="both"/>
        <w:rPr>
          <w:rFonts w:ascii="Arial" w:eastAsia="Times New Roman" w:hAnsi="Arial" w:cs="Arial"/>
          <w:b/>
          <w:bCs/>
          <w:kern w:val="36"/>
          <w:lang w:eastAsia="en-GB"/>
          <w14:ligatures w14:val="none"/>
        </w:rPr>
      </w:pPr>
    </w:p>
    <w:sdt>
      <w:sdtPr>
        <w:rPr>
          <w:rFonts w:ascii="Arial" w:eastAsiaTheme="minorHAnsi" w:hAnsi="Arial" w:cs="Arial"/>
          <w:color w:val="auto"/>
          <w:kern w:val="2"/>
          <w:sz w:val="24"/>
          <w:szCs w:val="24"/>
          <w:lang w:val="en-GB"/>
          <w14:ligatures w14:val="standardContextual"/>
        </w:rPr>
        <w:id w:val="-1759053150"/>
        <w:docPartObj>
          <w:docPartGallery w:val="Table of Contents"/>
          <w:docPartUnique/>
        </w:docPartObj>
      </w:sdtPr>
      <w:sdtEndPr>
        <w:rPr>
          <w:b/>
          <w:bCs/>
          <w:noProof/>
        </w:rPr>
      </w:sdtEndPr>
      <w:sdtContent>
        <w:p w14:paraId="273EFDFC" w14:textId="243379C4" w:rsidR="005717B8" w:rsidRDefault="005717B8" w:rsidP="005717B8">
          <w:pPr>
            <w:pStyle w:val="TOCHeading"/>
            <w:spacing w:line="360" w:lineRule="auto"/>
            <w:jc w:val="both"/>
            <w:rPr>
              <w:rFonts w:ascii="Arial" w:hAnsi="Arial" w:cs="Arial"/>
              <w:b/>
              <w:bCs/>
              <w:color w:val="auto"/>
              <w:sz w:val="24"/>
              <w:szCs w:val="24"/>
            </w:rPr>
          </w:pPr>
          <w:r w:rsidRPr="00E63F59">
            <w:rPr>
              <w:rFonts w:ascii="Arial" w:hAnsi="Arial" w:cs="Arial"/>
              <w:b/>
              <w:bCs/>
              <w:color w:val="auto"/>
              <w:sz w:val="24"/>
              <w:szCs w:val="24"/>
            </w:rPr>
            <w:t>Table of Contents</w:t>
          </w:r>
        </w:p>
        <w:p w14:paraId="156F91D3" w14:textId="77777777" w:rsidR="00E63F59" w:rsidRDefault="00E63F59" w:rsidP="00E63F59">
          <w:pPr>
            <w:rPr>
              <w:lang w:val="en-US"/>
            </w:rPr>
          </w:pPr>
        </w:p>
        <w:p w14:paraId="730B437B" w14:textId="77777777" w:rsidR="00E63F59" w:rsidRPr="00E63F59" w:rsidRDefault="00E63F59" w:rsidP="00E63F59">
          <w:pPr>
            <w:rPr>
              <w:lang w:val="en-US"/>
            </w:rPr>
          </w:pPr>
        </w:p>
        <w:p w14:paraId="00E4C86A" w14:textId="3CB2B892" w:rsidR="00E63F59" w:rsidRDefault="005717B8">
          <w:pPr>
            <w:pStyle w:val="TOC1"/>
            <w:tabs>
              <w:tab w:val="right" w:leader="dot" w:pos="9345"/>
            </w:tabs>
            <w:rPr>
              <w:rFonts w:eastAsiaTheme="minorEastAsia"/>
              <w:noProof/>
              <w:lang w:eastAsia="en-GB"/>
            </w:rPr>
          </w:pPr>
          <w:r w:rsidRPr="005717B8">
            <w:rPr>
              <w:rFonts w:ascii="Arial" w:hAnsi="Arial" w:cs="Arial"/>
            </w:rPr>
            <w:fldChar w:fldCharType="begin"/>
          </w:r>
          <w:r w:rsidRPr="005717B8">
            <w:rPr>
              <w:rFonts w:ascii="Arial" w:hAnsi="Arial" w:cs="Arial"/>
            </w:rPr>
            <w:instrText xml:space="preserve"> TOC \o "1-3" \h \z \u </w:instrText>
          </w:r>
          <w:r w:rsidRPr="005717B8">
            <w:rPr>
              <w:rFonts w:ascii="Arial" w:hAnsi="Arial" w:cs="Arial"/>
            </w:rPr>
            <w:fldChar w:fldCharType="separate"/>
          </w:r>
          <w:hyperlink w:anchor="_Toc237851866" w:history="1">
            <w:r w:rsidR="00E63F59" w:rsidRPr="00467EB7">
              <w:rPr>
                <w:rStyle w:val="Hyperlink"/>
                <w:rFonts w:ascii="Arial" w:hAnsi="Arial" w:cs="Arial"/>
                <w:b/>
                <w:bCs/>
                <w:noProof/>
              </w:rPr>
              <w:t>1. Introduction</w:t>
            </w:r>
            <w:r w:rsidR="00E63F59">
              <w:rPr>
                <w:noProof/>
                <w:webHidden/>
              </w:rPr>
              <w:tab/>
            </w:r>
            <w:r w:rsidR="00E63F59">
              <w:rPr>
                <w:noProof/>
                <w:webHidden/>
              </w:rPr>
              <w:fldChar w:fldCharType="begin"/>
            </w:r>
            <w:r w:rsidR="00E63F59">
              <w:rPr>
                <w:noProof/>
                <w:webHidden/>
              </w:rPr>
              <w:instrText xml:space="preserve"> PAGEREF _Toc237851866 \h </w:instrText>
            </w:r>
            <w:r w:rsidR="00E63F59">
              <w:rPr>
                <w:noProof/>
                <w:webHidden/>
              </w:rPr>
            </w:r>
            <w:r w:rsidR="00E63F59">
              <w:rPr>
                <w:noProof/>
                <w:webHidden/>
              </w:rPr>
              <w:fldChar w:fldCharType="separate"/>
            </w:r>
            <w:r w:rsidR="00E63F59">
              <w:rPr>
                <w:noProof/>
                <w:webHidden/>
              </w:rPr>
              <w:t>1</w:t>
            </w:r>
            <w:r w:rsidR="00E63F59">
              <w:rPr>
                <w:noProof/>
                <w:webHidden/>
              </w:rPr>
              <w:fldChar w:fldCharType="end"/>
            </w:r>
          </w:hyperlink>
        </w:p>
        <w:p w14:paraId="63E9294D" w14:textId="646DB29C" w:rsidR="00E63F59" w:rsidRDefault="00000000">
          <w:pPr>
            <w:pStyle w:val="TOC1"/>
            <w:tabs>
              <w:tab w:val="right" w:leader="dot" w:pos="9345"/>
            </w:tabs>
            <w:rPr>
              <w:rFonts w:eastAsiaTheme="minorEastAsia"/>
              <w:noProof/>
              <w:lang w:eastAsia="en-GB"/>
            </w:rPr>
          </w:pPr>
          <w:hyperlink w:anchor="_Toc237851867" w:history="1">
            <w:r w:rsidR="00E63F59" w:rsidRPr="00467EB7">
              <w:rPr>
                <w:rStyle w:val="Hyperlink"/>
                <w:rFonts w:ascii="Arial" w:hAnsi="Arial" w:cs="Arial"/>
                <w:b/>
                <w:bCs/>
                <w:noProof/>
              </w:rPr>
              <w:t>2. Turnkey Contracting</w:t>
            </w:r>
            <w:r w:rsidR="00E63F59">
              <w:rPr>
                <w:noProof/>
                <w:webHidden/>
              </w:rPr>
              <w:tab/>
            </w:r>
            <w:r w:rsidR="00E63F59">
              <w:rPr>
                <w:noProof/>
                <w:webHidden/>
              </w:rPr>
              <w:fldChar w:fldCharType="begin"/>
            </w:r>
            <w:r w:rsidR="00E63F59">
              <w:rPr>
                <w:noProof/>
                <w:webHidden/>
              </w:rPr>
              <w:instrText xml:space="preserve"> PAGEREF _Toc237851867 \h </w:instrText>
            </w:r>
            <w:r w:rsidR="00E63F59">
              <w:rPr>
                <w:noProof/>
                <w:webHidden/>
              </w:rPr>
            </w:r>
            <w:r w:rsidR="00E63F59">
              <w:rPr>
                <w:noProof/>
                <w:webHidden/>
              </w:rPr>
              <w:fldChar w:fldCharType="separate"/>
            </w:r>
            <w:r w:rsidR="00E63F59">
              <w:rPr>
                <w:noProof/>
                <w:webHidden/>
              </w:rPr>
              <w:t>2</w:t>
            </w:r>
            <w:r w:rsidR="00E63F59">
              <w:rPr>
                <w:noProof/>
                <w:webHidden/>
              </w:rPr>
              <w:fldChar w:fldCharType="end"/>
            </w:r>
          </w:hyperlink>
        </w:p>
        <w:p w14:paraId="02E261EB" w14:textId="3C8C5DAD" w:rsidR="00E63F59" w:rsidRDefault="00000000">
          <w:pPr>
            <w:pStyle w:val="TOC1"/>
            <w:tabs>
              <w:tab w:val="right" w:leader="dot" w:pos="9345"/>
            </w:tabs>
            <w:rPr>
              <w:rFonts w:eastAsiaTheme="minorEastAsia"/>
              <w:noProof/>
              <w:lang w:eastAsia="en-GB"/>
            </w:rPr>
          </w:pPr>
          <w:hyperlink w:anchor="_Toc237851868" w:history="1">
            <w:r w:rsidR="00E63F59" w:rsidRPr="00467EB7">
              <w:rPr>
                <w:rStyle w:val="Hyperlink"/>
                <w:rFonts w:ascii="Arial" w:hAnsi="Arial" w:cs="Arial"/>
                <w:b/>
                <w:bCs/>
                <w:noProof/>
              </w:rPr>
              <w:t>3. Multicontract</w:t>
            </w:r>
            <w:r w:rsidR="00E63F59">
              <w:rPr>
                <w:noProof/>
                <w:webHidden/>
              </w:rPr>
              <w:tab/>
            </w:r>
            <w:r w:rsidR="00E63F59">
              <w:rPr>
                <w:noProof/>
                <w:webHidden/>
              </w:rPr>
              <w:fldChar w:fldCharType="begin"/>
            </w:r>
            <w:r w:rsidR="00E63F59">
              <w:rPr>
                <w:noProof/>
                <w:webHidden/>
              </w:rPr>
              <w:instrText xml:space="preserve"> PAGEREF _Toc237851868 \h </w:instrText>
            </w:r>
            <w:r w:rsidR="00E63F59">
              <w:rPr>
                <w:noProof/>
                <w:webHidden/>
              </w:rPr>
            </w:r>
            <w:r w:rsidR="00E63F59">
              <w:rPr>
                <w:noProof/>
                <w:webHidden/>
              </w:rPr>
              <w:fldChar w:fldCharType="separate"/>
            </w:r>
            <w:r w:rsidR="00E63F59">
              <w:rPr>
                <w:noProof/>
                <w:webHidden/>
              </w:rPr>
              <w:t>3</w:t>
            </w:r>
            <w:r w:rsidR="00E63F59">
              <w:rPr>
                <w:noProof/>
                <w:webHidden/>
              </w:rPr>
              <w:fldChar w:fldCharType="end"/>
            </w:r>
          </w:hyperlink>
        </w:p>
        <w:p w14:paraId="41D32560" w14:textId="7A1BA8E4" w:rsidR="00E63F59" w:rsidRDefault="00000000">
          <w:pPr>
            <w:pStyle w:val="TOC1"/>
            <w:tabs>
              <w:tab w:val="right" w:leader="dot" w:pos="9345"/>
            </w:tabs>
            <w:rPr>
              <w:rFonts w:eastAsiaTheme="minorEastAsia"/>
              <w:noProof/>
              <w:lang w:eastAsia="en-GB"/>
            </w:rPr>
          </w:pPr>
          <w:hyperlink w:anchor="_Toc237851869" w:history="1">
            <w:r w:rsidR="00E63F59" w:rsidRPr="00467EB7">
              <w:rPr>
                <w:rStyle w:val="Hyperlink"/>
                <w:rFonts w:ascii="Arial" w:hAnsi="Arial" w:cs="Arial"/>
                <w:b/>
                <w:bCs/>
                <w:noProof/>
              </w:rPr>
              <w:t>4. Do-It-Yourself (DIY)</w:t>
            </w:r>
            <w:r w:rsidR="00E63F59">
              <w:rPr>
                <w:noProof/>
                <w:webHidden/>
              </w:rPr>
              <w:tab/>
            </w:r>
            <w:r w:rsidR="00E63F59">
              <w:rPr>
                <w:noProof/>
                <w:webHidden/>
              </w:rPr>
              <w:fldChar w:fldCharType="begin"/>
            </w:r>
            <w:r w:rsidR="00E63F59">
              <w:rPr>
                <w:noProof/>
                <w:webHidden/>
              </w:rPr>
              <w:instrText xml:space="preserve"> PAGEREF _Toc237851869 \h </w:instrText>
            </w:r>
            <w:r w:rsidR="00E63F59">
              <w:rPr>
                <w:noProof/>
                <w:webHidden/>
              </w:rPr>
            </w:r>
            <w:r w:rsidR="00E63F59">
              <w:rPr>
                <w:noProof/>
                <w:webHidden/>
              </w:rPr>
              <w:fldChar w:fldCharType="separate"/>
            </w:r>
            <w:r w:rsidR="00E63F59">
              <w:rPr>
                <w:noProof/>
                <w:webHidden/>
              </w:rPr>
              <w:t>4</w:t>
            </w:r>
            <w:r w:rsidR="00E63F59">
              <w:rPr>
                <w:noProof/>
                <w:webHidden/>
              </w:rPr>
              <w:fldChar w:fldCharType="end"/>
            </w:r>
          </w:hyperlink>
        </w:p>
        <w:p w14:paraId="5C4DA5C6" w14:textId="3B704711" w:rsidR="00E63F59" w:rsidRDefault="00000000">
          <w:pPr>
            <w:pStyle w:val="TOC1"/>
            <w:tabs>
              <w:tab w:val="right" w:leader="dot" w:pos="9345"/>
            </w:tabs>
            <w:rPr>
              <w:rFonts w:eastAsiaTheme="minorEastAsia"/>
              <w:noProof/>
              <w:lang w:eastAsia="en-GB"/>
            </w:rPr>
          </w:pPr>
          <w:hyperlink w:anchor="_Toc237851870" w:history="1">
            <w:r w:rsidR="00E63F59" w:rsidRPr="00467EB7">
              <w:rPr>
                <w:rStyle w:val="Hyperlink"/>
                <w:rFonts w:ascii="Arial" w:hAnsi="Arial" w:cs="Arial"/>
                <w:b/>
                <w:bCs/>
                <w:noProof/>
              </w:rPr>
              <w:t>5. Multicontract + DIY</w:t>
            </w:r>
            <w:r w:rsidR="00E63F59">
              <w:rPr>
                <w:noProof/>
                <w:webHidden/>
              </w:rPr>
              <w:tab/>
            </w:r>
            <w:r w:rsidR="00E63F59">
              <w:rPr>
                <w:noProof/>
                <w:webHidden/>
              </w:rPr>
              <w:fldChar w:fldCharType="begin"/>
            </w:r>
            <w:r w:rsidR="00E63F59">
              <w:rPr>
                <w:noProof/>
                <w:webHidden/>
              </w:rPr>
              <w:instrText xml:space="preserve"> PAGEREF _Toc237851870 \h </w:instrText>
            </w:r>
            <w:r w:rsidR="00E63F59">
              <w:rPr>
                <w:noProof/>
                <w:webHidden/>
              </w:rPr>
            </w:r>
            <w:r w:rsidR="00E63F59">
              <w:rPr>
                <w:noProof/>
                <w:webHidden/>
              </w:rPr>
              <w:fldChar w:fldCharType="separate"/>
            </w:r>
            <w:r w:rsidR="00E63F59">
              <w:rPr>
                <w:noProof/>
                <w:webHidden/>
              </w:rPr>
              <w:t>4</w:t>
            </w:r>
            <w:r w:rsidR="00E63F59">
              <w:rPr>
                <w:noProof/>
                <w:webHidden/>
              </w:rPr>
              <w:fldChar w:fldCharType="end"/>
            </w:r>
          </w:hyperlink>
        </w:p>
        <w:p w14:paraId="29DD7BDE" w14:textId="79F02DDC" w:rsidR="00E63F59" w:rsidRDefault="00000000">
          <w:pPr>
            <w:pStyle w:val="TOC1"/>
            <w:tabs>
              <w:tab w:val="right" w:leader="dot" w:pos="9345"/>
            </w:tabs>
            <w:rPr>
              <w:rFonts w:eastAsiaTheme="minorEastAsia"/>
              <w:noProof/>
              <w:lang w:eastAsia="en-GB"/>
            </w:rPr>
          </w:pPr>
          <w:hyperlink w:anchor="_Toc237851871" w:history="1">
            <w:r w:rsidR="00E63F59" w:rsidRPr="00467EB7">
              <w:rPr>
                <w:rStyle w:val="Hyperlink"/>
                <w:rFonts w:ascii="Arial" w:hAnsi="Arial" w:cs="Arial"/>
                <w:b/>
                <w:bCs/>
                <w:noProof/>
              </w:rPr>
              <w:t>6. Comparative Evaluation and Suitability for Bloom Coffee</w:t>
            </w:r>
            <w:r w:rsidR="00E63F59">
              <w:rPr>
                <w:noProof/>
                <w:webHidden/>
              </w:rPr>
              <w:tab/>
            </w:r>
            <w:r w:rsidR="00E63F59">
              <w:rPr>
                <w:noProof/>
                <w:webHidden/>
              </w:rPr>
              <w:fldChar w:fldCharType="begin"/>
            </w:r>
            <w:r w:rsidR="00E63F59">
              <w:rPr>
                <w:noProof/>
                <w:webHidden/>
              </w:rPr>
              <w:instrText xml:space="preserve"> PAGEREF _Toc237851871 \h </w:instrText>
            </w:r>
            <w:r w:rsidR="00E63F59">
              <w:rPr>
                <w:noProof/>
                <w:webHidden/>
              </w:rPr>
            </w:r>
            <w:r w:rsidR="00E63F59">
              <w:rPr>
                <w:noProof/>
                <w:webHidden/>
              </w:rPr>
              <w:fldChar w:fldCharType="separate"/>
            </w:r>
            <w:r w:rsidR="00E63F59">
              <w:rPr>
                <w:noProof/>
                <w:webHidden/>
              </w:rPr>
              <w:t>5</w:t>
            </w:r>
            <w:r w:rsidR="00E63F59">
              <w:rPr>
                <w:noProof/>
                <w:webHidden/>
              </w:rPr>
              <w:fldChar w:fldCharType="end"/>
            </w:r>
          </w:hyperlink>
        </w:p>
        <w:p w14:paraId="30E5AC72" w14:textId="57ABADE8" w:rsidR="00E63F59" w:rsidRDefault="00000000">
          <w:pPr>
            <w:pStyle w:val="TOC1"/>
            <w:tabs>
              <w:tab w:val="right" w:leader="dot" w:pos="9345"/>
            </w:tabs>
            <w:rPr>
              <w:rFonts w:eastAsiaTheme="minorEastAsia"/>
              <w:noProof/>
              <w:lang w:eastAsia="en-GB"/>
            </w:rPr>
          </w:pPr>
          <w:hyperlink w:anchor="_Toc237851872" w:history="1">
            <w:r w:rsidR="00E63F59" w:rsidRPr="00467EB7">
              <w:rPr>
                <w:rStyle w:val="Hyperlink"/>
                <w:rFonts w:ascii="Arial" w:hAnsi="Arial" w:cs="Arial"/>
                <w:b/>
                <w:bCs/>
                <w:noProof/>
              </w:rPr>
              <w:t>7. Conclusion</w:t>
            </w:r>
            <w:r w:rsidR="00E63F59">
              <w:rPr>
                <w:noProof/>
                <w:webHidden/>
              </w:rPr>
              <w:tab/>
            </w:r>
            <w:r w:rsidR="00E63F59">
              <w:rPr>
                <w:noProof/>
                <w:webHidden/>
              </w:rPr>
              <w:fldChar w:fldCharType="begin"/>
            </w:r>
            <w:r w:rsidR="00E63F59">
              <w:rPr>
                <w:noProof/>
                <w:webHidden/>
              </w:rPr>
              <w:instrText xml:space="preserve"> PAGEREF _Toc237851872 \h </w:instrText>
            </w:r>
            <w:r w:rsidR="00E63F59">
              <w:rPr>
                <w:noProof/>
                <w:webHidden/>
              </w:rPr>
            </w:r>
            <w:r w:rsidR="00E63F59">
              <w:rPr>
                <w:noProof/>
                <w:webHidden/>
              </w:rPr>
              <w:fldChar w:fldCharType="separate"/>
            </w:r>
            <w:r w:rsidR="00E63F59">
              <w:rPr>
                <w:noProof/>
                <w:webHidden/>
              </w:rPr>
              <w:t>6</w:t>
            </w:r>
            <w:r w:rsidR="00E63F59">
              <w:rPr>
                <w:noProof/>
                <w:webHidden/>
              </w:rPr>
              <w:fldChar w:fldCharType="end"/>
            </w:r>
          </w:hyperlink>
        </w:p>
        <w:p w14:paraId="76155F1D" w14:textId="7FFE09FC" w:rsidR="00E63F59" w:rsidRDefault="00000000">
          <w:pPr>
            <w:pStyle w:val="TOC2"/>
            <w:tabs>
              <w:tab w:val="right" w:leader="dot" w:pos="9345"/>
            </w:tabs>
            <w:rPr>
              <w:rFonts w:eastAsiaTheme="minorEastAsia"/>
              <w:noProof/>
              <w:lang w:eastAsia="en-GB"/>
            </w:rPr>
          </w:pPr>
          <w:hyperlink w:anchor="_Toc237851873" w:history="1">
            <w:r w:rsidR="00E63F59" w:rsidRPr="00467EB7">
              <w:rPr>
                <w:rStyle w:val="Hyperlink"/>
                <w:rFonts w:ascii="Arial" w:eastAsia="Times New Roman" w:hAnsi="Arial" w:cs="Arial"/>
                <w:b/>
                <w:bCs/>
                <w:noProof/>
                <w:kern w:val="0"/>
                <w:lang w:eastAsia="en-GB"/>
                <w14:ligatures w14:val="none"/>
              </w:rPr>
              <w:t>8. References</w:t>
            </w:r>
            <w:r w:rsidR="00E63F59">
              <w:rPr>
                <w:noProof/>
                <w:webHidden/>
              </w:rPr>
              <w:tab/>
            </w:r>
            <w:r w:rsidR="00E63F59">
              <w:rPr>
                <w:noProof/>
                <w:webHidden/>
              </w:rPr>
              <w:fldChar w:fldCharType="begin"/>
            </w:r>
            <w:r w:rsidR="00E63F59">
              <w:rPr>
                <w:noProof/>
                <w:webHidden/>
              </w:rPr>
              <w:instrText xml:space="preserve"> PAGEREF _Toc237851873 \h </w:instrText>
            </w:r>
            <w:r w:rsidR="00E63F59">
              <w:rPr>
                <w:noProof/>
                <w:webHidden/>
              </w:rPr>
            </w:r>
            <w:r w:rsidR="00E63F59">
              <w:rPr>
                <w:noProof/>
                <w:webHidden/>
              </w:rPr>
              <w:fldChar w:fldCharType="separate"/>
            </w:r>
            <w:r w:rsidR="00E63F59">
              <w:rPr>
                <w:noProof/>
                <w:webHidden/>
              </w:rPr>
              <w:t>8</w:t>
            </w:r>
            <w:r w:rsidR="00E63F59">
              <w:rPr>
                <w:noProof/>
                <w:webHidden/>
              </w:rPr>
              <w:fldChar w:fldCharType="end"/>
            </w:r>
          </w:hyperlink>
        </w:p>
        <w:p w14:paraId="672D1A89" w14:textId="2CEEC33D" w:rsidR="003A5917" w:rsidRPr="00E63F59" w:rsidRDefault="005717B8" w:rsidP="00E63F59">
          <w:pPr>
            <w:spacing w:line="360" w:lineRule="auto"/>
            <w:jc w:val="both"/>
            <w:rPr>
              <w:rFonts w:ascii="Arial" w:hAnsi="Arial" w:cs="Arial"/>
            </w:rPr>
            <w:sectPr w:rsidR="003A5917" w:rsidRPr="00E63F59">
              <w:pgSz w:w="11906" w:h="16838"/>
              <w:pgMar w:top="1134" w:right="850" w:bottom="1134" w:left="1701" w:header="708" w:footer="708" w:gutter="0"/>
              <w:cols w:space="708"/>
              <w:docGrid w:linePitch="360"/>
            </w:sectPr>
          </w:pPr>
          <w:r w:rsidRPr="005717B8">
            <w:rPr>
              <w:rFonts w:ascii="Arial" w:hAnsi="Arial" w:cs="Arial"/>
              <w:b/>
              <w:bCs/>
              <w:noProof/>
            </w:rPr>
            <w:fldChar w:fldCharType="end"/>
          </w:r>
        </w:p>
      </w:sdtContent>
    </w:sdt>
    <w:p w14:paraId="57CD3557" w14:textId="77777777" w:rsidR="00414036" w:rsidRPr="005717B8" w:rsidRDefault="00414036" w:rsidP="005717B8">
      <w:pPr>
        <w:spacing w:before="100" w:beforeAutospacing="1" w:after="100" w:afterAutospacing="1" w:line="360" w:lineRule="auto"/>
        <w:jc w:val="both"/>
        <w:rPr>
          <w:rFonts w:ascii="Arial" w:eastAsia="Times New Roman" w:hAnsi="Arial" w:cs="Arial"/>
          <w:b/>
          <w:bCs/>
          <w:kern w:val="0"/>
          <w:lang w:eastAsia="en-GB"/>
          <w14:ligatures w14:val="none"/>
        </w:rPr>
      </w:pPr>
    </w:p>
    <w:p w14:paraId="091859B6" w14:textId="77777777" w:rsidR="00D56727" w:rsidRPr="005717B8" w:rsidRDefault="00D56727" w:rsidP="005717B8">
      <w:pPr>
        <w:pStyle w:val="Heading1"/>
        <w:spacing w:line="360" w:lineRule="auto"/>
        <w:jc w:val="both"/>
        <w:rPr>
          <w:rFonts w:ascii="Arial" w:hAnsi="Arial" w:cs="Arial"/>
          <w:b/>
          <w:bCs/>
          <w:color w:val="auto"/>
          <w:sz w:val="24"/>
          <w:szCs w:val="24"/>
        </w:rPr>
      </w:pPr>
      <w:bookmarkStart w:id="0" w:name="_Toc237851866"/>
      <w:r w:rsidRPr="005717B8">
        <w:rPr>
          <w:rFonts w:ascii="Arial" w:hAnsi="Arial" w:cs="Arial"/>
          <w:b/>
          <w:bCs/>
          <w:color w:val="auto"/>
          <w:sz w:val="24"/>
          <w:szCs w:val="24"/>
        </w:rPr>
        <w:t>1. Introduction</w:t>
      </w:r>
      <w:bookmarkEnd w:id="0"/>
    </w:p>
    <w:p w14:paraId="063651E5" w14:textId="4FF0A4F1"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Project management is the coordinated application of knowledge, skills, </w:t>
      </w:r>
      <w:r w:rsidR="003A5917" w:rsidRPr="005717B8">
        <w:rPr>
          <w:rFonts w:ascii="Arial" w:hAnsi="Arial" w:cs="Arial"/>
        </w:rPr>
        <w:t>tools,</w:t>
      </w:r>
      <w:r w:rsidRPr="005717B8">
        <w:rPr>
          <w:rFonts w:ascii="Arial" w:hAnsi="Arial" w:cs="Arial"/>
        </w:rPr>
        <w:t xml:space="preserve"> and techniques to achieve defined project requirements (PMI, 2021). Although planning, scheduling and control are central to delivery, a project must also decide who will perform the work and where responsibility will sit. Contracting and procurement are therefore strategic decisions. RICS (2024) explains that procurement strategy shapes participant selection, </w:t>
      </w:r>
      <w:r w:rsidR="003A5917" w:rsidRPr="005717B8">
        <w:rPr>
          <w:rFonts w:ascii="Arial" w:hAnsi="Arial" w:cs="Arial"/>
        </w:rPr>
        <w:t>relationships,</w:t>
      </w:r>
      <w:r w:rsidRPr="005717B8">
        <w:rPr>
          <w:rFonts w:ascii="Arial" w:hAnsi="Arial" w:cs="Arial"/>
        </w:rPr>
        <w:t xml:space="preserve"> and responsibility allocation. </w:t>
      </w:r>
      <w:r w:rsidR="00667A74" w:rsidRPr="005717B8">
        <w:rPr>
          <w:rFonts w:ascii="Arial" w:hAnsi="Arial" w:cs="Arial"/>
        </w:rPr>
        <w:t>Morledge</w:t>
      </w:r>
      <w:r w:rsidR="00667A74">
        <w:rPr>
          <w:rFonts w:ascii="Arial" w:hAnsi="Arial" w:cs="Arial"/>
        </w:rPr>
        <w:t xml:space="preserve"> et al. </w:t>
      </w:r>
      <w:r w:rsidRPr="005717B8">
        <w:rPr>
          <w:rFonts w:ascii="Arial" w:hAnsi="Arial" w:cs="Arial"/>
        </w:rPr>
        <w:t xml:space="preserve">(2021) similarly argue that procurement should align with client objectives and project risk. Projects may contract out activities to access specialist expertise, expand delivery capacity, overcome internal resource </w:t>
      </w:r>
      <w:r w:rsidR="003A5917" w:rsidRPr="005717B8">
        <w:rPr>
          <w:rFonts w:ascii="Arial" w:hAnsi="Arial" w:cs="Arial"/>
        </w:rPr>
        <w:t>constraints,</w:t>
      </w:r>
      <w:r w:rsidRPr="005717B8">
        <w:rPr>
          <w:rFonts w:ascii="Arial" w:hAnsi="Arial" w:cs="Arial"/>
        </w:rPr>
        <w:t xml:space="preserve"> and allocate risks to suppliers better equipped to manage them. However, outsourcing may reduce direct control and create dependence on external parties, so the decision should reflect capability and risk rather than an assumption that external delivery is automatically superior.</w:t>
      </w:r>
    </w:p>
    <w:p w14:paraId="6CF06933" w14:textId="77777777"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Contracting methods should not be confused with pricing methods. Fixed-price, cost-reimbursable and time-and-materials arrangements determine payment, whereas contracting methods determine who performs the work and where responsibility sits. This essay critically evaluates the four methods specified by the module: Turnkey, Multicontract, Do-It-Yourself (DIY), and Multicontract + DIY. The analysis uses the refurbishment and reopening of Bloom Coffee, a small independent coffee shop in Chatham, Kent, involving decoration, flooring, lighting, counter improvements, coffee-equipment installation, furniture, signage, supplier preparation and staff readiness.</w:t>
      </w:r>
    </w:p>
    <w:p w14:paraId="5E00AD68" w14:textId="42ED1783"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No method is automatically superior. Zhao</w:t>
      </w:r>
      <w:r w:rsidR="003A5917" w:rsidRPr="005717B8">
        <w:rPr>
          <w:rFonts w:ascii="Arial" w:hAnsi="Arial" w:cs="Arial"/>
        </w:rPr>
        <w:t xml:space="preserve"> et al. </w:t>
      </w:r>
      <w:r w:rsidRPr="005717B8">
        <w:rPr>
          <w:rFonts w:ascii="Arial" w:hAnsi="Arial" w:cs="Arial"/>
        </w:rPr>
        <w:t xml:space="preserve">(2022) identify a wide range of procurement-selection criteria, while Bolomope et al. (2022) show that an appropriate route depends on project characteristics, client priorities and organisational capability. The central question is therefore which allocation of responsibility best fits Bloom Coffee's size, complexity, </w:t>
      </w:r>
      <w:r w:rsidR="003A5917" w:rsidRPr="005717B8">
        <w:rPr>
          <w:rFonts w:ascii="Arial" w:hAnsi="Arial" w:cs="Arial"/>
        </w:rPr>
        <w:t>risk,</w:t>
      </w:r>
      <w:r w:rsidRPr="005717B8">
        <w:rPr>
          <w:rFonts w:ascii="Arial" w:hAnsi="Arial" w:cs="Arial"/>
        </w:rPr>
        <w:t xml:space="preserve"> and management capacity. A route that appears cheaper or simpler may perform poorly if it creates coordination gaps, weak accountability or demands capabilities the client does not possess.</w:t>
      </w:r>
    </w:p>
    <w:p w14:paraId="29BC3D83" w14:textId="77777777" w:rsidR="005717B8" w:rsidRPr="005717B8" w:rsidRDefault="005717B8" w:rsidP="005717B8">
      <w:pPr>
        <w:pStyle w:val="NormalWeb"/>
        <w:shd w:val="clear" w:color="auto" w:fill="FFFFFF"/>
        <w:spacing w:before="0" w:beforeAutospacing="0" w:after="0" w:afterAutospacing="0" w:line="360" w:lineRule="auto"/>
        <w:jc w:val="both"/>
        <w:rPr>
          <w:rFonts w:ascii="Arial" w:hAnsi="Arial" w:cs="Arial"/>
        </w:rPr>
      </w:pPr>
    </w:p>
    <w:p w14:paraId="06C7BB3E" w14:textId="77777777" w:rsidR="005717B8" w:rsidRPr="005717B8" w:rsidRDefault="005717B8" w:rsidP="005717B8">
      <w:pPr>
        <w:pStyle w:val="NormalWeb"/>
        <w:shd w:val="clear" w:color="auto" w:fill="FFFFFF"/>
        <w:spacing w:before="0" w:beforeAutospacing="0" w:after="0" w:afterAutospacing="0" w:line="360" w:lineRule="auto"/>
        <w:jc w:val="both"/>
        <w:rPr>
          <w:rFonts w:ascii="Arial" w:hAnsi="Arial" w:cs="Arial"/>
        </w:rPr>
      </w:pPr>
    </w:p>
    <w:p w14:paraId="041A599B" w14:textId="77777777" w:rsidR="005717B8" w:rsidRPr="005717B8" w:rsidRDefault="005717B8" w:rsidP="005717B8">
      <w:pPr>
        <w:pStyle w:val="NormalWeb"/>
        <w:shd w:val="clear" w:color="auto" w:fill="FFFFFF"/>
        <w:spacing w:before="0" w:beforeAutospacing="0" w:after="0" w:afterAutospacing="0" w:line="360" w:lineRule="auto"/>
        <w:jc w:val="both"/>
        <w:rPr>
          <w:rFonts w:ascii="Arial" w:hAnsi="Arial" w:cs="Arial"/>
        </w:rPr>
      </w:pPr>
    </w:p>
    <w:p w14:paraId="5EB1375D" w14:textId="77777777" w:rsidR="005717B8" w:rsidRPr="005717B8" w:rsidRDefault="005717B8" w:rsidP="005717B8">
      <w:pPr>
        <w:pStyle w:val="NormalWeb"/>
        <w:shd w:val="clear" w:color="auto" w:fill="FFFFFF"/>
        <w:spacing w:before="0" w:beforeAutospacing="0" w:after="0" w:afterAutospacing="0" w:line="360" w:lineRule="auto"/>
        <w:jc w:val="both"/>
        <w:rPr>
          <w:rFonts w:ascii="Arial" w:hAnsi="Arial" w:cs="Arial"/>
        </w:rPr>
      </w:pPr>
    </w:p>
    <w:p w14:paraId="5C8D2C52"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5B094D90" w14:textId="77777777" w:rsidR="00D56727" w:rsidRPr="005717B8" w:rsidRDefault="00D56727" w:rsidP="005717B8">
      <w:pPr>
        <w:pStyle w:val="Heading1"/>
        <w:spacing w:line="360" w:lineRule="auto"/>
        <w:jc w:val="both"/>
        <w:rPr>
          <w:rFonts w:ascii="Arial" w:hAnsi="Arial" w:cs="Arial"/>
          <w:b/>
          <w:bCs/>
          <w:color w:val="auto"/>
          <w:sz w:val="24"/>
          <w:szCs w:val="24"/>
        </w:rPr>
      </w:pPr>
      <w:bookmarkStart w:id="1" w:name="_Toc237851867"/>
      <w:r w:rsidRPr="005717B8">
        <w:rPr>
          <w:rFonts w:ascii="Arial" w:hAnsi="Arial" w:cs="Arial"/>
          <w:b/>
          <w:bCs/>
          <w:color w:val="auto"/>
          <w:sz w:val="24"/>
          <w:szCs w:val="24"/>
        </w:rPr>
        <w:t>2. Turnkey Contracting</w:t>
      </w:r>
      <w:bookmarkEnd w:id="1"/>
    </w:p>
    <w:p w14:paraId="6AD426BB"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0EF184E7" w14:textId="77777777"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Under turnkey contracting, one principal contractor accepts extensive responsibility for delivering a complete, operational outcome. The client defines the required result, while the contractor coordinates the work needed to achieve it. This resembles the comprehensive responsibility described by APM (2025) and the EPC/Turnkey approach in the FIDIC Silver Book, where substantial execution risk is placed on the contractor (FIDIC, 2022).</w:t>
      </w:r>
    </w:p>
    <w:p w14:paraId="6284417F" w14:textId="1B4C269C"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For Bloom Coffee, a turnkey contractor could coordinate decoration, flooring, electrical works, counter alterations, equipment installation, </w:t>
      </w:r>
      <w:r w:rsidR="003A5917" w:rsidRPr="005717B8">
        <w:rPr>
          <w:rFonts w:ascii="Arial" w:hAnsi="Arial" w:cs="Arial"/>
        </w:rPr>
        <w:t>furniture,</w:t>
      </w:r>
      <w:r w:rsidRPr="005717B8">
        <w:rPr>
          <w:rFonts w:ascii="Arial" w:hAnsi="Arial" w:cs="Arial"/>
        </w:rPr>
        <w:t xml:space="preserve"> and final completion. Its strongest advantage is single-point responsibility. The owner deals primarily with one contractor rather than several specialists, reducing administrative burden and making accountability clearer. Greenhalgh</w:t>
      </w:r>
      <w:r w:rsidR="00667A74">
        <w:rPr>
          <w:rFonts w:ascii="Arial" w:hAnsi="Arial" w:cs="Arial"/>
        </w:rPr>
        <w:t xml:space="preserve"> et al. </w:t>
      </w:r>
      <w:r w:rsidRPr="005717B8">
        <w:rPr>
          <w:rFonts w:ascii="Arial" w:hAnsi="Arial" w:cs="Arial"/>
        </w:rPr>
        <w:t>(2022) note that procurement routes differ fundamentally in how responsibilities are distributed; concentrating responsibility can reduce fragmentation and interface management.</w:t>
      </w:r>
    </w:p>
    <w:p w14:paraId="06D18C18" w14:textId="77777777"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Turnkey can also improve time and cost certainty where requirements are clearly specified. However, this advantage requires critical qualification. FIDIC (2022) recognises that contractors accepting greater risk generally price that exposure. Risk is therefore transferred rather than eliminated. A contractor may include contingency in its tender, while unclear requirements or unforeseen refurbishment conditions can still lead to variations. Hidden services, damaged finishes or unexpected electrical issues may only become visible after work begins.</w:t>
      </w:r>
    </w:p>
    <w:p w14:paraId="2FF817DD" w14:textId="6CF7E34C"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Evidence for integrated delivery is positive but not universally transferable. Finocchiaro Castro</w:t>
      </w:r>
      <w:r w:rsidR="00667A74">
        <w:rPr>
          <w:rFonts w:ascii="Arial" w:hAnsi="Arial" w:cs="Arial"/>
        </w:rPr>
        <w:t xml:space="preserve"> et al.</w:t>
      </w:r>
      <w:r w:rsidRPr="005717B8">
        <w:rPr>
          <w:rFonts w:ascii="Arial" w:hAnsi="Arial" w:cs="Arial"/>
        </w:rPr>
        <w:t xml:space="preserve"> (2023) found performance benefits from design-and-build public works in Italy, partly through lower transaction costs. Yet their setting is much larger and institutionally different from a small UK coffee-shop refurbishment. Applying the finding directly to Bloom Coffee would therefore overstate the evidence.</w:t>
      </w:r>
    </w:p>
    <w:p w14:paraId="41E67AE1" w14:textId="0E1D1FF8" w:rsidR="003A591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The main disadvantages are higher visible cost and reduced client control. A principal contractor may add management overhead and margin, while the client may have less direct influence over individual suppliers and working methods. For a complex hotel, factory or large restaurant </w:t>
      </w:r>
      <w:r w:rsidR="003A5917" w:rsidRPr="005717B8">
        <w:rPr>
          <w:rFonts w:ascii="Arial" w:hAnsi="Arial" w:cs="Arial"/>
        </w:rPr>
        <w:t>fit out</w:t>
      </w:r>
      <w:r w:rsidRPr="005717B8">
        <w:rPr>
          <w:rFonts w:ascii="Arial" w:hAnsi="Arial" w:cs="Arial"/>
        </w:rPr>
        <w:t xml:space="preserve">, this premium may be justified by coordination certainty. For Bloom Coffee, where many activities are straightforward and the owner can retain </w:t>
      </w:r>
      <w:r w:rsidRPr="005717B8">
        <w:rPr>
          <w:rFonts w:ascii="Arial" w:hAnsi="Arial" w:cs="Arial"/>
        </w:rPr>
        <w:lastRenderedPageBreak/>
        <w:t>some management involvement, full turnkey appears convenient but potentially disproportionate.</w:t>
      </w:r>
    </w:p>
    <w:p w14:paraId="44B0D9F8" w14:textId="1755C3A8" w:rsidR="00D56727" w:rsidRPr="005717B8" w:rsidRDefault="00D56727" w:rsidP="005717B8">
      <w:pPr>
        <w:pStyle w:val="Heading1"/>
        <w:spacing w:line="360" w:lineRule="auto"/>
        <w:jc w:val="both"/>
        <w:rPr>
          <w:rFonts w:ascii="Arial" w:hAnsi="Arial" w:cs="Arial"/>
          <w:b/>
          <w:bCs/>
          <w:color w:val="auto"/>
          <w:sz w:val="24"/>
          <w:szCs w:val="24"/>
        </w:rPr>
      </w:pPr>
      <w:bookmarkStart w:id="2" w:name="_Toc237851868"/>
      <w:r w:rsidRPr="005717B8">
        <w:rPr>
          <w:rFonts w:ascii="Arial" w:hAnsi="Arial" w:cs="Arial"/>
          <w:b/>
          <w:bCs/>
          <w:color w:val="auto"/>
          <w:sz w:val="24"/>
          <w:szCs w:val="24"/>
        </w:rPr>
        <w:t>3.</w:t>
      </w:r>
      <w:r w:rsidR="00E63F59">
        <w:rPr>
          <w:rFonts w:ascii="Arial" w:hAnsi="Arial" w:cs="Arial"/>
          <w:b/>
          <w:bCs/>
          <w:color w:val="auto"/>
          <w:sz w:val="24"/>
          <w:szCs w:val="24"/>
        </w:rPr>
        <w:t xml:space="preserve"> </w:t>
      </w:r>
      <w:r w:rsidRPr="005717B8">
        <w:rPr>
          <w:rFonts w:ascii="Arial" w:hAnsi="Arial" w:cs="Arial"/>
          <w:b/>
          <w:bCs/>
          <w:color w:val="auto"/>
          <w:sz w:val="24"/>
          <w:szCs w:val="24"/>
        </w:rPr>
        <w:t>Multicontract</w:t>
      </w:r>
      <w:bookmarkEnd w:id="2"/>
    </w:p>
    <w:p w14:paraId="4FD23F7D"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4FA6C85F" w14:textId="4A67C2B2"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Under Multicontract, the project is divided into separate work packages contracted directly to different specialists. Bloom Coffee could appoint separate firms for electrical work, flooring, decoration, counter modifications, coffee-equipment </w:t>
      </w:r>
      <w:r w:rsidR="003A5917" w:rsidRPr="005717B8">
        <w:rPr>
          <w:rFonts w:ascii="Arial" w:hAnsi="Arial" w:cs="Arial"/>
        </w:rPr>
        <w:t>installation,</w:t>
      </w:r>
      <w:r w:rsidRPr="005717B8">
        <w:rPr>
          <w:rFonts w:ascii="Arial" w:hAnsi="Arial" w:cs="Arial"/>
        </w:rPr>
        <w:t xml:space="preserve"> and signage. This provides direct access to specialist expertise and allows the owner to compare quotations package by package.</w:t>
      </w:r>
    </w:p>
    <w:p w14:paraId="4C61D714" w14:textId="3E483BEE"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A major advantage is control and transparency. The client can select specialists based on competence, </w:t>
      </w:r>
      <w:r w:rsidR="003A5917" w:rsidRPr="005717B8">
        <w:rPr>
          <w:rFonts w:ascii="Arial" w:hAnsi="Arial" w:cs="Arial"/>
        </w:rPr>
        <w:t>price,</w:t>
      </w:r>
      <w:r w:rsidRPr="005717B8">
        <w:rPr>
          <w:rFonts w:ascii="Arial" w:hAnsi="Arial" w:cs="Arial"/>
        </w:rPr>
        <w:t xml:space="preserve"> and availability instead of accepting a principal contractor's supply chain. Separate packages can also provide flexibility: changing signage, for example, need not reopen the electrical or flooring agreement. Parallel activities may shorten the programme where dependencies are managed effectively.</w:t>
      </w:r>
    </w:p>
    <w:p w14:paraId="6084E9B0" w14:textId="7CD7CE85"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However, removing the principal contractor does not remove the management function. It transfers that function to the client or project manager. Bloom Coffee would need to define scopes, arrange access, coordinate programmes, monitor quality and resolve interfaces. Harris et al. (2021) </w:t>
      </w:r>
      <w:r w:rsidR="003A5917" w:rsidRPr="005717B8">
        <w:rPr>
          <w:rFonts w:ascii="Arial" w:hAnsi="Arial" w:cs="Arial"/>
        </w:rPr>
        <w:t>emphasise</w:t>
      </w:r>
      <w:r w:rsidRPr="005717B8">
        <w:rPr>
          <w:rFonts w:ascii="Arial" w:hAnsi="Arial" w:cs="Arial"/>
        </w:rPr>
        <w:t xml:space="preserve"> the importance of supply-chain and subcontractor-interface management in construction, which means any saving in contractor margin must be weighed against additional internal management time.</w:t>
      </w:r>
    </w:p>
    <w:p w14:paraId="6605F374" w14:textId="4DCBF36D"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Interface risk is the central weakness. If electrical work is delayed, counter installation may be affected, which may then delay connection of the coffee machine and ultimately reopening. Each contractor could satisfy its own agreement while the overall project still fails to meet the programme. This concern is supported by Panakaduwa</w:t>
      </w:r>
      <w:r w:rsidR="003A5917" w:rsidRPr="005717B8">
        <w:rPr>
          <w:rFonts w:ascii="Arial" w:hAnsi="Arial" w:cs="Arial"/>
        </w:rPr>
        <w:t xml:space="preserve"> et al. </w:t>
      </w:r>
      <w:r w:rsidRPr="005717B8">
        <w:rPr>
          <w:rFonts w:ascii="Arial" w:hAnsi="Arial" w:cs="Arial"/>
        </w:rPr>
        <w:t>(2025), whose UK retrofit research identifies fragmented specialist delivery and the need for effective coordination across contractors. Although housing retrofit is not identical to commercial refurbishment, the coordination problem is relevant.</w:t>
      </w:r>
    </w:p>
    <w:p w14:paraId="0D59A646" w14:textId="524F8798"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Multicontract therefore creates a trade-off: greater client control can improve specialist selection and cost visibility, but it also increases exposure to coordination failure. It is suitable where work divides clearly into specialist packages and the client has sufficient management capability. For Bloom Coffee, the route is realistic, but its short reopening programme requires clear sequencing, </w:t>
      </w:r>
      <w:r w:rsidR="003A5917" w:rsidRPr="005717B8">
        <w:rPr>
          <w:rFonts w:ascii="Arial" w:hAnsi="Arial" w:cs="Arial"/>
        </w:rPr>
        <w:t>interfaces,</w:t>
      </w:r>
      <w:r w:rsidRPr="005717B8">
        <w:rPr>
          <w:rFonts w:ascii="Arial" w:hAnsi="Arial" w:cs="Arial"/>
        </w:rPr>
        <w:t xml:space="preserve"> and active communication.</w:t>
      </w:r>
    </w:p>
    <w:p w14:paraId="3B768E25" w14:textId="77777777" w:rsidR="005717B8" w:rsidRPr="005717B8" w:rsidRDefault="005717B8" w:rsidP="005717B8">
      <w:pPr>
        <w:pStyle w:val="NormalWeb"/>
        <w:shd w:val="clear" w:color="auto" w:fill="FFFFFF"/>
        <w:spacing w:before="0" w:beforeAutospacing="0" w:after="0" w:afterAutospacing="0" w:line="360" w:lineRule="auto"/>
        <w:jc w:val="both"/>
        <w:rPr>
          <w:rFonts w:ascii="Arial" w:hAnsi="Arial" w:cs="Arial"/>
        </w:rPr>
      </w:pPr>
    </w:p>
    <w:p w14:paraId="144F0985"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434C8BF1" w14:textId="77777777" w:rsidR="00D56727" w:rsidRPr="005717B8" w:rsidRDefault="00D56727" w:rsidP="005717B8">
      <w:pPr>
        <w:pStyle w:val="Heading1"/>
        <w:spacing w:line="360" w:lineRule="auto"/>
        <w:jc w:val="both"/>
        <w:rPr>
          <w:rFonts w:ascii="Arial" w:hAnsi="Arial" w:cs="Arial"/>
          <w:b/>
          <w:bCs/>
          <w:color w:val="auto"/>
          <w:sz w:val="24"/>
          <w:szCs w:val="24"/>
        </w:rPr>
      </w:pPr>
      <w:bookmarkStart w:id="3" w:name="_Toc237851869"/>
      <w:r w:rsidRPr="005717B8">
        <w:rPr>
          <w:rFonts w:ascii="Arial" w:hAnsi="Arial" w:cs="Arial"/>
          <w:b/>
          <w:bCs/>
          <w:color w:val="auto"/>
          <w:sz w:val="24"/>
          <w:szCs w:val="24"/>
        </w:rPr>
        <w:lastRenderedPageBreak/>
        <w:t>4. Do-It-Yourself (DIY)</w:t>
      </w:r>
      <w:bookmarkEnd w:id="3"/>
    </w:p>
    <w:p w14:paraId="5459207B"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6AA18573" w14:textId="4C0F1A84"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DIY means that the client uses internal labour, </w:t>
      </w:r>
      <w:r w:rsidR="003A5917" w:rsidRPr="005717B8">
        <w:rPr>
          <w:rFonts w:ascii="Arial" w:hAnsi="Arial" w:cs="Arial"/>
        </w:rPr>
        <w:t>management,</w:t>
      </w:r>
      <w:r w:rsidRPr="005717B8">
        <w:rPr>
          <w:rFonts w:ascii="Arial" w:hAnsi="Arial" w:cs="Arial"/>
        </w:rPr>
        <w:t xml:space="preserve"> and resources rather than purchasing the relevant activities externally. Strictly, DIY is closer to a make-or-buy decision than a conventional external contract because an organisation cannot contract with itself in the same legal sense. The term is nevertheless retained because it is one of the four methods specified by the module.</w:t>
      </w:r>
    </w:p>
    <w:p w14:paraId="51897201" w14:textId="77777777"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Its main advantage is direct control. Bloom Coffee could undertake premises clearance, furniture arrangement, basic decoration, stock preparation, staff briefing and final cleaning internally. This may reduce cash expenditure by avoiding contractor overhead and profit and can allow rapid adjustments without formal variations.</w:t>
      </w:r>
    </w:p>
    <w:p w14:paraId="20E7796A" w14:textId="77777777"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The weakness is that internal work is not genuinely free. Owner and employee time has an opportunity cost; time spent decorating or moving furniture cannot simultaneously be used for supplier coordination, staff preparation or operational planning. More importantly, capability limits must be recognised. Zhang et al. (2025), drawing on construction outsourcing cases, show that successful make-or-buy outcomes depend on the interaction between project characteristics, transaction considerations and organisational capabilities rather than a simple assumption that internal or outsourced delivery is always cheaper.</w:t>
      </w:r>
    </w:p>
    <w:p w14:paraId="6B29A44F" w14:textId="5C57D8B0"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For Bloom Coffee, complete DIY would therefore be inappropriate. The owner may competently manage simple preparation activities but is unlikely to possess all specialist skills required for electrical alterations or commercial coffee-equipment installation. Attempting technical work internally to save labour cost could create rework, delay, quality problems or safety exposure. DIY is most suitable for small, low-complexity tasks where the organisation already has the necessary skills, </w:t>
      </w:r>
      <w:r w:rsidR="003A5917" w:rsidRPr="005717B8">
        <w:rPr>
          <w:rFonts w:ascii="Arial" w:hAnsi="Arial" w:cs="Arial"/>
        </w:rPr>
        <w:t>capacity,</w:t>
      </w:r>
      <w:r w:rsidRPr="005717B8">
        <w:rPr>
          <w:rFonts w:ascii="Arial" w:hAnsi="Arial" w:cs="Arial"/>
        </w:rPr>
        <w:t xml:space="preserve"> and time. In this project, selective DIY is defensible; full DIY is not.</w:t>
      </w:r>
    </w:p>
    <w:p w14:paraId="001E7BD4"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37914B82" w14:textId="77777777" w:rsidR="00D56727" w:rsidRPr="005717B8" w:rsidRDefault="00D56727" w:rsidP="005717B8">
      <w:pPr>
        <w:pStyle w:val="Heading1"/>
        <w:spacing w:line="360" w:lineRule="auto"/>
        <w:jc w:val="both"/>
        <w:rPr>
          <w:rFonts w:ascii="Arial" w:hAnsi="Arial" w:cs="Arial"/>
          <w:b/>
          <w:bCs/>
          <w:color w:val="auto"/>
          <w:sz w:val="24"/>
          <w:szCs w:val="24"/>
        </w:rPr>
      </w:pPr>
      <w:bookmarkStart w:id="4" w:name="_Toc237851870"/>
      <w:r w:rsidRPr="005717B8">
        <w:rPr>
          <w:rFonts w:ascii="Arial" w:hAnsi="Arial" w:cs="Arial"/>
          <w:b/>
          <w:bCs/>
          <w:color w:val="auto"/>
          <w:sz w:val="24"/>
          <w:szCs w:val="24"/>
        </w:rPr>
        <w:t>5. Multicontract + DIY</w:t>
      </w:r>
      <w:bookmarkEnd w:id="4"/>
    </w:p>
    <w:p w14:paraId="739DE9E2"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5C0A87C7" w14:textId="77777777"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Multicontract + DIY is a hybrid method in which the client retains suitable activities internally while directly contracting specialist packages. It combines Multicontract procurement with deliberate make-or-buy decisions. For Bloom Coffee, the owner could retain project coordination, clearance, furniture arrangement, supplier preparation, staff </w:t>
      </w:r>
      <w:r w:rsidRPr="005717B8">
        <w:rPr>
          <w:rFonts w:ascii="Arial" w:hAnsi="Arial" w:cs="Arial"/>
        </w:rPr>
        <w:lastRenderedPageBreak/>
        <w:t>readiness and final cleaning, while appointing specialists for electrical work, counter modifications, specialist flooring and coffee-equipment installation.</w:t>
      </w:r>
    </w:p>
    <w:p w14:paraId="1B07B70F" w14:textId="028E8D48"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The principal advantage is selective risk allocation. Rather than transferring the whole project to one turnkey contractor or retaining all work internally, the client keeps tasks that match its capability and outsources activities where specialist competence adds value. This </w:t>
      </w:r>
      <w:r w:rsidR="00667A74">
        <w:rPr>
          <w:rFonts w:ascii="Arial" w:hAnsi="Arial" w:cs="Arial"/>
        </w:rPr>
        <w:t xml:space="preserve">reflects the argument of </w:t>
      </w:r>
      <w:r w:rsidR="00667A74" w:rsidRPr="005717B8">
        <w:rPr>
          <w:rFonts w:ascii="Arial" w:hAnsi="Arial" w:cs="Arial"/>
        </w:rPr>
        <w:t>Morledge</w:t>
      </w:r>
      <w:r w:rsidR="003A5917" w:rsidRPr="005717B8">
        <w:rPr>
          <w:rFonts w:ascii="Arial" w:hAnsi="Arial" w:cs="Arial"/>
        </w:rPr>
        <w:t xml:space="preserve"> et al.</w:t>
      </w:r>
      <w:r w:rsidRPr="005717B8">
        <w:rPr>
          <w:rFonts w:ascii="Arial" w:hAnsi="Arial" w:cs="Arial"/>
        </w:rPr>
        <w:t xml:space="preserve"> (2021</w:t>
      </w:r>
      <w:r w:rsidR="00667A74">
        <w:rPr>
          <w:rFonts w:ascii="Arial" w:hAnsi="Arial" w:cs="Arial"/>
        </w:rPr>
        <w:t xml:space="preserve">) </w:t>
      </w:r>
      <w:r w:rsidRPr="005717B8">
        <w:rPr>
          <w:rFonts w:ascii="Arial" w:hAnsi="Arial" w:cs="Arial"/>
        </w:rPr>
        <w:t>that procurement strategy should follow project objectives and risk rather than be selected mechanically. Laryea and Watermeyer (2024) likewise demonstrate that procurement strategy can be structured around wider project objectives rather than lowest initial price alone.</w:t>
      </w:r>
    </w:p>
    <w:p w14:paraId="12068528" w14:textId="77777777"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For a small business, this approach can offer a stronger balance between cost and control. Bloom Coffee avoids paying a contractor margin for simple internal tasks while still accessing specialist expertise for higher-risk work. Yet hybridisation creates its own weakness: responsibility boundaries can become unclear. If Bloom Coffee prepares an area for an installer but the installer considers the preparation inadequate, delay and additional cost may become disputed. Amoah and Nkosazana (2023) identify poorly defined rights, obligations, work scope and change arrangements as important sources of construction contract disputes.</w:t>
      </w:r>
    </w:p>
    <w:p w14:paraId="1F2F06AE" w14:textId="77777777"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Consequently, Multicontract + DIY should not be informal. Each package needs a clear written scope, dependencies, completion criteria and named responsibility. The method also relies heavily on the owner's management capacity. The apparent saving exists partly because Bloom Coffee assumes coordination duties that a turnkey contractor would otherwise perform. If the owner lacks time or competence, the saving may become false economy.</w:t>
      </w:r>
    </w:p>
    <w:p w14:paraId="02A558E3"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6A200F0F" w14:textId="77777777" w:rsidR="00D56727" w:rsidRPr="005717B8" w:rsidRDefault="00D56727" w:rsidP="005717B8">
      <w:pPr>
        <w:pStyle w:val="Heading1"/>
        <w:spacing w:line="360" w:lineRule="auto"/>
        <w:jc w:val="both"/>
        <w:rPr>
          <w:rFonts w:ascii="Arial" w:hAnsi="Arial" w:cs="Arial"/>
          <w:b/>
          <w:bCs/>
          <w:color w:val="auto"/>
          <w:sz w:val="24"/>
          <w:szCs w:val="24"/>
        </w:rPr>
      </w:pPr>
      <w:bookmarkStart w:id="5" w:name="_Toc237851871"/>
      <w:r w:rsidRPr="005717B8">
        <w:rPr>
          <w:rFonts w:ascii="Arial" w:hAnsi="Arial" w:cs="Arial"/>
          <w:b/>
          <w:bCs/>
          <w:color w:val="auto"/>
          <w:sz w:val="24"/>
          <w:szCs w:val="24"/>
        </w:rPr>
        <w:t>6. Comparative Evaluation and Suitability for Bloom Coffee</w:t>
      </w:r>
      <w:bookmarkEnd w:id="5"/>
    </w:p>
    <w:p w14:paraId="390377E1"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6AEEA816" w14:textId="4B8122F5"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The four methods represent different allocations of control, </w:t>
      </w:r>
      <w:r w:rsidR="003A5917" w:rsidRPr="005717B8">
        <w:rPr>
          <w:rFonts w:ascii="Arial" w:hAnsi="Arial" w:cs="Arial"/>
        </w:rPr>
        <w:t>risk,</w:t>
      </w:r>
      <w:r w:rsidRPr="005717B8">
        <w:rPr>
          <w:rFonts w:ascii="Arial" w:hAnsi="Arial" w:cs="Arial"/>
        </w:rPr>
        <w:t xml:space="preserve"> and coordination responsibility. Their suitability can be assessed against five practical criteria: cost visibility, client control, technical capability, coordination burden and certainty of completion. Turnkey provides the clearest accountability and lowest client coordination burden, but this certainty is purchased through contractor risk pricing and reduced client influence. Multicontract increases specialist choice and cost </w:t>
      </w:r>
      <w:r w:rsidR="003A5917" w:rsidRPr="005717B8">
        <w:rPr>
          <w:rFonts w:ascii="Arial" w:hAnsi="Arial" w:cs="Arial"/>
        </w:rPr>
        <w:t>transparency but</w:t>
      </w:r>
      <w:r w:rsidRPr="005717B8">
        <w:rPr>
          <w:rFonts w:ascii="Arial" w:hAnsi="Arial" w:cs="Arial"/>
        </w:rPr>
        <w:t xml:space="preserve"> makes the client responsible for integrating separate packages. DIY maximises direct control and can reduce cash expenditure, but only where internal capability and time genuinely exist. </w:t>
      </w:r>
      <w:r w:rsidRPr="005717B8">
        <w:rPr>
          <w:rFonts w:ascii="Arial" w:hAnsi="Arial" w:cs="Arial"/>
        </w:rPr>
        <w:lastRenderedPageBreak/>
        <w:t>Multicontract + DIY combines direct procurement with internal delivery, while requiring disciplined interface management.</w:t>
      </w:r>
    </w:p>
    <w:p w14:paraId="60B33493" w14:textId="77777777"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For Bloom Coffee, Multicontract + DIY provides the strongest fit. The project is too technically varied for complete DIY, yet too small and relatively straightforward to make full turnkey obviously economical. Retaining simple tasks internally and procuring specialist packages directly should preserve control and reduce unnecessary management margin without accepting technical risks that the business is poorly equipped to manage.</w:t>
      </w:r>
    </w:p>
    <w:p w14:paraId="55F4CA7C" w14:textId="082F25D6"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This recommendation is conditional. If the owner were inexperienced, </w:t>
      </w:r>
      <w:r w:rsidR="003A5917" w:rsidRPr="005717B8">
        <w:rPr>
          <w:rFonts w:ascii="Arial" w:hAnsi="Arial" w:cs="Arial"/>
        </w:rPr>
        <w:t>unavailable,</w:t>
      </w:r>
      <w:r w:rsidRPr="005717B8">
        <w:rPr>
          <w:rFonts w:ascii="Arial" w:hAnsi="Arial" w:cs="Arial"/>
        </w:rPr>
        <w:t xml:space="preserve"> or unable to coordinate a short programme, turnkey could represent better value despite a higher tender price. Conversely, stronger in-house technical capability could justify more DIY. This supports</w:t>
      </w:r>
      <w:r w:rsidR="00667A74">
        <w:rPr>
          <w:rFonts w:ascii="Arial" w:hAnsi="Arial" w:cs="Arial"/>
        </w:rPr>
        <w:t xml:space="preserve"> the view of </w:t>
      </w:r>
      <w:r w:rsidRPr="005717B8">
        <w:rPr>
          <w:rFonts w:ascii="Arial" w:hAnsi="Arial" w:cs="Arial"/>
        </w:rPr>
        <w:t>Bolomope et al. (2022) and Zhao</w:t>
      </w:r>
      <w:r w:rsidR="003A5917" w:rsidRPr="005717B8">
        <w:rPr>
          <w:rFonts w:ascii="Arial" w:hAnsi="Arial" w:cs="Arial"/>
        </w:rPr>
        <w:t xml:space="preserve"> et al.</w:t>
      </w:r>
      <w:r w:rsidRPr="005717B8">
        <w:rPr>
          <w:rFonts w:ascii="Arial" w:hAnsi="Arial" w:cs="Arial"/>
        </w:rPr>
        <w:t xml:space="preserve"> (2022)</w:t>
      </w:r>
      <w:r w:rsidR="003A5917" w:rsidRPr="005717B8">
        <w:rPr>
          <w:rFonts w:ascii="Arial" w:hAnsi="Arial" w:cs="Arial"/>
        </w:rPr>
        <w:t xml:space="preserve"> that</w:t>
      </w:r>
      <w:r w:rsidRPr="005717B8">
        <w:rPr>
          <w:rFonts w:ascii="Arial" w:hAnsi="Arial" w:cs="Arial"/>
        </w:rPr>
        <w:t xml:space="preserve"> procurement selection is multidimensional and should reflect the specific client and project rather than generic assumptions such as 'turnkey is safest' or 'DIY is cheapest'.</w:t>
      </w:r>
    </w:p>
    <w:p w14:paraId="2B08E425" w14:textId="584C95A1"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The evidence also has limits. Much of the literature concerns construction or infrastructure projects larger than Bloom Coffee. Finocchiaro </w:t>
      </w:r>
      <w:r w:rsidR="003A5917" w:rsidRPr="005717B8">
        <w:rPr>
          <w:rFonts w:ascii="Arial" w:hAnsi="Arial" w:cs="Arial"/>
        </w:rPr>
        <w:t xml:space="preserve">et al. </w:t>
      </w:r>
      <w:r w:rsidRPr="005717B8">
        <w:rPr>
          <w:rFonts w:ascii="Arial" w:hAnsi="Arial" w:cs="Arial"/>
        </w:rPr>
        <w:t xml:space="preserve">(2023) study Italian public works, while Laryea and Watermeyer (2024) examine a South African context. These studies provide useful principles, but not direct proof that the same outcomes will occur in a small UK refurbishment. RICS (2024) is therefore particularly useful in reinforcing the practical principle that procurement strategy should be selected in relation to project objectives, </w:t>
      </w:r>
      <w:r w:rsidR="003A5917" w:rsidRPr="005717B8">
        <w:rPr>
          <w:rFonts w:ascii="Arial" w:hAnsi="Arial" w:cs="Arial"/>
        </w:rPr>
        <w:t>risk,</w:t>
      </w:r>
      <w:r w:rsidRPr="005717B8">
        <w:rPr>
          <w:rFonts w:ascii="Arial" w:hAnsi="Arial" w:cs="Arial"/>
        </w:rPr>
        <w:t xml:space="preserve"> and client capability.</w:t>
      </w:r>
    </w:p>
    <w:p w14:paraId="480407C8"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0F2524E7" w14:textId="77777777" w:rsidR="00D56727" w:rsidRPr="005717B8" w:rsidRDefault="00D56727" w:rsidP="005717B8">
      <w:pPr>
        <w:pStyle w:val="Heading1"/>
        <w:spacing w:line="360" w:lineRule="auto"/>
        <w:jc w:val="both"/>
        <w:rPr>
          <w:rFonts w:ascii="Arial" w:hAnsi="Arial" w:cs="Arial"/>
          <w:b/>
          <w:bCs/>
          <w:color w:val="auto"/>
          <w:sz w:val="24"/>
          <w:szCs w:val="24"/>
        </w:rPr>
      </w:pPr>
      <w:bookmarkStart w:id="6" w:name="_Toc237851872"/>
      <w:r w:rsidRPr="005717B8">
        <w:rPr>
          <w:rFonts w:ascii="Arial" w:hAnsi="Arial" w:cs="Arial"/>
          <w:b/>
          <w:bCs/>
          <w:color w:val="auto"/>
          <w:sz w:val="24"/>
          <w:szCs w:val="24"/>
        </w:rPr>
        <w:t>7. Conclusion</w:t>
      </w:r>
      <w:bookmarkEnd w:id="6"/>
    </w:p>
    <w:p w14:paraId="1017FADE" w14:textId="77777777" w:rsidR="003A5917" w:rsidRPr="005717B8" w:rsidRDefault="003A5917" w:rsidP="005717B8">
      <w:pPr>
        <w:pStyle w:val="NormalWeb"/>
        <w:shd w:val="clear" w:color="auto" w:fill="FFFFFF"/>
        <w:spacing w:before="0" w:beforeAutospacing="0" w:after="0" w:afterAutospacing="0" w:line="360" w:lineRule="auto"/>
        <w:jc w:val="both"/>
        <w:rPr>
          <w:rFonts w:ascii="Arial" w:hAnsi="Arial" w:cs="Arial"/>
        </w:rPr>
      </w:pPr>
    </w:p>
    <w:p w14:paraId="1F057402" w14:textId="3EC22970"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This essay has shown that Turnkey, Multicontract, DIY and Multicontract + DIY are not competing routes with one universally 'best' answer. Each distributes responsibility differently. Turnkey simplifies accountability and can improve </w:t>
      </w:r>
      <w:r w:rsidR="003A5917" w:rsidRPr="005717B8">
        <w:rPr>
          <w:rFonts w:ascii="Arial" w:hAnsi="Arial" w:cs="Arial"/>
        </w:rPr>
        <w:t>certainty but</w:t>
      </w:r>
      <w:r w:rsidRPr="005717B8">
        <w:rPr>
          <w:rFonts w:ascii="Arial" w:hAnsi="Arial" w:cs="Arial"/>
        </w:rPr>
        <w:t xml:space="preserve"> transfers rather than removes risk and may cost more. Multicontract provides specialist choice and transparency but increases coordination exposure. DIY gives direct control but can become false economy when internal time, competence and rework are ignored. Multicontract + DIY offers selective outsourcing but requires clear interfaces and capable client management.</w:t>
      </w:r>
    </w:p>
    <w:p w14:paraId="2F402C25" w14:textId="125D41C1" w:rsidR="00D56727" w:rsidRPr="005717B8" w:rsidRDefault="00D56727" w:rsidP="005717B8">
      <w:pPr>
        <w:pStyle w:val="NormalWeb"/>
        <w:shd w:val="clear" w:color="auto" w:fill="FFFFFF"/>
        <w:spacing w:before="0" w:beforeAutospacing="0" w:after="0" w:afterAutospacing="0" w:line="360" w:lineRule="auto"/>
        <w:jc w:val="both"/>
        <w:rPr>
          <w:rFonts w:ascii="Arial" w:hAnsi="Arial" w:cs="Arial"/>
        </w:rPr>
      </w:pPr>
      <w:r w:rsidRPr="005717B8">
        <w:rPr>
          <w:rFonts w:ascii="Arial" w:hAnsi="Arial" w:cs="Arial"/>
        </w:rPr>
        <w:t xml:space="preserve">For Bloom Coffee, Multicontract + DIY is the most appropriate method because it aligns responsibility with capability: straightforward preparation and coordination can remain </w:t>
      </w:r>
      <w:r w:rsidRPr="005717B8">
        <w:rPr>
          <w:rFonts w:ascii="Arial" w:hAnsi="Arial" w:cs="Arial"/>
        </w:rPr>
        <w:lastRenderedPageBreak/>
        <w:t xml:space="preserve">internal, while specialist technical work is outsourced. The recommendation depends on clear written scopes, </w:t>
      </w:r>
      <w:r w:rsidR="003A5917" w:rsidRPr="005717B8">
        <w:rPr>
          <w:rFonts w:ascii="Arial" w:hAnsi="Arial" w:cs="Arial"/>
        </w:rPr>
        <w:t>sequencing,</w:t>
      </w:r>
      <w:r w:rsidRPr="005717B8">
        <w:rPr>
          <w:rFonts w:ascii="Arial" w:hAnsi="Arial" w:cs="Arial"/>
        </w:rPr>
        <w:t xml:space="preserve"> and responsibility boundaries. The wider lesson is that effective contracting is not about choosing the route with the lowest apparent price, but about matching project complexity, risk, client capability and desired level of control.</w:t>
      </w:r>
    </w:p>
    <w:p w14:paraId="2A1DC021" w14:textId="77777777" w:rsidR="00D56727" w:rsidRPr="005717B8" w:rsidRDefault="00D56727" w:rsidP="005717B8">
      <w:pPr>
        <w:spacing w:before="100" w:beforeAutospacing="1" w:after="100" w:afterAutospacing="1" w:line="360" w:lineRule="auto"/>
        <w:jc w:val="both"/>
        <w:rPr>
          <w:rFonts w:ascii="Arial" w:eastAsia="Times New Roman" w:hAnsi="Arial" w:cs="Arial"/>
          <w:b/>
          <w:bCs/>
          <w:kern w:val="0"/>
          <w:lang w:eastAsia="en-GB"/>
          <w14:ligatures w14:val="none"/>
        </w:rPr>
      </w:pPr>
    </w:p>
    <w:p w14:paraId="5AFB4B8B" w14:textId="77777777" w:rsidR="00D56727" w:rsidRPr="005717B8" w:rsidRDefault="00D56727" w:rsidP="005717B8">
      <w:pPr>
        <w:spacing w:before="100" w:beforeAutospacing="1" w:after="100" w:afterAutospacing="1" w:line="360" w:lineRule="auto"/>
        <w:jc w:val="both"/>
        <w:rPr>
          <w:rFonts w:ascii="Arial" w:eastAsia="Times New Roman" w:hAnsi="Arial" w:cs="Arial"/>
          <w:b/>
          <w:bCs/>
          <w:kern w:val="0"/>
          <w:lang w:eastAsia="en-GB"/>
          <w14:ligatures w14:val="none"/>
        </w:rPr>
      </w:pPr>
    </w:p>
    <w:p w14:paraId="61A8A479" w14:textId="77777777" w:rsidR="00D56727" w:rsidRPr="005717B8" w:rsidRDefault="00D56727" w:rsidP="005717B8">
      <w:pPr>
        <w:spacing w:before="100" w:beforeAutospacing="1" w:after="100" w:afterAutospacing="1" w:line="360" w:lineRule="auto"/>
        <w:jc w:val="both"/>
        <w:rPr>
          <w:rFonts w:ascii="Arial" w:eastAsia="Times New Roman" w:hAnsi="Arial" w:cs="Arial"/>
          <w:b/>
          <w:bCs/>
          <w:kern w:val="0"/>
          <w:lang w:eastAsia="en-GB"/>
          <w14:ligatures w14:val="none"/>
        </w:rPr>
      </w:pPr>
    </w:p>
    <w:p w14:paraId="1A05CCF5" w14:textId="77777777" w:rsidR="00D56727" w:rsidRPr="005717B8" w:rsidRDefault="00D56727" w:rsidP="005717B8">
      <w:pPr>
        <w:spacing w:before="100" w:beforeAutospacing="1" w:after="100" w:afterAutospacing="1" w:line="360" w:lineRule="auto"/>
        <w:jc w:val="both"/>
        <w:rPr>
          <w:rFonts w:ascii="Arial" w:eastAsia="Times New Roman" w:hAnsi="Arial" w:cs="Arial"/>
          <w:b/>
          <w:bCs/>
          <w:kern w:val="0"/>
          <w:lang w:eastAsia="en-GB"/>
          <w14:ligatures w14:val="none"/>
        </w:rPr>
      </w:pPr>
    </w:p>
    <w:p w14:paraId="3AF539FF" w14:textId="77777777" w:rsidR="00D56727" w:rsidRPr="005717B8" w:rsidRDefault="00D56727" w:rsidP="005717B8">
      <w:pPr>
        <w:spacing w:before="100" w:beforeAutospacing="1" w:after="100" w:afterAutospacing="1" w:line="360" w:lineRule="auto"/>
        <w:jc w:val="both"/>
        <w:rPr>
          <w:rFonts w:ascii="Arial" w:eastAsia="Times New Roman" w:hAnsi="Arial" w:cs="Arial"/>
          <w:b/>
          <w:bCs/>
          <w:kern w:val="0"/>
          <w:lang w:eastAsia="en-GB"/>
          <w14:ligatures w14:val="none"/>
        </w:rPr>
      </w:pPr>
    </w:p>
    <w:p w14:paraId="32B3FECB" w14:textId="77777777" w:rsidR="00414036" w:rsidRPr="005717B8" w:rsidRDefault="00414036" w:rsidP="005717B8">
      <w:pPr>
        <w:spacing w:before="100" w:beforeAutospacing="1" w:after="100" w:afterAutospacing="1" w:line="360" w:lineRule="auto"/>
        <w:jc w:val="both"/>
        <w:rPr>
          <w:rFonts w:ascii="Arial" w:eastAsia="Times New Roman" w:hAnsi="Arial" w:cs="Arial"/>
          <w:kern w:val="0"/>
          <w:lang w:eastAsia="en-GB"/>
          <w14:ligatures w14:val="none"/>
        </w:rPr>
      </w:pPr>
    </w:p>
    <w:p w14:paraId="4BA52E9E" w14:textId="77777777" w:rsidR="005717B8" w:rsidRP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0EAA0C36" w14:textId="77777777" w:rsidR="005717B8" w:rsidRP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0D1C32FE" w14:textId="77777777" w:rsidR="005717B8" w:rsidRP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71FB1501" w14:textId="77777777" w:rsidR="005717B8" w:rsidRP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65AE4B69" w14:textId="77777777" w:rsidR="005717B8" w:rsidRP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2CF2E1D0" w14:textId="77777777" w:rsidR="005717B8" w:rsidRP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7A09F938" w14:textId="77777777" w:rsidR="005717B8" w:rsidRP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14856051" w14:textId="77777777" w:rsidR="005717B8" w:rsidRP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5821471F" w14:textId="77777777" w:rsidR="005717B8" w:rsidRP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495DF040" w14:textId="77777777" w:rsidR="005717B8" w:rsidRP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4C2DFE2F" w14:textId="77777777" w:rsidR="005717B8" w:rsidRDefault="005717B8" w:rsidP="005717B8">
      <w:pPr>
        <w:spacing w:before="100" w:beforeAutospacing="1" w:after="100" w:afterAutospacing="1" w:line="360" w:lineRule="auto"/>
        <w:jc w:val="both"/>
        <w:rPr>
          <w:rFonts w:ascii="Arial" w:eastAsia="Times New Roman" w:hAnsi="Arial" w:cs="Arial"/>
          <w:kern w:val="0"/>
          <w:lang w:eastAsia="en-GB"/>
          <w14:ligatures w14:val="none"/>
        </w:rPr>
      </w:pPr>
    </w:p>
    <w:p w14:paraId="75E88244" w14:textId="77777777" w:rsidR="00E63F59" w:rsidRPr="005717B8" w:rsidRDefault="00E63F59" w:rsidP="005717B8">
      <w:pPr>
        <w:spacing w:before="100" w:beforeAutospacing="1" w:after="100" w:afterAutospacing="1" w:line="360" w:lineRule="auto"/>
        <w:jc w:val="both"/>
        <w:rPr>
          <w:rFonts w:ascii="Arial" w:eastAsia="Times New Roman" w:hAnsi="Arial" w:cs="Arial"/>
          <w:kern w:val="0"/>
          <w:lang w:eastAsia="en-GB"/>
          <w14:ligatures w14:val="none"/>
        </w:rPr>
      </w:pPr>
    </w:p>
    <w:p w14:paraId="4C0A3763" w14:textId="30DB6E8E" w:rsidR="000643A5" w:rsidRDefault="00E63F59" w:rsidP="005717B8">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7" w:name="_Toc237851873"/>
      <w:r>
        <w:rPr>
          <w:rFonts w:ascii="Arial" w:eastAsia="Times New Roman" w:hAnsi="Arial" w:cs="Arial"/>
          <w:b/>
          <w:bCs/>
          <w:kern w:val="0"/>
          <w:lang w:eastAsia="en-GB"/>
          <w14:ligatures w14:val="none"/>
        </w:rPr>
        <w:lastRenderedPageBreak/>
        <w:t xml:space="preserve">8. </w:t>
      </w:r>
      <w:r w:rsidR="000643A5" w:rsidRPr="005717B8">
        <w:rPr>
          <w:rFonts w:ascii="Arial" w:eastAsia="Times New Roman" w:hAnsi="Arial" w:cs="Arial"/>
          <w:b/>
          <w:bCs/>
          <w:kern w:val="0"/>
          <w:lang w:eastAsia="en-GB"/>
          <w14:ligatures w14:val="none"/>
        </w:rPr>
        <w:t>References</w:t>
      </w:r>
      <w:bookmarkEnd w:id="7"/>
    </w:p>
    <w:p w14:paraId="2F10CCC1" w14:textId="77777777" w:rsidR="003211A1" w:rsidRPr="005717B8" w:rsidRDefault="003211A1" w:rsidP="005717B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EFBAA5B" w14:textId="6F321D7B"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Amoah, C. and Nkosazana, H. (2023) ‘Effective management strategies for construction contract disputes’, </w:t>
      </w:r>
      <w:r w:rsidRPr="00E63F59">
        <w:rPr>
          <w:rFonts w:ascii="Arial" w:eastAsia="Times New Roman" w:hAnsi="Arial" w:cs="Arial"/>
          <w:i/>
          <w:iCs/>
          <w:kern w:val="0"/>
          <w:lang w:eastAsia="en-GB"/>
          <w14:ligatures w14:val="none"/>
        </w:rPr>
        <w:t>International Journal of Building Pathology and Adaptation</w:t>
      </w:r>
      <w:r w:rsidRPr="00E63F59">
        <w:rPr>
          <w:rFonts w:ascii="Arial" w:eastAsia="Times New Roman" w:hAnsi="Arial" w:cs="Arial"/>
          <w:kern w:val="0"/>
          <w:lang w:eastAsia="en-GB"/>
          <w14:ligatures w14:val="none"/>
        </w:rPr>
        <w:t xml:space="preserve">, 41(6), pp. 70–84. </w:t>
      </w:r>
      <w:r w:rsidR="00E63F59" w:rsidRPr="00E63F59">
        <w:rPr>
          <w:rFonts w:ascii="Arial" w:eastAsia="Times New Roman" w:hAnsi="Arial" w:cs="Arial"/>
          <w:kern w:val="0"/>
          <w:lang w:eastAsia="en-GB"/>
          <w14:ligatures w14:val="none"/>
        </w:rPr>
        <w:t xml:space="preserve">Available at: </w:t>
      </w:r>
      <w:hyperlink r:id="rId9" w:tgtFrame="_blank" w:history="1">
        <w:r w:rsidR="00E63F59" w:rsidRPr="00E63F59">
          <w:rPr>
            <w:rStyle w:val="Hyperlink"/>
            <w:rFonts w:ascii="Arial" w:hAnsi="Arial" w:cs="Arial"/>
            <w:color w:val="1C696A"/>
            <w:bdr w:val="none" w:sz="0" w:space="0" w:color="auto" w:frame="1"/>
            <w:shd w:val="clear" w:color="auto" w:fill="F7F7F7"/>
          </w:rPr>
          <w:t>https://doi.org/10.1108/IJBPA-01-2022-0004</w:t>
        </w:r>
      </w:hyperlink>
      <w:r w:rsidR="00E63F59" w:rsidRPr="00E63F59">
        <w:rPr>
          <w:rFonts w:ascii="Arial" w:hAnsi="Arial" w:cs="Arial"/>
        </w:rPr>
        <w:t xml:space="preserve"> </w:t>
      </w:r>
    </w:p>
    <w:p w14:paraId="57C33348" w14:textId="77777777"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Association for Project Management (APM) (2025) </w:t>
      </w:r>
      <w:r w:rsidRPr="00E63F59">
        <w:rPr>
          <w:rFonts w:ascii="Arial" w:eastAsia="Times New Roman" w:hAnsi="Arial" w:cs="Arial"/>
          <w:i/>
          <w:iCs/>
          <w:kern w:val="0"/>
          <w:lang w:eastAsia="en-GB"/>
          <w14:ligatures w14:val="none"/>
        </w:rPr>
        <w:t>APM Body of Knowledge</w:t>
      </w:r>
      <w:r w:rsidRPr="00E63F59">
        <w:rPr>
          <w:rFonts w:ascii="Arial" w:eastAsia="Times New Roman" w:hAnsi="Arial" w:cs="Arial"/>
          <w:kern w:val="0"/>
          <w:lang w:eastAsia="en-GB"/>
          <w14:ligatures w14:val="none"/>
        </w:rPr>
        <w:t>. 8th edn. Princes Risborough: Association for Project Management.</w:t>
      </w:r>
    </w:p>
    <w:p w14:paraId="76934345" w14:textId="7F7B88D7"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Bolomope, M., Amidu, A.R., Ajayi, S. and Javed, A. (2022) ‘Decision-making framework for construction clients in selecting appropriate procurement route’, </w:t>
      </w:r>
      <w:r w:rsidRPr="00E63F59">
        <w:rPr>
          <w:rFonts w:ascii="Arial" w:eastAsia="Times New Roman" w:hAnsi="Arial" w:cs="Arial"/>
          <w:i/>
          <w:iCs/>
          <w:kern w:val="0"/>
          <w:lang w:eastAsia="en-GB"/>
          <w14:ligatures w14:val="none"/>
        </w:rPr>
        <w:t>Buildings</w:t>
      </w:r>
      <w:r w:rsidRPr="00E63F59">
        <w:rPr>
          <w:rFonts w:ascii="Arial" w:eastAsia="Times New Roman" w:hAnsi="Arial" w:cs="Arial"/>
          <w:kern w:val="0"/>
          <w:lang w:eastAsia="en-GB"/>
          <w14:ligatures w14:val="none"/>
        </w:rPr>
        <w:t xml:space="preserve">, 12(12), article 2192. </w:t>
      </w:r>
      <w:r w:rsidR="00E63F59" w:rsidRPr="00E63F59">
        <w:rPr>
          <w:rFonts w:ascii="Arial" w:eastAsia="Times New Roman" w:hAnsi="Arial" w:cs="Arial"/>
          <w:kern w:val="0"/>
          <w:lang w:eastAsia="en-GB"/>
          <w14:ligatures w14:val="none"/>
        </w:rPr>
        <w:t xml:space="preserve">Available at: </w:t>
      </w:r>
      <w:hyperlink r:id="rId10" w:history="1">
        <w:r w:rsidR="00E63F59" w:rsidRPr="00E63F59">
          <w:rPr>
            <w:rStyle w:val="Hyperlink"/>
            <w:rFonts w:ascii="Arial" w:hAnsi="Arial" w:cs="Arial"/>
            <w:b/>
            <w:bCs/>
            <w:color w:val="4F5671"/>
            <w:shd w:val="clear" w:color="auto" w:fill="FFFFFF"/>
          </w:rPr>
          <w:t>https://doi.org/10.3390/buildings12122192</w:t>
        </w:r>
      </w:hyperlink>
      <w:r w:rsidR="00E63F59" w:rsidRPr="00E63F59">
        <w:rPr>
          <w:rFonts w:ascii="Arial" w:hAnsi="Arial" w:cs="Arial"/>
        </w:rPr>
        <w:t xml:space="preserve"> </w:t>
      </w:r>
    </w:p>
    <w:p w14:paraId="0A88A069" w14:textId="77777777"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Fédération Internationale des Ingénieurs-Conseils (FIDIC) (2022) </w:t>
      </w:r>
      <w:r w:rsidRPr="00E63F59">
        <w:rPr>
          <w:rFonts w:ascii="Arial" w:eastAsia="Times New Roman" w:hAnsi="Arial" w:cs="Arial"/>
          <w:i/>
          <w:iCs/>
          <w:kern w:val="0"/>
          <w:lang w:eastAsia="en-GB"/>
          <w14:ligatures w14:val="none"/>
        </w:rPr>
        <w:t>Conditions of Contract for EPC/Turnkey Projects: Silver Book</w:t>
      </w:r>
      <w:r w:rsidRPr="00E63F59">
        <w:rPr>
          <w:rFonts w:ascii="Arial" w:eastAsia="Times New Roman" w:hAnsi="Arial" w:cs="Arial"/>
          <w:kern w:val="0"/>
          <w:lang w:eastAsia="en-GB"/>
          <w14:ligatures w14:val="none"/>
        </w:rPr>
        <w:t>. 2nd edn., reprinted with amendments. Geneva: FIDIC.</w:t>
      </w:r>
    </w:p>
    <w:p w14:paraId="5A20F311" w14:textId="75AF76BA" w:rsidR="00E63F59" w:rsidRPr="00E63F59" w:rsidRDefault="000643A5" w:rsidP="005717B8">
      <w:pPr>
        <w:spacing w:before="100" w:beforeAutospacing="1" w:after="100" w:afterAutospacing="1" w:line="360" w:lineRule="auto"/>
        <w:jc w:val="both"/>
        <w:rPr>
          <w:rFonts w:ascii="Arial" w:hAnsi="Arial" w:cs="Arial"/>
        </w:rPr>
      </w:pPr>
      <w:r w:rsidRPr="00E63F59">
        <w:rPr>
          <w:rFonts w:ascii="Arial" w:eastAsia="Times New Roman" w:hAnsi="Arial" w:cs="Arial"/>
          <w:kern w:val="0"/>
          <w:lang w:eastAsia="en-GB"/>
          <w14:ligatures w14:val="none"/>
        </w:rPr>
        <w:t xml:space="preserve">Finocchiaro Castro, M., Guccio, C. and Rizzo, I. (2023) ‘“One-size-fits-all” public works contract does it better? An assessment of infrastructure provision in Italy’, </w:t>
      </w:r>
      <w:r w:rsidRPr="00E63F59">
        <w:rPr>
          <w:rFonts w:ascii="Arial" w:eastAsia="Times New Roman" w:hAnsi="Arial" w:cs="Arial"/>
          <w:i/>
          <w:iCs/>
          <w:kern w:val="0"/>
          <w:lang w:eastAsia="en-GB"/>
          <w14:ligatures w14:val="none"/>
        </w:rPr>
        <w:t>Journal of Policy Modeling</w:t>
      </w:r>
      <w:r w:rsidRPr="00E63F59">
        <w:rPr>
          <w:rFonts w:ascii="Arial" w:eastAsia="Times New Roman" w:hAnsi="Arial" w:cs="Arial"/>
          <w:kern w:val="0"/>
          <w:lang w:eastAsia="en-GB"/>
          <w14:ligatures w14:val="none"/>
        </w:rPr>
        <w:t>, 45(5), pp. 994–1014.</w:t>
      </w:r>
      <w:r w:rsidR="00E63F59" w:rsidRPr="00E63F59">
        <w:rPr>
          <w:rFonts w:ascii="Arial" w:eastAsia="Times New Roman" w:hAnsi="Arial" w:cs="Arial"/>
          <w:kern w:val="0"/>
          <w:lang w:eastAsia="en-GB"/>
          <w14:ligatures w14:val="none"/>
        </w:rPr>
        <w:t xml:space="preserve"> Available at: DOI:</w:t>
      </w:r>
      <w:hyperlink r:id="rId11" w:tgtFrame="_blank" w:history="1">
        <w:r w:rsidR="00E63F59" w:rsidRPr="00E63F59">
          <w:rPr>
            <w:rStyle w:val="anchor-text"/>
            <w:rFonts w:ascii="Arial" w:hAnsi="Arial" w:cs="Arial"/>
            <w:color w:val="1F1F1F"/>
          </w:rPr>
          <w:t>10.1016/j.jpolmod.2023.07.003</w:t>
        </w:r>
      </w:hyperlink>
      <w:r w:rsidR="00667A74">
        <w:rPr>
          <w:rStyle w:val="anchor-text"/>
          <w:rFonts w:ascii="Arial" w:hAnsi="Arial" w:cs="Arial"/>
          <w:color w:val="1F1F1F"/>
        </w:rPr>
        <w:t xml:space="preserve"> </w:t>
      </w:r>
      <w:r w:rsidR="00E63F59" w:rsidRPr="00E63F59">
        <w:rPr>
          <w:rFonts w:ascii="Arial" w:hAnsi="Arial" w:cs="Arial"/>
        </w:rPr>
        <w:t xml:space="preserve"> </w:t>
      </w:r>
    </w:p>
    <w:p w14:paraId="316C8C05" w14:textId="77777777"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Greenhalgh, B., Squires, G. and Mahamadu, A-M. (2022) </w:t>
      </w:r>
      <w:r w:rsidRPr="00E63F59">
        <w:rPr>
          <w:rFonts w:ascii="Arial" w:eastAsia="Times New Roman" w:hAnsi="Arial" w:cs="Arial"/>
          <w:i/>
          <w:iCs/>
          <w:kern w:val="0"/>
          <w:lang w:eastAsia="en-GB"/>
          <w14:ligatures w14:val="none"/>
        </w:rPr>
        <w:t>Construction Procurement: Complex Property Development</w:t>
      </w:r>
      <w:r w:rsidRPr="00E63F59">
        <w:rPr>
          <w:rFonts w:ascii="Arial" w:eastAsia="Times New Roman" w:hAnsi="Arial" w:cs="Arial"/>
          <w:kern w:val="0"/>
          <w:lang w:eastAsia="en-GB"/>
          <w14:ligatures w14:val="none"/>
        </w:rPr>
        <w:t>. Abingdon: Routledge.</w:t>
      </w:r>
    </w:p>
    <w:p w14:paraId="2C446938" w14:textId="77777777"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Harris, F., McCaffer, R., Baldwin, A. and Edum-Fotwe, F. (2021) </w:t>
      </w:r>
      <w:r w:rsidRPr="00E63F59">
        <w:rPr>
          <w:rFonts w:ascii="Arial" w:eastAsia="Times New Roman" w:hAnsi="Arial" w:cs="Arial"/>
          <w:i/>
          <w:iCs/>
          <w:kern w:val="0"/>
          <w:lang w:eastAsia="en-GB"/>
          <w14:ligatures w14:val="none"/>
        </w:rPr>
        <w:t>Modern Construction Management</w:t>
      </w:r>
      <w:r w:rsidRPr="00E63F59">
        <w:rPr>
          <w:rFonts w:ascii="Arial" w:eastAsia="Times New Roman" w:hAnsi="Arial" w:cs="Arial"/>
          <w:kern w:val="0"/>
          <w:lang w:eastAsia="en-GB"/>
          <w14:ligatures w14:val="none"/>
        </w:rPr>
        <w:t>. 8th edn. Chichester: Wiley-Blackwell.</w:t>
      </w:r>
    </w:p>
    <w:p w14:paraId="5785552C" w14:textId="09A490E9"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Laryea, S. and Watermeyer, R. (2024) ‘Using construction procurement strategy to achieve socioeconomic development objectives’, </w:t>
      </w:r>
      <w:r w:rsidRPr="00E63F59">
        <w:rPr>
          <w:rFonts w:ascii="Arial" w:eastAsia="Times New Roman" w:hAnsi="Arial" w:cs="Arial"/>
          <w:i/>
          <w:iCs/>
          <w:kern w:val="0"/>
          <w:lang w:eastAsia="en-GB"/>
          <w14:ligatures w14:val="none"/>
        </w:rPr>
        <w:t>Heliyon</w:t>
      </w:r>
      <w:r w:rsidRPr="00E63F59">
        <w:rPr>
          <w:rFonts w:ascii="Arial" w:eastAsia="Times New Roman" w:hAnsi="Arial" w:cs="Arial"/>
          <w:kern w:val="0"/>
          <w:lang w:eastAsia="en-GB"/>
          <w14:ligatures w14:val="none"/>
        </w:rPr>
        <w:t>, 10(13), article e33537.</w:t>
      </w:r>
      <w:r w:rsidR="005717B8" w:rsidRPr="00E63F59">
        <w:rPr>
          <w:rFonts w:ascii="Arial" w:eastAsia="Times New Roman" w:hAnsi="Arial" w:cs="Arial"/>
          <w:kern w:val="0"/>
          <w:lang w:eastAsia="en-GB"/>
          <w14:ligatures w14:val="none"/>
        </w:rPr>
        <w:t xml:space="preserve"> Available at:</w:t>
      </w:r>
      <w:r w:rsidR="00E63F59" w:rsidRPr="00E63F59">
        <w:rPr>
          <w:rFonts w:ascii="Arial" w:hAnsi="Arial" w:cs="Arial"/>
          <w:color w:val="000000"/>
          <w:shd w:val="clear" w:color="auto" w:fill="F5F5F5"/>
        </w:rPr>
        <w:t xml:space="preserve"> </w:t>
      </w:r>
      <w:r w:rsidR="00E63F59" w:rsidRPr="003211A1">
        <w:rPr>
          <w:rFonts w:ascii="Arial" w:hAnsi="Arial" w:cs="Arial"/>
          <w:color w:val="000000"/>
          <w:shd w:val="clear" w:color="auto" w:fill="F5F5F5"/>
        </w:rPr>
        <w:t>DOI: </w:t>
      </w:r>
      <w:hyperlink r:id="rId12" w:tgtFrame="_blank" w:history="1">
        <w:r w:rsidR="00E63F59" w:rsidRPr="003211A1">
          <w:rPr>
            <w:rStyle w:val="Hyperlink"/>
            <w:rFonts w:ascii="Arial" w:hAnsi="Arial" w:cs="Arial"/>
            <w:color w:val="005789"/>
            <w:shd w:val="clear" w:color="auto" w:fill="F5F5F5"/>
          </w:rPr>
          <w:t>10.1016/j.heliyon.2024.e33537 </w:t>
        </w:r>
      </w:hyperlink>
      <w:r w:rsidR="00E63F59" w:rsidRPr="00E63F59">
        <w:rPr>
          <w:rFonts w:ascii="Arial" w:hAnsi="Arial" w:cs="Arial"/>
        </w:rPr>
        <w:t xml:space="preserve"> </w:t>
      </w:r>
    </w:p>
    <w:p w14:paraId="31214BEE" w14:textId="77777777"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Morledge, R., Smith, A.J. and Appiah, S.Y. (2021) </w:t>
      </w:r>
      <w:r w:rsidRPr="00E63F59">
        <w:rPr>
          <w:rFonts w:ascii="Arial" w:eastAsia="Times New Roman" w:hAnsi="Arial" w:cs="Arial"/>
          <w:i/>
          <w:iCs/>
          <w:kern w:val="0"/>
          <w:lang w:eastAsia="en-GB"/>
          <w14:ligatures w14:val="none"/>
        </w:rPr>
        <w:t>Building Procurement</w:t>
      </w:r>
      <w:r w:rsidRPr="00E63F59">
        <w:rPr>
          <w:rFonts w:ascii="Arial" w:eastAsia="Times New Roman" w:hAnsi="Arial" w:cs="Arial"/>
          <w:kern w:val="0"/>
          <w:lang w:eastAsia="en-GB"/>
          <w14:ligatures w14:val="none"/>
        </w:rPr>
        <w:t>. 3rd edn. Hoboken, NJ: John Wiley &amp; Sons.</w:t>
      </w:r>
    </w:p>
    <w:p w14:paraId="656AC638" w14:textId="146CD494"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lastRenderedPageBreak/>
        <w:t xml:space="preserve">Panakaduwa, C., Coates, P. and Munir, M. (2025) ‘Analysis of procurement routes and contract types for housing retrofit in the United Kingdom’, </w:t>
      </w:r>
      <w:r w:rsidRPr="00E63F59">
        <w:rPr>
          <w:rFonts w:ascii="Arial" w:eastAsia="Times New Roman" w:hAnsi="Arial" w:cs="Arial"/>
          <w:i/>
          <w:iCs/>
          <w:kern w:val="0"/>
          <w:lang w:eastAsia="en-GB"/>
          <w14:ligatures w14:val="none"/>
        </w:rPr>
        <w:t>Buildings</w:t>
      </w:r>
      <w:r w:rsidRPr="00E63F59">
        <w:rPr>
          <w:rFonts w:ascii="Arial" w:eastAsia="Times New Roman" w:hAnsi="Arial" w:cs="Arial"/>
          <w:kern w:val="0"/>
          <w:lang w:eastAsia="en-GB"/>
          <w14:ligatures w14:val="none"/>
        </w:rPr>
        <w:t xml:space="preserve">, 15(2), article 199. </w:t>
      </w:r>
      <w:r w:rsidR="005717B8" w:rsidRPr="00E63F59">
        <w:rPr>
          <w:rFonts w:ascii="Arial" w:eastAsia="Times New Roman" w:hAnsi="Arial" w:cs="Arial"/>
          <w:kern w:val="0"/>
          <w:lang w:eastAsia="en-GB"/>
          <w14:ligatures w14:val="none"/>
        </w:rPr>
        <w:t xml:space="preserve">Available at: </w:t>
      </w:r>
      <w:r w:rsidR="005717B8" w:rsidRPr="00E63F59">
        <w:rPr>
          <w:rFonts w:ascii="Arial" w:hAnsi="Arial" w:cs="Arial"/>
          <w:color w:val="222222"/>
          <w:shd w:val="clear" w:color="auto" w:fill="FFFFFF"/>
        </w:rPr>
        <w:t> </w:t>
      </w:r>
      <w:hyperlink r:id="rId13" w:history="1">
        <w:r w:rsidR="005717B8" w:rsidRPr="00E63F59">
          <w:rPr>
            <w:rStyle w:val="Hyperlink"/>
            <w:rFonts w:ascii="Arial" w:hAnsi="Arial" w:cs="Arial"/>
            <w:b/>
            <w:bCs/>
            <w:color w:val="4F5671"/>
            <w:shd w:val="clear" w:color="auto" w:fill="FFFFFF"/>
          </w:rPr>
          <w:t>https://doi.org/10.3390/buildings15020199</w:t>
        </w:r>
      </w:hyperlink>
    </w:p>
    <w:p w14:paraId="4C434D9A" w14:textId="77777777"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Project Management Institute (PMI) (2021) </w:t>
      </w:r>
      <w:r w:rsidRPr="00E63F59">
        <w:rPr>
          <w:rFonts w:ascii="Arial" w:eastAsia="Times New Roman" w:hAnsi="Arial" w:cs="Arial"/>
          <w:i/>
          <w:iCs/>
          <w:kern w:val="0"/>
          <w:lang w:eastAsia="en-GB"/>
          <w14:ligatures w14:val="none"/>
        </w:rPr>
        <w:t>A Guide to the Project Management Body of Knowledge (PMBOK Guide)</w:t>
      </w:r>
      <w:r w:rsidRPr="00E63F59">
        <w:rPr>
          <w:rFonts w:ascii="Arial" w:eastAsia="Times New Roman" w:hAnsi="Arial" w:cs="Arial"/>
          <w:kern w:val="0"/>
          <w:lang w:eastAsia="en-GB"/>
          <w14:ligatures w14:val="none"/>
        </w:rPr>
        <w:t>. 7th edn. Newtown Square, PA: Project Management Institute.</w:t>
      </w:r>
    </w:p>
    <w:p w14:paraId="4D04DF11" w14:textId="77777777"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Royal Institution of Chartered Surveyors (RICS) (2024) </w:t>
      </w:r>
      <w:r w:rsidRPr="00E63F59">
        <w:rPr>
          <w:rFonts w:ascii="Arial" w:eastAsia="Times New Roman" w:hAnsi="Arial" w:cs="Arial"/>
          <w:i/>
          <w:iCs/>
          <w:kern w:val="0"/>
          <w:lang w:eastAsia="en-GB"/>
          <w14:ligatures w14:val="none"/>
        </w:rPr>
        <w:t>Developing a Construction Procurement Strategy and Selecting an Appropriate Route</w:t>
      </w:r>
      <w:r w:rsidRPr="00E63F59">
        <w:rPr>
          <w:rFonts w:ascii="Arial" w:eastAsia="Times New Roman" w:hAnsi="Arial" w:cs="Arial"/>
          <w:kern w:val="0"/>
          <w:lang w:eastAsia="en-GB"/>
          <w14:ligatures w14:val="none"/>
        </w:rPr>
        <w:t>. London: RICS.</w:t>
      </w:r>
    </w:p>
    <w:p w14:paraId="4EEE6C03" w14:textId="1C91FCF5"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Zhang, R., Fu, Y., Chen, Y., Du, B. and Ma, D. (2025) ‘Configurations for high outsourcing performance in construction projects: an integrated perspective of transaction costs and capabilities’, </w:t>
      </w:r>
      <w:r w:rsidRPr="00E63F59">
        <w:rPr>
          <w:rFonts w:ascii="Arial" w:eastAsia="Times New Roman" w:hAnsi="Arial" w:cs="Arial"/>
          <w:i/>
          <w:iCs/>
          <w:kern w:val="0"/>
          <w:lang w:eastAsia="en-GB"/>
          <w14:ligatures w14:val="none"/>
        </w:rPr>
        <w:t>International Journal of Managing Projects in Business</w:t>
      </w:r>
      <w:r w:rsidRPr="00E63F59">
        <w:rPr>
          <w:rFonts w:ascii="Arial" w:eastAsia="Times New Roman" w:hAnsi="Arial" w:cs="Arial"/>
          <w:kern w:val="0"/>
          <w:lang w:eastAsia="en-GB"/>
          <w14:ligatures w14:val="none"/>
        </w:rPr>
        <w:t>, 18(1), pp. 209–240.</w:t>
      </w:r>
      <w:r w:rsidR="005717B8" w:rsidRPr="00E63F59">
        <w:rPr>
          <w:rFonts w:ascii="Arial" w:hAnsi="Arial" w:cs="Arial"/>
        </w:rPr>
        <w:t xml:space="preserve"> </w:t>
      </w:r>
      <w:r w:rsidR="005717B8" w:rsidRPr="00E63F59">
        <w:rPr>
          <w:rFonts w:ascii="Arial" w:eastAsia="Times New Roman" w:hAnsi="Arial" w:cs="Arial"/>
          <w:kern w:val="0"/>
          <w:lang w:eastAsia="en-GB"/>
          <w14:ligatures w14:val="none"/>
        </w:rPr>
        <w:t xml:space="preserve">Available </w:t>
      </w:r>
      <w:r w:rsidR="00E63F59" w:rsidRPr="00E63F59">
        <w:rPr>
          <w:rFonts w:ascii="Arial" w:eastAsia="Times New Roman" w:hAnsi="Arial" w:cs="Arial"/>
          <w:kern w:val="0"/>
          <w:lang w:eastAsia="en-GB"/>
          <w14:ligatures w14:val="none"/>
        </w:rPr>
        <w:t>at</w:t>
      </w:r>
      <w:r w:rsidR="00E63F59" w:rsidRPr="00E63F59">
        <w:rPr>
          <w:rFonts w:ascii="Arial" w:hAnsi="Arial" w:cs="Arial"/>
        </w:rPr>
        <w:t>:</w:t>
      </w:r>
      <w:r w:rsidR="005717B8" w:rsidRPr="00E63F59">
        <w:rPr>
          <w:rFonts w:ascii="Arial" w:hAnsi="Arial" w:cs="Arial"/>
        </w:rPr>
        <w:t xml:space="preserve"> </w:t>
      </w:r>
      <w:hyperlink r:id="rId14" w:history="1">
        <w:r w:rsidR="005717B8" w:rsidRPr="00E63F59">
          <w:rPr>
            <w:rStyle w:val="Hyperlink"/>
            <w:rFonts w:ascii="Arial" w:hAnsi="Arial" w:cs="Arial"/>
            <w:bdr w:val="none" w:sz="0" w:space="0" w:color="auto" w:frame="1"/>
            <w:shd w:val="clear" w:color="auto" w:fill="F7F7F7"/>
          </w:rPr>
          <w:t>https://doi.org/10.1108/IJMPB-07-2024-0163</w:t>
        </w:r>
      </w:hyperlink>
    </w:p>
    <w:p w14:paraId="2BB28AF4" w14:textId="7549EC34" w:rsidR="000643A5" w:rsidRPr="00E63F59" w:rsidRDefault="000643A5" w:rsidP="005717B8">
      <w:pPr>
        <w:spacing w:before="100" w:beforeAutospacing="1" w:after="100" w:afterAutospacing="1" w:line="360" w:lineRule="auto"/>
        <w:jc w:val="both"/>
        <w:rPr>
          <w:rFonts w:ascii="Arial" w:eastAsia="Times New Roman" w:hAnsi="Arial" w:cs="Arial"/>
          <w:kern w:val="0"/>
          <w:lang w:eastAsia="en-GB"/>
          <w14:ligatures w14:val="none"/>
        </w:rPr>
      </w:pPr>
      <w:r w:rsidRPr="00E63F59">
        <w:rPr>
          <w:rFonts w:ascii="Arial" w:eastAsia="Times New Roman" w:hAnsi="Arial" w:cs="Arial"/>
          <w:kern w:val="0"/>
          <w:lang w:eastAsia="en-GB"/>
          <w14:ligatures w14:val="none"/>
        </w:rPr>
        <w:t xml:space="preserve">Zhao, N., Ying, F.J. and Tookey, J. (2022) ‘Construction procurement selection criteria: A review and research agenda’, </w:t>
      </w:r>
      <w:r w:rsidRPr="00E63F59">
        <w:rPr>
          <w:rFonts w:ascii="Arial" w:eastAsia="Times New Roman" w:hAnsi="Arial" w:cs="Arial"/>
          <w:i/>
          <w:iCs/>
          <w:kern w:val="0"/>
          <w:lang w:eastAsia="en-GB"/>
          <w14:ligatures w14:val="none"/>
        </w:rPr>
        <w:t>Sustainability</w:t>
      </w:r>
      <w:r w:rsidRPr="00E63F59">
        <w:rPr>
          <w:rFonts w:ascii="Arial" w:eastAsia="Times New Roman" w:hAnsi="Arial" w:cs="Arial"/>
          <w:kern w:val="0"/>
          <w:lang w:eastAsia="en-GB"/>
          <w14:ligatures w14:val="none"/>
        </w:rPr>
        <w:t xml:space="preserve">, 14(22), article 15242. </w:t>
      </w:r>
      <w:r w:rsidR="005717B8" w:rsidRPr="00E63F59">
        <w:rPr>
          <w:rFonts w:ascii="Arial" w:eastAsia="Times New Roman" w:hAnsi="Arial" w:cs="Arial"/>
          <w:kern w:val="0"/>
          <w:lang w:eastAsia="en-GB"/>
          <w14:ligatures w14:val="none"/>
        </w:rPr>
        <w:t xml:space="preserve">Available at: </w:t>
      </w:r>
      <w:r w:rsidR="005717B8" w:rsidRPr="00E63F59">
        <w:rPr>
          <w:rFonts w:ascii="Arial" w:hAnsi="Arial" w:cs="Arial"/>
          <w:color w:val="222222"/>
          <w:shd w:val="clear" w:color="auto" w:fill="FFFFFF"/>
        </w:rPr>
        <w:t> </w:t>
      </w:r>
      <w:hyperlink r:id="rId15" w:history="1">
        <w:r w:rsidR="005717B8" w:rsidRPr="00E63F59">
          <w:rPr>
            <w:rStyle w:val="Hyperlink"/>
            <w:rFonts w:ascii="Arial" w:hAnsi="Arial" w:cs="Arial"/>
            <w:b/>
            <w:bCs/>
            <w:color w:val="4F5671"/>
            <w:shd w:val="clear" w:color="auto" w:fill="FFFFFF"/>
          </w:rPr>
          <w:t>https://doi.org/10.3390/su142215242</w:t>
        </w:r>
      </w:hyperlink>
    </w:p>
    <w:p w14:paraId="4E205905" w14:textId="77777777" w:rsidR="000643A5" w:rsidRPr="00E63F59" w:rsidRDefault="000643A5" w:rsidP="000643A5">
      <w:pPr>
        <w:spacing w:line="360" w:lineRule="auto"/>
        <w:jc w:val="both"/>
        <w:rPr>
          <w:rFonts w:ascii="Arial" w:hAnsi="Arial" w:cs="Arial"/>
        </w:rPr>
      </w:pPr>
    </w:p>
    <w:sectPr w:rsidR="000643A5" w:rsidRPr="00E63F59" w:rsidSect="003A5917">
      <w:footerReference w:type="default" r:id="rId16"/>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6BDBA4" w14:textId="77777777" w:rsidR="009F78F9" w:rsidRDefault="009F78F9" w:rsidP="003A5917">
      <w:pPr>
        <w:spacing w:after="0" w:line="240" w:lineRule="auto"/>
      </w:pPr>
      <w:r>
        <w:separator/>
      </w:r>
    </w:p>
  </w:endnote>
  <w:endnote w:type="continuationSeparator" w:id="0">
    <w:p w14:paraId="43BACF27" w14:textId="77777777" w:rsidR="009F78F9" w:rsidRDefault="009F78F9" w:rsidP="003A5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4313600"/>
      <w:docPartObj>
        <w:docPartGallery w:val="Page Numbers (Bottom of Page)"/>
        <w:docPartUnique/>
      </w:docPartObj>
    </w:sdtPr>
    <w:sdtEndPr>
      <w:rPr>
        <w:noProof/>
      </w:rPr>
    </w:sdtEndPr>
    <w:sdtContent>
      <w:p w14:paraId="53EE7696" w14:textId="0A6B5BD6" w:rsidR="003A5917" w:rsidRDefault="003A59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3AB99D" w14:textId="77777777" w:rsidR="003A5917" w:rsidRDefault="003A5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2BE52C" w14:textId="77777777" w:rsidR="009F78F9" w:rsidRDefault="009F78F9" w:rsidP="003A5917">
      <w:pPr>
        <w:spacing w:after="0" w:line="240" w:lineRule="auto"/>
      </w:pPr>
      <w:r>
        <w:separator/>
      </w:r>
    </w:p>
  </w:footnote>
  <w:footnote w:type="continuationSeparator" w:id="0">
    <w:p w14:paraId="0B340E35" w14:textId="77777777" w:rsidR="009F78F9" w:rsidRDefault="009F78F9" w:rsidP="003A59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0776CA"/>
    <w:multiLevelType w:val="multilevel"/>
    <w:tmpl w:val="E782F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2424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3A5"/>
    <w:rsid w:val="000643A5"/>
    <w:rsid w:val="000E20D2"/>
    <w:rsid w:val="003211A1"/>
    <w:rsid w:val="003A5917"/>
    <w:rsid w:val="00414036"/>
    <w:rsid w:val="00501C33"/>
    <w:rsid w:val="005717B8"/>
    <w:rsid w:val="00667A74"/>
    <w:rsid w:val="008430D3"/>
    <w:rsid w:val="009F78F9"/>
    <w:rsid w:val="00D56727"/>
    <w:rsid w:val="00E63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C0F35"/>
  <w15:chartTrackingRefBased/>
  <w15:docId w15:val="{DD372FD8-8E53-4E53-99EF-AF0513BB3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43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43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43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43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43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43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43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43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43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3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43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43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43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43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43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43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43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43A5"/>
    <w:rPr>
      <w:rFonts w:eastAsiaTheme="majorEastAsia" w:cstheme="majorBidi"/>
      <w:color w:val="272727" w:themeColor="text1" w:themeTint="D8"/>
    </w:rPr>
  </w:style>
  <w:style w:type="paragraph" w:styleId="Title">
    <w:name w:val="Title"/>
    <w:basedOn w:val="Normal"/>
    <w:next w:val="Normal"/>
    <w:link w:val="TitleChar"/>
    <w:uiPriority w:val="10"/>
    <w:qFormat/>
    <w:rsid w:val="000643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3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3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3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3A5"/>
    <w:pPr>
      <w:spacing w:before="160"/>
      <w:jc w:val="center"/>
    </w:pPr>
    <w:rPr>
      <w:i/>
      <w:iCs/>
      <w:color w:val="404040" w:themeColor="text1" w:themeTint="BF"/>
    </w:rPr>
  </w:style>
  <w:style w:type="character" w:customStyle="1" w:styleId="QuoteChar">
    <w:name w:val="Quote Char"/>
    <w:basedOn w:val="DefaultParagraphFont"/>
    <w:link w:val="Quote"/>
    <w:uiPriority w:val="29"/>
    <w:rsid w:val="000643A5"/>
    <w:rPr>
      <w:i/>
      <w:iCs/>
      <w:color w:val="404040" w:themeColor="text1" w:themeTint="BF"/>
    </w:rPr>
  </w:style>
  <w:style w:type="paragraph" w:styleId="ListParagraph">
    <w:name w:val="List Paragraph"/>
    <w:basedOn w:val="Normal"/>
    <w:uiPriority w:val="34"/>
    <w:qFormat/>
    <w:rsid w:val="000643A5"/>
    <w:pPr>
      <w:ind w:left="720"/>
      <w:contextualSpacing/>
    </w:pPr>
  </w:style>
  <w:style w:type="character" w:styleId="IntenseEmphasis">
    <w:name w:val="Intense Emphasis"/>
    <w:basedOn w:val="DefaultParagraphFont"/>
    <w:uiPriority w:val="21"/>
    <w:qFormat/>
    <w:rsid w:val="000643A5"/>
    <w:rPr>
      <w:i/>
      <w:iCs/>
      <w:color w:val="0F4761" w:themeColor="accent1" w:themeShade="BF"/>
    </w:rPr>
  </w:style>
  <w:style w:type="paragraph" w:styleId="IntenseQuote">
    <w:name w:val="Intense Quote"/>
    <w:basedOn w:val="Normal"/>
    <w:next w:val="Normal"/>
    <w:link w:val="IntenseQuoteChar"/>
    <w:uiPriority w:val="30"/>
    <w:qFormat/>
    <w:rsid w:val="000643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43A5"/>
    <w:rPr>
      <w:i/>
      <w:iCs/>
      <w:color w:val="0F4761" w:themeColor="accent1" w:themeShade="BF"/>
    </w:rPr>
  </w:style>
  <w:style w:type="character" w:styleId="IntenseReference">
    <w:name w:val="Intense Reference"/>
    <w:basedOn w:val="DefaultParagraphFont"/>
    <w:uiPriority w:val="32"/>
    <w:qFormat/>
    <w:rsid w:val="000643A5"/>
    <w:rPr>
      <w:b/>
      <w:bCs/>
      <w:smallCaps/>
      <w:color w:val="0F4761" w:themeColor="accent1" w:themeShade="BF"/>
      <w:spacing w:val="5"/>
    </w:rPr>
  </w:style>
  <w:style w:type="paragraph" w:styleId="NormalWeb">
    <w:name w:val="Normal (Web)"/>
    <w:basedOn w:val="Normal"/>
    <w:uiPriority w:val="99"/>
    <w:semiHidden/>
    <w:unhideWhenUsed/>
    <w:rsid w:val="000643A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643A5"/>
    <w:rPr>
      <w:b/>
      <w:bCs/>
    </w:rPr>
  </w:style>
  <w:style w:type="character" w:styleId="Emphasis">
    <w:name w:val="Emphasis"/>
    <w:basedOn w:val="DefaultParagraphFont"/>
    <w:uiPriority w:val="20"/>
    <w:qFormat/>
    <w:rsid w:val="000643A5"/>
    <w:rPr>
      <w:i/>
      <w:iCs/>
    </w:rPr>
  </w:style>
  <w:style w:type="paragraph" w:customStyle="1" w:styleId="pdq2pgselectionanchorcontainer">
    <w:name w:val="pdq2pg_selectionanchorcontainer"/>
    <w:basedOn w:val="Normal"/>
    <w:rsid w:val="004140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A5917"/>
    <w:pPr>
      <w:tabs>
        <w:tab w:val="center" w:pos="4677"/>
        <w:tab w:val="right" w:pos="9355"/>
      </w:tabs>
      <w:spacing w:after="0" w:line="240" w:lineRule="auto"/>
    </w:pPr>
  </w:style>
  <w:style w:type="character" w:customStyle="1" w:styleId="HeaderChar">
    <w:name w:val="Header Char"/>
    <w:basedOn w:val="DefaultParagraphFont"/>
    <w:link w:val="Header"/>
    <w:uiPriority w:val="99"/>
    <w:rsid w:val="003A5917"/>
  </w:style>
  <w:style w:type="paragraph" w:styleId="Footer">
    <w:name w:val="footer"/>
    <w:basedOn w:val="Normal"/>
    <w:link w:val="FooterChar"/>
    <w:uiPriority w:val="99"/>
    <w:unhideWhenUsed/>
    <w:rsid w:val="003A5917"/>
    <w:pPr>
      <w:tabs>
        <w:tab w:val="center" w:pos="4677"/>
        <w:tab w:val="right" w:pos="9355"/>
      </w:tabs>
      <w:spacing w:after="0" w:line="240" w:lineRule="auto"/>
    </w:pPr>
  </w:style>
  <w:style w:type="character" w:customStyle="1" w:styleId="FooterChar">
    <w:name w:val="Footer Char"/>
    <w:basedOn w:val="DefaultParagraphFont"/>
    <w:link w:val="Footer"/>
    <w:uiPriority w:val="99"/>
    <w:rsid w:val="003A5917"/>
  </w:style>
  <w:style w:type="paragraph" w:styleId="TOCHeading">
    <w:name w:val="TOC Heading"/>
    <w:basedOn w:val="Heading1"/>
    <w:next w:val="Normal"/>
    <w:uiPriority w:val="39"/>
    <w:unhideWhenUsed/>
    <w:qFormat/>
    <w:rsid w:val="005717B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717B8"/>
    <w:pPr>
      <w:spacing w:after="100"/>
      <w:ind w:left="240"/>
    </w:pPr>
  </w:style>
  <w:style w:type="character" w:styleId="Hyperlink">
    <w:name w:val="Hyperlink"/>
    <w:basedOn w:val="DefaultParagraphFont"/>
    <w:uiPriority w:val="99"/>
    <w:unhideWhenUsed/>
    <w:rsid w:val="005717B8"/>
    <w:rPr>
      <w:color w:val="467886" w:themeColor="hyperlink"/>
      <w:u w:val="single"/>
    </w:rPr>
  </w:style>
  <w:style w:type="paragraph" w:styleId="TOC1">
    <w:name w:val="toc 1"/>
    <w:basedOn w:val="Normal"/>
    <w:next w:val="Normal"/>
    <w:autoRedefine/>
    <w:uiPriority w:val="39"/>
    <w:unhideWhenUsed/>
    <w:rsid w:val="005717B8"/>
    <w:pPr>
      <w:spacing w:after="100"/>
    </w:pPr>
  </w:style>
  <w:style w:type="character" w:styleId="UnresolvedMention">
    <w:name w:val="Unresolved Mention"/>
    <w:basedOn w:val="DefaultParagraphFont"/>
    <w:uiPriority w:val="99"/>
    <w:semiHidden/>
    <w:unhideWhenUsed/>
    <w:rsid w:val="005717B8"/>
    <w:rPr>
      <w:color w:val="605E5C"/>
      <w:shd w:val="clear" w:color="auto" w:fill="E1DFDD"/>
    </w:rPr>
  </w:style>
  <w:style w:type="character" w:customStyle="1" w:styleId="anchor-text">
    <w:name w:val="anchor-text"/>
    <w:basedOn w:val="DefaultParagraphFont"/>
    <w:rsid w:val="00E63F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3761644">
      <w:bodyDiv w:val="1"/>
      <w:marLeft w:val="0"/>
      <w:marRight w:val="0"/>
      <w:marTop w:val="0"/>
      <w:marBottom w:val="0"/>
      <w:divBdr>
        <w:top w:val="none" w:sz="0" w:space="0" w:color="auto"/>
        <w:left w:val="none" w:sz="0" w:space="0" w:color="auto"/>
        <w:bottom w:val="none" w:sz="0" w:space="0" w:color="auto"/>
        <w:right w:val="none" w:sz="0" w:space="0" w:color="auto"/>
      </w:divBdr>
    </w:div>
    <w:div w:id="2044014837">
      <w:bodyDiv w:val="1"/>
      <w:marLeft w:val="0"/>
      <w:marRight w:val="0"/>
      <w:marTop w:val="0"/>
      <w:marBottom w:val="0"/>
      <w:divBdr>
        <w:top w:val="none" w:sz="0" w:space="0" w:color="auto"/>
        <w:left w:val="none" w:sz="0" w:space="0" w:color="auto"/>
        <w:bottom w:val="none" w:sz="0" w:space="0" w:color="auto"/>
        <w:right w:val="none" w:sz="0" w:space="0" w:color="auto"/>
      </w:divBdr>
    </w:div>
    <w:div w:id="2062631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buildings1502019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heliyon.2024.e3353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polmod.2023.07.003" TargetMode="External"/><Relationship Id="rId5" Type="http://schemas.openxmlformats.org/officeDocument/2006/relationships/webSettings" Target="webSettings.xml"/><Relationship Id="rId15" Type="http://schemas.openxmlformats.org/officeDocument/2006/relationships/hyperlink" Target="https://doi.org/10.3390/su142215242" TargetMode="External"/><Relationship Id="rId10" Type="http://schemas.openxmlformats.org/officeDocument/2006/relationships/hyperlink" Target="https://doi.org/10.3390/buildings12122192" TargetMode="External"/><Relationship Id="rId4" Type="http://schemas.openxmlformats.org/officeDocument/2006/relationships/settings" Target="settings.xml"/><Relationship Id="rId9" Type="http://schemas.openxmlformats.org/officeDocument/2006/relationships/hyperlink" Target="https://doi.org/10.1108/IJBPA-01-2022-0004" TargetMode="External"/><Relationship Id="rId14" Type="http://schemas.openxmlformats.org/officeDocument/2006/relationships/hyperlink" Target="https://doi.org/10.1108/IJMPB-07-2024-01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76DB1-58FD-40AC-A439-030E7AA5B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2855</Words>
  <Characters>16280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Trofim Borta (2239414)</dc:creator>
  <cp:keywords/>
  <dc:description/>
  <cp:lastModifiedBy>Trofim Borta (2239414)</cp:lastModifiedBy>
  <cp:revision>2</cp:revision>
  <dcterms:created xsi:type="dcterms:W3CDTF">2026-08-17T08:55:00Z</dcterms:created>
  <dcterms:modified xsi:type="dcterms:W3CDTF">2026-08-17T08:55:00Z</dcterms:modified>
</cp:coreProperties>
</file>