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Arial" w:hAnsi="Arial" w:cs="Arial"/>
        </w:rPr>
        <w:id w:val="1870026428"/>
        <w:docPartObj>
          <w:docPartGallery w:val="AutoText"/>
        </w:docPartObj>
      </w:sdtPr>
      <w:sdtEndPr>
        <w:rPr>
          <w:rFonts w:ascii="Arial" w:hAnsi="Arial" w:cs="Arial"/>
          <w:szCs w:val="24"/>
        </w:rPr>
      </w:sdtEndPr>
      <w:sdtContent>
        <w:p w14:paraId="0B41DA74">
          <w:pPr>
            <w:jc w:val="center"/>
            <w:rPr>
              <w:rFonts w:ascii="Arial" w:hAnsi="Arial" w:cs="Arial"/>
            </w:rPr>
          </w:pPr>
          <w:r>
            <w:rPr>
              <w:rFonts w:ascii="Arial" w:hAnsi="Arial" w:cs="Arial"/>
              <w:lang w:val="en-US"/>
            </w:rPr>
            <w:drawing>
              <wp:inline distT="0" distB="0" distL="0" distR="0">
                <wp:extent cx="2157095" cy="862965"/>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pPr>
            <w:rPr>
              <w:rFonts w:ascii="Arial" w:hAnsi="Arial" w:cs="Arial"/>
            </w:rPr>
          </w:pPr>
        </w:p>
        <w:p w14:paraId="6607D9C6">
          <w:pPr>
            <w:jc w:val="right"/>
            <w:rPr>
              <w:rFonts w:ascii="Arial" w:hAnsi="Arial" w:cs="Arial"/>
              <w:szCs w:val="24"/>
            </w:rPr>
          </w:pPr>
        </w:p>
        <w:p w14:paraId="2983E7F0">
          <w:pPr>
            <w:jc w:val="center"/>
            <w:rPr>
              <w:rFonts w:ascii="Arial" w:hAnsi="Arial" w:cs="Arial"/>
              <w:szCs w:val="24"/>
            </w:rPr>
          </w:pPr>
          <w:r>
            <w:rPr>
              <w:rFonts w:ascii="Arial" w:hAnsi="Arial" w:cs="Arial"/>
              <w:sz w:val="40"/>
              <w:szCs w:val="40"/>
            </w:rPr>
            <w:t>Strategic Management (LCMB7003)</w:t>
          </w:r>
        </w:p>
        <w:p w14:paraId="0D1C3388">
          <w:pPr>
            <w:jc w:val="right"/>
            <w:rPr>
              <w:rFonts w:ascii="Arial" w:hAnsi="Arial" w:cs="Arial"/>
              <w:szCs w:val="24"/>
            </w:rPr>
          </w:pPr>
        </w:p>
        <w:p w14:paraId="1C9F5A39">
          <w:pPr>
            <w:jc w:val="center"/>
            <w:rPr>
              <w:rFonts w:ascii="Arial" w:hAnsi="Arial" w:cs="Arial"/>
              <w:sz w:val="40"/>
              <w:szCs w:val="40"/>
            </w:rPr>
          </w:pPr>
          <w:r>
            <w:rPr>
              <w:rFonts w:ascii="Arial" w:hAnsi="Arial" w:cs="Arial"/>
              <w:sz w:val="40"/>
              <w:szCs w:val="40"/>
            </w:rPr>
            <w:t xml:space="preserve">Strategic Analysis of </w:t>
          </w:r>
          <w:r>
            <w:rPr>
              <w:rFonts w:ascii="Arial" w:hAnsi="Arial" w:cs="Arial"/>
              <w:color w:val="000000" w:themeColor="text1"/>
              <w:sz w:val="40"/>
              <w:szCs w:val="40"/>
              <w14:textFill>
                <w14:solidFill>
                  <w14:schemeClr w14:val="tx1"/>
                </w14:solidFill>
              </w14:textFill>
            </w:rPr>
            <w:t>Alibaba Group</w:t>
          </w:r>
        </w:p>
        <w:p w14:paraId="2E24282A">
          <w:pPr>
            <w:jc w:val="center"/>
            <w:rPr>
              <w:rFonts w:ascii="Arial" w:hAnsi="Arial" w:cs="Arial"/>
              <w:sz w:val="40"/>
              <w:szCs w:val="40"/>
            </w:rPr>
          </w:pPr>
          <w:r>
            <w:rPr>
              <w:rFonts w:ascii="Arial" w:hAnsi="Arial" w:cs="Arial"/>
              <w:sz w:val="40"/>
              <w:szCs w:val="40"/>
              <w:lang w:val="en-US"/>
            </w:rPr>
            <w:drawing>
              <wp:inline distT="0" distB="0" distL="0" distR="0">
                <wp:extent cx="3200400"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200400" cy="1428750"/>
                        </a:xfrm>
                        <a:prstGeom prst="rect">
                          <a:avLst/>
                        </a:prstGeom>
                      </pic:spPr>
                    </pic:pic>
                  </a:graphicData>
                </a:graphic>
              </wp:inline>
            </w:drawing>
          </w:r>
        </w:p>
        <w:p w14:paraId="0B2C783E">
          <w:pPr>
            <w:jc w:val="right"/>
            <w:rPr>
              <w:rFonts w:ascii="Arial" w:hAnsi="Arial" w:cs="Arial"/>
              <w:szCs w:val="24"/>
            </w:rPr>
          </w:pPr>
        </w:p>
        <w:p w14:paraId="2276D3DB">
          <w:pPr>
            <w:jc w:val="center"/>
            <w:rPr>
              <w:rFonts w:ascii="Arial" w:hAnsi="Arial" w:cs="Arial"/>
              <w:b/>
              <w:color w:val="000000" w:themeColor="text1"/>
              <w:sz w:val="28"/>
              <w:szCs w:val="28"/>
              <w14:textFill>
                <w14:solidFill>
                  <w14:schemeClr w14:val="tx1"/>
                </w14:solidFill>
              </w14:textFill>
            </w:rPr>
          </w:pPr>
          <w:r>
            <w:rPr>
              <w:rFonts w:ascii="Arial" w:hAnsi="Arial" w:cs="Arial"/>
              <w:b/>
              <w:color w:val="000000" w:themeColor="text1"/>
              <w:sz w:val="28"/>
              <w:szCs w:val="28"/>
              <w14:textFill>
                <w14:solidFill>
                  <w14:schemeClr w14:val="tx1"/>
                </w14:solidFill>
              </w14:textFill>
            </w:rPr>
            <w:t>Student Name: Miraz Mohammad Emon</w:t>
          </w:r>
        </w:p>
        <w:p w14:paraId="43AA32A1">
          <w:pPr>
            <w:jc w:val="center"/>
            <w:rPr>
              <w:rFonts w:ascii="Arial" w:hAnsi="Arial" w:cs="Arial"/>
              <w:b/>
              <w:color w:val="000000" w:themeColor="text1"/>
              <w:sz w:val="28"/>
              <w:szCs w:val="28"/>
              <w14:textFill>
                <w14:solidFill>
                  <w14:schemeClr w14:val="tx1"/>
                </w14:solidFill>
              </w14:textFill>
            </w:rPr>
          </w:pPr>
          <w:r>
            <w:rPr>
              <w:rFonts w:ascii="Arial" w:hAnsi="Arial" w:cs="Arial"/>
              <w:b/>
              <w:color w:val="000000" w:themeColor="text1"/>
              <w:sz w:val="28"/>
              <w:szCs w:val="28"/>
              <w14:textFill>
                <w14:solidFill>
                  <w14:schemeClr w14:val="tx1"/>
                </w14:solidFill>
              </w14:textFill>
            </w:rPr>
            <w:t>Student Number: 2503793</w:t>
          </w:r>
        </w:p>
        <w:p w14:paraId="684B439B">
          <w:pPr>
            <w:jc w:val="center"/>
            <w:rPr>
              <w:rFonts w:hint="default" w:ascii="Arial" w:hAnsi="Arial" w:cs="Arial"/>
              <w:b/>
              <w:color w:val="000000" w:themeColor="text1"/>
              <w:sz w:val="28"/>
              <w:szCs w:val="28"/>
              <w:lang w:val="en-US"/>
              <w14:textFill>
                <w14:solidFill>
                  <w14:schemeClr w14:val="tx1"/>
                </w14:solidFill>
              </w14:textFill>
            </w:rPr>
          </w:pPr>
          <w:r>
            <w:rPr>
              <w:rFonts w:ascii="Arial" w:hAnsi="Arial" w:cs="Arial"/>
              <w:b/>
              <w:color w:val="000000" w:themeColor="text1"/>
              <w:sz w:val="28"/>
              <w:szCs w:val="28"/>
              <w14:textFill>
                <w14:solidFill>
                  <w14:schemeClr w14:val="tx1"/>
                </w14:solidFill>
              </w14:textFill>
            </w:rPr>
            <w:t xml:space="preserve">Lecturer: </w:t>
          </w:r>
          <w:r>
            <w:rPr>
              <w:rFonts w:hint="default" w:ascii="Arial" w:hAnsi="Arial" w:cs="Arial"/>
              <w:b/>
              <w:color w:val="000000" w:themeColor="text1"/>
              <w:sz w:val="28"/>
              <w:szCs w:val="28"/>
              <w:lang w:val="en-US"/>
              <w14:textFill>
                <w14:solidFill>
                  <w14:schemeClr w14:val="tx1"/>
                </w14:solidFill>
              </w14:textFill>
            </w:rPr>
            <w:t>Amare Desta</w:t>
          </w:r>
          <w:bookmarkStart w:id="47" w:name="_GoBack"/>
          <w:bookmarkEnd w:id="47"/>
        </w:p>
        <w:p w14:paraId="756BE285">
          <w:pPr>
            <w:jc w:val="center"/>
            <w:rPr>
              <w:rFonts w:ascii="Arial" w:hAnsi="Arial" w:cs="Arial"/>
              <w:b/>
              <w:color w:val="000000" w:themeColor="text1"/>
              <w:sz w:val="28"/>
              <w:szCs w:val="28"/>
              <w14:textFill>
                <w14:solidFill>
                  <w14:schemeClr w14:val="tx1"/>
                </w14:solidFill>
              </w14:textFill>
            </w:rPr>
          </w:pPr>
          <w:r>
            <w:rPr>
              <w:rFonts w:ascii="Arial" w:hAnsi="Arial" w:cs="Arial"/>
              <w:b/>
              <w:color w:val="000000" w:themeColor="text1"/>
              <w:sz w:val="28"/>
              <w:szCs w:val="28"/>
              <w14:textFill>
                <w14:solidFill>
                  <w14:schemeClr w14:val="tx1"/>
                </w14:solidFill>
              </w14:textFill>
            </w:rPr>
            <w:t>Word Count: 5494 word</w:t>
          </w:r>
        </w:p>
        <w:p w14:paraId="33975A3B">
          <w:pPr>
            <w:rPr>
              <w:rFonts w:ascii="Arial" w:hAnsi="Arial" w:cs="Arial"/>
              <w:b/>
              <w:color w:val="000000" w:themeColor="text1"/>
              <w:sz w:val="28"/>
              <w:szCs w:val="28"/>
              <w14:textFill>
                <w14:solidFill>
                  <w14:schemeClr w14:val="tx1"/>
                </w14:solidFill>
              </w14:textFill>
            </w:rPr>
          </w:pPr>
        </w:p>
        <w:p w14:paraId="21AD0B22">
          <w:pPr>
            <w:rPr>
              <w:rFonts w:ascii="Arial" w:hAnsi="Arial" w:cs="Arial"/>
              <w:sz w:val="28"/>
              <w:szCs w:val="28"/>
            </w:rPr>
          </w:pPr>
        </w:p>
        <w:p w14:paraId="622BCF0F">
          <w:pPr>
            <w:rPr>
              <w:rFonts w:ascii="Arial" w:hAnsi="Arial" w:cs="Arial"/>
              <w:sz w:val="28"/>
              <w:szCs w:val="28"/>
            </w:rPr>
          </w:pPr>
        </w:p>
        <w:p w14:paraId="4155E23A">
          <w:pPr>
            <w:rPr>
              <w:rFonts w:ascii="Arial" w:hAnsi="Arial" w:cs="Arial"/>
              <w:sz w:val="28"/>
              <w:szCs w:val="28"/>
            </w:rPr>
          </w:pPr>
        </w:p>
        <w:p w14:paraId="1474C1DF">
          <w:pPr>
            <w:rPr>
              <w:rFonts w:ascii="Arial" w:hAnsi="Arial" w:cs="Arial"/>
              <w:sz w:val="28"/>
              <w:szCs w:val="28"/>
            </w:rPr>
          </w:pPr>
        </w:p>
        <w:p w14:paraId="0670A2E3">
          <w:pPr>
            <w:rPr>
              <w:rFonts w:ascii="Arial" w:hAnsi="Arial" w:cs="Arial"/>
              <w:sz w:val="28"/>
              <w:szCs w:val="28"/>
            </w:rPr>
          </w:pPr>
        </w:p>
        <w:sdt>
          <w:sdtPr>
            <w:rPr>
              <w:rFonts w:ascii="Arial" w:hAnsi="Arial" w:cs="Arial" w:eastAsiaTheme="minorHAnsi"/>
              <w:color w:val="auto"/>
              <w:sz w:val="22"/>
              <w:szCs w:val="22"/>
            </w:rPr>
            <w:id w:val="-1"/>
            <w:docPartObj>
              <w:docPartGallery w:val="Table of Contents"/>
              <w:docPartUnique/>
            </w:docPartObj>
          </w:sdtPr>
          <w:sdtEndPr>
            <w:rPr>
              <w:rFonts w:ascii="Arial" w:hAnsi="Arial" w:cs="Arial" w:eastAsiaTheme="minorHAnsi"/>
              <w:b/>
              <w:bCs/>
              <w:color w:val="auto"/>
              <w:sz w:val="24"/>
              <w:szCs w:val="22"/>
            </w:rPr>
          </w:sdtEndPr>
          <w:sdtContent>
            <w:p w14:paraId="168711C5">
              <w:pPr>
                <w:pStyle w:val="34"/>
                <w:jc w:val="center"/>
                <w:rPr>
                  <w:rStyle w:val="28"/>
                  <w:rFonts w:cs="Arial"/>
                  <w:b/>
                  <w:bCs/>
                </w:rPr>
              </w:pPr>
              <w:r>
                <w:rPr>
                  <w:rStyle w:val="28"/>
                  <w:rFonts w:cs="Arial"/>
                  <w:b/>
                  <w:bCs/>
                </w:rPr>
                <w:t>Table of Contents</w:t>
              </w:r>
            </w:p>
            <w:p w14:paraId="3C87A924">
              <w:pPr>
                <w:pStyle w:val="19"/>
                <w:tabs>
                  <w:tab w:val="right" w:leader="dot" w:pos="9016"/>
                </w:tabs>
                <w:rPr>
                  <w:rFonts w:ascii="Arial" w:hAnsi="Arial" w:cs="Arial" w:eastAsiaTheme="minorEastAsia"/>
                  <w:sz w:val="22"/>
                  <w:lang w:eastAsia="en-GB"/>
                </w:rPr>
              </w:pPr>
              <w:r>
                <w:rPr>
                  <w:rFonts w:ascii="Arial" w:hAnsi="Arial" w:cs="Arial"/>
                </w:rPr>
                <w:fldChar w:fldCharType="begin"/>
              </w:r>
              <w:r>
                <w:rPr>
                  <w:rFonts w:ascii="Arial" w:hAnsi="Arial" w:cs="Arial"/>
                </w:rPr>
                <w:instrText xml:space="preserve"> TOC \o "1-4" \h \z \u </w:instrText>
              </w:r>
              <w:r>
                <w:rPr>
                  <w:rFonts w:ascii="Arial" w:hAnsi="Arial" w:cs="Arial"/>
                </w:rPr>
                <w:fldChar w:fldCharType="separate"/>
              </w:r>
              <w:r>
                <w:fldChar w:fldCharType="begin"/>
              </w:r>
              <w:r>
                <w:instrText xml:space="preserve"> HYPERLINK \l "_Toc228222244" </w:instrText>
              </w:r>
              <w:r>
                <w:fldChar w:fldCharType="separate"/>
              </w:r>
              <w:r>
                <w:rPr>
                  <w:rStyle w:val="16"/>
                  <w:rFonts w:ascii="Arial" w:hAnsi="Arial" w:cs="Arial"/>
                </w:rPr>
                <w:t>Section 1</w:t>
              </w:r>
              <w:r>
                <w:rPr>
                  <w:rFonts w:ascii="Arial" w:hAnsi="Arial" w:cs="Arial"/>
                </w:rPr>
                <w:tab/>
              </w:r>
              <w:r>
                <w:rPr>
                  <w:rFonts w:ascii="Arial" w:hAnsi="Arial" w:cs="Arial"/>
                </w:rPr>
                <w:fldChar w:fldCharType="begin"/>
              </w:r>
              <w:r>
                <w:rPr>
                  <w:rFonts w:ascii="Arial" w:hAnsi="Arial" w:cs="Arial"/>
                </w:rPr>
                <w:instrText xml:space="preserve"> PAGEREF _Toc228222244 \h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fldChar w:fldCharType="end"/>
              </w:r>
            </w:p>
            <w:p w14:paraId="3B7098AE">
              <w:pPr>
                <w:pStyle w:val="19"/>
                <w:tabs>
                  <w:tab w:val="right" w:leader="dot" w:pos="9016"/>
                </w:tabs>
                <w:rPr>
                  <w:rFonts w:ascii="Arial" w:hAnsi="Arial" w:cs="Arial" w:eastAsiaTheme="minorEastAsia"/>
                  <w:sz w:val="22"/>
                  <w:lang w:eastAsia="en-GB"/>
                </w:rPr>
              </w:pPr>
              <w:r>
                <w:fldChar w:fldCharType="begin"/>
              </w:r>
              <w:r>
                <w:instrText xml:space="preserve"> HYPERLINK \l "_Toc228222245" </w:instrText>
              </w:r>
              <w:r>
                <w:fldChar w:fldCharType="separate"/>
              </w:r>
              <w:r>
                <w:rPr>
                  <w:rStyle w:val="16"/>
                  <w:rFonts w:ascii="Arial" w:hAnsi="Arial" w:cs="Arial"/>
                </w:rPr>
                <w:t>1. Introduction</w:t>
              </w:r>
              <w:r>
                <w:rPr>
                  <w:rFonts w:ascii="Arial" w:hAnsi="Arial" w:cs="Arial"/>
                </w:rPr>
                <w:tab/>
              </w:r>
              <w:r>
                <w:rPr>
                  <w:rFonts w:ascii="Arial" w:hAnsi="Arial" w:cs="Arial"/>
                </w:rPr>
                <w:fldChar w:fldCharType="begin"/>
              </w:r>
              <w:r>
                <w:rPr>
                  <w:rFonts w:ascii="Arial" w:hAnsi="Arial" w:cs="Arial"/>
                </w:rPr>
                <w:instrText xml:space="preserve"> PAGEREF _Toc228222245 \h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fldChar w:fldCharType="end"/>
              </w:r>
            </w:p>
            <w:p w14:paraId="699E1371">
              <w:pPr>
                <w:pStyle w:val="19"/>
                <w:tabs>
                  <w:tab w:val="right" w:leader="dot" w:pos="9016"/>
                </w:tabs>
                <w:rPr>
                  <w:rFonts w:ascii="Arial" w:hAnsi="Arial" w:cs="Arial" w:eastAsiaTheme="minorEastAsia"/>
                  <w:sz w:val="22"/>
                  <w:lang w:eastAsia="en-GB"/>
                </w:rPr>
              </w:pPr>
              <w:r>
                <w:fldChar w:fldCharType="begin"/>
              </w:r>
              <w:r>
                <w:instrText xml:space="preserve"> HYPERLINK \l "_Toc228222246" </w:instrText>
              </w:r>
              <w:r>
                <w:fldChar w:fldCharType="separate"/>
              </w:r>
              <w:r>
                <w:rPr>
                  <w:rStyle w:val="16"/>
                  <w:rFonts w:ascii="Arial" w:hAnsi="Arial" w:cs="Arial"/>
                </w:rPr>
                <w:t>2. Company Background</w:t>
              </w:r>
              <w:r>
                <w:rPr>
                  <w:rFonts w:ascii="Arial" w:hAnsi="Arial" w:cs="Arial"/>
                </w:rPr>
                <w:tab/>
              </w:r>
              <w:r>
                <w:rPr>
                  <w:rFonts w:ascii="Arial" w:hAnsi="Arial" w:cs="Arial"/>
                </w:rPr>
                <w:fldChar w:fldCharType="begin"/>
              </w:r>
              <w:r>
                <w:rPr>
                  <w:rFonts w:ascii="Arial" w:hAnsi="Arial" w:cs="Arial"/>
                </w:rPr>
                <w:instrText xml:space="preserve"> PAGEREF _Toc228222246 \h </w:instrText>
              </w:r>
              <w:r>
                <w:rPr>
                  <w:rFonts w:ascii="Arial" w:hAnsi="Arial" w:cs="Arial"/>
                </w:rPr>
                <w:fldChar w:fldCharType="separate"/>
              </w:r>
              <w:r>
                <w:rPr>
                  <w:rFonts w:ascii="Arial" w:hAnsi="Arial" w:cs="Arial"/>
                </w:rPr>
                <w:t>2</w:t>
              </w:r>
              <w:r>
                <w:rPr>
                  <w:rFonts w:ascii="Arial" w:hAnsi="Arial" w:cs="Arial"/>
                </w:rPr>
                <w:fldChar w:fldCharType="end"/>
              </w:r>
              <w:r>
                <w:rPr>
                  <w:rFonts w:ascii="Arial" w:hAnsi="Arial" w:cs="Arial"/>
                </w:rPr>
                <w:fldChar w:fldCharType="end"/>
              </w:r>
            </w:p>
            <w:p w14:paraId="705CB3C9">
              <w:pPr>
                <w:pStyle w:val="19"/>
                <w:tabs>
                  <w:tab w:val="right" w:leader="dot" w:pos="9016"/>
                </w:tabs>
                <w:rPr>
                  <w:rFonts w:ascii="Arial" w:hAnsi="Arial" w:cs="Arial" w:eastAsiaTheme="minorEastAsia"/>
                  <w:sz w:val="22"/>
                  <w:lang w:eastAsia="en-GB"/>
                </w:rPr>
              </w:pPr>
              <w:r>
                <w:fldChar w:fldCharType="begin"/>
              </w:r>
              <w:r>
                <w:instrText xml:space="preserve"> HYPERLINK \l "_Toc228222247" </w:instrText>
              </w:r>
              <w:r>
                <w:fldChar w:fldCharType="separate"/>
              </w:r>
              <w:r>
                <w:rPr>
                  <w:rStyle w:val="16"/>
                  <w:rFonts w:ascii="Arial" w:hAnsi="Arial" w:cs="Arial"/>
                </w:rPr>
                <w:t>3. Mission and Objectives</w:t>
              </w:r>
              <w:r>
                <w:rPr>
                  <w:rFonts w:ascii="Arial" w:hAnsi="Arial" w:cs="Arial"/>
                </w:rPr>
                <w:tab/>
              </w:r>
              <w:r>
                <w:rPr>
                  <w:rFonts w:ascii="Arial" w:hAnsi="Arial" w:cs="Arial"/>
                </w:rPr>
                <w:fldChar w:fldCharType="begin"/>
              </w:r>
              <w:r>
                <w:rPr>
                  <w:rFonts w:ascii="Arial" w:hAnsi="Arial" w:cs="Arial"/>
                </w:rPr>
                <w:instrText xml:space="preserve"> PAGEREF _Toc228222247 \h </w:instrText>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fldChar w:fldCharType="end"/>
              </w:r>
            </w:p>
            <w:p w14:paraId="2F6A08C7">
              <w:pPr>
                <w:pStyle w:val="20"/>
                <w:rPr>
                  <w:rFonts w:eastAsiaTheme="minorEastAsia"/>
                  <w:sz w:val="22"/>
                  <w:lang w:eastAsia="en-GB"/>
                </w:rPr>
              </w:pPr>
              <w:r>
                <w:fldChar w:fldCharType="begin"/>
              </w:r>
              <w:r>
                <w:instrText xml:space="preserve"> HYPERLINK \l "_Toc228222248" </w:instrText>
              </w:r>
              <w:r>
                <w:fldChar w:fldCharType="separate"/>
              </w:r>
              <w:r>
                <w:rPr>
                  <w:rStyle w:val="16"/>
                </w:rPr>
                <w:t>3.1 Mission</w:t>
              </w:r>
              <w:r>
                <w:tab/>
              </w:r>
              <w:r>
                <w:fldChar w:fldCharType="begin"/>
              </w:r>
              <w:r>
                <w:instrText xml:space="preserve"> PAGEREF _Toc228222248 \h </w:instrText>
              </w:r>
              <w:r>
                <w:fldChar w:fldCharType="separate"/>
              </w:r>
              <w:r>
                <w:t>3</w:t>
              </w:r>
              <w:r>
                <w:fldChar w:fldCharType="end"/>
              </w:r>
              <w:r>
                <w:fldChar w:fldCharType="end"/>
              </w:r>
            </w:p>
            <w:p w14:paraId="11DF7D5B">
              <w:pPr>
                <w:pStyle w:val="20"/>
                <w:rPr>
                  <w:rFonts w:eastAsiaTheme="minorEastAsia"/>
                  <w:sz w:val="22"/>
                  <w:lang w:eastAsia="en-GB"/>
                </w:rPr>
              </w:pPr>
              <w:r>
                <w:fldChar w:fldCharType="begin"/>
              </w:r>
              <w:r>
                <w:instrText xml:space="preserve"> HYPERLINK \l "_Toc228222249" </w:instrText>
              </w:r>
              <w:r>
                <w:fldChar w:fldCharType="separate"/>
              </w:r>
              <w:r>
                <w:rPr>
                  <w:rStyle w:val="16"/>
                </w:rPr>
                <w:t>3.2 Vision</w:t>
              </w:r>
              <w:r>
                <w:tab/>
              </w:r>
              <w:r>
                <w:fldChar w:fldCharType="begin"/>
              </w:r>
              <w:r>
                <w:instrText xml:space="preserve"> PAGEREF _Toc228222249 \h </w:instrText>
              </w:r>
              <w:r>
                <w:fldChar w:fldCharType="separate"/>
              </w:r>
              <w:r>
                <w:t>3</w:t>
              </w:r>
              <w:r>
                <w:fldChar w:fldCharType="end"/>
              </w:r>
              <w:r>
                <w:fldChar w:fldCharType="end"/>
              </w:r>
            </w:p>
            <w:p w14:paraId="45D8D557">
              <w:pPr>
                <w:pStyle w:val="20"/>
                <w:rPr>
                  <w:rFonts w:eastAsiaTheme="minorEastAsia"/>
                  <w:sz w:val="22"/>
                  <w:lang w:eastAsia="en-GB"/>
                </w:rPr>
              </w:pPr>
              <w:r>
                <w:fldChar w:fldCharType="begin"/>
              </w:r>
              <w:r>
                <w:instrText xml:space="preserve"> HYPERLINK \l "_Toc228222250" </w:instrText>
              </w:r>
              <w:r>
                <w:fldChar w:fldCharType="separate"/>
              </w:r>
              <w:r>
                <w:rPr>
                  <w:rStyle w:val="16"/>
                </w:rPr>
                <w:t>3.3 Strategic Goals</w:t>
              </w:r>
              <w:r>
                <w:tab/>
              </w:r>
              <w:r>
                <w:fldChar w:fldCharType="begin"/>
              </w:r>
              <w:r>
                <w:instrText xml:space="preserve"> PAGEREF _Toc228222250 \h </w:instrText>
              </w:r>
              <w:r>
                <w:fldChar w:fldCharType="separate"/>
              </w:r>
              <w:r>
                <w:t>3</w:t>
              </w:r>
              <w:r>
                <w:fldChar w:fldCharType="end"/>
              </w:r>
              <w:r>
                <w:fldChar w:fldCharType="end"/>
              </w:r>
            </w:p>
            <w:p w14:paraId="2A7D36CF">
              <w:pPr>
                <w:pStyle w:val="19"/>
                <w:tabs>
                  <w:tab w:val="right" w:leader="dot" w:pos="9016"/>
                </w:tabs>
                <w:rPr>
                  <w:rFonts w:ascii="Arial" w:hAnsi="Arial" w:cs="Arial" w:eastAsiaTheme="minorEastAsia"/>
                  <w:sz w:val="22"/>
                  <w:lang w:eastAsia="en-GB"/>
                </w:rPr>
              </w:pPr>
              <w:r>
                <w:fldChar w:fldCharType="begin"/>
              </w:r>
              <w:r>
                <w:instrText xml:space="preserve"> HYPERLINK \l "_Toc228222251" </w:instrText>
              </w:r>
              <w:r>
                <w:fldChar w:fldCharType="separate"/>
              </w:r>
              <w:r>
                <w:rPr>
                  <w:rStyle w:val="16"/>
                  <w:rFonts w:ascii="Arial" w:hAnsi="Arial" w:cs="Arial"/>
                </w:rPr>
                <w:t>4. Macro-Environment Analysis</w:t>
              </w:r>
              <w:r>
                <w:rPr>
                  <w:rFonts w:ascii="Arial" w:hAnsi="Arial" w:cs="Arial"/>
                </w:rPr>
                <w:tab/>
              </w:r>
              <w:r>
                <w:rPr>
                  <w:rFonts w:ascii="Arial" w:hAnsi="Arial" w:cs="Arial"/>
                </w:rPr>
                <w:fldChar w:fldCharType="begin"/>
              </w:r>
              <w:r>
                <w:rPr>
                  <w:rFonts w:ascii="Arial" w:hAnsi="Arial" w:cs="Arial"/>
                </w:rPr>
                <w:instrText xml:space="preserve"> PAGEREF _Toc228222251 \h </w:instrText>
              </w:r>
              <w:r>
                <w:rPr>
                  <w:rFonts w:ascii="Arial" w:hAnsi="Arial" w:cs="Arial"/>
                </w:rPr>
                <w:fldChar w:fldCharType="separate"/>
              </w:r>
              <w:r>
                <w:rPr>
                  <w:rFonts w:ascii="Arial" w:hAnsi="Arial" w:cs="Arial"/>
                </w:rPr>
                <w:t>4</w:t>
              </w:r>
              <w:r>
                <w:rPr>
                  <w:rFonts w:ascii="Arial" w:hAnsi="Arial" w:cs="Arial"/>
                </w:rPr>
                <w:fldChar w:fldCharType="end"/>
              </w:r>
              <w:r>
                <w:rPr>
                  <w:rFonts w:ascii="Arial" w:hAnsi="Arial" w:cs="Arial"/>
                </w:rPr>
                <w:fldChar w:fldCharType="end"/>
              </w:r>
            </w:p>
            <w:p w14:paraId="20AC72A0">
              <w:pPr>
                <w:pStyle w:val="20"/>
                <w:rPr>
                  <w:rFonts w:eastAsiaTheme="minorEastAsia"/>
                  <w:sz w:val="22"/>
                  <w:lang w:eastAsia="en-GB"/>
                </w:rPr>
              </w:pPr>
              <w:r>
                <w:fldChar w:fldCharType="begin"/>
              </w:r>
              <w:r>
                <w:instrText xml:space="preserve"> HYPERLINK \l "_Toc228222252" </w:instrText>
              </w:r>
              <w:r>
                <w:fldChar w:fldCharType="separate"/>
              </w:r>
              <w:r>
                <w:rPr>
                  <w:rStyle w:val="16"/>
                </w:rPr>
                <w:t>4.1 PESTEL Analysis of Alibaba Group</w:t>
              </w:r>
              <w:r>
                <w:tab/>
              </w:r>
              <w:r>
                <w:fldChar w:fldCharType="begin"/>
              </w:r>
              <w:r>
                <w:instrText xml:space="preserve"> PAGEREF _Toc228222252 \h </w:instrText>
              </w:r>
              <w:r>
                <w:fldChar w:fldCharType="separate"/>
              </w:r>
              <w:r>
                <w:t>4</w:t>
              </w:r>
              <w:r>
                <w:fldChar w:fldCharType="end"/>
              </w:r>
              <w:r>
                <w:fldChar w:fldCharType="end"/>
              </w:r>
            </w:p>
            <w:p w14:paraId="12B62C49">
              <w:pPr>
                <w:pStyle w:val="19"/>
                <w:tabs>
                  <w:tab w:val="right" w:leader="dot" w:pos="9016"/>
                </w:tabs>
                <w:rPr>
                  <w:rFonts w:ascii="Arial" w:hAnsi="Arial" w:cs="Arial" w:eastAsiaTheme="minorEastAsia"/>
                  <w:sz w:val="22"/>
                  <w:lang w:eastAsia="en-GB"/>
                </w:rPr>
              </w:pPr>
              <w:r>
                <w:fldChar w:fldCharType="begin"/>
              </w:r>
              <w:r>
                <w:instrText xml:space="preserve"> HYPERLINK \l "_Toc228222253" </w:instrText>
              </w:r>
              <w:r>
                <w:fldChar w:fldCharType="separate"/>
              </w:r>
              <w:r>
                <w:rPr>
                  <w:rStyle w:val="16"/>
                  <w:rFonts w:ascii="Arial" w:hAnsi="Arial" w:cs="Arial"/>
                </w:rPr>
                <w:t>5. Micro-Environment Analysis</w:t>
              </w:r>
              <w:r>
                <w:rPr>
                  <w:rFonts w:ascii="Arial" w:hAnsi="Arial" w:cs="Arial"/>
                </w:rPr>
                <w:tab/>
              </w:r>
              <w:r>
                <w:rPr>
                  <w:rFonts w:ascii="Arial" w:hAnsi="Arial" w:cs="Arial"/>
                </w:rPr>
                <w:fldChar w:fldCharType="begin"/>
              </w:r>
              <w:r>
                <w:rPr>
                  <w:rFonts w:ascii="Arial" w:hAnsi="Arial" w:cs="Arial"/>
                </w:rPr>
                <w:instrText xml:space="preserve"> PAGEREF _Toc228222253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14:paraId="71CD9CEC">
              <w:pPr>
                <w:pStyle w:val="20"/>
                <w:rPr>
                  <w:rFonts w:eastAsiaTheme="minorEastAsia"/>
                  <w:sz w:val="22"/>
                  <w:lang w:eastAsia="en-GB"/>
                </w:rPr>
              </w:pPr>
              <w:r>
                <w:fldChar w:fldCharType="begin"/>
              </w:r>
              <w:r>
                <w:instrText xml:space="preserve"> HYPERLINK \l "_Toc228222254" </w:instrText>
              </w:r>
              <w:r>
                <w:fldChar w:fldCharType="separate"/>
              </w:r>
              <w:r>
                <w:rPr>
                  <w:rStyle w:val="16"/>
                </w:rPr>
                <w:t>5.1 Industry Life Cycle</w:t>
              </w:r>
              <w:r>
                <w:tab/>
              </w:r>
              <w:r>
                <w:fldChar w:fldCharType="begin"/>
              </w:r>
              <w:r>
                <w:instrText xml:space="preserve"> PAGEREF _Toc228222254 \h </w:instrText>
              </w:r>
              <w:r>
                <w:fldChar w:fldCharType="separate"/>
              </w:r>
              <w:r>
                <w:t>5</w:t>
              </w:r>
              <w:r>
                <w:fldChar w:fldCharType="end"/>
              </w:r>
              <w:r>
                <w:fldChar w:fldCharType="end"/>
              </w:r>
            </w:p>
            <w:p w14:paraId="7809F09C">
              <w:pPr>
                <w:pStyle w:val="20"/>
                <w:rPr>
                  <w:rFonts w:eastAsiaTheme="minorEastAsia"/>
                  <w:sz w:val="22"/>
                  <w:lang w:eastAsia="en-GB"/>
                </w:rPr>
              </w:pPr>
              <w:r>
                <w:fldChar w:fldCharType="begin"/>
              </w:r>
              <w:r>
                <w:instrText xml:space="preserve"> HYPERLINK \l "_Toc228222255" </w:instrText>
              </w:r>
              <w:r>
                <w:fldChar w:fldCharType="separate"/>
              </w:r>
              <w:r>
                <w:rPr>
                  <w:rStyle w:val="16"/>
                </w:rPr>
                <w:t>5.2 Porters five forces analysis</w:t>
              </w:r>
              <w:r>
                <w:tab/>
              </w:r>
              <w:r>
                <w:fldChar w:fldCharType="begin"/>
              </w:r>
              <w:r>
                <w:instrText xml:space="preserve"> PAGEREF _Toc228222255 \h </w:instrText>
              </w:r>
              <w:r>
                <w:fldChar w:fldCharType="separate"/>
              </w:r>
              <w:r>
                <w:t>7</w:t>
              </w:r>
              <w:r>
                <w:fldChar w:fldCharType="end"/>
              </w:r>
              <w:r>
                <w:fldChar w:fldCharType="end"/>
              </w:r>
            </w:p>
            <w:p w14:paraId="306079A6">
              <w:pPr>
                <w:pStyle w:val="19"/>
                <w:tabs>
                  <w:tab w:val="right" w:leader="dot" w:pos="9016"/>
                </w:tabs>
                <w:rPr>
                  <w:rFonts w:ascii="Arial" w:hAnsi="Arial" w:cs="Arial" w:eastAsiaTheme="minorEastAsia"/>
                  <w:sz w:val="22"/>
                  <w:lang w:eastAsia="en-GB"/>
                </w:rPr>
              </w:pPr>
              <w:r>
                <w:fldChar w:fldCharType="begin"/>
              </w:r>
              <w:r>
                <w:instrText xml:space="preserve"> HYPERLINK \l "_Toc228222256" </w:instrText>
              </w:r>
              <w:r>
                <w:fldChar w:fldCharType="separate"/>
              </w:r>
              <w:r>
                <w:rPr>
                  <w:rStyle w:val="16"/>
                  <w:rFonts w:ascii="Arial" w:hAnsi="Arial" w:cs="Arial"/>
                </w:rPr>
                <w:t>6. Internal Analysis</w:t>
              </w:r>
              <w:r>
                <w:rPr>
                  <w:rFonts w:ascii="Arial" w:hAnsi="Arial" w:cs="Arial"/>
                </w:rPr>
                <w:tab/>
              </w:r>
              <w:r>
                <w:rPr>
                  <w:rFonts w:ascii="Arial" w:hAnsi="Arial" w:cs="Arial"/>
                </w:rPr>
                <w:fldChar w:fldCharType="begin"/>
              </w:r>
              <w:r>
                <w:rPr>
                  <w:rFonts w:ascii="Arial" w:hAnsi="Arial" w:cs="Arial"/>
                </w:rPr>
                <w:instrText xml:space="preserve"> PAGEREF _Toc228222256 \h </w:instrText>
              </w:r>
              <w:r>
                <w:rPr>
                  <w:rFonts w:ascii="Arial" w:hAnsi="Arial" w:cs="Arial"/>
                </w:rPr>
                <w:fldChar w:fldCharType="separate"/>
              </w:r>
              <w:r>
                <w:rPr>
                  <w:rFonts w:ascii="Arial" w:hAnsi="Arial" w:cs="Arial"/>
                </w:rPr>
                <w:t>8</w:t>
              </w:r>
              <w:r>
                <w:rPr>
                  <w:rFonts w:ascii="Arial" w:hAnsi="Arial" w:cs="Arial"/>
                </w:rPr>
                <w:fldChar w:fldCharType="end"/>
              </w:r>
              <w:r>
                <w:rPr>
                  <w:rFonts w:ascii="Arial" w:hAnsi="Arial" w:cs="Arial"/>
                </w:rPr>
                <w:fldChar w:fldCharType="end"/>
              </w:r>
            </w:p>
            <w:p w14:paraId="00279B38">
              <w:pPr>
                <w:pStyle w:val="20"/>
                <w:rPr>
                  <w:rFonts w:eastAsiaTheme="minorEastAsia"/>
                  <w:sz w:val="22"/>
                  <w:lang w:eastAsia="en-GB"/>
                </w:rPr>
              </w:pPr>
              <w:r>
                <w:fldChar w:fldCharType="begin"/>
              </w:r>
              <w:r>
                <w:instrText xml:space="preserve"> HYPERLINK \l "_Toc228222257" </w:instrText>
              </w:r>
              <w:r>
                <w:fldChar w:fldCharType="separate"/>
              </w:r>
              <w:r>
                <w:rPr>
                  <w:rStyle w:val="16"/>
                </w:rPr>
                <w:t>6.1 Strategic Resources and Capabilities.</w:t>
              </w:r>
              <w:r>
                <w:tab/>
              </w:r>
              <w:r>
                <w:fldChar w:fldCharType="begin"/>
              </w:r>
              <w:r>
                <w:instrText xml:space="preserve"> PAGEREF _Toc228222257 \h </w:instrText>
              </w:r>
              <w:r>
                <w:fldChar w:fldCharType="separate"/>
              </w:r>
              <w:r>
                <w:t>8</w:t>
              </w:r>
              <w:r>
                <w:fldChar w:fldCharType="end"/>
              </w:r>
              <w:r>
                <w:fldChar w:fldCharType="end"/>
              </w:r>
            </w:p>
            <w:p w14:paraId="0A7A5284">
              <w:pPr>
                <w:pStyle w:val="20"/>
                <w:rPr>
                  <w:rFonts w:eastAsiaTheme="minorEastAsia"/>
                  <w:sz w:val="22"/>
                  <w:lang w:eastAsia="en-GB"/>
                </w:rPr>
              </w:pPr>
              <w:r>
                <w:fldChar w:fldCharType="begin"/>
              </w:r>
              <w:r>
                <w:instrText xml:space="preserve"> HYPERLINK \l "_Toc228222258" </w:instrText>
              </w:r>
              <w:r>
                <w:fldChar w:fldCharType="separate"/>
              </w:r>
              <w:r>
                <w:rPr>
                  <w:rStyle w:val="16"/>
                </w:rPr>
                <w:t>6.2 Value Chain Analysis</w:t>
              </w:r>
              <w:r>
                <w:tab/>
              </w:r>
              <w:r>
                <w:fldChar w:fldCharType="begin"/>
              </w:r>
              <w:r>
                <w:instrText xml:space="preserve"> PAGEREF _Toc228222258 \h </w:instrText>
              </w:r>
              <w:r>
                <w:fldChar w:fldCharType="separate"/>
              </w:r>
              <w:r>
                <w:t>8</w:t>
              </w:r>
              <w:r>
                <w:fldChar w:fldCharType="end"/>
              </w:r>
              <w:r>
                <w:fldChar w:fldCharType="end"/>
              </w:r>
            </w:p>
            <w:p w14:paraId="11BC5B03">
              <w:pPr>
                <w:pStyle w:val="20"/>
                <w:rPr>
                  <w:rFonts w:eastAsiaTheme="minorEastAsia"/>
                  <w:sz w:val="22"/>
                  <w:lang w:eastAsia="en-GB"/>
                </w:rPr>
              </w:pPr>
              <w:r>
                <w:fldChar w:fldCharType="begin"/>
              </w:r>
              <w:r>
                <w:instrText xml:space="preserve"> HYPERLINK \l "_Toc228222259" </w:instrText>
              </w:r>
              <w:r>
                <w:fldChar w:fldCharType="separate"/>
              </w:r>
              <w:r>
                <w:rPr>
                  <w:rStyle w:val="16"/>
                </w:rPr>
                <w:t>6.3 VRIO Analysis</w:t>
              </w:r>
              <w:r>
                <w:tab/>
              </w:r>
              <w:r>
                <w:fldChar w:fldCharType="begin"/>
              </w:r>
              <w:r>
                <w:instrText xml:space="preserve"> PAGEREF _Toc228222259 \h </w:instrText>
              </w:r>
              <w:r>
                <w:fldChar w:fldCharType="separate"/>
              </w:r>
              <w:r>
                <w:t>9</w:t>
              </w:r>
              <w:r>
                <w:fldChar w:fldCharType="end"/>
              </w:r>
              <w:r>
                <w:fldChar w:fldCharType="end"/>
              </w:r>
            </w:p>
            <w:p w14:paraId="01FC47C5">
              <w:pPr>
                <w:pStyle w:val="19"/>
                <w:tabs>
                  <w:tab w:val="right" w:leader="dot" w:pos="9016"/>
                </w:tabs>
                <w:rPr>
                  <w:rFonts w:ascii="Arial" w:hAnsi="Arial" w:cs="Arial" w:eastAsiaTheme="minorEastAsia"/>
                  <w:sz w:val="22"/>
                  <w:lang w:eastAsia="en-GB"/>
                </w:rPr>
              </w:pPr>
              <w:r>
                <w:fldChar w:fldCharType="begin"/>
              </w:r>
              <w:r>
                <w:instrText xml:space="preserve"> HYPERLINK \l "_Toc228222260" </w:instrText>
              </w:r>
              <w:r>
                <w:fldChar w:fldCharType="separate"/>
              </w:r>
              <w:r>
                <w:rPr>
                  <w:rStyle w:val="16"/>
                  <w:rFonts w:ascii="Arial" w:hAnsi="Arial" w:eastAsia="Times New Roman" w:cs="Arial"/>
                  <w:b/>
                  <w:bCs/>
                  <w:lang w:eastAsia="ja-JP"/>
                </w:rPr>
                <w:t>7. Green Strategy &amp; CSR</w:t>
              </w:r>
              <w:r>
                <w:rPr>
                  <w:rFonts w:ascii="Arial" w:hAnsi="Arial" w:cs="Arial"/>
                </w:rPr>
                <w:tab/>
              </w:r>
              <w:r>
                <w:rPr>
                  <w:rFonts w:ascii="Arial" w:hAnsi="Arial" w:cs="Arial"/>
                </w:rPr>
                <w:fldChar w:fldCharType="begin"/>
              </w:r>
              <w:r>
                <w:rPr>
                  <w:rFonts w:ascii="Arial" w:hAnsi="Arial" w:cs="Arial"/>
                </w:rPr>
                <w:instrText xml:space="preserve"> PAGEREF _Toc228222260 \h </w:instrText>
              </w:r>
              <w:r>
                <w:rPr>
                  <w:rFonts w:ascii="Arial" w:hAnsi="Arial" w:cs="Arial"/>
                </w:rPr>
                <w:fldChar w:fldCharType="separate"/>
              </w:r>
              <w:r>
                <w:rPr>
                  <w:rFonts w:ascii="Arial" w:hAnsi="Arial" w:cs="Arial"/>
                </w:rPr>
                <w:t>11</w:t>
              </w:r>
              <w:r>
                <w:rPr>
                  <w:rFonts w:ascii="Arial" w:hAnsi="Arial" w:cs="Arial"/>
                </w:rPr>
                <w:fldChar w:fldCharType="end"/>
              </w:r>
              <w:r>
                <w:rPr>
                  <w:rFonts w:ascii="Arial" w:hAnsi="Arial" w:cs="Arial"/>
                </w:rPr>
                <w:fldChar w:fldCharType="end"/>
              </w:r>
            </w:p>
            <w:p w14:paraId="4659F1F2">
              <w:pPr>
                <w:pStyle w:val="19"/>
                <w:tabs>
                  <w:tab w:val="right" w:leader="dot" w:pos="9016"/>
                </w:tabs>
                <w:rPr>
                  <w:rFonts w:ascii="Arial" w:hAnsi="Arial" w:cs="Arial" w:eastAsiaTheme="minorEastAsia"/>
                  <w:sz w:val="22"/>
                  <w:lang w:eastAsia="en-GB"/>
                </w:rPr>
              </w:pPr>
              <w:r>
                <w:fldChar w:fldCharType="begin"/>
              </w:r>
              <w:r>
                <w:instrText xml:space="preserve"> HYPERLINK \l "_Toc228222261" </w:instrText>
              </w:r>
              <w:r>
                <w:fldChar w:fldCharType="separate"/>
              </w:r>
              <w:r>
                <w:rPr>
                  <w:rStyle w:val="16"/>
                  <w:rFonts w:ascii="Arial" w:hAnsi="Arial" w:cs="Arial"/>
                </w:rPr>
                <w:t>8.Balanced Scorecard</w:t>
              </w:r>
              <w:r>
                <w:rPr>
                  <w:rFonts w:ascii="Arial" w:hAnsi="Arial" w:cs="Arial"/>
                </w:rPr>
                <w:tab/>
              </w:r>
              <w:r>
                <w:rPr>
                  <w:rFonts w:ascii="Arial" w:hAnsi="Arial" w:cs="Arial"/>
                </w:rPr>
                <w:fldChar w:fldCharType="begin"/>
              </w:r>
              <w:r>
                <w:rPr>
                  <w:rFonts w:ascii="Arial" w:hAnsi="Arial" w:cs="Arial"/>
                </w:rPr>
                <w:instrText xml:space="preserve"> PAGEREF _Toc228222261 \h </w:instrText>
              </w:r>
              <w:r>
                <w:rPr>
                  <w:rFonts w:ascii="Arial" w:hAnsi="Arial" w:cs="Arial"/>
                </w:rPr>
                <w:fldChar w:fldCharType="separate"/>
              </w:r>
              <w:r>
                <w:rPr>
                  <w:rFonts w:ascii="Arial" w:hAnsi="Arial" w:cs="Arial"/>
                </w:rPr>
                <w:t>12</w:t>
              </w:r>
              <w:r>
                <w:rPr>
                  <w:rFonts w:ascii="Arial" w:hAnsi="Arial" w:cs="Arial"/>
                </w:rPr>
                <w:fldChar w:fldCharType="end"/>
              </w:r>
              <w:r>
                <w:rPr>
                  <w:rFonts w:ascii="Arial" w:hAnsi="Arial" w:cs="Arial"/>
                </w:rPr>
                <w:fldChar w:fldCharType="end"/>
              </w:r>
            </w:p>
            <w:p w14:paraId="03A3BAE8">
              <w:pPr>
                <w:pStyle w:val="19"/>
                <w:tabs>
                  <w:tab w:val="right" w:leader="dot" w:pos="9016"/>
                </w:tabs>
                <w:rPr>
                  <w:rFonts w:ascii="Arial" w:hAnsi="Arial" w:cs="Arial" w:eastAsiaTheme="minorEastAsia"/>
                  <w:sz w:val="22"/>
                  <w:lang w:eastAsia="en-GB"/>
                </w:rPr>
              </w:pPr>
              <w:r>
                <w:fldChar w:fldCharType="begin"/>
              </w:r>
              <w:r>
                <w:instrText xml:space="preserve"> HYPERLINK \l "_Toc228222262" </w:instrText>
              </w:r>
              <w:r>
                <w:fldChar w:fldCharType="separate"/>
              </w:r>
              <w:r>
                <w:rPr>
                  <w:rStyle w:val="16"/>
                  <w:rFonts w:ascii="Arial" w:hAnsi="Arial" w:cs="Arial"/>
                </w:rPr>
                <w:t>9. Competitive Advantage Sustenance Strategies.</w:t>
              </w:r>
              <w:r>
                <w:rPr>
                  <w:rFonts w:ascii="Arial" w:hAnsi="Arial" w:cs="Arial"/>
                </w:rPr>
                <w:tab/>
              </w:r>
              <w:r>
                <w:rPr>
                  <w:rFonts w:ascii="Arial" w:hAnsi="Arial" w:cs="Arial"/>
                </w:rPr>
                <w:fldChar w:fldCharType="begin"/>
              </w:r>
              <w:r>
                <w:rPr>
                  <w:rFonts w:ascii="Arial" w:hAnsi="Arial" w:cs="Arial"/>
                </w:rPr>
                <w:instrText xml:space="preserve"> PAGEREF _Toc228222262 \h </w:instrText>
              </w:r>
              <w:r>
                <w:rPr>
                  <w:rFonts w:ascii="Arial" w:hAnsi="Arial" w:cs="Arial"/>
                </w:rPr>
                <w:fldChar w:fldCharType="separate"/>
              </w:r>
              <w:r>
                <w:rPr>
                  <w:rFonts w:ascii="Arial" w:hAnsi="Arial" w:cs="Arial"/>
                </w:rPr>
                <w:t>13</w:t>
              </w:r>
              <w:r>
                <w:rPr>
                  <w:rFonts w:ascii="Arial" w:hAnsi="Arial" w:cs="Arial"/>
                </w:rPr>
                <w:fldChar w:fldCharType="end"/>
              </w:r>
              <w:r>
                <w:rPr>
                  <w:rFonts w:ascii="Arial" w:hAnsi="Arial" w:cs="Arial"/>
                </w:rPr>
                <w:fldChar w:fldCharType="end"/>
              </w:r>
            </w:p>
            <w:p w14:paraId="3B460AE2">
              <w:pPr>
                <w:pStyle w:val="19"/>
                <w:tabs>
                  <w:tab w:val="right" w:leader="dot" w:pos="9016"/>
                </w:tabs>
                <w:rPr>
                  <w:rFonts w:ascii="Arial" w:hAnsi="Arial" w:cs="Arial" w:eastAsiaTheme="minorEastAsia"/>
                  <w:sz w:val="22"/>
                  <w:lang w:eastAsia="en-GB"/>
                </w:rPr>
              </w:pPr>
              <w:r>
                <w:fldChar w:fldCharType="begin"/>
              </w:r>
              <w:r>
                <w:instrText xml:space="preserve"> HYPERLINK \l "_Toc228222263" </w:instrText>
              </w:r>
              <w:r>
                <w:fldChar w:fldCharType="separate"/>
              </w:r>
              <w:r>
                <w:rPr>
                  <w:rStyle w:val="16"/>
                  <w:rFonts w:ascii="Arial" w:hAnsi="Arial" w:cs="Arial"/>
                </w:rPr>
                <w:t>10. Growth Strategies</w:t>
              </w:r>
              <w:r>
                <w:rPr>
                  <w:rFonts w:ascii="Arial" w:hAnsi="Arial" w:cs="Arial"/>
                </w:rPr>
                <w:tab/>
              </w:r>
              <w:r>
                <w:rPr>
                  <w:rFonts w:ascii="Arial" w:hAnsi="Arial" w:cs="Arial"/>
                </w:rPr>
                <w:fldChar w:fldCharType="begin"/>
              </w:r>
              <w:r>
                <w:rPr>
                  <w:rFonts w:ascii="Arial" w:hAnsi="Arial" w:cs="Arial"/>
                </w:rPr>
                <w:instrText xml:space="preserve"> PAGEREF _Toc228222263 \h </w:instrText>
              </w:r>
              <w:r>
                <w:rPr>
                  <w:rFonts w:ascii="Arial" w:hAnsi="Arial" w:cs="Arial"/>
                </w:rPr>
                <w:fldChar w:fldCharType="separate"/>
              </w:r>
              <w:r>
                <w:rPr>
                  <w:rFonts w:ascii="Arial" w:hAnsi="Arial" w:cs="Arial"/>
                </w:rPr>
                <w:t>15</w:t>
              </w:r>
              <w:r>
                <w:rPr>
                  <w:rFonts w:ascii="Arial" w:hAnsi="Arial" w:cs="Arial"/>
                </w:rPr>
                <w:fldChar w:fldCharType="end"/>
              </w:r>
              <w:r>
                <w:rPr>
                  <w:rFonts w:ascii="Arial" w:hAnsi="Arial" w:cs="Arial"/>
                </w:rPr>
                <w:fldChar w:fldCharType="end"/>
              </w:r>
            </w:p>
            <w:p w14:paraId="091C4736">
              <w:pPr>
                <w:pStyle w:val="19"/>
                <w:tabs>
                  <w:tab w:val="right" w:leader="dot" w:pos="9016"/>
                </w:tabs>
                <w:rPr>
                  <w:rFonts w:ascii="Arial" w:hAnsi="Arial" w:cs="Arial" w:eastAsiaTheme="minorEastAsia"/>
                  <w:sz w:val="22"/>
                  <w:lang w:eastAsia="en-GB"/>
                </w:rPr>
              </w:pPr>
              <w:r>
                <w:fldChar w:fldCharType="begin"/>
              </w:r>
              <w:r>
                <w:instrText xml:space="preserve"> HYPERLINK \l "_Toc228222264" </w:instrText>
              </w:r>
              <w:r>
                <w:fldChar w:fldCharType="separate"/>
              </w:r>
              <w:r>
                <w:rPr>
                  <w:rStyle w:val="16"/>
                  <w:rFonts w:ascii="Arial" w:hAnsi="Arial" w:cs="Arial"/>
                </w:rPr>
                <w:t>11. Strategic Choices &amp; Implementation</w:t>
              </w:r>
              <w:r>
                <w:rPr>
                  <w:rFonts w:ascii="Arial" w:hAnsi="Arial" w:cs="Arial"/>
                </w:rPr>
                <w:tab/>
              </w:r>
              <w:r>
                <w:rPr>
                  <w:rFonts w:ascii="Arial" w:hAnsi="Arial" w:cs="Arial"/>
                </w:rPr>
                <w:fldChar w:fldCharType="begin"/>
              </w:r>
              <w:r>
                <w:rPr>
                  <w:rFonts w:ascii="Arial" w:hAnsi="Arial" w:cs="Arial"/>
                </w:rPr>
                <w:instrText xml:space="preserve"> PAGEREF _Toc228222264 \h </w:instrText>
              </w:r>
              <w:r>
                <w:rPr>
                  <w:rFonts w:ascii="Arial" w:hAnsi="Arial" w:cs="Arial"/>
                </w:rPr>
                <w:fldChar w:fldCharType="separate"/>
              </w:r>
              <w:r>
                <w:rPr>
                  <w:rFonts w:ascii="Arial" w:hAnsi="Arial" w:cs="Arial"/>
                </w:rPr>
                <w:t>16</w:t>
              </w:r>
              <w:r>
                <w:rPr>
                  <w:rFonts w:ascii="Arial" w:hAnsi="Arial" w:cs="Arial"/>
                </w:rPr>
                <w:fldChar w:fldCharType="end"/>
              </w:r>
              <w:r>
                <w:rPr>
                  <w:rFonts w:ascii="Arial" w:hAnsi="Arial" w:cs="Arial"/>
                </w:rPr>
                <w:fldChar w:fldCharType="end"/>
              </w:r>
            </w:p>
            <w:p w14:paraId="1CE4A48E">
              <w:pPr>
                <w:pStyle w:val="19"/>
                <w:tabs>
                  <w:tab w:val="right" w:leader="dot" w:pos="9016"/>
                </w:tabs>
                <w:rPr>
                  <w:rFonts w:ascii="Arial" w:hAnsi="Arial" w:cs="Arial" w:eastAsiaTheme="minorEastAsia"/>
                  <w:sz w:val="22"/>
                  <w:lang w:eastAsia="en-GB"/>
                </w:rPr>
              </w:pPr>
              <w:r>
                <w:fldChar w:fldCharType="begin"/>
              </w:r>
              <w:r>
                <w:instrText xml:space="preserve"> HYPERLINK \l "_Toc228222265" </w:instrText>
              </w:r>
              <w:r>
                <w:fldChar w:fldCharType="separate"/>
              </w:r>
              <w:r>
                <w:rPr>
                  <w:rStyle w:val="16"/>
                  <w:rFonts w:ascii="Arial" w:hAnsi="Arial" w:cs="Arial"/>
                </w:rPr>
                <w:t>12. Conclusion</w:t>
              </w:r>
              <w:r>
                <w:rPr>
                  <w:rFonts w:ascii="Arial" w:hAnsi="Arial" w:cs="Arial"/>
                </w:rPr>
                <w:tab/>
              </w:r>
              <w:r>
                <w:rPr>
                  <w:rFonts w:ascii="Arial" w:hAnsi="Arial" w:cs="Arial"/>
                </w:rPr>
                <w:fldChar w:fldCharType="begin"/>
              </w:r>
              <w:r>
                <w:rPr>
                  <w:rFonts w:ascii="Arial" w:hAnsi="Arial" w:cs="Arial"/>
                </w:rPr>
                <w:instrText xml:space="preserve"> PAGEREF _Toc228222265 \h </w:instrText>
              </w:r>
              <w:r>
                <w:rPr>
                  <w:rFonts w:ascii="Arial" w:hAnsi="Arial" w:cs="Arial"/>
                </w:rPr>
                <w:fldChar w:fldCharType="separate"/>
              </w:r>
              <w:r>
                <w:rPr>
                  <w:rFonts w:ascii="Arial" w:hAnsi="Arial" w:cs="Arial"/>
                </w:rPr>
                <w:t>18</w:t>
              </w:r>
              <w:r>
                <w:rPr>
                  <w:rFonts w:ascii="Arial" w:hAnsi="Arial" w:cs="Arial"/>
                </w:rPr>
                <w:fldChar w:fldCharType="end"/>
              </w:r>
              <w:r>
                <w:rPr>
                  <w:rFonts w:ascii="Arial" w:hAnsi="Arial" w:cs="Arial"/>
                </w:rPr>
                <w:fldChar w:fldCharType="end"/>
              </w:r>
            </w:p>
            <w:p w14:paraId="0A89AF6F">
              <w:pPr>
                <w:pStyle w:val="19"/>
                <w:tabs>
                  <w:tab w:val="right" w:leader="dot" w:pos="9016"/>
                </w:tabs>
                <w:rPr>
                  <w:rFonts w:ascii="Arial" w:hAnsi="Arial" w:cs="Arial" w:eastAsiaTheme="minorEastAsia"/>
                  <w:sz w:val="22"/>
                  <w:lang w:eastAsia="en-GB"/>
                </w:rPr>
              </w:pPr>
              <w:r>
                <w:fldChar w:fldCharType="begin"/>
              </w:r>
              <w:r>
                <w:instrText xml:space="preserve"> HYPERLINK \l "_Toc228222266" </w:instrText>
              </w:r>
              <w:r>
                <w:fldChar w:fldCharType="separate"/>
              </w:r>
              <w:r>
                <w:rPr>
                  <w:rStyle w:val="16"/>
                  <w:rFonts w:ascii="Arial" w:hAnsi="Arial" w:cs="Arial"/>
                </w:rPr>
                <w:t>13. Recommendations</w:t>
              </w:r>
              <w:r>
                <w:rPr>
                  <w:rFonts w:ascii="Arial" w:hAnsi="Arial" w:cs="Arial"/>
                </w:rPr>
                <w:tab/>
              </w:r>
              <w:r>
                <w:rPr>
                  <w:rFonts w:ascii="Arial" w:hAnsi="Arial" w:cs="Arial"/>
                </w:rPr>
                <w:fldChar w:fldCharType="begin"/>
              </w:r>
              <w:r>
                <w:rPr>
                  <w:rFonts w:ascii="Arial" w:hAnsi="Arial" w:cs="Arial"/>
                </w:rPr>
                <w:instrText xml:space="preserve"> PAGEREF _Toc228222266 \h </w:instrText>
              </w:r>
              <w:r>
                <w:rPr>
                  <w:rFonts w:ascii="Arial" w:hAnsi="Arial" w:cs="Arial"/>
                </w:rPr>
                <w:fldChar w:fldCharType="separate"/>
              </w:r>
              <w:r>
                <w:rPr>
                  <w:rFonts w:ascii="Arial" w:hAnsi="Arial" w:cs="Arial"/>
                </w:rPr>
                <w:t>18</w:t>
              </w:r>
              <w:r>
                <w:rPr>
                  <w:rFonts w:ascii="Arial" w:hAnsi="Arial" w:cs="Arial"/>
                </w:rPr>
                <w:fldChar w:fldCharType="end"/>
              </w:r>
              <w:r>
                <w:rPr>
                  <w:rFonts w:ascii="Arial" w:hAnsi="Arial" w:cs="Arial"/>
                </w:rPr>
                <w:fldChar w:fldCharType="end"/>
              </w:r>
            </w:p>
            <w:p w14:paraId="5F1BF29D">
              <w:pPr>
                <w:pStyle w:val="19"/>
                <w:tabs>
                  <w:tab w:val="right" w:leader="dot" w:pos="9016"/>
                </w:tabs>
                <w:rPr>
                  <w:rFonts w:ascii="Arial" w:hAnsi="Arial" w:cs="Arial" w:eastAsiaTheme="minorEastAsia"/>
                  <w:sz w:val="22"/>
                  <w:lang w:eastAsia="en-GB"/>
                </w:rPr>
              </w:pPr>
              <w:r>
                <w:fldChar w:fldCharType="begin"/>
              </w:r>
              <w:r>
                <w:instrText xml:space="preserve"> HYPERLINK \l "_Toc228222267" </w:instrText>
              </w:r>
              <w:r>
                <w:fldChar w:fldCharType="separate"/>
              </w:r>
              <w:r>
                <w:rPr>
                  <w:rStyle w:val="16"/>
                  <w:rFonts w:ascii="Arial" w:hAnsi="Arial" w:cs="Arial"/>
                </w:rPr>
                <w:t>Section 2</w:t>
              </w:r>
              <w:r>
                <w:rPr>
                  <w:rFonts w:ascii="Arial" w:hAnsi="Arial" w:cs="Arial"/>
                </w:rPr>
                <w:tab/>
              </w:r>
              <w:r>
                <w:rPr>
                  <w:rFonts w:ascii="Arial" w:hAnsi="Arial" w:cs="Arial"/>
                </w:rPr>
                <w:fldChar w:fldCharType="begin"/>
              </w:r>
              <w:r>
                <w:rPr>
                  <w:rFonts w:ascii="Arial" w:hAnsi="Arial" w:cs="Arial"/>
                </w:rPr>
                <w:instrText xml:space="preserve"> PAGEREF _Toc228222267 \h </w:instrText>
              </w:r>
              <w:r>
                <w:rPr>
                  <w:rFonts w:ascii="Arial" w:hAnsi="Arial" w:cs="Arial"/>
                </w:rPr>
                <w:fldChar w:fldCharType="separate"/>
              </w:r>
              <w:r>
                <w:rPr>
                  <w:rFonts w:ascii="Arial" w:hAnsi="Arial" w:cs="Arial"/>
                </w:rPr>
                <w:t>20</w:t>
              </w:r>
              <w:r>
                <w:rPr>
                  <w:rFonts w:ascii="Arial" w:hAnsi="Arial" w:cs="Arial"/>
                </w:rPr>
                <w:fldChar w:fldCharType="end"/>
              </w:r>
              <w:r>
                <w:rPr>
                  <w:rFonts w:ascii="Arial" w:hAnsi="Arial" w:cs="Arial"/>
                </w:rPr>
                <w:fldChar w:fldCharType="end"/>
              </w:r>
            </w:p>
            <w:p w14:paraId="4E376134">
              <w:pPr>
                <w:pStyle w:val="20"/>
                <w:rPr>
                  <w:rFonts w:eastAsiaTheme="minorEastAsia"/>
                  <w:sz w:val="22"/>
                  <w:lang w:eastAsia="en-GB"/>
                </w:rPr>
              </w:pPr>
              <w:r>
                <w:fldChar w:fldCharType="begin"/>
              </w:r>
              <w:r>
                <w:instrText xml:space="preserve"> HYPERLINK \l "_Toc228222268" </w:instrText>
              </w:r>
              <w:r>
                <w:fldChar w:fldCharType="separate"/>
              </w:r>
              <w:r>
                <w:rPr>
                  <w:rStyle w:val="16"/>
                </w:rPr>
                <w:t>Reflective Account (Gibbs Cycle)</w:t>
              </w:r>
              <w:r>
                <w:tab/>
              </w:r>
              <w:r>
                <w:fldChar w:fldCharType="begin"/>
              </w:r>
              <w:r>
                <w:instrText xml:space="preserve"> PAGEREF _Toc228222268 \h </w:instrText>
              </w:r>
              <w:r>
                <w:fldChar w:fldCharType="separate"/>
              </w:r>
              <w:r>
                <w:t>20</w:t>
              </w:r>
              <w:r>
                <w:fldChar w:fldCharType="end"/>
              </w:r>
              <w:r>
                <w:fldChar w:fldCharType="end"/>
              </w:r>
            </w:p>
            <w:p w14:paraId="3D98DE82">
              <w:pPr>
                <w:pStyle w:val="20"/>
                <w:rPr>
                  <w:rFonts w:eastAsiaTheme="minorEastAsia"/>
                  <w:sz w:val="22"/>
                  <w:lang w:eastAsia="en-GB"/>
                </w:rPr>
              </w:pPr>
              <w:r>
                <w:fldChar w:fldCharType="begin"/>
              </w:r>
              <w:r>
                <w:instrText xml:space="preserve"> HYPERLINK \l "_Toc228222269" </w:instrText>
              </w:r>
              <w:r>
                <w:fldChar w:fldCharType="separate"/>
              </w:r>
              <w:r>
                <w:rPr>
                  <w:rStyle w:val="16"/>
                </w:rPr>
                <w:t>1. Description</w:t>
              </w:r>
              <w:r>
                <w:tab/>
              </w:r>
              <w:r>
                <w:fldChar w:fldCharType="begin"/>
              </w:r>
              <w:r>
                <w:instrText xml:space="preserve"> PAGEREF _Toc228222269 \h </w:instrText>
              </w:r>
              <w:r>
                <w:fldChar w:fldCharType="separate"/>
              </w:r>
              <w:r>
                <w:t>20</w:t>
              </w:r>
              <w:r>
                <w:fldChar w:fldCharType="end"/>
              </w:r>
              <w:r>
                <w:fldChar w:fldCharType="end"/>
              </w:r>
            </w:p>
            <w:p w14:paraId="2C9CFA2B">
              <w:pPr>
                <w:pStyle w:val="20"/>
                <w:rPr>
                  <w:rFonts w:eastAsiaTheme="minorEastAsia"/>
                  <w:sz w:val="22"/>
                  <w:lang w:eastAsia="en-GB"/>
                </w:rPr>
              </w:pPr>
              <w:r>
                <w:fldChar w:fldCharType="begin"/>
              </w:r>
              <w:r>
                <w:instrText xml:space="preserve"> HYPERLINK \l "_Toc228222270" </w:instrText>
              </w:r>
              <w:r>
                <w:fldChar w:fldCharType="separate"/>
              </w:r>
              <w:r>
                <w:rPr>
                  <w:rStyle w:val="16"/>
                </w:rPr>
                <w:t>2. Feelings</w:t>
              </w:r>
              <w:r>
                <w:tab/>
              </w:r>
              <w:r>
                <w:fldChar w:fldCharType="begin"/>
              </w:r>
              <w:r>
                <w:instrText xml:space="preserve"> PAGEREF _Toc228222270 \h </w:instrText>
              </w:r>
              <w:r>
                <w:fldChar w:fldCharType="separate"/>
              </w:r>
              <w:r>
                <w:t>21</w:t>
              </w:r>
              <w:r>
                <w:fldChar w:fldCharType="end"/>
              </w:r>
              <w:r>
                <w:fldChar w:fldCharType="end"/>
              </w:r>
            </w:p>
            <w:p w14:paraId="1D360E67">
              <w:pPr>
                <w:pStyle w:val="20"/>
                <w:rPr>
                  <w:rFonts w:eastAsiaTheme="minorEastAsia"/>
                  <w:sz w:val="22"/>
                  <w:lang w:eastAsia="en-GB"/>
                </w:rPr>
              </w:pPr>
              <w:r>
                <w:fldChar w:fldCharType="begin"/>
              </w:r>
              <w:r>
                <w:instrText xml:space="preserve"> HYPERLINK \l "_Toc228222271" </w:instrText>
              </w:r>
              <w:r>
                <w:fldChar w:fldCharType="separate"/>
              </w:r>
              <w:r>
                <w:rPr>
                  <w:rStyle w:val="16"/>
                </w:rPr>
                <w:t>3. Evaluation</w:t>
              </w:r>
              <w:r>
                <w:tab/>
              </w:r>
              <w:r>
                <w:fldChar w:fldCharType="begin"/>
              </w:r>
              <w:r>
                <w:instrText xml:space="preserve"> PAGEREF _Toc228222271 \h </w:instrText>
              </w:r>
              <w:r>
                <w:fldChar w:fldCharType="separate"/>
              </w:r>
              <w:r>
                <w:t>21</w:t>
              </w:r>
              <w:r>
                <w:fldChar w:fldCharType="end"/>
              </w:r>
              <w:r>
                <w:fldChar w:fldCharType="end"/>
              </w:r>
            </w:p>
            <w:p w14:paraId="3DD34389">
              <w:pPr>
                <w:pStyle w:val="20"/>
                <w:rPr>
                  <w:rFonts w:eastAsiaTheme="minorEastAsia"/>
                  <w:sz w:val="22"/>
                  <w:lang w:eastAsia="en-GB"/>
                </w:rPr>
              </w:pPr>
              <w:r>
                <w:fldChar w:fldCharType="begin"/>
              </w:r>
              <w:r>
                <w:instrText xml:space="preserve"> HYPERLINK \l "_Toc228222272" </w:instrText>
              </w:r>
              <w:r>
                <w:fldChar w:fldCharType="separate"/>
              </w:r>
              <w:r>
                <w:rPr>
                  <w:rStyle w:val="16"/>
                </w:rPr>
                <w:t>4. Analysis</w:t>
              </w:r>
              <w:r>
                <w:tab/>
              </w:r>
              <w:r>
                <w:fldChar w:fldCharType="begin"/>
              </w:r>
              <w:r>
                <w:instrText xml:space="preserve"> PAGEREF _Toc228222272 \h </w:instrText>
              </w:r>
              <w:r>
                <w:fldChar w:fldCharType="separate"/>
              </w:r>
              <w:r>
                <w:t>22</w:t>
              </w:r>
              <w:r>
                <w:fldChar w:fldCharType="end"/>
              </w:r>
              <w:r>
                <w:fldChar w:fldCharType="end"/>
              </w:r>
            </w:p>
            <w:p w14:paraId="6CD2A87F">
              <w:pPr>
                <w:pStyle w:val="20"/>
                <w:rPr>
                  <w:rFonts w:eastAsiaTheme="minorEastAsia"/>
                  <w:sz w:val="22"/>
                  <w:lang w:eastAsia="en-GB"/>
                </w:rPr>
              </w:pPr>
              <w:r>
                <w:fldChar w:fldCharType="begin"/>
              </w:r>
              <w:r>
                <w:instrText xml:space="preserve"> HYPERLINK \l "_Toc228222273" </w:instrText>
              </w:r>
              <w:r>
                <w:fldChar w:fldCharType="separate"/>
              </w:r>
              <w:r>
                <w:rPr>
                  <w:rStyle w:val="16"/>
                </w:rPr>
                <w:t>5. Conclusion</w:t>
              </w:r>
              <w:r>
                <w:tab/>
              </w:r>
              <w:r>
                <w:fldChar w:fldCharType="begin"/>
              </w:r>
              <w:r>
                <w:instrText xml:space="preserve"> PAGEREF _Toc228222273 \h </w:instrText>
              </w:r>
              <w:r>
                <w:fldChar w:fldCharType="separate"/>
              </w:r>
              <w:r>
                <w:t>22</w:t>
              </w:r>
              <w:r>
                <w:fldChar w:fldCharType="end"/>
              </w:r>
              <w:r>
                <w:fldChar w:fldCharType="end"/>
              </w:r>
            </w:p>
            <w:p w14:paraId="68970626">
              <w:pPr>
                <w:pStyle w:val="20"/>
                <w:rPr>
                  <w:rFonts w:eastAsiaTheme="minorEastAsia"/>
                  <w:sz w:val="22"/>
                  <w:lang w:eastAsia="en-GB"/>
                </w:rPr>
              </w:pPr>
              <w:r>
                <w:fldChar w:fldCharType="begin"/>
              </w:r>
              <w:r>
                <w:instrText xml:space="preserve"> HYPERLINK \l "_Toc228222274" </w:instrText>
              </w:r>
              <w:r>
                <w:fldChar w:fldCharType="separate"/>
              </w:r>
              <w:r>
                <w:rPr>
                  <w:rStyle w:val="16"/>
                </w:rPr>
                <w:t>6. Action Plan</w:t>
              </w:r>
              <w:r>
                <w:tab/>
              </w:r>
              <w:r>
                <w:fldChar w:fldCharType="begin"/>
              </w:r>
              <w:r>
                <w:instrText xml:space="preserve"> PAGEREF _Toc228222274 \h </w:instrText>
              </w:r>
              <w:r>
                <w:fldChar w:fldCharType="separate"/>
              </w:r>
              <w:r>
                <w:t>23</w:t>
              </w:r>
              <w:r>
                <w:fldChar w:fldCharType="end"/>
              </w:r>
              <w:r>
                <w:fldChar w:fldCharType="end"/>
              </w:r>
            </w:p>
            <w:p w14:paraId="04D3BCF2">
              <w:pPr>
                <w:pStyle w:val="19"/>
                <w:tabs>
                  <w:tab w:val="right" w:leader="dot" w:pos="9016"/>
                </w:tabs>
                <w:rPr>
                  <w:rFonts w:ascii="Arial" w:hAnsi="Arial" w:cs="Arial" w:eastAsiaTheme="minorEastAsia"/>
                  <w:sz w:val="22"/>
                  <w:lang w:eastAsia="en-GB"/>
                </w:rPr>
              </w:pPr>
              <w:r>
                <w:fldChar w:fldCharType="begin"/>
              </w:r>
              <w:r>
                <w:instrText xml:space="preserve"> HYPERLINK \l "_Toc228222275" </w:instrText>
              </w:r>
              <w:r>
                <w:fldChar w:fldCharType="separate"/>
              </w:r>
              <w:r>
                <w:rPr>
                  <w:rStyle w:val="16"/>
                  <w:rFonts w:ascii="Arial" w:hAnsi="Arial" w:eastAsia="Times New Roman" w:cs="Arial"/>
                  <w:b/>
                  <w:bCs/>
                  <w:kern w:val="36"/>
                  <w:lang w:eastAsia="en-GB"/>
                </w:rPr>
                <w:t>14. References</w:t>
              </w:r>
              <w:r>
                <w:rPr>
                  <w:rFonts w:ascii="Arial" w:hAnsi="Arial" w:cs="Arial"/>
                </w:rPr>
                <w:tab/>
              </w:r>
              <w:r>
                <w:rPr>
                  <w:rFonts w:ascii="Arial" w:hAnsi="Arial" w:cs="Arial"/>
                </w:rPr>
                <w:fldChar w:fldCharType="begin"/>
              </w:r>
              <w:r>
                <w:rPr>
                  <w:rFonts w:ascii="Arial" w:hAnsi="Arial" w:cs="Arial"/>
                </w:rPr>
                <w:instrText xml:space="preserve"> PAGEREF _Toc228222275 \h </w:instrText>
              </w:r>
              <w:r>
                <w:rPr>
                  <w:rFonts w:ascii="Arial" w:hAnsi="Arial" w:cs="Arial"/>
                </w:rPr>
                <w:fldChar w:fldCharType="separate"/>
              </w:r>
              <w:r>
                <w:rPr>
                  <w:rFonts w:ascii="Arial" w:hAnsi="Arial" w:cs="Arial"/>
                </w:rPr>
                <w:t>24</w:t>
              </w:r>
              <w:r>
                <w:rPr>
                  <w:rFonts w:ascii="Arial" w:hAnsi="Arial" w:cs="Arial"/>
                </w:rPr>
                <w:fldChar w:fldCharType="end"/>
              </w:r>
              <w:r>
                <w:rPr>
                  <w:rFonts w:ascii="Arial" w:hAnsi="Arial" w:cs="Arial"/>
                </w:rPr>
                <w:fldChar w:fldCharType="end"/>
              </w:r>
            </w:p>
            <w:p w14:paraId="4A043AEC">
              <w:pPr>
                <w:pStyle w:val="19"/>
                <w:tabs>
                  <w:tab w:val="right" w:leader="dot" w:pos="9016"/>
                </w:tabs>
                <w:rPr>
                  <w:rFonts w:ascii="Arial" w:hAnsi="Arial" w:cs="Arial" w:eastAsiaTheme="minorEastAsia"/>
                  <w:sz w:val="22"/>
                  <w:lang w:eastAsia="en-GB"/>
                </w:rPr>
              </w:pPr>
              <w:r>
                <w:fldChar w:fldCharType="begin"/>
              </w:r>
              <w:r>
                <w:instrText xml:space="preserve"> HYPERLINK \l "_Toc228222276" </w:instrText>
              </w:r>
              <w:r>
                <w:fldChar w:fldCharType="separate"/>
              </w:r>
              <w:r>
                <w:rPr>
                  <w:rStyle w:val="16"/>
                  <w:rFonts w:ascii="Arial" w:hAnsi="Arial" w:eastAsia="Times New Roman" w:cs="Arial"/>
                  <w:b/>
                  <w:bCs/>
                  <w:lang w:eastAsia="ja-JP"/>
                </w:rPr>
                <w:t>15. Appendix</w:t>
              </w:r>
              <w:r>
                <w:rPr>
                  <w:rFonts w:ascii="Arial" w:hAnsi="Arial" w:cs="Arial"/>
                </w:rPr>
                <w:tab/>
              </w:r>
              <w:r>
                <w:rPr>
                  <w:rFonts w:ascii="Arial" w:hAnsi="Arial" w:cs="Arial"/>
                </w:rPr>
                <w:fldChar w:fldCharType="begin"/>
              </w:r>
              <w:r>
                <w:rPr>
                  <w:rFonts w:ascii="Arial" w:hAnsi="Arial" w:cs="Arial"/>
                </w:rPr>
                <w:instrText xml:space="preserve"> PAGEREF _Toc228222276 \h </w:instrText>
              </w:r>
              <w:r>
                <w:rPr>
                  <w:rFonts w:ascii="Arial" w:hAnsi="Arial" w:cs="Arial"/>
                </w:rPr>
                <w:fldChar w:fldCharType="separate"/>
              </w:r>
              <w:r>
                <w:rPr>
                  <w:rFonts w:ascii="Arial" w:hAnsi="Arial" w:cs="Arial"/>
                </w:rPr>
                <w:t>26</w:t>
              </w:r>
              <w:r>
                <w:rPr>
                  <w:rFonts w:ascii="Arial" w:hAnsi="Arial" w:cs="Arial"/>
                </w:rPr>
                <w:fldChar w:fldCharType="end"/>
              </w:r>
              <w:r>
                <w:rPr>
                  <w:rFonts w:ascii="Arial" w:hAnsi="Arial" w:cs="Arial"/>
                </w:rPr>
                <w:fldChar w:fldCharType="end"/>
              </w:r>
            </w:p>
            <w:p w14:paraId="1F55539E">
              <w:pPr>
                <w:pStyle w:val="20"/>
                <w:rPr>
                  <w:rFonts w:eastAsiaTheme="minorEastAsia"/>
                  <w:sz w:val="22"/>
                  <w:lang w:eastAsia="en-GB"/>
                </w:rPr>
              </w:pPr>
              <w:r>
                <w:fldChar w:fldCharType="begin"/>
              </w:r>
              <w:r>
                <w:instrText xml:space="preserve"> HYPERLINK \l "_Toc228222277" </w:instrText>
              </w:r>
              <w:r>
                <w:fldChar w:fldCharType="separate"/>
              </w:r>
              <w:r>
                <w:rPr>
                  <w:rStyle w:val="16"/>
                  <w:rFonts w:eastAsia="Times New Roman"/>
                  <w:b/>
                  <w:lang w:eastAsia="ja-JP"/>
                </w:rPr>
                <w:t>Appendix 1: Suggested Strategic Analysis Table (PESTEL Summary)</w:t>
              </w:r>
              <w:r>
                <w:tab/>
              </w:r>
              <w:r>
                <w:fldChar w:fldCharType="begin"/>
              </w:r>
              <w:r>
                <w:instrText xml:space="preserve"> PAGEREF _Toc228222277 \h </w:instrText>
              </w:r>
              <w:r>
                <w:fldChar w:fldCharType="separate"/>
              </w:r>
              <w:r>
                <w:t>26</w:t>
              </w:r>
              <w:r>
                <w:fldChar w:fldCharType="end"/>
              </w:r>
              <w:r>
                <w:fldChar w:fldCharType="end"/>
              </w:r>
            </w:p>
            <w:p w14:paraId="27758CBF">
              <w:pPr>
                <w:pStyle w:val="20"/>
                <w:rPr>
                  <w:rFonts w:eastAsiaTheme="minorEastAsia"/>
                  <w:sz w:val="22"/>
                  <w:lang w:eastAsia="en-GB"/>
                </w:rPr>
              </w:pPr>
              <w:r>
                <w:fldChar w:fldCharType="begin"/>
              </w:r>
              <w:r>
                <w:instrText xml:space="preserve"> HYPERLINK \l "_Toc228222278" </w:instrText>
              </w:r>
              <w:r>
                <w:fldChar w:fldCharType="separate"/>
              </w:r>
              <w:r>
                <w:rPr>
                  <w:rStyle w:val="16"/>
                  <w:rFonts w:eastAsia="Times New Roman"/>
                  <w:b/>
                  <w:lang w:eastAsia="ja-JP"/>
                </w:rPr>
                <w:t>Appendix 2: Porter’s Five Forces Summary</w:t>
              </w:r>
              <w:r>
                <w:tab/>
              </w:r>
              <w:r>
                <w:fldChar w:fldCharType="begin"/>
              </w:r>
              <w:r>
                <w:instrText xml:space="preserve"> PAGEREF _Toc228222278 \h </w:instrText>
              </w:r>
              <w:r>
                <w:fldChar w:fldCharType="separate"/>
              </w:r>
              <w:r>
                <w:t>26</w:t>
              </w:r>
              <w:r>
                <w:fldChar w:fldCharType="end"/>
              </w:r>
              <w:r>
                <w:fldChar w:fldCharType="end"/>
              </w:r>
            </w:p>
            <w:p w14:paraId="63A545A4">
              <w:pPr>
                <w:pStyle w:val="20"/>
                <w:rPr>
                  <w:rFonts w:eastAsiaTheme="minorEastAsia"/>
                  <w:sz w:val="22"/>
                  <w:lang w:eastAsia="en-GB"/>
                </w:rPr>
              </w:pPr>
              <w:r>
                <w:fldChar w:fldCharType="begin"/>
              </w:r>
              <w:r>
                <w:instrText xml:space="preserve"> HYPERLINK \l "_Toc228222279" </w:instrText>
              </w:r>
              <w:r>
                <w:fldChar w:fldCharType="separate"/>
              </w:r>
              <w:r>
                <w:rPr>
                  <w:rStyle w:val="16"/>
                  <w:rFonts w:eastAsia="Times New Roman"/>
                  <w:b/>
                  <w:lang w:eastAsia="ja-JP"/>
                </w:rPr>
                <w:t>Appendix 3: SWOT Summary Table</w:t>
              </w:r>
              <w:r>
                <w:tab/>
              </w:r>
              <w:r>
                <w:fldChar w:fldCharType="begin"/>
              </w:r>
              <w:r>
                <w:instrText xml:space="preserve"> PAGEREF _Toc228222279 \h </w:instrText>
              </w:r>
              <w:r>
                <w:fldChar w:fldCharType="separate"/>
              </w:r>
              <w:r>
                <w:t>27</w:t>
              </w:r>
              <w:r>
                <w:fldChar w:fldCharType="end"/>
              </w:r>
              <w:r>
                <w:fldChar w:fldCharType="end"/>
              </w:r>
            </w:p>
            <w:p w14:paraId="1A711368">
              <w:pPr>
                <w:jc w:val="both"/>
                <w:rPr>
                  <w:rFonts w:ascii="Arial" w:hAnsi="Arial" w:cs="Arial"/>
                </w:rPr>
              </w:pPr>
              <w:r>
                <w:rPr>
                  <w:rFonts w:ascii="Arial" w:hAnsi="Arial" w:cs="Arial"/>
                </w:rPr>
                <w:fldChar w:fldCharType="end"/>
              </w:r>
            </w:p>
            <w:p w14:paraId="6C7B7FB5">
              <w:pPr>
                <w:rPr>
                  <w:rFonts w:ascii="Arial" w:hAnsi="Arial" w:cs="Arial"/>
                </w:rPr>
              </w:pPr>
              <w:r>
                <w:rPr>
                  <w:rFonts w:ascii="Arial" w:hAnsi="Arial" w:cs="Arial"/>
                </w:rPr>
                <w:t xml:space="preserve"> </w:t>
              </w:r>
            </w:p>
          </w:sdtContent>
        </w:sdt>
        <w:p w14:paraId="508F2385">
          <w:pPr>
            <w:jc w:val="center"/>
            <w:rPr>
              <w:rFonts w:ascii="Arial" w:hAnsi="Arial" w:cs="Arial"/>
              <w:b/>
              <w:sz w:val="28"/>
            </w:rPr>
          </w:pPr>
          <w:r>
            <w:rPr>
              <w:rFonts w:ascii="Arial" w:hAnsi="Arial" w:cs="Arial"/>
              <w:b/>
              <w:sz w:val="28"/>
            </w:rPr>
            <w:t>List of Figure</w:t>
          </w:r>
        </w:p>
        <w:p w14:paraId="58A8CDF3">
          <w:pPr>
            <w:pStyle w:val="18"/>
            <w:tabs>
              <w:tab w:val="right" w:leader="dot" w:pos="9016"/>
            </w:tabs>
            <w:rPr>
              <w:rFonts w:ascii="Arial" w:hAnsi="Arial" w:cs="Arial" w:eastAsiaTheme="minorEastAsia"/>
              <w:sz w:val="22"/>
              <w:lang w:eastAsia="en-GB"/>
            </w:rPr>
          </w:pPr>
          <w:r>
            <w:rPr>
              <w:rFonts w:ascii="Arial" w:hAnsi="Arial" w:cs="Arial" w:eastAsiaTheme="majorEastAsia"/>
              <w:b/>
              <w:bCs/>
              <w:color w:val="17375E" w:themeColor="text2" w:themeShade="BF"/>
              <w:szCs w:val="24"/>
              <w:lang w:eastAsia="ja-JP"/>
            </w:rPr>
            <w:fldChar w:fldCharType="begin"/>
          </w:r>
          <w:r>
            <w:rPr>
              <w:rFonts w:ascii="Arial" w:hAnsi="Arial" w:cs="Arial" w:eastAsiaTheme="majorEastAsia"/>
              <w:b/>
              <w:bCs/>
              <w:color w:val="17375E" w:themeColor="text2" w:themeShade="BF"/>
              <w:szCs w:val="24"/>
              <w:lang w:eastAsia="ja-JP"/>
            </w:rPr>
            <w:instrText xml:space="preserve"> TOC \h \z \c "Figure" </w:instrText>
          </w:r>
          <w:r>
            <w:rPr>
              <w:rFonts w:ascii="Arial" w:hAnsi="Arial" w:cs="Arial" w:eastAsiaTheme="majorEastAsia"/>
              <w:b/>
              <w:bCs/>
              <w:color w:val="17375E" w:themeColor="text2" w:themeShade="BF"/>
              <w:szCs w:val="24"/>
              <w:lang w:eastAsia="ja-JP"/>
            </w:rPr>
            <w:fldChar w:fldCharType="separate"/>
          </w:r>
          <w:r>
            <w:fldChar w:fldCharType="begin"/>
          </w:r>
          <w:r>
            <w:instrText xml:space="preserve"> HYPERLINK \l "_Toc228222448" </w:instrText>
          </w:r>
          <w:r>
            <w:fldChar w:fldCharType="separate"/>
          </w:r>
          <w:r>
            <w:rPr>
              <w:rStyle w:val="16"/>
              <w:rFonts w:ascii="Arial" w:hAnsi="Arial" w:cs="Arial"/>
            </w:rPr>
            <w:t>Figure 1. Company Background of Alibaba Group. Adapted from Alibaba Group Annual Reports (2024–2025) &amp; Corporate History Sources</w:t>
          </w:r>
          <w:r>
            <w:rPr>
              <w:rFonts w:ascii="Arial" w:hAnsi="Arial" w:cs="Arial"/>
            </w:rPr>
            <w:tab/>
          </w:r>
          <w:r>
            <w:rPr>
              <w:rFonts w:ascii="Arial" w:hAnsi="Arial" w:cs="Arial"/>
            </w:rPr>
            <w:fldChar w:fldCharType="begin"/>
          </w:r>
          <w:r>
            <w:rPr>
              <w:rFonts w:ascii="Arial" w:hAnsi="Arial" w:cs="Arial"/>
            </w:rPr>
            <w:instrText xml:space="preserve"> PAGEREF _Toc228222448 \h </w:instrText>
          </w:r>
          <w:r>
            <w:rPr>
              <w:rFonts w:ascii="Arial" w:hAnsi="Arial" w:cs="Arial"/>
            </w:rPr>
            <w:fldChar w:fldCharType="separate"/>
          </w:r>
          <w:r>
            <w:rPr>
              <w:rFonts w:ascii="Arial" w:hAnsi="Arial" w:cs="Arial"/>
            </w:rPr>
            <w:t>2</w:t>
          </w:r>
          <w:r>
            <w:rPr>
              <w:rFonts w:ascii="Arial" w:hAnsi="Arial" w:cs="Arial"/>
            </w:rPr>
            <w:fldChar w:fldCharType="end"/>
          </w:r>
          <w:r>
            <w:rPr>
              <w:rFonts w:ascii="Arial" w:hAnsi="Arial" w:cs="Arial"/>
            </w:rPr>
            <w:fldChar w:fldCharType="end"/>
          </w:r>
        </w:p>
        <w:p w14:paraId="5EF1C2F6">
          <w:pPr>
            <w:pStyle w:val="18"/>
            <w:tabs>
              <w:tab w:val="right" w:leader="dot" w:pos="9016"/>
            </w:tabs>
            <w:rPr>
              <w:rFonts w:ascii="Arial" w:hAnsi="Arial" w:cs="Arial" w:eastAsiaTheme="minorEastAsia"/>
              <w:sz w:val="22"/>
              <w:lang w:eastAsia="en-GB"/>
            </w:rPr>
          </w:pPr>
          <w:r>
            <w:fldChar w:fldCharType="begin"/>
          </w:r>
          <w:r>
            <w:instrText xml:space="preserve"> HYPERLINK \l "_Toc228222449" </w:instrText>
          </w:r>
          <w:r>
            <w:fldChar w:fldCharType="separate"/>
          </w:r>
          <w:r>
            <w:rPr>
              <w:rStyle w:val="16"/>
              <w:rFonts w:ascii="Arial" w:hAnsi="Arial" w:cs="Arial"/>
            </w:rPr>
            <w:t>Figure 2. PESTEL Analysis of Alibaba Group. Adapted from corporate strategy literature and Alibaba ESG Reports (2024–2025).</w:t>
          </w:r>
          <w:r>
            <w:rPr>
              <w:rFonts w:ascii="Arial" w:hAnsi="Arial" w:cs="Arial"/>
            </w:rPr>
            <w:tab/>
          </w:r>
          <w:r>
            <w:rPr>
              <w:rFonts w:ascii="Arial" w:hAnsi="Arial" w:cs="Arial"/>
            </w:rPr>
            <w:fldChar w:fldCharType="begin"/>
          </w:r>
          <w:r>
            <w:rPr>
              <w:rFonts w:ascii="Arial" w:hAnsi="Arial" w:cs="Arial"/>
            </w:rPr>
            <w:instrText xml:space="preserve"> PAGEREF _Toc228222449 \h </w:instrText>
          </w:r>
          <w:r>
            <w:rPr>
              <w:rFonts w:ascii="Arial" w:hAnsi="Arial" w:cs="Arial"/>
            </w:rPr>
            <w:fldChar w:fldCharType="separate"/>
          </w:r>
          <w:r>
            <w:rPr>
              <w:rFonts w:ascii="Arial" w:hAnsi="Arial" w:cs="Arial"/>
            </w:rPr>
            <w:t>4</w:t>
          </w:r>
          <w:r>
            <w:rPr>
              <w:rFonts w:ascii="Arial" w:hAnsi="Arial" w:cs="Arial"/>
            </w:rPr>
            <w:fldChar w:fldCharType="end"/>
          </w:r>
          <w:r>
            <w:rPr>
              <w:rFonts w:ascii="Arial" w:hAnsi="Arial" w:cs="Arial"/>
            </w:rPr>
            <w:fldChar w:fldCharType="end"/>
          </w:r>
        </w:p>
        <w:p w14:paraId="7BD12F7B">
          <w:pPr>
            <w:pStyle w:val="18"/>
            <w:tabs>
              <w:tab w:val="right" w:leader="dot" w:pos="9016"/>
            </w:tabs>
            <w:rPr>
              <w:rFonts w:ascii="Arial" w:hAnsi="Arial" w:cs="Arial" w:eastAsiaTheme="minorEastAsia"/>
              <w:sz w:val="22"/>
              <w:lang w:eastAsia="en-GB"/>
            </w:rPr>
          </w:pPr>
          <w:r>
            <w:fldChar w:fldCharType="begin"/>
          </w:r>
          <w:r>
            <w:instrText xml:space="preserve"> HYPERLINK \l "_Toc228222450" </w:instrText>
          </w:r>
          <w:r>
            <w:fldChar w:fldCharType="separate"/>
          </w:r>
          <w:r>
            <w:rPr>
              <w:rStyle w:val="16"/>
              <w:rFonts w:ascii="Arial" w:hAnsi="Arial" w:cs="Arial"/>
            </w:rPr>
            <w:t>Figure 3. Industry Life Cycle of the E</w:t>
          </w:r>
          <w:r>
            <w:rPr>
              <w:rStyle w:val="16"/>
              <w:rFonts w:ascii="Cambria Math" w:hAnsi="Cambria Math" w:cs="Cambria Math"/>
            </w:rPr>
            <w:t>‑</w:t>
          </w:r>
          <w:r>
            <w:rPr>
              <w:rStyle w:val="16"/>
              <w:rFonts w:ascii="Arial" w:hAnsi="Arial" w:cs="Arial"/>
            </w:rPr>
            <w:t>Commerce Sector Applied to Alibaba Group. Adapted from Porter (1980), Li &amp; Zhang (2023), Wang (2024), Chen (2024), and Kumar (2023).</w:t>
          </w:r>
          <w:r>
            <w:rPr>
              <w:rFonts w:ascii="Arial" w:hAnsi="Arial" w:cs="Arial"/>
            </w:rPr>
            <w:tab/>
          </w:r>
          <w:r>
            <w:rPr>
              <w:rFonts w:ascii="Arial" w:hAnsi="Arial" w:cs="Arial"/>
            </w:rPr>
            <w:fldChar w:fldCharType="begin"/>
          </w:r>
          <w:r>
            <w:rPr>
              <w:rFonts w:ascii="Arial" w:hAnsi="Arial" w:cs="Arial"/>
            </w:rPr>
            <w:instrText xml:space="preserve"> PAGEREF _Toc228222450 \h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fldChar w:fldCharType="end"/>
          </w:r>
        </w:p>
        <w:p w14:paraId="231772E7">
          <w:pPr>
            <w:pStyle w:val="18"/>
            <w:tabs>
              <w:tab w:val="right" w:leader="dot" w:pos="9016"/>
            </w:tabs>
            <w:rPr>
              <w:rFonts w:ascii="Arial" w:hAnsi="Arial" w:cs="Arial" w:eastAsiaTheme="minorEastAsia"/>
              <w:sz w:val="22"/>
              <w:lang w:eastAsia="en-GB"/>
            </w:rPr>
          </w:pPr>
          <w:r>
            <w:fldChar w:fldCharType="begin"/>
          </w:r>
          <w:r>
            <w:instrText xml:space="preserve"> HYPERLINK \l "_Toc228222451" </w:instrText>
          </w:r>
          <w:r>
            <w:fldChar w:fldCharType="separate"/>
          </w:r>
          <w:r>
            <w:rPr>
              <w:rStyle w:val="16"/>
              <w:rFonts w:ascii="Arial" w:hAnsi="Arial" w:cs="Arial"/>
            </w:rPr>
            <w:t>Figure 4. Porter’s Five Forces Analysis of Alibaba Group. Adapted from Porter (1980) and corporate strategy literature</w:t>
          </w:r>
          <w:r>
            <w:rPr>
              <w:rFonts w:ascii="Arial" w:hAnsi="Arial" w:cs="Arial"/>
            </w:rPr>
            <w:tab/>
          </w:r>
          <w:r>
            <w:rPr>
              <w:rFonts w:ascii="Arial" w:hAnsi="Arial" w:cs="Arial"/>
            </w:rPr>
            <w:fldChar w:fldCharType="begin"/>
          </w:r>
          <w:r>
            <w:rPr>
              <w:rFonts w:ascii="Arial" w:hAnsi="Arial" w:cs="Arial"/>
            </w:rPr>
            <w:instrText xml:space="preserve"> PAGEREF _Toc228222451 \h </w:instrText>
          </w:r>
          <w:r>
            <w:rPr>
              <w:rFonts w:ascii="Arial" w:hAnsi="Arial" w:cs="Arial"/>
            </w:rPr>
            <w:fldChar w:fldCharType="separate"/>
          </w:r>
          <w:r>
            <w:rPr>
              <w:rFonts w:ascii="Arial" w:hAnsi="Arial" w:cs="Arial"/>
            </w:rPr>
            <w:t>7</w:t>
          </w:r>
          <w:r>
            <w:rPr>
              <w:rFonts w:ascii="Arial" w:hAnsi="Arial" w:cs="Arial"/>
            </w:rPr>
            <w:fldChar w:fldCharType="end"/>
          </w:r>
          <w:r>
            <w:rPr>
              <w:rFonts w:ascii="Arial" w:hAnsi="Arial" w:cs="Arial"/>
            </w:rPr>
            <w:fldChar w:fldCharType="end"/>
          </w:r>
        </w:p>
        <w:p w14:paraId="559FCD13">
          <w:pPr>
            <w:pStyle w:val="18"/>
            <w:tabs>
              <w:tab w:val="right" w:leader="dot" w:pos="9016"/>
            </w:tabs>
            <w:rPr>
              <w:rFonts w:ascii="Arial" w:hAnsi="Arial" w:cs="Arial" w:eastAsiaTheme="minorEastAsia"/>
              <w:sz w:val="22"/>
              <w:lang w:eastAsia="en-GB"/>
            </w:rPr>
          </w:pPr>
          <w:r>
            <w:fldChar w:fldCharType="begin"/>
          </w:r>
          <w:r>
            <w:instrText xml:space="preserve"> HYPERLINK \l "_Toc228222452" </w:instrText>
          </w:r>
          <w:r>
            <w:fldChar w:fldCharType="separate"/>
          </w:r>
          <w:r>
            <w:rPr>
              <w:rStyle w:val="16"/>
              <w:rFonts w:ascii="Arial" w:hAnsi="Arial" w:cs="Arial"/>
            </w:rPr>
            <w:t>Figure 5. VRIO Analysis of Alibaba Group. Adapted from Barney (1991) and corporate strategy literature.</w:t>
          </w:r>
          <w:r>
            <w:rPr>
              <w:rFonts w:ascii="Arial" w:hAnsi="Arial" w:cs="Arial"/>
            </w:rPr>
            <w:tab/>
          </w:r>
          <w:r>
            <w:rPr>
              <w:rFonts w:ascii="Arial" w:hAnsi="Arial" w:cs="Arial"/>
            </w:rPr>
            <w:fldChar w:fldCharType="begin"/>
          </w:r>
          <w:r>
            <w:rPr>
              <w:rFonts w:ascii="Arial" w:hAnsi="Arial" w:cs="Arial"/>
            </w:rPr>
            <w:instrText xml:space="preserve"> PAGEREF _Toc228222452 \h </w:instrText>
          </w:r>
          <w:r>
            <w:rPr>
              <w:rFonts w:ascii="Arial" w:hAnsi="Arial" w:cs="Arial"/>
            </w:rPr>
            <w:fldChar w:fldCharType="separate"/>
          </w:r>
          <w:r>
            <w:rPr>
              <w:rFonts w:ascii="Arial" w:hAnsi="Arial" w:cs="Arial"/>
            </w:rPr>
            <w:t>9</w:t>
          </w:r>
          <w:r>
            <w:rPr>
              <w:rFonts w:ascii="Arial" w:hAnsi="Arial" w:cs="Arial"/>
            </w:rPr>
            <w:fldChar w:fldCharType="end"/>
          </w:r>
          <w:r>
            <w:rPr>
              <w:rFonts w:ascii="Arial" w:hAnsi="Arial" w:cs="Arial"/>
            </w:rPr>
            <w:fldChar w:fldCharType="end"/>
          </w:r>
        </w:p>
        <w:p w14:paraId="6E8B44D7">
          <w:pPr>
            <w:pStyle w:val="18"/>
            <w:tabs>
              <w:tab w:val="right" w:leader="dot" w:pos="9016"/>
            </w:tabs>
            <w:rPr>
              <w:rFonts w:ascii="Arial" w:hAnsi="Arial" w:cs="Arial" w:eastAsiaTheme="minorEastAsia"/>
              <w:sz w:val="22"/>
              <w:lang w:eastAsia="en-GB"/>
            </w:rPr>
          </w:pPr>
          <w:r>
            <w:fldChar w:fldCharType="begin"/>
          </w:r>
          <w:r>
            <w:instrText xml:space="preserve"> HYPERLINK \l "_Toc228222453" </w:instrText>
          </w:r>
          <w:r>
            <w:fldChar w:fldCharType="separate"/>
          </w:r>
          <w:r>
            <w:rPr>
              <w:rStyle w:val="16"/>
              <w:rFonts w:ascii="Arial" w:hAnsi="Arial" w:cs="Arial"/>
            </w:rPr>
            <w:t>Figure 6. SWOT Analysis of Alibaba Group. Adapted from corporate strategy literature and Alibaba Group ESG reports (2024–2025).</w:t>
          </w:r>
          <w:r>
            <w:rPr>
              <w:rFonts w:ascii="Arial" w:hAnsi="Arial" w:cs="Arial"/>
            </w:rPr>
            <w:tab/>
          </w:r>
          <w:r>
            <w:rPr>
              <w:rFonts w:ascii="Arial" w:hAnsi="Arial" w:cs="Arial"/>
            </w:rPr>
            <w:fldChar w:fldCharType="begin"/>
          </w:r>
          <w:r>
            <w:rPr>
              <w:rFonts w:ascii="Arial" w:hAnsi="Arial" w:cs="Arial"/>
            </w:rPr>
            <w:instrText xml:space="preserve"> PAGEREF _Toc228222453 \h </w:instrText>
          </w:r>
          <w:r>
            <w:rPr>
              <w:rFonts w:ascii="Arial" w:hAnsi="Arial" w:cs="Arial"/>
            </w:rPr>
            <w:fldChar w:fldCharType="separate"/>
          </w:r>
          <w:r>
            <w:rPr>
              <w:rFonts w:ascii="Arial" w:hAnsi="Arial" w:cs="Arial"/>
            </w:rPr>
            <w:t>10</w:t>
          </w:r>
          <w:r>
            <w:rPr>
              <w:rFonts w:ascii="Arial" w:hAnsi="Arial" w:cs="Arial"/>
            </w:rPr>
            <w:fldChar w:fldCharType="end"/>
          </w:r>
          <w:r>
            <w:rPr>
              <w:rFonts w:ascii="Arial" w:hAnsi="Arial" w:cs="Arial"/>
            </w:rPr>
            <w:fldChar w:fldCharType="end"/>
          </w:r>
        </w:p>
        <w:p w14:paraId="6FDCDE5E">
          <w:pPr>
            <w:pStyle w:val="18"/>
            <w:tabs>
              <w:tab w:val="right" w:leader="dot" w:pos="9016"/>
            </w:tabs>
            <w:rPr>
              <w:rFonts w:ascii="Arial" w:hAnsi="Arial" w:cs="Arial" w:eastAsiaTheme="minorEastAsia"/>
              <w:sz w:val="22"/>
              <w:lang w:eastAsia="en-GB"/>
            </w:rPr>
          </w:pPr>
          <w:r>
            <w:fldChar w:fldCharType="begin"/>
          </w:r>
          <w:r>
            <w:instrText xml:space="preserve"> HYPERLINK \l "_Toc228222454" </w:instrText>
          </w:r>
          <w:r>
            <w:fldChar w:fldCharType="separate"/>
          </w:r>
          <w:r>
            <w:rPr>
              <w:rStyle w:val="16"/>
              <w:rFonts w:ascii="Arial" w:hAnsi="Arial" w:cs="Arial"/>
            </w:rPr>
            <w:t>Figure 7. Alibaba Group’s Green Strategy and Corporate Social Responsibility initiatives. Adapted from Alibaba Group ESG Report (2025) and Carbon Neutrality Action Report (2024).</w:t>
          </w:r>
          <w:r>
            <w:rPr>
              <w:rFonts w:ascii="Arial" w:hAnsi="Arial" w:cs="Arial"/>
            </w:rPr>
            <w:tab/>
          </w:r>
          <w:r>
            <w:rPr>
              <w:rFonts w:ascii="Arial" w:hAnsi="Arial" w:cs="Arial"/>
            </w:rPr>
            <w:fldChar w:fldCharType="begin"/>
          </w:r>
          <w:r>
            <w:rPr>
              <w:rFonts w:ascii="Arial" w:hAnsi="Arial" w:cs="Arial"/>
            </w:rPr>
            <w:instrText xml:space="preserve"> PAGEREF _Toc228222454 \h </w:instrText>
          </w:r>
          <w:r>
            <w:rPr>
              <w:rFonts w:ascii="Arial" w:hAnsi="Arial" w:cs="Arial"/>
            </w:rPr>
            <w:fldChar w:fldCharType="separate"/>
          </w:r>
          <w:r>
            <w:rPr>
              <w:rFonts w:ascii="Arial" w:hAnsi="Arial" w:cs="Arial"/>
            </w:rPr>
            <w:t>11</w:t>
          </w:r>
          <w:r>
            <w:rPr>
              <w:rFonts w:ascii="Arial" w:hAnsi="Arial" w:cs="Arial"/>
            </w:rPr>
            <w:fldChar w:fldCharType="end"/>
          </w:r>
          <w:r>
            <w:rPr>
              <w:rFonts w:ascii="Arial" w:hAnsi="Arial" w:cs="Arial"/>
            </w:rPr>
            <w:fldChar w:fldCharType="end"/>
          </w:r>
        </w:p>
        <w:p w14:paraId="074BBC81">
          <w:pPr>
            <w:pStyle w:val="18"/>
            <w:tabs>
              <w:tab w:val="right" w:leader="dot" w:pos="9016"/>
            </w:tabs>
            <w:rPr>
              <w:rFonts w:ascii="Arial" w:hAnsi="Arial" w:cs="Arial" w:eastAsiaTheme="minorEastAsia"/>
              <w:sz w:val="22"/>
              <w:lang w:eastAsia="en-GB"/>
            </w:rPr>
          </w:pPr>
          <w:r>
            <w:fldChar w:fldCharType="begin"/>
          </w:r>
          <w:r>
            <w:instrText xml:space="preserve"> HYPERLINK \l "_Toc228222455" </w:instrText>
          </w:r>
          <w:r>
            <w:fldChar w:fldCharType="separate"/>
          </w:r>
          <w:r>
            <w:rPr>
              <w:rStyle w:val="16"/>
              <w:rFonts w:ascii="Arial" w:hAnsi="Arial" w:cs="Arial"/>
            </w:rPr>
            <w:t>Figure 8. Balanced Scorecard framework applied to Alibaba Group, aligning financial, customer, internal process, and learning perspectives with long</w:t>
          </w:r>
          <w:r>
            <w:rPr>
              <w:rStyle w:val="16"/>
              <w:rFonts w:ascii="Cambria Math" w:hAnsi="Cambria Math" w:cs="Cambria Math"/>
            </w:rPr>
            <w:t>‑</w:t>
          </w:r>
          <w:r>
            <w:rPr>
              <w:rStyle w:val="16"/>
              <w:rFonts w:ascii="Arial" w:hAnsi="Arial" w:cs="Arial"/>
            </w:rPr>
            <w:t>term digital strategy (Kaplan &amp; Norton, 1992; Chen, 2024; Zhang &amp; Liu, 2024).</w:t>
          </w:r>
          <w:r>
            <w:rPr>
              <w:rFonts w:ascii="Arial" w:hAnsi="Arial" w:cs="Arial"/>
            </w:rPr>
            <w:tab/>
          </w:r>
          <w:r>
            <w:rPr>
              <w:rFonts w:ascii="Arial" w:hAnsi="Arial" w:cs="Arial"/>
            </w:rPr>
            <w:fldChar w:fldCharType="begin"/>
          </w:r>
          <w:r>
            <w:rPr>
              <w:rFonts w:ascii="Arial" w:hAnsi="Arial" w:cs="Arial"/>
            </w:rPr>
            <w:instrText xml:space="preserve"> PAGEREF _Toc228222455 \h </w:instrText>
          </w:r>
          <w:r>
            <w:rPr>
              <w:rFonts w:ascii="Arial" w:hAnsi="Arial" w:cs="Arial"/>
            </w:rPr>
            <w:fldChar w:fldCharType="separate"/>
          </w:r>
          <w:r>
            <w:rPr>
              <w:rFonts w:ascii="Arial" w:hAnsi="Arial" w:cs="Arial"/>
            </w:rPr>
            <w:t>12</w:t>
          </w:r>
          <w:r>
            <w:rPr>
              <w:rFonts w:ascii="Arial" w:hAnsi="Arial" w:cs="Arial"/>
            </w:rPr>
            <w:fldChar w:fldCharType="end"/>
          </w:r>
          <w:r>
            <w:rPr>
              <w:rFonts w:ascii="Arial" w:hAnsi="Arial" w:cs="Arial"/>
            </w:rPr>
            <w:fldChar w:fldCharType="end"/>
          </w:r>
        </w:p>
        <w:p w14:paraId="7F8B5A2E">
          <w:pPr>
            <w:pStyle w:val="18"/>
            <w:tabs>
              <w:tab w:val="right" w:leader="dot" w:pos="9016"/>
            </w:tabs>
            <w:rPr>
              <w:rFonts w:ascii="Arial" w:hAnsi="Arial" w:cs="Arial" w:eastAsiaTheme="minorEastAsia"/>
              <w:sz w:val="22"/>
              <w:lang w:eastAsia="en-GB"/>
            </w:rPr>
          </w:pPr>
          <w:r>
            <w:fldChar w:fldCharType="begin"/>
          </w:r>
          <w:r>
            <w:instrText xml:space="preserve"> HYPERLINK \l "_Toc228222456" </w:instrText>
          </w:r>
          <w:r>
            <w:fldChar w:fldCharType="separate"/>
          </w:r>
          <w:r>
            <w:rPr>
              <w:rStyle w:val="16"/>
              <w:rFonts w:ascii="Arial" w:hAnsi="Arial" w:cs="Arial"/>
            </w:rPr>
            <w:t>Figure 9. Competitive Advantage Sustenance Strategies of Alibaba Group. Adapted from Porter (1985), Chen (2024), Wang (2023), and Zhang &amp; Liu (2024).</w:t>
          </w:r>
          <w:r>
            <w:rPr>
              <w:rFonts w:ascii="Arial" w:hAnsi="Arial" w:cs="Arial"/>
            </w:rPr>
            <w:tab/>
          </w:r>
          <w:r>
            <w:rPr>
              <w:rFonts w:ascii="Arial" w:hAnsi="Arial" w:cs="Arial"/>
            </w:rPr>
            <w:fldChar w:fldCharType="begin"/>
          </w:r>
          <w:r>
            <w:rPr>
              <w:rFonts w:ascii="Arial" w:hAnsi="Arial" w:cs="Arial"/>
            </w:rPr>
            <w:instrText xml:space="preserve"> PAGEREF _Toc228222456 \h </w:instrText>
          </w:r>
          <w:r>
            <w:rPr>
              <w:rFonts w:ascii="Arial" w:hAnsi="Arial" w:cs="Arial"/>
            </w:rPr>
            <w:fldChar w:fldCharType="separate"/>
          </w:r>
          <w:r>
            <w:rPr>
              <w:rFonts w:ascii="Arial" w:hAnsi="Arial" w:cs="Arial"/>
            </w:rPr>
            <w:t>14</w:t>
          </w:r>
          <w:r>
            <w:rPr>
              <w:rFonts w:ascii="Arial" w:hAnsi="Arial" w:cs="Arial"/>
            </w:rPr>
            <w:fldChar w:fldCharType="end"/>
          </w:r>
          <w:r>
            <w:rPr>
              <w:rFonts w:ascii="Arial" w:hAnsi="Arial" w:cs="Arial"/>
            </w:rPr>
            <w:fldChar w:fldCharType="end"/>
          </w:r>
        </w:p>
        <w:p w14:paraId="200F9531">
          <w:pPr>
            <w:pStyle w:val="18"/>
            <w:tabs>
              <w:tab w:val="right" w:leader="dot" w:pos="9016"/>
            </w:tabs>
            <w:rPr>
              <w:rFonts w:ascii="Arial" w:hAnsi="Arial" w:cs="Arial" w:eastAsiaTheme="minorEastAsia"/>
              <w:sz w:val="22"/>
              <w:lang w:eastAsia="en-GB"/>
            </w:rPr>
          </w:pPr>
          <w:r>
            <w:fldChar w:fldCharType="begin"/>
          </w:r>
          <w:r>
            <w:instrText xml:space="preserve"> HYPERLINK \l "_Toc228222457" </w:instrText>
          </w:r>
          <w:r>
            <w:fldChar w:fldCharType="separate"/>
          </w:r>
          <w:r>
            <w:rPr>
              <w:rStyle w:val="16"/>
              <w:rFonts w:ascii="Arial" w:hAnsi="Arial" w:cs="Arial"/>
            </w:rPr>
            <w:t>Figure 10. Growth Strategies Framework illustrating internal and external expansion approaches. Adapted from Ansoff (1957) and corporate strategy literature.</w:t>
          </w:r>
          <w:r>
            <w:rPr>
              <w:rFonts w:ascii="Arial" w:hAnsi="Arial" w:cs="Arial"/>
            </w:rPr>
            <w:tab/>
          </w:r>
          <w:r>
            <w:rPr>
              <w:rFonts w:ascii="Arial" w:hAnsi="Arial" w:cs="Arial"/>
            </w:rPr>
            <w:fldChar w:fldCharType="begin"/>
          </w:r>
          <w:r>
            <w:rPr>
              <w:rFonts w:ascii="Arial" w:hAnsi="Arial" w:cs="Arial"/>
            </w:rPr>
            <w:instrText xml:space="preserve"> PAGEREF _Toc228222457 \h </w:instrText>
          </w:r>
          <w:r>
            <w:rPr>
              <w:rFonts w:ascii="Arial" w:hAnsi="Arial" w:cs="Arial"/>
            </w:rPr>
            <w:fldChar w:fldCharType="separate"/>
          </w:r>
          <w:r>
            <w:rPr>
              <w:rFonts w:ascii="Arial" w:hAnsi="Arial" w:cs="Arial"/>
            </w:rPr>
            <w:t>15</w:t>
          </w:r>
          <w:r>
            <w:rPr>
              <w:rFonts w:ascii="Arial" w:hAnsi="Arial" w:cs="Arial"/>
            </w:rPr>
            <w:fldChar w:fldCharType="end"/>
          </w:r>
          <w:r>
            <w:rPr>
              <w:rFonts w:ascii="Arial" w:hAnsi="Arial" w:cs="Arial"/>
            </w:rPr>
            <w:fldChar w:fldCharType="end"/>
          </w:r>
        </w:p>
        <w:p w14:paraId="10DB43A8">
          <w:pPr>
            <w:pStyle w:val="18"/>
            <w:tabs>
              <w:tab w:val="right" w:leader="dot" w:pos="9016"/>
            </w:tabs>
            <w:rPr>
              <w:rFonts w:ascii="Arial" w:hAnsi="Arial" w:cs="Arial" w:eastAsiaTheme="minorEastAsia"/>
              <w:sz w:val="22"/>
              <w:lang w:eastAsia="en-GB"/>
            </w:rPr>
          </w:pPr>
          <w:r>
            <w:fldChar w:fldCharType="begin"/>
          </w:r>
          <w:r>
            <w:instrText xml:space="preserve"> HYPERLINK \l "_Toc228222458" </w:instrText>
          </w:r>
          <w:r>
            <w:fldChar w:fldCharType="separate"/>
          </w:r>
          <w:r>
            <w:rPr>
              <w:rStyle w:val="16"/>
              <w:rFonts w:ascii="Arial" w:hAnsi="Arial" w:cs="Arial"/>
            </w:rPr>
            <w:t>Figure 11. Gibbs’ Reflective Cycle illustrating six stages of structured reflection. Adapted from Gibbs (1988).</w:t>
          </w:r>
          <w:r>
            <w:rPr>
              <w:rFonts w:ascii="Arial" w:hAnsi="Arial" w:cs="Arial"/>
            </w:rPr>
            <w:tab/>
          </w:r>
          <w:r>
            <w:rPr>
              <w:rFonts w:ascii="Arial" w:hAnsi="Arial" w:cs="Arial"/>
            </w:rPr>
            <w:fldChar w:fldCharType="begin"/>
          </w:r>
          <w:r>
            <w:rPr>
              <w:rFonts w:ascii="Arial" w:hAnsi="Arial" w:cs="Arial"/>
            </w:rPr>
            <w:instrText xml:space="preserve"> PAGEREF _Toc228222458 \h </w:instrText>
          </w:r>
          <w:r>
            <w:rPr>
              <w:rFonts w:ascii="Arial" w:hAnsi="Arial" w:cs="Arial"/>
            </w:rPr>
            <w:fldChar w:fldCharType="separate"/>
          </w:r>
          <w:r>
            <w:rPr>
              <w:rFonts w:ascii="Arial" w:hAnsi="Arial" w:cs="Arial"/>
            </w:rPr>
            <w:t>20</w:t>
          </w:r>
          <w:r>
            <w:rPr>
              <w:rFonts w:ascii="Arial" w:hAnsi="Arial" w:cs="Arial"/>
            </w:rPr>
            <w:fldChar w:fldCharType="end"/>
          </w:r>
          <w:r>
            <w:rPr>
              <w:rFonts w:ascii="Arial" w:hAnsi="Arial" w:cs="Arial"/>
            </w:rPr>
            <w:fldChar w:fldCharType="end"/>
          </w:r>
        </w:p>
        <w:p w14:paraId="49BA82FE">
          <w:pPr>
            <w:rPr>
              <w:rFonts w:ascii="Arial" w:hAnsi="Arial" w:cs="Arial" w:eastAsiaTheme="majorEastAsia"/>
              <w:b/>
              <w:bCs/>
              <w:color w:val="17375E" w:themeColor="text2" w:themeShade="BF"/>
              <w:szCs w:val="24"/>
              <w:lang w:eastAsia="ja-JP"/>
            </w:rPr>
            <w:sectPr>
              <w:footerReference r:id="rId7" w:type="first"/>
              <w:headerReference r:id="rId5" w:type="default"/>
              <w:footerReference r:id="rId6" w:type="default"/>
              <w:pgSz w:w="11906" w:h="16838"/>
              <w:pgMar w:top="1440" w:right="1440" w:bottom="1440" w:left="1440" w:header="708" w:footer="708" w:gutter="0"/>
              <w:pgNumType w:fmt="lowerRoman"/>
              <w:cols w:space="708" w:num="1"/>
              <w:titlePg/>
              <w:docGrid w:linePitch="360" w:charSpace="0"/>
            </w:sectPr>
          </w:pPr>
          <w:r>
            <w:rPr>
              <w:rFonts w:ascii="Arial" w:hAnsi="Arial" w:cs="Arial" w:eastAsiaTheme="majorEastAsia"/>
              <w:b/>
              <w:bCs/>
              <w:color w:val="17375E" w:themeColor="text2" w:themeShade="BF"/>
              <w:szCs w:val="24"/>
              <w:lang w:eastAsia="ja-JP"/>
            </w:rPr>
            <w:fldChar w:fldCharType="end"/>
          </w:r>
        </w:p>
        <w:p w14:paraId="104C71CF">
          <w:pPr>
            <w:pStyle w:val="2"/>
            <w:jc w:val="center"/>
            <w:rPr>
              <w:rFonts w:cs="Arial"/>
            </w:rPr>
          </w:pPr>
          <w:bookmarkStart w:id="0" w:name="_Toc228222244"/>
          <w:r>
            <w:rPr>
              <w:rFonts w:cs="Arial"/>
            </w:rPr>
            <w:t>Section 1</w:t>
          </w:r>
          <w:bookmarkEnd w:id="0"/>
        </w:p>
        <w:p w14:paraId="5FB6C66C">
          <w:pPr>
            <w:pStyle w:val="2"/>
            <w:rPr>
              <w:rFonts w:cs="Arial"/>
            </w:rPr>
          </w:pPr>
          <w:bookmarkStart w:id="1" w:name="_Toc228222245"/>
          <w:r>
            <w:rPr>
              <w:rFonts w:cs="Arial"/>
            </w:rPr>
            <w:t>1. Introduction</w:t>
          </w:r>
          <w:bookmarkEnd w:id="1"/>
          <w:r>
            <w:rPr>
              <w:rFonts w:cs="Arial"/>
            </w:rPr>
            <w:t xml:space="preserve"> </w:t>
          </w:r>
        </w:p>
        <w:p w14:paraId="483CFBD5">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Strategic management is a key aspect that helps organisations gain and maintain competitive advantage in the ever more complex and dynamic global markets. The report presents the detailed strategic analysis of Alibaba Group, one of the most successful digital commerce and technology conglomerates of the world. Alibaba was established in 1999 and has since grown to become a business-to-business platform, diversifying into e-commerce, cloud computing, artificial intelligence, and digital financial services (Xia, 2024).</w:t>
          </w:r>
        </w:p>
        <w:p w14:paraId="20B2E66F">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This report aims to critically assess the strategic position of Alibaba in terms of evaluating its external and internal environment and how these impact on its long-term competitiveness. In order to do this, some of the developed and used strategic management models will be utilized, such as the PESTEL analysis, the Five Forces framework developed by Porter, the VRIO framework, a value chain analysis, and a SWOT analysis. The tools are also well-known to offer systematic information on environmental changes, competition in an industry, and organisational potential (Rahman, 2024).</w:t>
          </w:r>
        </w:p>
        <w:p w14:paraId="0A3EEF58">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Moreover, the report will evaluate how Alibaba responded to the modern challenges of regulation, technological disruption, and the rising global competition, especially its recent move towards cloud computing and artificial intelligence as its major growth impetuses. This analysis will ultimately be used to make strategic recommendations to improve the sustainable competitive advantage of Alibaba in the global digital economy.</w:t>
          </w:r>
        </w:p>
        <w:p w14:paraId="73F8A852">
          <w:pPr>
            <w:rPr>
              <w:rFonts w:ascii="Arial" w:hAnsi="Arial" w:cs="Arial"/>
              <w:lang w:eastAsia="en-GB"/>
            </w:rPr>
          </w:pPr>
        </w:p>
        <w:p w14:paraId="749D56D9">
          <w:pPr>
            <w:rPr>
              <w:rFonts w:ascii="Arial" w:hAnsi="Arial" w:cs="Arial"/>
              <w:lang w:eastAsia="en-GB"/>
            </w:rPr>
          </w:pPr>
        </w:p>
        <w:p w14:paraId="380ECC32">
          <w:pPr>
            <w:rPr>
              <w:rFonts w:ascii="Arial" w:hAnsi="Arial" w:cs="Arial"/>
              <w:lang w:eastAsia="en-GB"/>
            </w:rPr>
          </w:pPr>
        </w:p>
        <w:p w14:paraId="053F15D6">
          <w:pPr>
            <w:pStyle w:val="2"/>
            <w:rPr>
              <w:rFonts w:cs="Arial"/>
            </w:rPr>
          </w:pPr>
          <w:bookmarkStart w:id="2" w:name="_Toc228222246"/>
          <w:r>
            <w:rPr>
              <w:rFonts w:cs="Arial"/>
            </w:rPr>
            <w:t>2. Company Background</w:t>
          </w:r>
          <w:bookmarkEnd w:id="2"/>
          <w:r>
            <w:rPr>
              <w:rFonts w:cs="Arial"/>
            </w:rPr>
            <w:t xml:space="preserve"> </w:t>
          </w:r>
        </w:p>
        <w:p w14:paraId="78B9A561">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Alibaba Group was established in 1999 in the city of Hangzhou, China, by Jack Ma and other partners, as a business-to-business (B2B) e-commerce site that was designed to help Chinese manufacturers and global buyers get in touch. The company has over the years grown to be a diversified digital ecosystem, with consumer to consumer (C2C) platforms like Taobao, business to consumer (B2C) services like Tmall, cloud computing via Alibaba Cloud, and digital financial services via Ant Group. This development demonstrates how Alibaba has been strategic with regard to platform integration and technological innovation (Chen et al., 2024).</w:t>
          </w:r>
        </w:p>
        <w:p w14:paraId="4A3EF050">
          <w:pPr>
            <w:keepNext/>
            <w:spacing w:before="240" w:line="360" w:lineRule="auto"/>
            <w:jc w:val="center"/>
            <w:rPr>
              <w:rFonts w:ascii="Arial" w:hAnsi="Arial" w:cs="Arial"/>
            </w:rPr>
          </w:pPr>
          <w:r>
            <w:rPr>
              <w:rFonts w:ascii="Arial" w:hAnsi="Arial" w:eastAsia="Times New Roman" w:cs="Arial"/>
              <w:szCs w:val="24"/>
              <w:lang w:val="en-US"/>
            </w:rPr>
            <w:drawing>
              <wp:inline distT="0" distB="0" distL="0" distR="0">
                <wp:extent cx="3238500" cy="21583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53892" cy="2169140"/>
                        </a:xfrm>
                        <a:prstGeom prst="rect">
                          <a:avLst/>
                        </a:prstGeom>
                      </pic:spPr>
                    </pic:pic>
                  </a:graphicData>
                </a:graphic>
              </wp:inline>
            </w:drawing>
          </w:r>
        </w:p>
        <w:p w14:paraId="642CFC09">
          <w:pPr>
            <w:pStyle w:val="9"/>
            <w:jc w:val="center"/>
            <w:rPr>
              <w:rFonts w:ascii="Arial" w:hAnsi="Arial" w:eastAsia="Times New Roman" w:cs="Arial"/>
              <w:sz w:val="24"/>
              <w:szCs w:val="24"/>
              <w:lang w:eastAsia="en-GB"/>
            </w:rPr>
          </w:pPr>
          <w:bookmarkStart w:id="3" w:name="_Toc228222448"/>
          <w:r>
            <w:rPr>
              <w:rFonts w:ascii="Arial" w:hAnsi="Arial" w:cs="Arial"/>
              <w:sz w:val="24"/>
            </w:rPr>
            <w:t xml:space="preserve">Figure </w:t>
          </w:r>
          <w:r>
            <w:rPr>
              <w:rFonts w:ascii="Arial" w:hAnsi="Arial" w:cs="Arial"/>
              <w:sz w:val="24"/>
            </w:rPr>
            <w:fldChar w:fldCharType="begin"/>
          </w:r>
          <w:r>
            <w:rPr>
              <w:rFonts w:ascii="Arial" w:hAnsi="Arial" w:cs="Arial"/>
              <w:sz w:val="24"/>
            </w:rPr>
            <w:instrText xml:space="preserve"> SEQ Figure \* ARABIC </w:instrText>
          </w:r>
          <w:r>
            <w:rPr>
              <w:rFonts w:ascii="Arial" w:hAnsi="Arial" w:cs="Arial"/>
              <w:sz w:val="24"/>
            </w:rPr>
            <w:fldChar w:fldCharType="separate"/>
          </w:r>
          <w:r>
            <w:rPr>
              <w:rFonts w:ascii="Arial" w:hAnsi="Arial" w:cs="Arial"/>
              <w:sz w:val="24"/>
            </w:rPr>
            <w:t>1</w:t>
          </w:r>
          <w:r>
            <w:rPr>
              <w:rFonts w:ascii="Arial" w:hAnsi="Arial" w:cs="Arial"/>
              <w:sz w:val="24"/>
            </w:rPr>
            <w:fldChar w:fldCharType="end"/>
          </w:r>
          <w:r>
            <w:rPr>
              <w:rFonts w:ascii="Arial" w:hAnsi="Arial" w:cs="Arial"/>
              <w:sz w:val="24"/>
            </w:rPr>
            <w:t>. Company Background of Alibaba Group. Adapted from Alibaba Group Annual Reports (2024–2025) &amp; Corporate History Sources</w:t>
          </w:r>
          <w:bookmarkEnd w:id="3"/>
        </w:p>
        <w:p w14:paraId="7C532674">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Alibaba is one of the biggest technology firms in the world, with over 200,000 employees and annual revenues of over USD 120 billion in recent years (Alibaba Group, 2024). The company mainly covers China but has ventured to other global markets such as Southeast Asia, Europe, and North America, especially via Lazada and AliExpress.</w:t>
          </w:r>
        </w:p>
        <w:p w14:paraId="2797EBCF">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Alibaba is a participant in the world of e-commerce and digital technology, which is characterised by intensive innovation, stiff rivalry, and high scalability. Its key rivals are JD.com and Amazon, which makes Alibaba a leading force in the Chinese market with a growing competition in the international arena (Wang, 2023).</w:t>
          </w:r>
        </w:p>
        <w:p w14:paraId="0A3E3CFE">
          <w:pPr>
            <w:pStyle w:val="2"/>
            <w:rPr>
              <w:rFonts w:cs="Arial"/>
            </w:rPr>
          </w:pPr>
          <w:bookmarkStart w:id="4" w:name="_Toc228222247"/>
          <w:r>
            <w:rPr>
              <w:rFonts w:cs="Arial"/>
            </w:rPr>
            <w:t>3. Mission and Objectives</w:t>
          </w:r>
          <w:bookmarkEnd w:id="4"/>
          <w:r>
            <w:rPr>
              <w:rFonts w:cs="Arial"/>
            </w:rPr>
            <w:t xml:space="preserve"> </w:t>
          </w:r>
        </w:p>
        <w:p w14:paraId="481CDA42">
          <w:pPr>
            <w:pStyle w:val="3"/>
            <w:rPr>
              <w:rFonts w:cs="Arial"/>
            </w:rPr>
          </w:pPr>
          <w:bookmarkStart w:id="5" w:name="_Toc228222248"/>
          <w:r>
            <w:rPr>
              <w:rFonts w:cs="Arial"/>
            </w:rPr>
            <w:t>3.1 Mission</w:t>
          </w:r>
          <w:bookmarkEnd w:id="5"/>
          <w:r>
            <w:rPr>
              <w:rFonts w:cs="Arial"/>
            </w:rPr>
            <w:t xml:space="preserve"> </w:t>
          </w:r>
        </w:p>
        <w:p w14:paraId="618F33B2">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The mission of Alibaba Group is to make it easy to do business everywhere. It is aimed at empowering small and medium-sized businesses to connect to the global market using digital platforms and integrated ecosystem services.</w:t>
          </w:r>
        </w:p>
        <w:p w14:paraId="365EB510">
          <w:pPr>
            <w:pStyle w:val="3"/>
            <w:rPr>
              <w:rFonts w:cs="Arial"/>
            </w:rPr>
          </w:pPr>
          <w:bookmarkStart w:id="6" w:name="_Toc228222249"/>
          <w:r>
            <w:rPr>
              <w:rFonts w:cs="Arial"/>
            </w:rPr>
            <w:t>3.2 Vision</w:t>
          </w:r>
          <w:bookmarkEnd w:id="6"/>
        </w:p>
        <w:p w14:paraId="55EDA78B">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The vision of the company is to create the future infrastructure of commerce through technology, data and innovation. It has a goal of establishing a sustainable and inclusive digital economy to promote efficiency in global trade.</w:t>
          </w:r>
        </w:p>
        <w:p w14:paraId="194160E8">
          <w:pPr>
            <w:pStyle w:val="3"/>
            <w:rPr>
              <w:rFonts w:cs="Arial"/>
            </w:rPr>
          </w:pPr>
          <w:bookmarkStart w:id="7" w:name="_Toc228222250"/>
          <w:r>
            <w:rPr>
              <w:rFonts w:cs="Arial"/>
            </w:rPr>
            <w:t>3.3 Strategic Goals</w:t>
          </w:r>
          <w:bookmarkEnd w:id="7"/>
          <w:r>
            <w:rPr>
              <w:rFonts w:cs="Arial"/>
            </w:rPr>
            <w:t xml:space="preserve"> </w:t>
          </w:r>
        </w:p>
        <w:p w14:paraId="7C2F5CD9">
          <w:pPr>
            <w:pStyle w:val="25"/>
            <w:numPr>
              <w:ilvl w:val="0"/>
              <w:numId w:val="1"/>
            </w:num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Increase international e-commerce footprint in both emerging and developed markets.</w:t>
          </w:r>
        </w:p>
        <w:p w14:paraId="4009F65B">
          <w:pPr>
            <w:pStyle w:val="25"/>
            <w:numPr>
              <w:ilvl w:val="0"/>
              <w:numId w:val="1"/>
            </w:num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Enhance leadership on cloud computing and artificial intelligence services.</w:t>
          </w:r>
        </w:p>
        <w:p w14:paraId="593CCEE8">
          <w:pPr>
            <w:pStyle w:val="25"/>
            <w:numPr>
              <w:ilvl w:val="0"/>
              <w:numId w:val="1"/>
            </w:num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Develop digital integration of retail, logistics and finance.</w:t>
          </w:r>
        </w:p>
        <w:p w14:paraId="0CDA8FEC">
          <w:pPr>
            <w:pStyle w:val="25"/>
            <w:numPr>
              <w:ilvl w:val="0"/>
              <w:numId w:val="1"/>
            </w:num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Become carbon neutral and more sustainable in operations.</w:t>
          </w:r>
        </w:p>
        <w:p w14:paraId="37D00AF4">
          <w:pPr>
            <w:pStyle w:val="25"/>
            <w:numPr>
              <w:ilvl w:val="0"/>
              <w:numId w:val="1"/>
            </w:num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Enhance innovation by investing in new technologies and data analytics.</w:t>
          </w:r>
        </w:p>
        <w:p w14:paraId="324EF36F">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Critical Comment</w:t>
          </w:r>
        </w:p>
        <w:p w14:paraId="69252FFE">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The mission and vision are quite realistic because they are in line with the capability of Alibaba to develop the global expansion strategy and strong technological capabilities. Nevertheless, rising geopolitical tensions and regulatory constraints, especially in China, can curtail the full realisation of global aspirations. Generally, the strategic objectives go hand in hand with the ecosystem-based business model of the firm, which indicates a high correlation between the long-term vision and the business strategy (Zhang and Liu, 2024).</w:t>
          </w:r>
        </w:p>
        <w:p w14:paraId="52AF0893">
          <w:pPr>
            <w:pStyle w:val="2"/>
            <w:rPr>
              <w:rFonts w:cs="Arial"/>
            </w:rPr>
          </w:pPr>
          <w:bookmarkStart w:id="8" w:name="_Toc228222251"/>
          <w:r>
            <w:rPr>
              <w:rFonts w:cs="Arial"/>
            </w:rPr>
            <w:t>4. Macro-Environment Analysis</w:t>
          </w:r>
          <w:bookmarkEnd w:id="8"/>
          <w:r>
            <w:rPr>
              <w:rFonts w:cs="Arial"/>
            </w:rPr>
            <w:t xml:space="preserve"> </w:t>
          </w:r>
        </w:p>
        <w:p w14:paraId="67C48CDD">
          <w:pPr>
            <w:pStyle w:val="3"/>
            <w:rPr>
              <w:rFonts w:cs="Arial"/>
            </w:rPr>
          </w:pPr>
          <w:bookmarkStart w:id="9" w:name="_Toc228222252"/>
          <w:r>
            <w:rPr>
              <w:rFonts w:cs="Arial"/>
            </w:rPr>
            <w:t>4.1 PESTEL Analysis of Alibaba Group</w:t>
          </w:r>
          <w:bookmarkEnd w:id="9"/>
        </w:p>
        <w:p w14:paraId="694855D4">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Alibaba Group is involved in a very dynamic international digital economy where the external macro-environmental factors have great impacts on its strategic direction and competitiveness in the long run.</w:t>
          </w:r>
        </w:p>
        <w:p w14:paraId="0067695C">
          <w:pPr>
            <w:keepNext/>
            <w:spacing w:before="240" w:line="360" w:lineRule="auto"/>
            <w:jc w:val="center"/>
            <w:rPr>
              <w:rFonts w:ascii="Arial" w:hAnsi="Arial" w:cs="Arial"/>
            </w:rPr>
          </w:pPr>
          <w:r>
            <w:rPr>
              <w:rFonts w:ascii="Arial" w:hAnsi="Arial" w:eastAsia="Times New Roman" w:cs="Arial"/>
              <w:szCs w:val="24"/>
              <w:lang w:val="en-US"/>
            </w:rPr>
            <w:drawing>
              <wp:inline distT="0" distB="0" distL="0" distR="0">
                <wp:extent cx="2505075" cy="166941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11861" cy="1674481"/>
                        </a:xfrm>
                        <a:prstGeom prst="rect">
                          <a:avLst/>
                        </a:prstGeom>
                      </pic:spPr>
                    </pic:pic>
                  </a:graphicData>
                </a:graphic>
              </wp:inline>
            </w:drawing>
          </w:r>
        </w:p>
        <w:p w14:paraId="0C41862E">
          <w:pPr>
            <w:pStyle w:val="9"/>
            <w:jc w:val="center"/>
            <w:rPr>
              <w:rFonts w:ascii="Arial" w:hAnsi="Arial" w:eastAsia="Times New Roman" w:cs="Arial"/>
              <w:sz w:val="24"/>
              <w:szCs w:val="24"/>
              <w:lang w:eastAsia="en-GB"/>
            </w:rPr>
          </w:pPr>
          <w:bookmarkStart w:id="10" w:name="_Toc228222449"/>
          <w:r>
            <w:rPr>
              <w:rFonts w:ascii="Arial" w:hAnsi="Arial" w:cs="Arial"/>
              <w:sz w:val="24"/>
            </w:rPr>
            <w:t xml:space="preserve">Figure </w:t>
          </w:r>
          <w:r>
            <w:rPr>
              <w:rFonts w:ascii="Arial" w:hAnsi="Arial" w:cs="Arial"/>
              <w:sz w:val="24"/>
            </w:rPr>
            <w:fldChar w:fldCharType="begin"/>
          </w:r>
          <w:r>
            <w:rPr>
              <w:rFonts w:ascii="Arial" w:hAnsi="Arial" w:cs="Arial"/>
              <w:sz w:val="24"/>
            </w:rPr>
            <w:instrText xml:space="preserve"> SEQ Figure \* ARABIC </w:instrText>
          </w:r>
          <w:r>
            <w:rPr>
              <w:rFonts w:ascii="Arial" w:hAnsi="Arial" w:cs="Arial"/>
              <w:sz w:val="24"/>
            </w:rPr>
            <w:fldChar w:fldCharType="separate"/>
          </w:r>
          <w:r>
            <w:rPr>
              <w:rFonts w:ascii="Arial" w:hAnsi="Arial" w:cs="Arial"/>
              <w:sz w:val="24"/>
            </w:rPr>
            <w:t>2</w:t>
          </w:r>
          <w:r>
            <w:rPr>
              <w:rFonts w:ascii="Arial" w:hAnsi="Arial" w:cs="Arial"/>
              <w:sz w:val="24"/>
            </w:rPr>
            <w:fldChar w:fldCharType="end"/>
          </w:r>
          <w:r>
            <w:rPr>
              <w:rFonts w:ascii="Arial" w:hAnsi="Arial" w:cs="Arial"/>
              <w:sz w:val="24"/>
            </w:rPr>
            <w:t>. PESTEL Analysis of Alibaba Group. Adapted from corporate strategy literature and Alibaba ESG Reports (2024–2025).</w:t>
          </w:r>
          <w:bookmarkEnd w:id="10"/>
        </w:p>
        <w:p w14:paraId="2542C2BB">
          <w:pPr>
            <w:pStyle w:val="25"/>
            <w:numPr>
              <w:ilvl w:val="0"/>
              <w:numId w:val="2"/>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Political</w:t>
          </w:r>
          <w:r>
            <w:rPr>
              <w:rFonts w:ascii="Arial" w:hAnsi="Arial" w:cs="Arial"/>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Chinese government policies and regulatory frameworks have a significant impact on Alibaba. Heightened scrutiny of big tech companies and antitrust laws in China have had a direct impact on its business operations and expansion plans. There is also a political strain between China and the western world which hamper the international expansion range of Alibaba. (Lee, 2024).</w:t>
          </w:r>
        </w:p>
        <w:p w14:paraId="57C7A939">
          <w:pPr>
            <w:pStyle w:val="25"/>
            <w:numPr>
              <w:ilvl w:val="0"/>
              <w:numId w:val="2"/>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Economic</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The e-commerce income of Alibaba is affected by global economic shifts, inflation and a shift in consumer spending behavior. As the high consumer base in China creates stability in demand, sluggish economic growth in the global arena cuts cross border trade. To counter, Alibaba has been strategic in investing in cloud computing and digital capabilities to lessen reliance on retail cycles and enhance revenue stability (Kumar, 2023).</w:t>
          </w:r>
        </w:p>
        <w:p w14:paraId="4E09D5E1">
          <w:pPr>
            <w:pStyle w:val="25"/>
            <w:numPr>
              <w:ilvl w:val="0"/>
              <w:numId w:val="2"/>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Social</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The fast increasing digital consumption, mobile shopping, and evolving consumer behaviour are a strong indicator that supports the business model of Alibaba. Nevertheless, growing worries of data privacy and ethical consumption are informing customer expectations. This has seen Alibaba work on improving customer trust, transparency, and investing in business practices that are socially responsible in order to retain the brand reputation.</w:t>
          </w:r>
        </w:p>
        <w:p w14:paraId="0A1109E5">
          <w:pPr>
            <w:pStyle w:val="25"/>
            <w:numPr>
              <w:ilvl w:val="0"/>
              <w:numId w:val="2"/>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Technological</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One of the sources of competitive advantage of Alibaba is the technological advancement. Its ecosystem is reinforced by artificial intelligence, big data analytics, and cloud computing innovations. One of the key strategic growth directions is Alibaba Cloud, which will allow the company to expand its activities beyond e-commerce and enter the world of enterprise technologies on the international level (Chen, 2024).</w:t>
          </w:r>
        </w:p>
        <w:p w14:paraId="422D1D15">
          <w:pPr>
            <w:pStyle w:val="25"/>
            <w:numPr>
              <w:ilvl w:val="0"/>
              <w:numId w:val="2"/>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Environmental</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The demands of environmental issues and sustainability are putting pressure on Alibaba to lower carbon emissions and enhance green logistics. To meet this, the company has retorted by investing in sustainable supply chain solutions and carbon neutrality efforts, which are in line with environmental responsibility and long-term strategic branding.</w:t>
          </w:r>
        </w:p>
        <w:p w14:paraId="00A2BFE7">
          <w:pPr>
            <w:pStyle w:val="25"/>
            <w:numPr>
              <w:ilvl w:val="0"/>
              <w:numId w:val="2"/>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Legal</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 xml:space="preserve">Alibaba has to deal with complicated legal landscapes such as data protection regulations, cyber security regulations and antitrust inquiries. These legal limitations impact its operational agility and necessitate adjustment of compliance. </w:t>
          </w:r>
        </w:p>
        <w:p w14:paraId="2870E020">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The total overall Link to Strategy.</w:t>
          </w:r>
        </w:p>
        <w:p w14:paraId="392B5CA0">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PESTEL analysis indicates that regulatory pressure and worldwide competition are becoming more influential in the strategy of Alibaba. Consequently, the company is moving to cloud computing, AI development, and the international diversification to be able to maintain long-term competitive advantage.</w:t>
          </w:r>
        </w:p>
        <w:p w14:paraId="3F223355">
          <w:pPr>
            <w:pStyle w:val="2"/>
            <w:rPr>
              <w:rFonts w:cs="Arial"/>
            </w:rPr>
          </w:pPr>
          <w:bookmarkStart w:id="11" w:name="_Toc228222253"/>
          <w:r>
            <w:rPr>
              <w:rFonts w:cs="Arial"/>
            </w:rPr>
            <w:t>5. Micro-Environment Analysis</w:t>
          </w:r>
          <w:bookmarkEnd w:id="11"/>
          <w:r>
            <w:rPr>
              <w:rFonts w:cs="Arial"/>
            </w:rPr>
            <w:t xml:space="preserve"> </w:t>
          </w:r>
        </w:p>
        <w:p w14:paraId="1FA5FD18">
          <w:pPr>
            <w:pStyle w:val="3"/>
            <w:rPr>
              <w:rFonts w:cs="Arial"/>
            </w:rPr>
          </w:pPr>
          <w:bookmarkStart w:id="12" w:name="_Toc228222254"/>
          <w:r>
            <w:rPr>
              <w:rFonts w:cs="Arial"/>
            </w:rPr>
            <w:t>5.1 Industry Life Cycle</w:t>
          </w:r>
          <w:bookmarkEnd w:id="12"/>
        </w:p>
        <w:p w14:paraId="310A5900">
          <w:pPr>
            <w:spacing w:after="0" w:line="360" w:lineRule="auto"/>
            <w:jc w:val="both"/>
            <w:rPr>
              <w:rFonts w:ascii="Arial" w:hAnsi="Arial" w:eastAsia="Times New Roman" w:cs="Arial"/>
              <w:szCs w:val="24"/>
              <w:lang w:eastAsia="en-GB"/>
            </w:rPr>
          </w:pPr>
          <w:r>
            <w:rPr>
              <w:rFonts w:ascii="Arial" w:hAnsi="Arial" w:eastAsia="Times New Roman" w:cs="Arial"/>
              <w:szCs w:val="24"/>
              <w:lang w:eastAsia="en-GB"/>
            </w:rPr>
            <w:t>The Industry Life Cycle model, which comprises of the introduction, growth, maturity and decline phases, can be applied to the e-commerce and digital platform industry that the Alibaba Group is in.</w:t>
          </w:r>
        </w:p>
        <w:p w14:paraId="7114D918">
          <w:pPr>
            <w:keepNext/>
            <w:spacing w:after="0" w:line="360" w:lineRule="auto"/>
            <w:jc w:val="center"/>
            <w:rPr>
              <w:rFonts w:ascii="Arial" w:hAnsi="Arial" w:cs="Arial"/>
            </w:rPr>
          </w:pPr>
          <w:r>
            <w:rPr>
              <w:rFonts w:ascii="Arial" w:hAnsi="Arial" w:eastAsia="Times New Roman" w:cs="Arial"/>
              <w:szCs w:val="24"/>
              <w:lang w:val="en-US"/>
            </w:rPr>
            <w:drawing>
              <wp:inline distT="0" distB="0" distL="0" distR="0">
                <wp:extent cx="2562225" cy="170751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73256" cy="1715408"/>
                        </a:xfrm>
                        <a:prstGeom prst="rect">
                          <a:avLst/>
                        </a:prstGeom>
                      </pic:spPr>
                    </pic:pic>
                  </a:graphicData>
                </a:graphic>
              </wp:inline>
            </w:drawing>
          </w:r>
        </w:p>
        <w:p w14:paraId="1834A814">
          <w:pPr>
            <w:pStyle w:val="9"/>
            <w:jc w:val="center"/>
            <w:rPr>
              <w:rFonts w:ascii="Arial" w:hAnsi="Arial" w:eastAsia="Times New Roman" w:cs="Arial"/>
              <w:sz w:val="24"/>
              <w:szCs w:val="24"/>
              <w:lang w:eastAsia="en-GB"/>
            </w:rPr>
          </w:pPr>
          <w:bookmarkStart w:id="13" w:name="_Toc228222450"/>
          <w:r>
            <w:rPr>
              <w:rFonts w:ascii="Arial" w:hAnsi="Arial" w:cs="Arial"/>
              <w:sz w:val="24"/>
            </w:rPr>
            <w:t xml:space="preserve">Figure </w:t>
          </w:r>
          <w:r>
            <w:rPr>
              <w:rFonts w:ascii="Arial" w:hAnsi="Arial" w:cs="Arial"/>
              <w:sz w:val="24"/>
            </w:rPr>
            <w:fldChar w:fldCharType="begin"/>
          </w:r>
          <w:r>
            <w:rPr>
              <w:rFonts w:ascii="Arial" w:hAnsi="Arial" w:cs="Arial"/>
              <w:sz w:val="24"/>
            </w:rPr>
            <w:instrText xml:space="preserve"> SEQ Figure \* ARABIC </w:instrText>
          </w:r>
          <w:r>
            <w:rPr>
              <w:rFonts w:ascii="Arial" w:hAnsi="Arial" w:cs="Arial"/>
              <w:sz w:val="24"/>
            </w:rPr>
            <w:fldChar w:fldCharType="separate"/>
          </w:r>
          <w:r>
            <w:rPr>
              <w:rFonts w:ascii="Arial" w:hAnsi="Arial" w:cs="Arial"/>
              <w:sz w:val="24"/>
            </w:rPr>
            <w:t>3</w:t>
          </w:r>
          <w:r>
            <w:rPr>
              <w:rFonts w:ascii="Arial" w:hAnsi="Arial" w:cs="Arial"/>
              <w:sz w:val="24"/>
            </w:rPr>
            <w:fldChar w:fldCharType="end"/>
          </w:r>
          <w:r>
            <w:rPr>
              <w:rFonts w:ascii="Arial" w:hAnsi="Arial" w:cs="Arial"/>
              <w:sz w:val="24"/>
            </w:rPr>
            <w:t>. Industry Life Cycle of the E</w:t>
          </w:r>
          <w:r>
            <w:rPr>
              <w:rFonts w:ascii="Cambria Math" w:hAnsi="Cambria Math" w:cs="Cambria Math"/>
              <w:sz w:val="24"/>
            </w:rPr>
            <w:t>‑</w:t>
          </w:r>
          <w:r>
            <w:rPr>
              <w:rFonts w:ascii="Arial" w:hAnsi="Arial" w:cs="Arial"/>
              <w:sz w:val="24"/>
            </w:rPr>
            <w:t>Commerce Sector Applied to Alibaba Group. Adapted from Porter (1980), Li &amp; Zhang (2023), Wang (2024), Chen (2024), and Kumar (2023).</w:t>
          </w:r>
          <w:bookmarkEnd w:id="13"/>
        </w:p>
        <w:p w14:paraId="6144D266">
          <w:pPr>
            <w:pStyle w:val="25"/>
            <w:numPr>
              <w:ilvl w:val="0"/>
              <w:numId w:val="3"/>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Introduction stage:</w:t>
          </w:r>
          <w:r>
            <w:rPr>
              <w:rFonts w:ascii="Arial" w:hAnsi="Arial" w:eastAsia="Times New Roman" w:cs="Arial"/>
              <w:szCs w:val="24"/>
              <w:lang w:eastAsia="en-GB"/>
            </w:rPr>
            <w:t xml:space="preserve"> This is a phase of the fledgling online commerce where digital transactions were constrained by the low internet penetration and low consumer confidence. Alibaba was one of the first firms to address these obstacles by establishing safe and trustworthy platforms to trade in China and this allowed it to expand digital trade early (Li and Zhang, 2023).</w:t>
          </w:r>
        </w:p>
        <w:p w14:paraId="002CC059">
          <w:pPr>
            <w:pStyle w:val="25"/>
            <w:numPr>
              <w:ilvl w:val="0"/>
              <w:numId w:val="3"/>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Growth stage:</w:t>
          </w:r>
          <w:r>
            <w:rPr>
              <w:rFonts w:ascii="Arial" w:hAnsi="Arial" w:eastAsia="Times New Roman" w:cs="Arial"/>
              <w:szCs w:val="24"/>
              <w:lang w:eastAsia="en-GB"/>
            </w:rPr>
            <w:t xml:space="preserve"> Mobile technology, the availability of the internet, and the use of digital payment systems then saw the industry grow rapidly. The Taobao and Tmall platforms helped Alibaba gain on a large scale user adoption and substantial revenue growth in this stage (Wang, 2024).</w:t>
          </w:r>
        </w:p>
        <w:p w14:paraId="3BC333ED">
          <w:pPr>
            <w:pStyle w:val="25"/>
            <w:numPr>
              <w:ilvl w:val="0"/>
              <w:numId w:val="3"/>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Maturity stage:</w:t>
          </w:r>
          <w:r>
            <w:rPr>
              <w:rFonts w:ascii="Arial" w:hAnsi="Arial" w:eastAsia="Times New Roman" w:cs="Arial"/>
              <w:szCs w:val="24"/>
              <w:lang w:eastAsia="en-GB"/>
            </w:rPr>
            <w:t xml:space="preserve"> The worldwide e-commerce market is at the maturity phase, which can be described by the slow growth, high competition, and the saturation of the market in developed markets. Companies like JD.com, Pinduoduo, and Amazon are innovative, price-cutting, and ecosystem integrating rivals (Chen, 2024).</w:t>
          </w:r>
        </w:p>
        <w:p w14:paraId="41748619">
          <w:pPr>
            <w:pStyle w:val="25"/>
            <w:numPr>
              <w:ilvl w:val="0"/>
              <w:numId w:val="3"/>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Decline stage:</w:t>
          </w:r>
          <w:r>
            <w:rPr>
              <w:rFonts w:ascii="Arial" w:hAnsi="Arial" w:eastAsia="Times New Roman" w:cs="Arial"/>
              <w:szCs w:val="24"/>
              <w:lang w:eastAsia="en-GB"/>
            </w:rPr>
            <w:t xml:space="preserve"> The industry is not declining but some of the traditional ways of retailing are being substituted with digital platforms, which signifies structural change but does not show an overall decline of the industry (Kumar, 2023).</w:t>
          </w:r>
        </w:p>
        <w:p w14:paraId="4CAB57F9">
          <w:pPr>
            <w:spacing w:after="0" w:line="360" w:lineRule="auto"/>
            <w:jc w:val="both"/>
            <w:rPr>
              <w:rFonts w:ascii="Arial" w:hAnsi="Arial" w:eastAsia="Times New Roman" w:cs="Arial"/>
              <w:b/>
              <w:szCs w:val="24"/>
              <w:lang w:eastAsia="en-GB"/>
            </w:rPr>
          </w:pPr>
          <w:r>
            <w:rPr>
              <w:rFonts w:ascii="Arial" w:hAnsi="Arial" w:eastAsia="Times New Roman" w:cs="Arial"/>
              <w:b/>
              <w:szCs w:val="24"/>
              <w:lang w:eastAsia="en-GB"/>
            </w:rPr>
            <w:t>Strategic implications</w:t>
          </w:r>
        </w:p>
        <w:p w14:paraId="615D2F39">
          <w:pPr>
            <w:spacing w:after="0" w:line="360" w:lineRule="auto"/>
            <w:jc w:val="both"/>
            <w:rPr>
              <w:rFonts w:ascii="Arial" w:hAnsi="Arial" w:eastAsia="Times New Roman" w:cs="Arial"/>
              <w:szCs w:val="24"/>
              <w:lang w:eastAsia="en-GB"/>
            </w:rPr>
          </w:pPr>
          <w:r>
            <w:rPr>
              <w:rFonts w:ascii="Arial" w:hAnsi="Arial" w:eastAsia="Times New Roman" w:cs="Arial"/>
              <w:szCs w:val="24"/>
              <w:lang w:eastAsia="en-GB"/>
            </w:rPr>
            <w:t>It is evident that Alibaba is on its maturity stage and thus there is less ease of attaining organic growth. This necessitates a long-term strategic move to diversification, technology and internationalization. The heightened interest towards cloud computing and artificial intelligence is likely to indicate that the company will need to minimize its reliance on the flooded e-commerce markets in the future and be able to remain competitive in the long term (Zhang and Liu, 2024).</w:t>
          </w:r>
        </w:p>
        <w:p w14:paraId="0876E790">
          <w:pPr>
            <w:pStyle w:val="3"/>
            <w:rPr>
              <w:rFonts w:cs="Arial"/>
            </w:rPr>
          </w:pPr>
          <w:bookmarkStart w:id="14" w:name="_Toc228222255"/>
          <w:r>
            <w:rPr>
              <w:rFonts w:cs="Arial"/>
            </w:rPr>
            <w:t>5.2 Porters five forces analysis</w:t>
          </w:r>
          <w:bookmarkEnd w:id="14"/>
        </w:p>
        <w:p w14:paraId="16245EDC">
          <w:pPr>
            <w:keepNext/>
            <w:jc w:val="center"/>
            <w:rPr>
              <w:rFonts w:ascii="Arial" w:hAnsi="Arial" w:cs="Arial"/>
            </w:rPr>
          </w:pPr>
          <w:r>
            <w:rPr>
              <w:rFonts w:ascii="Arial" w:hAnsi="Arial" w:cs="Arial"/>
              <w:lang w:val="en-US"/>
            </w:rPr>
            <w:drawing>
              <wp:inline distT="0" distB="0" distL="0" distR="0">
                <wp:extent cx="2857500" cy="190436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0886" cy="1913817"/>
                        </a:xfrm>
                        <a:prstGeom prst="rect">
                          <a:avLst/>
                        </a:prstGeom>
                      </pic:spPr>
                    </pic:pic>
                  </a:graphicData>
                </a:graphic>
              </wp:inline>
            </w:drawing>
          </w:r>
        </w:p>
        <w:p w14:paraId="1C22021B">
          <w:pPr>
            <w:pStyle w:val="9"/>
            <w:jc w:val="center"/>
            <w:rPr>
              <w:rFonts w:ascii="Arial" w:hAnsi="Arial" w:cs="Arial"/>
              <w:sz w:val="24"/>
              <w:lang w:eastAsia="ja-JP"/>
            </w:rPr>
          </w:pPr>
          <w:bookmarkStart w:id="15" w:name="_Toc228222451"/>
          <w:r>
            <w:rPr>
              <w:rFonts w:ascii="Arial" w:hAnsi="Arial" w:cs="Arial"/>
              <w:sz w:val="24"/>
            </w:rPr>
            <w:t xml:space="preserve">Figure </w:t>
          </w:r>
          <w:r>
            <w:rPr>
              <w:rFonts w:ascii="Arial" w:hAnsi="Arial" w:cs="Arial"/>
              <w:sz w:val="24"/>
            </w:rPr>
            <w:fldChar w:fldCharType="begin"/>
          </w:r>
          <w:r>
            <w:rPr>
              <w:rFonts w:ascii="Arial" w:hAnsi="Arial" w:cs="Arial"/>
              <w:sz w:val="24"/>
            </w:rPr>
            <w:instrText xml:space="preserve"> SEQ Figure \* ARABIC </w:instrText>
          </w:r>
          <w:r>
            <w:rPr>
              <w:rFonts w:ascii="Arial" w:hAnsi="Arial" w:cs="Arial"/>
              <w:sz w:val="24"/>
            </w:rPr>
            <w:fldChar w:fldCharType="separate"/>
          </w:r>
          <w:r>
            <w:rPr>
              <w:rFonts w:ascii="Arial" w:hAnsi="Arial" w:cs="Arial"/>
              <w:sz w:val="24"/>
            </w:rPr>
            <w:t>4</w:t>
          </w:r>
          <w:r>
            <w:rPr>
              <w:rFonts w:ascii="Arial" w:hAnsi="Arial" w:cs="Arial"/>
              <w:sz w:val="24"/>
            </w:rPr>
            <w:fldChar w:fldCharType="end"/>
          </w:r>
          <w:r>
            <w:rPr>
              <w:rFonts w:ascii="Arial" w:hAnsi="Arial" w:cs="Arial"/>
              <w:sz w:val="24"/>
            </w:rPr>
            <w:t>. Porter’s Five Forces Analysis of Alibaba Group. Adapted from Porter (1980) and corporate strategy literature</w:t>
          </w:r>
          <w:bookmarkEnd w:id="15"/>
        </w:p>
        <w:p w14:paraId="1941325C">
          <w:pPr>
            <w:pStyle w:val="25"/>
            <w:numPr>
              <w:ilvl w:val="0"/>
              <w:numId w:val="4"/>
            </w:numPr>
            <w:spacing w:after="0" w:line="360" w:lineRule="auto"/>
            <w:jc w:val="both"/>
            <w:rPr>
              <w:rFonts w:ascii="Arial" w:hAnsi="Arial" w:eastAsia="Times New Roman" w:cs="Arial"/>
              <w:b/>
              <w:szCs w:val="24"/>
              <w:lang w:eastAsia="en-GB"/>
            </w:rPr>
          </w:pPr>
          <w:r>
            <w:rPr>
              <w:rFonts w:ascii="Arial" w:hAnsi="Arial" w:eastAsia="Times New Roman" w:cs="Arial"/>
              <w:b/>
              <w:szCs w:val="24"/>
              <w:lang w:eastAsia="en-GB"/>
            </w:rPr>
            <w:t xml:space="preserve">Competitive Rivalry (High): </w:t>
          </w:r>
          <w:r>
            <w:rPr>
              <w:rFonts w:ascii="Arial" w:hAnsi="Arial" w:eastAsia="Times New Roman" w:cs="Arial"/>
              <w:szCs w:val="24"/>
              <w:lang w:eastAsia="en-GB"/>
            </w:rPr>
            <w:t>The intensity of competition in the e-commerce sector is very high with powerful competitors like JD.com, Pinduoduo and international competitors like Amazon. Such a high level of competition makes Alibaba constantly innovate and improve the customer experience so as to remain a market leader (Porter, 2008; remains relevant in digital markets, as discussed by Lee, 2024).</w:t>
          </w:r>
        </w:p>
        <w:p w14:paraId="2058AEDD">
          <w:pPr>
            <w:pStyle w:val="25"/>
            <w:numPr>
              <w:ilvl w:val="0"/>
              <w:numId w:val="4"/>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Threat of New Entrants (Low</w:t>
          </w:r>
          <w:r>
            <w:rPr>
              <w:rFonts w:ascii="Arial" w:hAnsi="Arial" w:eastAsia="Times New Roman" w:cs="Arial"/>
              <w:szCs w:val="24"/>
              <w:lang w:eastAsia="en-GB"/>
            </w:rPr>
            <w:t>): There are high barriers to entry because of good brand recognition, well established logistics networks, and high capital requirements. This makes it difficult to compete on scale with well-established platforms such as Alibaba by new entrants (Chen, 2024).</w:t>
          </w:r>
        </w:p>
        <w:p w14:paraId="2D752D68">
          <w:pPr>
            <w:pStyle w:val="25"/>
            <w:numPr>
              <w:ilvl w:val="0"/>
              <w:numId w:val="4"/>
            </w:numPr>
            <w:spacing w:after="0" w:line="360" w:lineRule="auto"/>
            <w:jc w:val="both"/>
            <w:rPr>
              <w:rFonts w:ascii="Arial" w:hAnsi="Arial" w:eastAsia="Times New Roman" w:cs="Arial"/>
              <w:b/>
              <w:szCs w:val="24"/>
              <w:lang w:eastAsia="en-GB"/>
            </w:rPr>
          </w:pPr>
          <w:r>
            <w:rPr>
              <w:rFonts w:ascii="Arial" w:hAnsi="Arial" w:eastAsia="Times New Roman" w:cs="Arial"/>
              <w:b/>
              <w:szCs w:val="24"/>
              <w:lang w:eastAsia="en-GB"/>
            </w:rPr>
            <w:t xml:space="preserve">Supplier Power (Low to Moderate): </w:t>
          </w:r>
          <w:r>
            <w:rPr>
              <w:rFonts w:ascii="Arial" w:hAnsi="Arial" w:eastAsia="Times New Roman" w:cs="Arial"/>
              <w:szCs w:val="24"/>
              <w:lang w:eastAsia="en-GB"/>
            </w:rPr>
            <w:t>Alibaba has a platform ecosystem comprising of millions of sellers, which makes the company less reliant on suppliers. Nonetheless, the logistics providers and cloud infrastructures providers have moderate bargaining power because of the dependence on operations (Wang, 2023).</w:t>
          </w:r>
        </w:p>
        <w:p w14:paraId="645566C5">
          <w:pPr>
            <w:pStyle w:val="25"/>
            <w:numPr>
              <w:ilvl w:val="0"/>
              <w:numId w:val="4"/>
            </w:numPr>
            <w:spacing w:after="0" w:line="360" w:lineRule="auto"/>
            <w:jc w:val="both"/>
            <w:rPr>
              <w:rFonts w:ascii="Arial" w:hAnsi="Arial" w:eastAsia="Times New Roman" w:cs="Arial"/>
              <w:b/>
              <w:szCs w:val="24"/>
              <w:lang w:eastAsia="en-GB"/>
            </w:rPr>
          </w:pPr>
          <w:r>
            <w:rPr>
              <w:rFonts w:ascii="Arial" w:hAnsi="Arial" w:eastAsia="Times New Roman" w:cs="Arial"/>
              <w:b/>
              <w:szCs w:val="24"/>
              <w:lang w:eastAsia="en-GB"/>
            </w:rPr>
            <w:t xml:space="preserve">Buyer Power (High): </w:t>
          </w:r>
          <w:r>
            <w:rPr>
              <w:rFonts w:ascii="Arial" w:hAnsi="Arial" w:eastAsia="Times New Roman" w:cs="Arial"/>
              <w:szCs w:val="24"/>
              <w:lang w:eastAsia="en-GB"/>
            </w:rPr>
            <w:t>Bargaining power of the consumers is high due to low switching cost and accessibility of other platforms. This compels Alibaba to sustain competitive prices, convenience, and quality of service to keep users (Kumar, 2023).</w:t>
          </w:r>
        </w:p>
        <w:p w14:paraId="0541D2B5">
          <w:pPr>
            <w:pStyle w:val="25"/>
            <w:numPr>
              <w:ilvl w:val="0"/>
              <w:numId w:val="4"/>
            </w:numPr>
            <w:spacing w:after="0" w:line="360" w:lineRule="auto"/>
            <w:jc w:val="both"/>
            <w:rPr>
              <w:rFonts w:ascii="Arial" w:hAnsi="Arial" w:eastAsia="Times New Roman" w:cs="Arial"/>
              <w:b/>
              <w:szCs w:val="24"/>
              <w:lang w:eastAsia="en-GB"/>
            </w:rPr>
          </w:pPr>
          <w:r>
            <w:rPr>
              <w:rFonts w:ascii="Arial" w:hAnsi="Arial" w:eastAsia="Times New Roman" w:cs="Arial"/>
              <w:b/>
              <w:szCs w:val="24"/>
              <w:lang w:eastAsia="en-GB"/>
            </w:rPr>
            <w:t xml:space="preserve">Threat of Substitutes (High): </w:t>
          </w:r>
          <w:r>
            <w:rPr>
              <w:rFonts w:ascii="Arial" w:hAnsi="Arial" w:eastAsia="Times New Roman" w:cs="Arial"/>
              <w:szCs w:val="24"/>
              <w:lang w:eastAsia="en-GB"/>
            </w:rPr>
            <w:t>The possible substitutes are offline retail shops, online stores owned by brands and social shopping sites. Some of these options put more strain on Alibaba to keep on enhancing user experience and value of their digital ecosystem (Li and Zhang, 2023).</w:t>
          </w:r>
        </w:p>
        <w:p w14:paraId="46DF65E4">
          <w:pPr>
            <w:spacing w:after="0" w:line="360" w:lineRule="auto"/>
            <w:jc w:val="both"/>
            <w:rPr>
              <w:rFonts w:ascii="Arial" w:hAnsi="Arial" w:eastAsia="Times New Roman" w:cs="Arial"/>
              <w:b/>
              <w:szCs w:val="24"/>
              <w:lang w:eastAsia="en-GB"/>
            </w:rPr>
          </w:pPr>
          <w:r>
            <w:rPr>
              <w:rFonts w:ascii="Arial" w:hAnsi="Arial" w:eastAsia="Times New Roman" w:cs="Arial"/>
              <w:b/>
              <w:szCs w:val="24"/>
              <w:lang w:eastAsia="en-GB"/>
            </w:rPr>
            <w:t>Industry Attractiveness Conclusion</w:t>
          </w:r>
        </w:p>
        <w:p w14:paraId="58BB3169">
          <w:pPr>
            <w:spacing w:after="0" w:line="360" w:lineRule="auto"/>
            <w:jc w:val="both"/>
            <w:rPr>
              <w:rFonts w:ascii="Arial" w:hAnsi="Arial" w:eastAsia="Times New Roman" w:cs="Arial"/>
              <w:szCs w:val="24"/>
              <w:lang w:eastAsia="en-GB"/>
            </w:rPr>
          </w:pPr>
          <w:r>
            <w:rPr>
              <w:rFonts w:ascii="Arial" w:hAnsi="Arial" w:eastAsia="Times New Roman" w:cs="Arial"/>
              <w:szCs w:val="24"/>
              <w:lang w:eastAsia="en-GB"/>
            </w:rPr>
            <w:t>On the whole, the e-commerce sector is average attractive but competitive. Although barriers to entry are high and protect established firms, high rivalry and buyer power decrease long-term profit margins.  (Zhang &amp; Liu, 2024).</w:t>
          </w:r>
        </w:p>
        <w:p w14:paraId="206372F2">
          <w:pPr>
            <w:pStyle w:val="2"/>
            <w:rPr>
              <w:rFonts w:cs="Arial"/>
            </w:rPr>
          </w:pPr>
          <w:bookmarkStart w:id="16" w:name="_Toc228222256"/>
          <w:r>
            <w:rPr>
              <w:rFonts w:cs="Arial"/>
            </w:rPr>
            <w:t>6. Internal Analysis</w:t>
          </w:r>
          <w:bookmarkEnd w:id="16"/>
          <w:r>
            <w:rPr>
              <w:rFonts w:cs="Arial"/>
            </w:rPr>
            <w:t xml:space="preserve"> </w:t>
          </w:r>
        </w:p>
        <w:p w14:paraId="2A8B6B72">
          <w:pPr>
            <w:pStyle w:val="3"/>
            <w:rPr>
              <w:rFonts w:cs="Arial"/>
            </w:rPr>
          </w:pPr>
          <w:bookmarkStart w:id="17" w:name="_Toc228222257"/>
          <w:r>
            <w:rPr>
              <w:rFonts w:cs="Arial"/>
            </w:rPr>
            <w:t>6.1 Strategic Resources and Capabilities.</w:t>
          </w:r>
          <w:bookmarkEnd w:id="17"/>
        </w:p>
        <w:p w14:paraId="0F9EB408">
          <w:pPr>
            <w:spacing w:after="0" w:line="360" w:lineRule="auto"/>
            <w:jc w:val="both"/>
            <w:rPr>
              <w:rFonts w:ascii="Arial" w:hAnsi="Arial" w:eastAsia="Times New Roman" w:cs="Arial"/>
              <w:szCs w:val="24"/>
              <w:lang w:eastAsia="en-GB"/>
            </w:rPr>
          </w:pPr>
          <w:r>
            <w:rPr>
              <w:rFonts w:ascii="Arial" w:hAnsi="Arial" w:eastAsia="Times New Roman" w:cs="Arial"/>
              <w:szCs w:val="24"/>
              <w:lang w:eastAsia="en-GB"/>
            </w:rPr>
            <w:t>Alibaba Group has numerous strategic resources and capabilities that form the basis of its competitive edge in the digital economy worldwide.</w:t>
          </w:r>
        </w:p>
        <w:p w14:paraId="3B2453C1">
          <w:pPr>
            <w:spacing w:after="0" w:line="360" w:lineRule="auto"/>
            <w:jc w:val="both"/>
            <w:rPr>
              <w:rFonts w:ascii="Arial" w:hAnsi="Arial" w:eastAsia="Times New Roman" w:cs="Arial"/>
              <w:szCs w:val="24"/>
              <w:lang w:eastAsia="en-GB"/>
            </w:rPr>
          </w:pPr>
          <w:r>
            <w:rPr>
              <w:rFonts w:ascii="Arial" w:hAnsi="Arial" w:eastAsia="Times New Roman" w:cs="Arial"/>
              <w:szCs w:val="24"/>
              <w:lang w:eastAsia="en-GB"/>
            </w:rPr>
            <w:t>Physical assets comprise its high technology infrastructure, giant data centres, logistics system (Cainiao) and its robust financial capabilities due to its diversified revenue streams through e-commerce, cloud computing and digital services.  (Chen, 2024).</w:t>
          </w:r>
        </w:p>
        <w:p w14:paraId="5AF7D7D8">
          <w:pPr>
            <w:spacing w:after="0" w:line="360" w:lineRule="auto"/>
            <w:jc w:val="both"/>
            <w:rPr>
              <w:rFonts w:ascii="Arial" w:hAnsi="Arial" w:eastAsia="Times New Roman" w:cs="Arial"/>
              <w:szCs w:val="24"/>
              <w:lang w:eastAsia="en-GB"/>
            </w:rPr>
          </w:pPr>
          <w:r>
            <w:rPr>
              <w:rFonts w:ascii="Arial" w:hAnsi="Arial" w:eastAsia="Times New Roman" w:cs="Arial"/>
              <w:szCs w:val="24"/>
              <w:lang w:eastAsia="en-GB"/>
            </w:rPr>
            <w:t>More important are intangible resources which comprise the good brand name of Alibaba, the large amount of data about customers, the trust of the platform, intellectual property of the company, and the network effects of the ecosystem. Its online ecosystem that incorporates sellers, buyers, logistics providers, and financial services instills high user dependency and loyalty, enhancing long-term competitiveness (Wang, 2023).</w:t>
          </w:r>
        </w:p>
        <w:p w14:paraId="03B52682">
          <w:pPr>
            <w:spacing w:after="0" w:line="360" w:lineRule="auto"/>
            <w:jc w:val="both"/>
            <w:rPr>
              <w:rFonts w:ascii="Arial" w:hAnsi="Arial" w:eastAsia="Times New Roman" w:cs="Arial"/>
              <w:szCs w:val="24"/>
              <w:lang w:eastAsia="en-GB"/>
            </w:rPr>
          </w:pPr>
          <w:r>
            <w:rPr>
              <w:rFonts w:ascii="Arial" w:hAnsi="Arial" w:eastAsia="Times New Roman" w:cs="Arial"/>
              <w:szCs w:val="24"/>
              <w:lang w:eastAsia="en-GB"/>
            </w:rPr>
            <w:t>Capabilities are the capabilities of Alibaba to combine technology, data analytics, and artificial intelligence to improve customer experience and operational efficiency. One of the main sources of sustained competitive advantage is its ability to orchestrate ecosystems and manage platforms (Zhang and Liu, 2024).</w:t>
          </w:r>
        </w:p>
        <w:p w14:paraId="3D3A53F6">
          <w:pPr>
            <w:pStyle w:val="3"/>
            <w:rPr>
              <w:rFonts w:cs="Arial"/>
            </w:rPr>
          </w:pPr>
          <w:bookmarkStart w:id="18" w:name="_Toc228222258"/>
          <w:r>
            <w:rPr>
              <w:rFonts w:cs="Arial"/>
            </w:rPr>
            <w:t>6.2 Value Chain Analysis</w:t>
          </w:r>
          <w:bookmarkEnd w:id="18"/>
        </w:p>
        <w:p w14:paraId="68FC4FFB">
          <w:pPr>
            <w:spacing w:after="0" w:line="360" w:lineRule="auto"/>
            <w:jc w:val="both"/>
            <w:rPr>
              <w:rFonts w:ascii="Arial" w:hAnsi="Arial" w:eastAsia="Times New Roman" w:cs="Arial"/>
              <w:szCs w:val="24"/>
              <w:lang w:eastAsia="en-GB"/>
            </w:rPr>
          </w:pPr>
          <w:r>
            <w:rPr>
              <w:rFonts w:ascii="Arial" w:hAnsi="Arial" w:eastAsia="Times New Roman" w:cs="Arial"/>
              <w:szCs w:val="24"/>
              <w:lang w:eastAsia="en-GB"/>
            </w:rPr>
            <w:t>The efficiency of digital platforms and integration of technology are the main drivers of Alibaba value chain.</w:t>
          </w:r>
        </w:p>
        <w:p w14:paraId="21F27468">
          <w:pPr>
            <w:spacing w:after="0" w:line="360" w:lineRule="auto"/>
            <w:jc w:val="both"/>
            <w:rPr>
              <w:rFonts w:ascii="Arial" w:hAnsi="Arial" w:eastAsia="Times New Roman" w:cs="Arial"/>
              <w:b/>
              <w:szCs w:val="24"/>
              <w:lang w:eastAsia="en-GB"/>
            </w:rPr>
          </w:pPr>
          <w:r>
            <w:rPr>
              <w:rFonts w:ascii="Arial" w:hAnsi="Arial" w:eastAsia="Times New Roman" w:cs="Arial"/>
              <w:b/>
              <w:szCs w:val="24"/>
              <w:lang w:eastAsia="en-GB"/>
            </w:rPr>
            <w:t>Primary Activities:</w:t>
          </w:r>
        </w:p>
        <w:p w14:paraId="6D6871D3">
          <w:pPr>
            <w:pStyle w:val="25"/>
            <w:numPr>
              <w:ilvl w:val="0"/>
              <w:numId w:val="5"/>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Inbound logistics:</w:t>
          </w:r>
          <w:r>
            <w:rPr>
              <w:rFonts w:ascii="Arial" w:hAnsi="Arial" w:eastAsia="Times New Roman" w:cs="Arial"/>
              <w:szCs w:val="24"/>
              <w:lang w:eastAsia="en-GB"/>
            </w:rPr>
            <w:t xml:space="preserve"> Cainiao logistics network, which allows the effective interaction of suppliers and warehouses.</w:t>
          </w:r>
        </w:p>
        <w:p w14:paraId="5AE3A6C2">
          <w:pPr>
            <w:pStyle w:val="25"/>
            <w:numPr>
              <w:ilvl w:val="0"/>
              <w:numId w:val="5"/>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Operation:</w:t>
          </w:r>
          <w:r>
            <w:rPr>
              <w:rFonts w:ascii="Arial" w:hAnsi="Arial" w:eastAsia="Times New Roman" w:cs="Arial"/>
              <w:szCs w:val="24"/>
              <w:lang w:eastAsia="en-GB"/>
            </w:rPr>
            <w:t xml:space="preserve"> Platform based transaction processing in Taobao, Tmall and overseas platforms provides a high degree of scalability.</w:t>
          </w:r>
        </w:p>
        <w:p w14:paraId="6A814B19">
          <w:pPr>
            <w:pStyle w:val="25"/>
            <w:numPr>
              <w:ilvl w:val="0"/>
              <w:numId w:val="5"/>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Outbound logistics:</w:t>
          </w:r>
          <w:r>
            <w:rPr>
              <w:rFonts w:ascii="Arial" w:hAnsi="Arial" w:eastAsia="Times New Roman" w:cs="Arial"/>
              <w:szCs w:val="24"/>
              <w:lang w:eastAsia="en-GB"/>
            </w:rPr>
            <w:t xml:space="preserve"> The logistics partners provide coordination of delivery, which guarantees a quick and reliable delivery of orders.</w:t>
          </w:r>
        </w:p>
        <w:p w14:paraId="7D2AEA20">
          <w:pPr>
            <w:pStyle w:val="25"/>
            <w:numPr>
              <w:ilvl w:val="0"/>
              <w:numId w:val="6"/>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Marketing &amp; Sales:</w:t>
          </w:r>
          <w:r>
            <w:rPr>
              <w:rFonts w:ascii="Arial" w:hAnsi="Arial" w:eastAsia="Times New Roman" w:cs="Arial"/>
              <w:szCs w:val="24"/>
              <w:lang w:eastAsia="en-GB"/>
            </w:rPr>
            <w:t xml:space="preserve"> Digital marketing, AI-based suggestions, and data analytics enhance targeting and customer acquisition.</w:t>
          </w:r>
        </w:p>
        <w:p w14:paraId="1FCBD4AE">
          <w:pPr>
            <w:pStyle w:val="25"/>
            <w:numPr>
              <w:ilvl w:val="0"/>
              <w:numId w:val="6"/>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Service:</w:t>
          </w:r>
          <w:r>
            <w:rPr>
              <w:rFonts w:ascii="Arial" w:hAnsi="Arial" w:eastAsia="Times New Roman" w:cs="Arial"/>
              <w:szCs w:val="24"/>
              <w:lang w:eastAsia="en-GB"/>
            </w:rPr>
            <w:t xml:space="preserve"> Customer support systems, dispute systems and seller support boost trust and platform reliability.</w:t>
          </w:r>
        </w:p>
        <w:p w14:paraId="59A442CC">
          <w:pPr>
            <w:spacing w:after="0" w:line="360" w:lineRule="auto"/>
            <w:jc w:val="both"/>
            <w:rPr>
              <w:rFonts w:ascii="Arial" w:hAnsi="Arial" w:eastAsia="Times New Roman" w:cs="Arial"/>
              <w:b/>
              <w:szCs w:val="24"/>
              <w:lang w:eastAsia="en-GB"/>
            </w:rPr>
          </w:pPr>
          <w:r>
            <w:rPr>
              <w:rFonts w:ascii="Arial" w:hAnsi="Arial" w:eastAsia="Times New Roman" w:cs="Arial"/>
              <w:b/>
              <w:szCs w:val="24"/>
              <w:lang w:eastAsia="en-GB"/>
            </w:rPr>
            <w:t>Support Activities:</w:t>
          </w:r>
        </w:p>
        <w:p w14:paraId="0DA366DA">
          <w:pPr>
            <w:pStyle w:val="25"/>
            <w:numPr>
              <w:ilvl w:val="0"/>
              <w:numId w:val="7"/>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Human Resources:</w:t>
          </w:r>
          <w:r>
            <w:rPr>
              <w:rFonts w:ascii="Arial" w:hAnsi="Arial" w:eastAsia="Times New Roman" w:cs="Arial"/>
              <w:szCs w:val="24"/>
              <w:lang w:eastAsia="en-GB"/>
            </w:rPr>
            <w:t xml:space="preserve"> Concentrate on talent development in AI, engineering, and data science.</w:t>
          </w:r>
        </w:p>
        <w:p w14:paraId="50AD6B66">
          <w:pPr>
            <w:pStyle w:val="25"/>
            <w:numPr>
              <w:ilvl w:val="0"/>
              <w:numId w:val="7"/>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Technology Development:</w:t>
          </w:r>
          <w:r>
            <w:rPr>
              <w:rFonts w:ascii="Arial" w:hAnsi="Arial" w:eastAsia="Times New Roman" w:cs="Arial"/>
              <w:szCs w:val="24"/>
              <w:lang w:eastAsia="en-GB"/>
            </w:rPr>
            <w:t xml:space="preserve"> Alibaba Cloud and AI development are strategic drivers.</w:t>
          </w:r>
        </w:p>
        <w:p w14:paraId="27FDF65B">
          <w:pPr>
            <w:pStyle w:val="25"/>
            <w:numPr>
              <w:ilvl w:val="0"/>
              <w:numId w:val="7"/>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Procurement:</w:t>
          </w:r>
          <w:r>
            <w:rPr>
              <w:rFonts w:ascii="Arial" w:hAnsi="Arial" w:eastAsia="Times New Roman" w:cs="Arial"/>
              <w:szCs w:val="24"/>
              <w:lang w:eastAsia="en-GB"/>
            </w:rPr>
            <w:t xml:space="preserve"> Strategic collaboration with suppliers and logistics providers are efficient.</w:t>
          </w:r>
        </w:p>
        <w:p w14:paraId="50296783">
          <w:pPr>
            <w:pStyle w:val="25"/>
            <w:numPr>
              <w:ilvl w:val="0"/>
              <w:numId w:val="7"/>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Infrastructure:</w:t>
          </w:r>
          <w:r>
            <w:rPr>
              <w:rFonts w:ascii="Arial" w:hAnsi="Arial" w:eastAsia="Times New Roman" w:cs="Arial"/>
              <w:szCs w:val="24"/>
              <w:lang w:eastAsia="en-GB"/>
            </w:rPr>
            <w:t xml:space="preserve"> Robust digital infrastructure enables high volume and worldwide scalability.</w:t>
          </w:r>
        </w:p>
        <w:p w14:paraId="5F74EDD8">
          <w:pPr>
            <w:spacing w:after="0" w:line="360" w:lineRule="auto"/>
            <w:jc w:val="both"/>
            <w:rPr>
              <w:rFonts w:ascii="Arial" w:hAnsi="Arial" w:eastAsia="Times New Roman" w:cs="Arial"/>
              <w:b/>
              <w:szCs w:val="24"/>
              <w:lang w:eastAsia="en-GB"/>
            </w:rPr>
          </w:pPr>
          <w:r>
            <w:rPr>
              <w:rFonts w:ascii="Arial" w:hAnsi="Arial" w:eastAsia="Times New Roman" w:cs="Arial"/>
              <w:szCs w:val="24"/>
              <w:lang w:eastAsia="en-GB"/>
            </w:rPr>
            <w:t xml:space="preserve"> </w:t>
          </w:r>
          <w:r>
            <w:rPr>
              <w:rFonts w:ascii="Arial" w:hAnsi="Arial" w:eastAsia="Times New Roman" w:cs="Arial"/>
              <w:b/>
              <w:szCs w:val="24"/>
              <w:lang w:eastAsia="en-GB"/>
            </w:rPr>
            <w:t>Competitive advantage link:</w:t>
          </w:r>
        </w:p>
        <w:p w14:paraId="4E09A26B">
          <w:pPr>
            <w:spacing w:after="0" w:line="360" w:lineRule="auto"/>
            <w:jc w:val="both"/>
            <w:rPr>
              <w:rFonts w:ascii="Arial" w:hAnsi="Arial" w:eastAsia="Times New Roman" w:cs="Arial"/>
              <w:szCs w:val="24"/>
              <w:lang w:eastAsia="en-GB"/>
            </w:rPr>
          </w:pPr>
          <w:r>
            <w:rPr>
              <w:rFonts w:ascii="Arial" w:hAnsi="Arial" w:eastAsia="Times New Roman" w:cs="Arial"/>
              <w:szCs w:val="24"/>
              <w:lang w:eastAsia="en-GB"/>
            </w:rPr>
            <w:t>It has a highly integrated and technology-based value chain, which allows Alibaba to achieve cost-efficiency, scalability, and excellent customer experience, which is unattainable with traditional retail systems (Chen, 2024).</w:t>
          </w:r>
        </w:p>
        <w:p w14:paraId="62A8AFD2">
          <w:pPr>
            <w:pStyle w:val="3"/>
            <w:rPr>
              <w:rFonts w:cs="Arial"/>
            </w:rPr>
          </w:pPr>
          <w:bookmarkStart w:id="19" w:name="_Toc228222259"/>
          <w:r>
            <w:rPr>
              <w:rFonts w:cs="Arial"/>
            </w:rPr>
            <w:t>6.3 VRIO Analysis</w:t>
          </w:r>
          <w:bookmarkEnd w:id="19"/>
        </w:p>
        <w:p w14:paraId="5E1D3CA3">
          <w:pPr>
            <w:keepNext/>
            <w:jc w:val="center"/>
            <w:rPr>
              <w:rFonts w:ascii="Arial" w:hAnsi="Arial" w:cs="Arial"/>
              <w:sz w:val="36"/>
            </w:rPr>
          </w:pPr>
          <w:r>
            <w:rPr>
              <w:rFonts w:ascii="Arial" w:hAnsi="Arial" w:cs="Arial"/>
              <w:sz w:val="36"/>
              <w:lang w:val="en-US"/>
            </w:rPr>
            <w:drawing>
              <wp:inline distT="0" distB="0" distL="0" distR="0">
                <wp:extent cx="2814320" cy="187642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34354" cy="1889465"/>
                        </a:xfrm>
                        <a:prstGeom prst="rect">
                          <a:avLst/>
                        </a:prstGeom>
                      </pic:spPr>
                    </pic:pic>
                  </a:graphicData>
                </a:graphic>
              </wp:inline>
            </w:drawing>
          </w:r>
        </w:p>
        <w:p w14:paraId="169D3192">
          <w:pPr>
            <w:pStyle w:val="9"/>
            <w:jc w:val="center"/>
            <w:rPr>
              <w:rFonts w:ascii="Arial" w:hAnsi="Arial" w:cs="Arial"/>
              <w:sz w:val="24"/>
              <w:lang w:eastAsia="ja-JP"/>
            </w:rPr>
          </w:pPr>
          <w:bookmarkStart w:id="20" w:name="_Toc228222452"/>
          <w:r>
            <w:rPr>
              <w:rFonts w:ascii="Arial" w:hAnsi="Arial" w:cs="Arial"/>
              <w:sz w:val="24"/>
            </w:rPr>
            <w:t xml:space="preserve">Figure </w:t>
          </w:r>
          <w:r>
            <w:rPr>
              <w:rFonts w:ascii="Arial" w:hAnsi="Arial" w:cs="Arial"/>
              <w:sz w:val="24"/>
            </w:rPr>
            <w:fldChar w:fldCharType="begin"/>
          </w:r>
          <w:r>
            <w:rPr>
              <w:rFonts w:ascii="Arial" w:hAnsi="Arial" w:cs="Arial"/>
              <w:sz w:val="24"/>
            </w:rPr>
            <w:instrText xml:space="preserve"> SEQ Figure \* ARABIC </w:instrText>
          </w:r>
          <w:r>
            <w:rPr>
              <w:rFonts w:ascii="Arial" w:hAnsi="Arial" w:cs="Arial"/>
              <w:sz w:val="24"/>
            </w:rPr>
            <w:fldChar w:fldCharType="separate"/>
          </w:r>
          <w:r>
            <w:rPr>
              <w:rFonts w:ascii="Arial" w:hAnsi="Arial" w:cs="Arial"/>
              <w:sz w:val="24"/>
            </w:rPr>
            <w:t>5</w:t>
          </w:r>
          <w:r>
            <w:rPr>
              <w:rFonts w:ascii="Arial" w:hAnsi="Arial" w:cs="Arial"/>
              <w:sz w:val="24"/>
            </w:rPr>
            <w:fldChar w:fldCharType="end"/>
          </w:r>
          <w:r>
            <w:rPr>
              <w:rFonts w:ascii="Arial" w:hAnsi="Arial" w:cs="Arial"/>
              <w:sz w:val="24"/>
            </w:rPr>
            <w:t>. VRIO Analysis of Alibaba Group. Adapted from Barney (1991) and corporate strategy literature.</w:t>
          </w:r>
          <w:bookmarkEnd w:id="20"/>
        </w:p>
        <w:p w14:paraId="7C6DFA08">
          <w:pPr>
            <w:pStyle w:val="25"/>
            <w:numPr>
              <w:ilvl w:val="0"/>
              <w:numId w:val="8"/>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Value:</w:t>
          </w:r>
          <w:r>
            <w:rPr>
              <w:rFonts w:ascii="Arial" w:hAnsi="Arial" w:eastAsia="Times New Roman" w:cs="Arial"/>
              <w:szCs w:val="24"/>
              <w:lang w:eastAsia="en-GB"/>
            </w:rPr>
            <w:t xml:space="preserve"> Alibaba ecosystem, data resources, and cloud computing bring a great value through creating efficiency and customer experience.</w:t>
          </w:r>
        </w:p>
        <w:p w14:paraId="221DF095">
          <w:pPr>
            <w:pStyle w:val="25"/>
            <w:numPr>
              <w:ilvl w:val="0"/>
              <w:numId w:val="8"/>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Rarity:</w:t>
          </w:r>
          <w:r>
            <w:rPr>
              <w:rFonts w:ascii="Arial" w:hAnsi="Arial" w:eastAsia="Times New Roman" w:cs="Arial"/>
              <w:szCs w:val="24"/>
              <w:lang w:eastAsia="en-GB"/>
            </w:rPr>
            <w:t xml:space="preserve"> The global market has never seen such an integrated digital ecosystem and a huge number of users.</w:t>
          </w:r>
        </w:p>
        <w:p w14:paraId="71A3385A">
          <w:pPr>
            <w:pStyle w:val="25"/>
            <w:numPr>
              <w:ilvl w:val="0"/>
              <w:numId w:val="8"/>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Imitability:</w:t>
          </w:r>
          <w:r>
            <w:rPr>
              <w:rFonts w:ascii="Arial" w:hAnsi="Arial" w:eastAsia="Times New Roman" w:cs="Arial"/>
              <w:szCs w:val="24"/>
              <w:lang w:eastAsia="en-GB"/>
            </w:rPr>
            <w:t xml:space="preserve"> Network effects, data accumulation, and technological complexity make it challenging to be imitated.</w:t>
          </w:r>
        </w:p>
        <w:p w14:paraId="4B8A8BA8">
          <w:pPr>
            <w:pStyle w:val="25"/>
            <w:numPr>
              <w:ilvl w:val="0"/>
              <w:numId w:val="8"/>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Organisation:</w:t>
          </w:r>
          <w:r>
            <w:rPr>
              <w:rFonts w:ascii="Arial" w:hAnsi="Arial" w:eastAsia="Times New Roman" w:cs="Arial"/>
              <w:szCs w:val="24"/>
              <w:lang w:eastAsia="en-GB"/>
            </w:rPr>
            <w:t xml:space="preserve"> Alibaba is well organised with a good leadership and dedicated to innovation, which allows it to use its resources efficiently.</w:t>
          </w:r>
        </w:p>
        <w:p w14:paraId="11096436">
          <w:pPr>
            <w:spacing w:after="0" w:line="360" w:lineRule="auto"/>
            <w:jc w:val="both"/>
            <w:rPr>
              <w:rFonts w:ascii="Arial" w:hAnsi="Arial" w:eastAsia="Times New Roman" w:cs="Arial"/>
              <w:szCs w:val="24"/>
              <w:lang w:eastAsia="en-GB"/>
            </w:rPr>
          </w:pPr>
        </w:p>
        <w:p w14:paraId="68A4E090">
          <w:pPr>
            <w:spacing w:after="0" w:line="360" w:lineRule="auto"/>
            <w:jc w:val="both"/>
            <w:rPr>
              <w:rFonts w:ascii="Arial" w:hAnsi="Arial" w:eastAsia="Times New Roman" w:cs="Arial"/>
              <w:b/>
              <w:szCs w:val="24"/>
              <w:lang w:eastAsia="en-GB"/>
            </w:rPr>
          </w:pPr>
          <w:r>
            <w:rPr>
              <w:rFonts w:ascii="Arial" w:hAnsi="Arial" w:eastAsia="Times New Roman" w:cs="Arial"/>
              <w:b/>
              <w:szCs w:val="24"/>
              <w:lang w:eastAsia="en-GB"/>
            </w:rPr>
            <w:t xml:space="preserve">6.4 SWOT Analysis </w:t>
          </w:r>
        </w:p>
        <w:p w14:paraId="75678623">
          <w:pPr>
            <w:keepNext/>
            <w:spacing w:after="0" w:line="360" w:lineRule="auto"/>
            <w:jc w:val="center"/>
            <w:rPr>
              <w:rFonts w:ascii="Arial" w:hAnsi="Arial" w:cs="Arial"/>
            </w:rPr>
          </w:pPr>
          <w:r>
            <w:rPr>
              <w:rFonts w:ascii="Arial" w:hAnsi="Arial" w:eastAsia="Times New Roman" w:cs="Arial"/>
              <w:b/>
              <w:szCs w:val="24"/>
              <w:lang w:val="en-US"/>
            </w:rPr>
            <w:drawing>
              <wp:inline distT="0" distB="0" distL="0" distR="0">
                <wp:extent cx="3314700" cy="2209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35473" cy="2223524"/>
                        </a:xfrm>
                        <a:prstGeom prst="rect">
                          <a:avLst/>
                        </a:prstGeom>
                      </pic:spPr>
                    </pic:pic>
                  </a:graphicData>
                </a:graphic>
              </wp:inline>
            </w:drawing>
          </w:r>
        </w:p>
        <w:p w14:paraId="09A2D259">
          <w:pPr>
            <w:pStyle w:val="9"/>
            <w:jc w:val="center"/>
            <w:rPr>
              <w:rFonts w:ascii="Arial" w:hAnsi="Arial" w:eastAsia="Times New Roman" w:cs="Arial"/>
              <w:b/>
              <w:sz w:val="24"/>
              <w:szCs w:val="24"/>
              <w:lang w:eastAsia="en-GB"/>
            </w:rPr>
          </w:pPr>
          <w:bookmarkStart w:id="21" w:name="_Toc228222453"/>
          <w:r>
            <w:rPr>
              <w:rFonts w:ascii="Arial" w:hAnsi="Arial" w:cs="Arial"/>
              <w:sz w:val="24"/>
            </w:rPr>
            <w:t xml:space="preserve">Figure </w:t>
          </w:r>
          <w:r>
            <w:rPr>
              <w:rFonts w:ascii="Arial" w:hAnsi="Arial" w:cs="Arial"/>
              <w:sz w:val="24"/>
            </w:rPr>
            <w:fldChar w:fldCharType="begin"/>
          </w:r>
          <w:r>
            <w:rPr>
              <w:rFonts w:ascii="Arial" w:hAnsi="Arial" w:cs="Arial"/>
              <w:sz w:val="24"/>
            </w:rPr>
            <w:instrText xml:space="preserve"> SEQ Figure \* ARABIC </w:instrText>
          </w:r>
          <w:r>
            <w:rPr>
              <w:rFonts w:ascii="Arial" w:hAnsi="Arial" w:cs="Arial"/>
              <w:sz w:val="24"/>
            </w:rPr>
            <w:fldChar w:fldCharType="separate"/>
          </w:r>
          <w:r>
            <w:rPr>
              <w:rFonts w:ascii="Arial" w:hAnsi="Arial" w:cs="Arial"/>
              <w:sz w:val="24"/>
            </w:rPr>
            <w:t>6</w:t>
          </w:r>
          <w:r>
            <w:rPr>
              <w:rFonts w:ascii="Arial" w:hAnsi="Arial" w:cs="Arial"/>
              <w:sz w:val="24"/>
            </w:rPr>
            <w:fldChar w:fldCharType="end"/>
          </w:r>
          <w:r>
            <w:rPr>
              <w:rFonts w:ascii="Arial" w:hAnsi="Arial" w:cs="Arial"/>
              <w:sz w:val="24"/>
            </w:rPr>
            <w:t>. SWOT Analysis of Alibaba Group. Adapted from corporate strategy literature and Alibaba Group ESG reports (2024–2025).</w:t>
          </w:r>
          <w:bookmarkEnd w:id="21"/>
        </w:p>
        <w:p w14:paraId="2A1F7EE2">
          <w:pPr>
            <w:pStyle w:val="25"/>
            <w:numPr>
              <w:ilvl w:val="0"/>
              <w:numId w:val="9"/>
            </w:numPr>
            <w:spacing w:after="0" w:line="360" w:lineRule="auto"/>
            <w:jc w:val="both"/>
            <w:rPr>
              <w:rFonts w:ascii="Arial" w:hAnsi="Arial" w:eastAsia="Times New Roman" w:cs="Arial"/>
              <w:b/>
              <w:szCs w:val="24"/>
              <w:lang w:eastAsia="en-GB"/>
            </w:rPr>
          </w:pPr>
          <w:r>
            <w:rPr>
              <w:rFonts w:ascii="Arial" w:hAnsi="Arial" w:eastAsia="Times New Roman" w:cs="Arial"/>
              <w:b/>
              <w:szCs w:val="24"/>
              <w:lang w:eastAsia="en-GB"/>
            </w:rPr>
            <w:t xml:space="preserve">Strengths: </w:t>
          </w:r>
          <w:r>
            <w:rPr>
              <w:rFonts w:ascii="Arial" w:hAnsi="Arial" w:eastAsia="Times New Roman" w:cs="Arial"/>
              <w:szCs w:val="24"/>
              <w:lang w:eastAsia="en-GB"/>
            </w:rPr>
            <w:t>Alibaba enjoys a leading market presence in the Chinese e-commerce market, well developed technological infrastructure and a highly digitalized ecosystem. These advantages improve operational efficiency and retention of customers.</w:t>
          </w:r>
        </w:p>
        <w:p w14:paraId="62265AED">
          <w:pPr>
            <w:pStyle w:val="25"/>
            <w:numPr>
              <w:ilvl w:val="0"/>
              <w:numId w:val="9"/>
            </w:num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Weaknesses:</w:t>
          </w:r>
          <w:r>
            <w:rPr>
              <w:rFonts w:ascii="Arial" w:hAnsi="Arial" w:eastAsia="Times New Roman" w:cs="Arial"/>
              <w:szCs w:val="24"/>
              <w:lang w:eastAsia="en-GB"/>
            </w:rPr>
            <w:t xml:space="preserve"> The company is under high reliance on the Chinese market and it has been experiencing heightened regulatory pressure, which restricts latitude in strategic expansion. The issues of governance and historical antitrust scrutiny also have the effect of influencing investor confidence.</w:t>
          </w:r>
        </w:p>
        <w:p w14:paraId="6A881D67">
          <w:pPr>
            <w:pStyle w:val="25"/>
            <w:numPr>
              <w:ilvl w:val="0"/>
              <w:numId w:val="9"/>
            </w:numPr>
            <w:spacing w:after="0" w:line="360" w:lineRule="auto"/>
            <w:jc w:val="both"/>
            <w:rPr>
              <w:rFonts w:ascii="Arial" w:hAnsi="Arial" w:eastAsia="Times New Roman" w:cs="Arial"/>
              <w:b/>
              <w:szCs w:val="24"/>
              <w:lang w:eastAsia="en-GB"/>
            </w:rPr>
          </w:pPr>
          <w:r>
            <w:rPr>
              <w:rFonts w:ascii="Arial" w:hAnsi="Arial" w:eastAsia="Times New Roman" w:cs="Arial"/>
              <w:b/>
              <w:szCs w:val="24"/>
              <w:lang w:eastAsia="en-GB"/>
            </w:rPr>
            <w:t xml:space="preserve">Opportunities: </w:t>
          </w:r>
          <w:r>
            <w:rPr>
              <w:rFonts w:ascii="Arial" w:hAnsi="Arial" w:eastAsia="Times New Roman" w:cs="Arial"/>
              <w:szCs w:val="24"/>
              <w:lang w:eastAsia="en-GB"/>
            </w:rPr>
            <w:t>Southeast Asian and emerging markets, global expansion, and expansion of cloud computing and artificial intelligence offer big opportunities in diversification and revenue growth (Wang, 2024).</w:t>
          </w:r>
        </w:p>
        <w:p w14:paraId="041F5922">
          <w:pPr>
            <w:pStyle w:val="25"/>
            <w:numPr>
              <w:ilvl w:val="0"/>
              <w:numId w:val="9"/>
            </w:numPr>
            <w:spacing w:after="0" w:line="360" w:lineRule="auto"/>
            <w:jc w:val="both"/>
            <w:rPr>
              <w:rFonts w:ascii="Arial" w:hAnsi="Arial" w:eastAsia="Times New Roman" w:cs="Arial"/>
              <w:b/>
              <w:szCs w:val="24"/>
              <w:lang w:eastAsia="en-GB"/>
            </w:rPr>
          </w:pPr>
          <w:r>
            <w:rPr>
              <w:rFonts w:ascii="Arial" w:hAnsi="Arial" w:eastAsia="Times New Roman" w:cs="Arial"/>
              <w:b/>
              <w:szCs w:val="24"/>
              <w:lang w:eastAsia="en-GB"/>
            </w:rPr>
            <w:t xml:space="preserve">Threats: </w:t>
          </w:r>
          <w:r>
            <w:rPr>
              <w:rFonts w:ascii="Arial" w:hAnsi="Arial" w:eastAsia="Times New Roman" w:cs="Arial"/>
              <w:szCs w:val="24"/>
              <w:lang w:eastAsia="en-GB"/>
            </w:rPr>
            <w:t>Long-term negative risks to growth and profitability include intense competition with JD.com, Pinduoduo and Amazon, geopolitical tensions and tighter data regulation.</w:t>
          </w:r>
        </w:p>
        <w:p w14:paraId="39E2B211">
          <w:pPr>
            <w:spacing w:after="0" w:line="360" w:lineRule="auto"/>
            <w:jc w:val="both"/>
            <w:rPr>
              <w:rFonts w:ascii="Arial" w:hAnsi="Arial" w:eastAsia="Times New Roman" w:cs="Arial"/>
              <w:szCs w:val="24"/>
              <w:lang w:eastAsia="en-GB"/>
            </w:rPr>
          </w:pPr>
          <w:r>
            <w:rPr>
              <w:rFonts w:ascii="Arial" w:hAnsi="Arial" w:eastAsia="Times New Roman" w:cs="Arial"/>
              <w:b/>
              <w:szCs w:val="24"/>
              <w:lang w:eastAsia="en-GB"/>
            </w:rPr>
            <w:t xml:space="preserve">Overall Insight: </w:t>
          </w:r>
          <w:r>
            <w:rPr>
              <w:rFonts w:ascii="Arial" w:hAnsi="Arial" w:eastAsia="Times New Roman" w:cs="Arial"/>
              <w:szCs w:val="24"/>
              <w:lang w:eastAsia="en-GB"/>
            </w:rPr>
            <w:t>The internal strengths of Alibaba help its company to take a strong position in the competitive arena; nevertheless, the external forces indicate that this company should be more strategic and focused on growth through innovation to remain sustainable in the long run.</w:t>
          </w:r>
        </w:p>
        <w:p w14:paraId="1143A665">
          <w:pPr>
            <w:keepNext/>
            <w:keepLines/>
            <w:spacing w:before="360" w:after="240" w:line="360" w:lineRule="auto"/>
            <w:jc w:val="both"/>
            <w:outlineLvl w:val="0"/>
            <w:rPr>
              <w:rFonts w:ascii="Arial" w:hAnsi="Arial" w:eastAsia="Times New Roman" w:cs="Arial"/>
              <w:b/>
              <w:bCs/>
              <w:color w:val="000000" w:themeColor="text1"/>
              <w:sz w:val="32"/>
              <w:szCs w:val="24"/>
              <w:lang w:eastAsia="ja-JP"/>
              <w14:textFill>
                <w14:solidFill>
                  <w14:schemeClr w14:val="tx1"/>
                </w14:solidFill>
              </w14:textFill>
            </w:rPr>
          </w:pPr>
          <w:bookmarkStart w:id="22" w:name="_Toc228222260"/>
          <w:r>
            <w:rPr>
              <w:rFonts w:ascii="Arial" w:hAnsi="Arial" w:eastAsia="Times New Roman" w:cs="Arial"/>
              <w:b/>
              <w:bCs/>
              <w:color w:val="000000" w:themeColor="text1"/>
              <w:sz w:val="32"/>
              <w:szCs w:val="24"/>
              <w:lang w:eastAsia="ja-JP"/>
              <w14:textFill>
                <w14:solidFill>
                  <w14:schemeClr w14:val="tx1"/>
                </w14:solidFill>
              </w14:textFill>
            </w:rPr>
            <w:t>7. Green Strategy &amp; CSR</w:t>
          </w:r>
          <w:bookmarkEnd w:id="22"/>
          <w:r>
            <w:rPr>
              <w:rFonts w:ascii="Arial" w:hAnsi="Arial" w:eastAsia="Times New Roman" w:cs="Arial"/>
              <w:b/>
              <w:bCs/>
              <w:color w:val="000000" w:themeColor="text1"/>
              <w:sz w:val="32"/>
              <w:szCs w:val="24"/>
              <w:lang w:eastAsia="ja-JP"/>
              <w14:textFill>
                <w14:solidFill>
                  <w14:schemeClr w14:val="tx1"/>
                </w14:solidFill>
              </w14:textFill>
            </w:rPr>
            <w:t xml:space="preserve"> </w:t>
          </w:r>
        </w:p>
        <w:p w14:paraId="6B532DAE">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Corporate Social Responsibility (CSR) and Environmental, social and governance (ESG) are increasingly becoming part of the strategic framework of Alibaba Group to promote long term sustainability and corporate image. (Zhang and Liu, 2024).</w:t>
          </w:r>
        </w:p>
        <w:p w14:paraId="297E0877">
          <w:pPr>
            <w:keepNext/>
            <w:spacing w:before="240" w:line="360" w:lineRule="auto"/>
            <w:jc w:val="center"/>
            <w:rPr>
              <w:rFonts w:ascii="Arial" w:hAnsi="Arial" w:cs="Arial"/>
            </w:rPr>
          </w:pPr>
          <w:r>
            <w:rPr>
              <w:rFonts w:ascii="Arial" w:hAnsi="Arial" w:eastAsia="Times New Roman" w:cs="Arial"/>
              <w:szCs w:val="24"/>
              <w:lang w:val="en-US"/>
            </w:rPr>
            <w:drawing>
              <wp:inline distT="0" distB="0" distL="0" distR="0">
                <wp:extent cx="2847975" cy="189801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58156" cy="1905332"/>
                        </a:xfrm>
                        <a:prstGeom prst="rect">
                          <a:avLst/>
                        </a:prstGeom>
                      </pic:spPr>
                    </pic:pic>
                  </a:graphicData>
                </a:graphic>
              </wp:inline>
            </w:drawing>
          </w:r>
        </w:p>
        <w:p w14:paraId="710C66DE">
          <w:pPr>
            <w:pStyle w:val="9"/>
            <w:jc w:val="center"/>
            <w:rPr>
              <w:rFonts w:ascii="Arial" w:hAnsi="Arial" w:cs="Arial"/>
              <w:sz w:val="24"/>
            </w:rPr>
          </w:pPr>
          <w:bookmarkStart w:id="23" w:name="_Toc228222454"/>
          <w:r>
            <w:rPr>
              <w:rFonts w:ascii="Arial" w:hAnsi="Arial" w:cs="Arial"/>
              <w:sz w:val="24"/>
            </w:rPr>
            <w:t xml:space="preserve">Figure </w:t>
          </w:r>
          <w:r>
            <w:rPr>
              <w:rFonts w:ascii="Arial" w:hAnsi="Arial" w:cs="Arial"/>
              <w:sz w:val="24"/>
            </w:rPr>
            <w:fldChar w:fldCharType="begin"/>
          </w:r>
          <w:r>
            <w:rPr>
              <w:rFonts w:ascii="Arial" w:hAnsi="Arial" w:cs="Arial"/>
              <w:sz w:val="24"/>
            </w:rPr>
            <w:instrText xml:space="preserve"> SEQ Figure \* ARABIC </w:instrText>
          </w:r>
          <w:r>
            <w:rPr>
              <w:rFonts w:ascii="Arial" w:hAnsi="Arial" w:cs="Arial"/>
              <w:sz w:val="24"/>
            </w:rPr>
            <w:fldChar w:fldCharType="separate"/>
          </w:r>
          <w:r>
            <w:rPr>
              <w:rFonts w:ascii="Arial" w:hAnsi="Arial" w:cs="Arial"/>
              <w:sz w:val="24"/>
            </w:rPr>
            <w:t>7</w:t>
          </w:r>
          <w:r>
            <w:rPr>
              <w:rFonts w:ascii="Arial" w:hAnsi="Arial" w:cs="Arial"/>
              <w:sz w:val="24"/>
            </w:rPr>
            <w:fldChar w:fldCharType="end"/>
          </w:r>
          <w:r>
            <w:rPr>
              <w:rFonts w:ascii="Arial" w:hAnsi="Arial" w:cs="Arial"/>
              <w:sz w:val="24"/>
            </w:rPr>
            <w:t>. Alibaba Group’s Green Strategy and Corporate Social Responsibility initiatives. Adapted from Alibaba Group ESG Report (2025) and Carbon Neutrality Action Report (2024).</w:t>
          </w:r>
          <w:bookmarkEnd w:id="23"/>
        </w:p>
        <w:p w14:paraId="595E3223">
          <w:pPr>
            <w:numPr>
              <w:ilvl w:val="0"/>
              <w:numId w:val="10"/>
            </w:numPr>
            <w:spacing w:before="240" w:line="360" w:lineRule="auto"/>
            <w:contextualSpacing/>
            <w:jc w:val="both"/>
            <w:rPr>
              <w:rFonts w:ascii="Arial" w:hAnsi="Arial" w:eastAsia="Times New Roman" w:cs="Arial"/>
              <w:b/>
              <w:szCs w:val="24"/>
              <w:lang w:eastAsia="en-GB"/>
            </w:rPr>
          </w:pPr>
          <w:r>
            <w:rPr>
              <w:rFonts w:ascii="Arial" w:hAnsi="Arial" w:eastAsia="Times New Roman" w:cs="Arial"/>
              <w:b/>
              <w:szCs w:val="24"/>
              <w:lang w:eastAsia="en-GB"/>
            </w:rPr>
            <w:t>Sustainability</w:t>
          </w:r>
          <w:r>
            <w:rPr>
              <w:rFonts w:ascii="Arial" w:hAnsi="Arial" w:cs="Arial"/>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Alibaba has also made an effort to ensure that its operations are carbon neutral by 2030. Through Cainiao network, the company encourages green logistics, optimising routes and minimising carbon emissions. It also promotes environmentally friendly data centres in its cloud computing department (Chen, 2024).</w:t>
          </w:r>
        </w:p>
        <w:p w14:paraId="0DB6446E">
          <w:pPr>
            <w:numPr>
              <w:ilvl w:val="0"/>
              <w:numId w:val="10"/>
            </w:numPr>
            <w:spacing w:before="240" w:line="360" w:lineRule="auto"/>
            <w:contextualSpacing/>
            <w:jc w:val="both"/>
            <w:rPr>
              <w:rFonts w:ascii="Arial" w:hAnsi="Arial" w:eastAsia="Times New Roman" w:cs="Arial"/>
              <w:b/>
              <w:szCs w:val="24"/>
              <w:lang w:eastAsia="en-GB"/>
            </w:rPr>
          </w:pPr>
          <w:r>
            <w:rPr>
              <w:rFonts w:ascii="Arial" w:hAnsi="Arial" w:eastAsia="Times New Roman" w:cs="Arial"/>
              <w:b/>
              <w:szCs w:val="24"/>
              <w:lang w:eastAsia="en-GB"/>
            </w:rPr>
            <w:t>Environmental Policies</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The company also has presented environmental policies aimed at minimizing waste in packaging, enhancing the use of renewable energy, and making the supply chain more sustainable. Data centres of Alibaba Cloud are being increasingly supplied with clean energy to address the environmental objectives of the company (Wang, 2023).</w:t>
          </w:r>
        </w:p>
        <w:p w14:paraId="246BF007">
          <w:pPr>
            <w:numPr>
              <w:ilvl w:val="0"/>
              <w:numId w:val="10"/>
            </w:numPr>
            <w:spacing w:before="240" w:line="360" w:lineRule="auto"/>
            <w:contextualSpacing/>
            <w:jc w:val="both"/>
            <w:rPr>
              <w:rFonts w:ascii="Arial" w:hAnsi="Arial" w:eastAsia="Times New Roman" w:cs="Arial"/>
              <w:b/>
              <w:szCs w:val="24"/>
              <w:lang w:eastAsia="en-GB"/>
            </w:rPr>
          </w:pPr>
          <w:r>
            <w:rPr>
              <w:rFonts w:ascii="Arial" w:hAnsi="Arial" w:eastAsia="Times New Roman" w:cs="Arial"/>
              <w:b/>
              <w:szCs w:val="24"/>
              <w:lang w:eastAsia="en-GB"/>
            </w:rPr>
            <w:t>Social Responsibility</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Alibaba helps small and medium-sized enterprises (SMEs) to access digital platforms, financial tools, and global markets. It also makes investments in rural development and digital inclusion projects, and aims to decrease inequality in access to technology and business opportunities.</w:t>
          </w:r>
        </w:p>
        <w:p w14:paraId="5BE3FBA2">
          <w:pPr>
            <w:numPr>
              <w:ilvl w:val="0"/>
              <w:numId w:val="10"/>
            </w:numPr>
            <w:spacing w:before="240" w:line="360" w:lineRule="auto"/>
            <w:contextualSpacing/>
            <w:jc w:val="both"/>
            <w:rPr>
              <w:rFonts w:ascii="Arial" w:hAnsi="Arial" w:eastAsia="Times New Roman" w:cs="Arial"/>
              <w:b/>
              <w:szCs w:val="24"/>
              <w:lang w:eastAsia="en-GB"/>
            </w:rPr>
          </w:pPr>
          <w:r>
            <w:rPr>
              <w:rFonts w:ascii="Arial" w:hAnsi="Arial" w:eastAsia="Times New Roman" w:cs="Arial"/>
              <w:b/>
              <w:szCs w:val="24"/>
              <w:lang w:eastAsia="en-GB"/>
            </w:rPr>
            <w:t>ESG Integration</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Alibaba ESG strategy incorporates social inclusion, good governance and environmental protection practices in the long term decision-making. ESG reporting has gained much concern in attracting international investors and enhancing corporate transparency.</w:t>
          </w:r>
        </w:p>
        <w:p w14:paraId="54394D71">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Critical Analysis: Real Impact vs Marketing</w:t>
          </w:r>
          <w:r>
            <w:rPr>
              <w:rFonts w:ascii="Arial" w:hAnsi="Arial" w:cs="Arial"/>
              <w:b/>
            </w:rPr>
            <w:t xml:space="preserve"> </w:t>
          </w:r>
          <w:r>
            <w:rPr>
              <w:rFonts w:ascii="Arial" w:hAnsi="Arial" w:eastAsia="Times New Roman" w:cs="Arial"/>
              <w:b/>
              <w:szCs w:val="24"/>
              <w:lang w:eastAsia="en-GB"/>
            </w:rPr>
            <w:t>:</w:t>
          </w:r>
        </w:p>
        <w:p w14:paraId="15642DB8">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Even though Alibaba has shown good CSR commitments, it is a matter of discussion whether the company is making any real change or not. Although plans like the cutting of carbon and empowering the SMEs are good, critics suggest that some of the CSR is being fuelled by the need to manage its reputation and the need to comply with regulations other than being driven by sheer ethical interest. (Lee, 2024).</w:t>
          </w:r>
        </w:p>
        <w:p w14:paraId="6942111D">
          <w:pPr>
            <w:pStyle w:val="2"/>
            <w:rPr>
              <w:rFonts w:cs="Arial"/>
            </w:rPr>
          </w:pPr>
          <w:bookmarkStart w:id="24" w:name="_Toc228222261"/>
          <w:r>
            <w:rPr>
              <w:rFonts w:cs="Arial"/>
            </w:rPr>
            <w:t>8.Balanced Scorecard</w:t>
          </w:r>
          <w:bookmarkEnd w:id="24"/>
          <w:r>
            <w:rPr>
              <w:rFonts w:cs="Arial"/>
            </w:rPr>
            <w:t xml:space="preserve"> </w:t>
          </w:r>
        </w:p>
        <w:p w14:paraId="11D4D6DF">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The Balanced Scorecard offers a systematic model to assess the strategic performance of Alibaba Group, by connecting financial and non-financial indicators to its long-term strategy (Kaplan and Norton, 1992; relevance in digital companies as explained by Chen, 2024).</w:t>
          </w:r>
        </w:p>
        <w:p w14:paraId="438722B7">
          <w:pPr>
            <w:keepNext/>
            <w:spacing w:before="240" w:line="360" w:lineRule="auto"/>
            <w:jc w:val="center"/>
            <w:rPr>
              <w:rFonts w:ascii="Arial" w:hAnsi="Arial" w:cs="Arial"/>
            </w:rPr>
          </w:pPr>
          <w:r>
            <w:rPr>
              <w:rFonts w:ascii="Arial" w:hAnsi="Arial" w:eastAsia="Times New Roman" w:cs="Arial"/>
              <w:szCs w:val="24"/>
              <w:lang w:val="en-US"/>
            </w:rPr>
            <w:drawing>
              <wp:inline distT="0" distB="0" distL="0" distR="0">
                <wp:extent cx="4667250" cy="24974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74847" cy="2501607"/>
                        </a:xfrm>
                        <a:prstGeom prst="rect">
                          <a:avLst/>
                        </a:prstGeom>
                      </pic:spPr>
                    </pic:pic>
                  </a:graphicData>
                </a:graphic>
              </wp:inline>
            </w:drawing>
          </w:r>
        </w:p>
        <w:p w14:paraId="5B57D811">
          <w:pPr>
            <w:pStyle w:val="9"/>
            <w:jc w:val="center"/>
            <w:rPr>
              <w:rFonts w:ascii="Arial" w:hAnsi="Arial" w:eastAsia="Times New Roman" w:cs="Arial"/>
              <w:sz w:val="24"/>
              <w:szCs w:val="24"/>
              <w:lang w:eastAsia="en-GB"/>
            </w:rPr>
          </w:pPr>
          <w:bookmarkStart w:id="25" w:name="_Toc228222455"/>
          <w:r>
            <w:rPr>
              <w:rFonts w:ascii="Arial" w:hAnsi="Arial" w:cs="Arial"/>
              <w:sz w:val="24"/>
            </w:rPr>
            <w:t xml:space="preserve">Figure </w:t>
          </w:r>
          <w:r>
            <w:rPr>
              <w:rFonts w:ascii="Arial" w:hAnsi="Arial" w:cs="Arial"/>
              <w:sz w:val="24"/>
            </w:rPr>
            <w:fldChar w:fldCharType="begin"/>
          </w:r>
          <w:r>
            <w:rPr>
              <w:rFonts w:ascii="Arial" w:hAnsi="Arial" w:cs="Arial"/>
              <w:sz w:val="24"/>
            </w:rPr>
            <w:instrText xml:space="preserve"> SEQ Figure \* ARABIC </w:instrText>
          </w:r>
          <w:r>
            <w:rPr>
              <w:rFonts w:ascii="Arial" w:hAnsi="Arial" w:cs="Arial"/>
              <w:sz w:val="24"/>
            </w:rPr>
            <w:fldChar w:fldCharType="separate"/>
          </w:r>
          <w:r>
            <w:rPr>
              <w:rFonts w:ascii="Arial" w:hAnsi="Arial" w:cs="Arial"/>
              <w:sz w:val="24"/>
            </w:rPr>
            <w:t>8</w:t>
          </w:r>
          <w:r>
            <w:rPr>
              <w:rFonts w:ascii="Arial" w:hAnsi="Arial" w:cs="Arial"/>
              <w:sz w:val="24"/>
            </w:rPr>
            <w:fldChar w:fldCharType="end"/>
          </w:r>
          <w:r>
            <w:rPr>
              <w:rFonts w:ascii="Arial" w:hAnsi="Arial" w:cs="Arial"/>
              <w:sz w:val="24"/>
            </w:rPr>
            <w:t>. Balanced Scorecard framework applied to Alibaba Group, aligning financial, customer, internal process, and learning perspectives with long</w:t>
          </w:r>
          <w:r>
            <w:rPr>
              <w:rFonts w:ascii="Cambria Math" w:hAnsi="Cambria Math" w:cs="Cambria Math"/>
              <w:sz w:val="24"/>
            </w:rPr>
            <w:t>‑</w:t>
          </w:r>
          <w:r>
            <w:rPr>
              <w:rFonts w:ascii="Arial" w:hAnsi="Arial" w:cs="Arial"/>
              <w:sz w:val="24"/>
            </w:rPr>
            <w:t>term digital strategy (Kaplan &amp; Norton, 1992; Chen, 2024; Zhang &amp; Liu, 2024).</w:t>
          </w:r>
          <w:bookmarkEnd w:id="25"/>
        </w:p>
        <w:p w14:paraId="2D43EBB3">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Financial Perspective</w:t>
          </w:r>
        </w:p>
        <w:p w14:paraId="21B5FED5">
          <w:pPr>
            <w:pStyle w:val="25"/>
            <w:numPr>
              <w:ilvl w:val="0"/>
              <w:numId w:val="11"/>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Goal:</w:t>
          </w:r>
          <w:r>
            <w:rPr>
              <w:rFonts w:ascii="Arial" w:hAnsi="Arial" w:eastAsia="Times New Roman" w:cs="Arial"/>
              <w:szCs w:val="24"/>
              <w:lang w:eastAsia="en-GB"/>
            </w:rPr>
            <w:t xml:space="preserve"> Become more revenue-diverse in the world other than e-commerce.</w:t>
          </w:r>
        </w:p>
        <w:p w14:paraId="5DFDEBD2">
          <w:pPr>
            <w:pStyle w:val="25"/>
            <w:numPr>
              <w:ilvl w:val="0"/>
              <w:numId w:val="11"/>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KPI:</w:t>
          </w:r>
          <w:r>
            <w:rPr>
              <w:rFonts w:ascii="Arial" w:hAnsi="Arial" w:eastAsia="Times New Roman" w:cs="Arial"/>
              <w:szCs w:val="24"/>
              <w:lang w:eastAsia="en-GB"/>
            </w:rPr>
            <w:t xml:space="preserve"> Cloud computing revenue and growth in international markets.</w:t>
          </w:r>
        </w:p>
        <w:p w14:paraId="714CCB33">
          <w:pPr>
            <w:pStyle w:val="25"/>
            <w:numPr>
              <w:ilvl w:val="0"/>
              <w:numId w:val="11"/>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Goal:</w:t>
          </w:r>
          <w:r>
            <w:rPr>
              <w:rFonts w:ascii="Arial" w:hAnsi="Arial" w:eastAsia="Times New Roman" w:cs="Arial"/>
              <w:szCs w:val="24"/>
              <w:lang w:eastAsia="en-GB"/>
            </w:rPr>
            <w:t xml:space="preserve"> 10-15 percent per annum in non-retail sources of revenue.</w:t>
          </w:r>
        </w:p>
        <w:p w14:paraId="2A1C63A8">
          <w:pPr>
            <w:pStyle w:val="25"/>
            <w:numPr>
              <w:ilvl w:val="0"/>
              <w:numId w:val="11"/>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Action:</w:t>
          </w:r>
          <w:r>
            <w:rPr>
              <w:rFonts w:ascii="Arial" w:hAnsi="Arial" w:eastAsia="Times New Roman" w:cs="Arial"/>
              <w:szCs w:val="24"/>
              <w:lang w:eastAsia="en-GB"/>
            </w:rPr>
            <w:t xml:space="preserve"> Investment in Alibaba Cloud and AI-based services.</w:t>
          </w:r>
        </w:p>
        <w:p w14:paraId="1E27EEE3">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Customer Perspective</w:t>
          </w:r>
        </w:p>
        <w:p w14:paraId="7D043F8C">
          <w:pPr>
            <w:pStyle w:val="25"/>
            <w:numPr>
              <w:ilvl w:val="0"/>
              <w:numId w:val="12"/>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Purpose:</w:t>
          </w:r>
          <w:r>
            <w:rPr>
              <w:rFonts w:ascii="Arial" w:hAnsi="Arial" w:eastAsia="Times New Roman" w:cs="Arial"/>
              <w:szCs w:val="24"/>
              <w:lang w:eastAsia="en-GB"/>
            </w:rPr>
            <w:t xml:space="preserve"> Enhance customer confidence and experience on the platform.</w:t>
          </w:r>
        </w:p>
        <w:p w14:paraId="2706C9D5">
          <w:pPr>
            <w:pStyle w:val="25"/>
            <w:numPr>
              <w:ilvl w:val="0"/>
              <w:numId w:val="12"/>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KPI:</w:t>
          </w:r>
          <w:r>
            <w:rPr>
              <w:rFonts w:ascii="Arial" w:hAnsi="Arial" w:eastAsia="Times New Roman" w:cs="Arial"/>
              <w:szCs w:val="24"/>
              <w:lang w:eastAsia="en-GB"/>
            </w:rPr>
            <w:t xml:space="preserve"> Customer satisfaction and retention rate.</w:t>
          </w:r>
        </w:p>
        <w:p w14:paraId="4A79C07A">
          <w:pPr>
            <w:pStyle w:val="25"/>
            <w:numPr>
              <w:ilvl w:val="0"/>
              <w:numId w:val="12"/>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Goal:</w:t>
          </w:r>
          <w:r>
            <w:rPr>
              <w:rFonts w:ascii="Arial" w:hAnsi="Arial" w:eastAsia="Times New Roman" w:cs="Arial"/>
              <w:szCs w:val="24"/>
              <w:lang w:eastAsia="en-GB"/>
            </w:rPr>
            <w:t xml:space="preserve"> 20 percent more people become active users worldwide.</w:t>
          </w:r>
        </w:p>
        <w:p w14:paraId="3BD9E8D4">
          <w:pPr>
            <w:pStyle w:val="25"/>
            <w:numPr>
              <w:ilvl w:val="0"/>
              <w:numId w:val="12"/>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Service:</w:t>
          </w:r>
          <w:r>
            <w:rPr>
              <w:rFonts w:ascii="Arial" w:hAnsi="Arial" w:eastAsia="Times New Roman" w:cs="Arial"/>
              <w:szCs w:val="24"/>
              <w:lang w:eastAsia="en-GB"/>
            </w:rPr>
            <w:t xml:space="preserve"> Customised AI suggestions and enhanced efficiency of delivery.</w:t>
          </w:r>
        </w:p>
        <w:p w14:paraId="31C5E50F">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Internal Process Perspective</w:t>
          </w:r>
        </w:p>
        <w:p w14:paraId="0FF13456">
          <w:pPr>
            <w:pStyle w:val="25"/>
            <w:numPr>
              <w:ilvl w:val="0"/>
              <w:numId w:val="13"/>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Goal:</w:t>
          </w:r>
          <w:r>
            <w:rPr>
              <w:rFonts w:ascii="Arial" w:hAnsi="Arial" w:eastAsia="Times New Roman" w:cs="Arial"/>
              <w:szCs w:val="24"/>
              <w:lang w:eastAsia="en-GB"/>
            </w:rPr>
            <w:t xml:space="preserve"> Improve logistics performance and efficiency.</w:t>
          </w:r>
        </w:p>
        <w:p w14:paraId="33719073">
          <w:pPr>
            <w:pStyle w:val="25"/>
            <w:numPr>
              <w:ilvl w:val="0"/>
              <w:numId w:val="13"/>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KPI:</w:t>
          </w:r>
          <w:r>
            <w:rPr>
              <w:rFonts w:ascii="Arial" w:hAnsi="Arial" w:eastAsia="Times New Roman" w:cs="Arial"/>
              <w:szCs w:val="24"/>
              <w:lang w:eastAsia="en-GB"/>
            </w:rPr>
            <w:t xml:space="preserve"> Fulfilment time of orders and speed of transactions in the platform.</w:t>
          </w:r>
        </w:p>
        <w:p w14:paraId="26BF5103">
          <w:pPr>
            <w:pStyle w:val="25"/>
            <w:numPr>
              <w:ilvl w:val="0"/>
              <w:numId w:val="13"/>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Goal</w:t>
          </w:r>
          <w:r>
            <w:rPr>
              <w:rFonts w:ascii="Arial" w:hAnsi="Arial" w:eastAsia="Times New Roman" w:cs="Arial"/>
              <w:szCs w:val="24"/>
              <w:lang w:eastAsia="en-GB"/>
            </w:rPr>
            <w:t>: Decrease delivery time by 15%.</w:t>
          </w:r>
        </w:p>
        <w:p w14:paraId="1493B3A3">
          <w:pPr>
            <w:pStyle w:val="25"/>
            <w:numPr>
              <w:ilvl w:val="0"/>
              <w:numId w:val="13"/>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Initiative:</w:t>
          </w:r>
          <w:r>
            <w:rPr>
              <w:rFonts w:ascii="Arial" w:hAnsi="Arial" w:eastAsia="Times New Roman" w:cs="Arial"/>
              <w:szCs w:val="24"/>
              <w:lang w:eastAsia="en-GB"/>
            </w:rPr>
            <w:t xml:space="preserve"> Development of Cainiao logistics network.</w:t>
          </w:r>
        </w:p>
        <w:p w14:paraId="015F3C00">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Learning &amp; Growth Perspective</w:t>
          </w:r>
        </w:p>
        <w:p w14:paraId="3D8D7FED">
          <w:pPr>
            <w:pStyle w:val="25"/>
            <w:numPr>
              <w:ilvl w:val="0"/>
              <w:numId w:val="14"/>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Goal:</w:t>
          </w:r>
          <w:r>
            <w:rPr>
              <w:rFonts w:ascii="Arial" w:hAnsi="Arial" w:eastAsia="Times New Roman" w:cs="Arial"/>
              <w:szCs w:val="24"/>
              <w:lang w:eastAsia="en-GB"/>
            </w:rPr>
            <w:t xml:space="preserve"> Enhance innovation and staff competency.</w:t>
          </w:r>
        </w:p>
        <w:p w14:paraId="78717C37">
          <w:pPr>
            <w:pStyle w:val="25"/>
            <w:numPr>
              <w:ilvl w:val="0"/>
              <w:numId w:val="14"/>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KPI:</w:t>
          </w:r>
          <w:r>
            <w:rPr>
              <w:rFonts w:ascii="Arial" w:hAnsi="Arial" w:eastAsia="Times New Roman" w:cs="Arial"/>
              <w:szCs w:val="24"/>
              <w:lang w:eastAsia="en-GB"/>
            </w:rPr>
            <w:t xml:space="preserve"> R&amp;D investment and training hours of employees.</w:t>
          </w:r>
        </w:p>
        <w:p w14:paraId="34B73C79">
          <w:pPr>
            <w:pStyle w:val="25"/>
            <w:numPr>
              <w:ilvl w:val="0"/>
              <w:numId w:val="14"/>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Goal:</w:t>
          </w:r>
          <w:r>
            <w:rPr>
              <w:rFonts w:ascii="Arial" w:hAnsi="Arial" w:eastAsia="Times New Roman" w:cs="Arial"/>
              <w:szCs w:val="24"/>
              <w:lang w:eastAsia="en-GB"/>
            </w:rPr>
            <w:t xml:space="preserve"> Become more productive in the sphere of AI.</w:t>
          </w:r>
        </w:p>
        <w:p w14:paraId="7497B669">
          <w:pPr>
            <w:pStyle w:val="25"/>
            <w:numPr>
              <w:ilvl w:val="0"/>
              <w:numId w:val="14"/>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Initiative:</w:t>
          </w:r>
          <w:r>
            <w:rPr>
              <w:rFonts w:ascii="Arial" w:hAnsi="Arial" w:eastAsia="Times New Roman" w:cs="Arial"/>
              <w:szCs w:val="24"/>
              <w:lang w:eastAsia="en-GB"/>
            </w:rPr>
            <w:t xml:space="preserve"> Upskilling workforce in cloud computing and data analytics</w:t>
          </w:r>
        </w:p>
        <w:p w14:paraId="0CE61191">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Strategic Link</w:t>
          </w:r>
        </w:p>
        <w:p w14:paraId="3BEE064A">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On the whole, the Balanced Scorecard shows that the Alibaba strategy is highly oriented towards the development based on technologies, internationalization, and the efficiency of ecosystem, which is going to enable it to remain competitive in the digital economy (Zhang and Liu, 2024).</w:t>
          </w:r>
        </w:p>
        <w:p w14:paraId="43BCE604">
          <w:pPr>
            <w:pStyle w:val="2"/>
            <w:rPr>
              <w:rFonts w:cs="Arial"/>
            </w:rPr>
          </w:pPr>
          <w:bookmarkStart w:id="26" w:name="_Toc228222262"/>
          <w:r>
            <w:rPr>
              <w:rFonts w:cs="Arial"/>
            </w:rPr>
            <w:t>9. Competitive Advantage Sustenance Strategies.</w:t>
          </w:r>
          <w:bookmarkEnd w:id="26"/>
        </w:p>
        <w:p w14:paraId="2CF7AE3F">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Alibaba Group is in a very competitive world-wide digital market that requires strategic flexibility in order to maintain the competitive advantage. The generic strategies framework by Porter can be conveniently used to analyze the strategy of Alibaba, especially cost leadership and differentiation strategies (Porter, 1985; applied to online platforms in recent research by Chen, 2024).</w:t>
          </w:r>
        </w:p>
        <w:p w14:paraId="62DC856B">
          <w:pPr>
            <w:keepNext/>
            <w:spacing w:before="240" w:line="360" w:lineRule="auto"/>
            <w:jc w:val="center"/>
            <w:rPr>
              <w:rFonts w:ascii="Arial" w:hAnsi="Arial" w:cs="Arial"/>
            </w:rPr>
          </w:pPr>
          <w:r>
            <w:rPr>
              <w:rFonts w:ascii="Arial" w:hAnsi="Arial" w:eastAsia="Times New Roman" w:cs="Arial"/>
              <w:szCs w:val="24"/>
              <w:lang w:val="en-US"/>
            </w:rPr>
            <w:drawing>
              <wp:inline distT="0" distB="0" distL="0" distR="0">
                <wp:extent cx="2589530" cy="152400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99271" cy="1529730"/>
                        </a:xfrm>
                        <a:prstGeom prst="rect">
                          <a:avLst/>
                        </a:prstGeom>
                      </pic:spPr>
                    </pic:pic>
                  </a:graphicData>
                </a:graphic>
              </wp:inline>
            </w:drawing>
          </w:r>
        </w:p>
        <w:p w14:paraId="75624519">
          <w:pPr>
            <w:pStyle w:val="9"/>
            <w:jc w:val="center"/>
            <w:rPr>
              <w:rFonts w:ascii="Arial" w:hAnsi="Arial" w:eastAsia="Times New Roman" w:cs="Arial"/>
              <w:sz w:val="24"/>
              <w:szCs w:val="24"/>
              <w:lang w:eastAsia="en-GB"/>
            </w:rPr>
          </w:pPr>
          <w:bookmarkStart w:id="27" w:name="_Toc228222456"/>
          <w:r>
            <w:rPr>
              <w:rFonts w:ascii="Arial" w:hAnsi="Arial" w:cs="Arial"/>
              <w:sz w:val="24"/>
            </w:rPr>
            <w:t xml:space="preserve">Figure </w:t>
          </w:r>
          <w:r>
            <w:rPr>
              <w:rFonts w:ascii="Arial" w:hAnsi="Arial" w:cs="Arial"/>
              <w:sz w:val="24"/>
            </w:rPr>
            <w:fldChar w:fldCharType="begin"/>
          </w:r>
          <w:r>
            <w:rPr>
              <w:rFonts w:ascii="Arial" w:hAnsi="Arial" w:cs="Arial"/>
              <w:sz w:val="24"/>
            </w:rPr>
            <w:instrText xml:space="preserve"> SEQ Figure \* ARABIC </w:instrText>
          </w:r>
          <w:r>
            <w:rPr>
              <w:rFonts w:ascii="Arial" w:hAnsi="Arial" w:cs="Arial"/>
              <w:sz w:val="24"/>
            </w:rPr>
            <w:fldChar w:fldCharType="separate"/>
          </w:r>
          <w:r>
            <w:rPr>
              <w:rFonts w:ascii="Arial" w:hAnsi="Arial" w:cs="Arial"/>
              <w:sz w:val="24"/>
            </w:rPr>
            <w:t>9</w:t>
          </w:r>
          <w:r>
            <w:rPr>
              <w:rFonts w:ascii="Arial" w:hAnsi="Arial" w:cs="Arial"/>
              <w:sz w:val="24"/>
            </w:rPr>
            <w:fldChar w:fldCharType="end"/>
          </w:r>
          <w:r>
            <w:rPr>
              <w:rFonts w:ascii="Arial" w:hAnsi="Arial" w:cs="Arial"/>
              <w:sz w:val="24"/>
            </w:rPr>
            <w:t>. Competitive Advantage Sustenance Strategies of Alibaba Group. Adapted from Porter (1985), Chen (2024), Wang (2023), and Zhang &amp; Liu (2024).</w:t>
          </w:r>
          <w:bookmarkEnd w:id="27"/>
        </w:p>
        <w:p w14:paraId="3CB8366A">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Cost Leadership Strategy</w:t>
          </w:r>
        </w:p>
        <w:p w14:paraId="30968720">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Alibaba partially uses the cost leadership strategy due to the high level of scalability of its platform model. Operating as a middleman between millions of buyers and sellers, the company saves on the cost of operation as opposed to the traditional retail structures. Its digital infrastructure and logistics division, Cainiao, facilitates economies of scale and effective processing of transactions. This will enable Alibaba to provide competitive prices to its customers and reduce the transaction prices to the sellers. Nevertheless, pure cost leadership is restricted because of the increasing operational costs in logistics, cloud infrastructure investments, and regulatory compliance costs (Wang, 2023). Thus, cost leadership can not be enough to be of long-term benefit.</w:t>
          </w:r>
        </w:p>
        <w:p w14:paraId="0BE15BF3">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Differentiation Strategy</w:t>
          </w:r>
        </w:p>
        <w:p w14:paraId="5F661A2C">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 xml:space="preserve">Differentiation is the main strategic emphasis in Alibaba. The company sets itself apart by its integrated ecosystem that integrates e-commerce platforms (Taobao, Tmall), digital payment options, logistics, cloud computing, and artificial intelligence solutions. This ecosystem has powerful network effects, and competitors will hardly be able to achieve the same level of scale and integration. Personalised recommendations, AI-driven marketing, and advanced data analytics further enhance user experience and platform stickiness (Zhang &amp; Liu, 2024). </w:t>
          </w:r>
        </w:p>
        <w:p w14:paraId="78E42EFE">
          <w:pPr>
            <w:spacing w:before="240" w:line="360" w:lineRule="auto"/>
            <w:jc w:val="both"/>
            <w:rPr>
              <w:rFonts w:ascii="Arial" w:hAnsi="Arial" w:eastAsia="Times New Roman" w:cs="Arial"/>
              <w:szCs w:val="24"/>
              <w:lang w:eastAsia="en-GB"/>
            </w:rPr>
          </w:pPr>
        </w:p>
        <w:p w14:paraId="266B117E">
          <w:pPr>
            <w:spacing w:before="240" w:line="360" w:lineRule="auto"/>
            <w:jc w:val="both"/>
            <w:rPr>
              <w:rFonts w:ascii="Arial" w:hAnsi="Arial" w:eastAsia="Times New Roman" w:cs="Arial"/>
              <w:szCs w:val="24"/>
              <w:lang w:eastAsia="en-GB"/>
            </w:rPr>
          </w:pPr>
        </w:p>
        <w:p w14:paraId="0427F2C4">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Strategy Effectiveness Assessment.</w:t>
          </w:r>
        </w:p>
        <w:p w14:paraId="484961EA">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 xml:space="preserve">The differentiation strategy adopted by Alibaba is very effective in maintaining a competitive advantage, especially in terms of its integration of ecosystem and data driven capabilities. It generates switching costs to the users and enhances customer loyalty. Nevertheless, the sustainability of dominance in the long run is minimized by intensifying regulatory demands in China and the rise in global competition posed by Amazon, JD.com and the new social commerce platforms. </w:t>
          </w:r>
        </w:p>
        <w:p w14:paraId="6582E1E4">
          <w:pPr>
            <w:pStyle w:val="2"/>
            <w:rPr>
              <w:rFonts w:cs="Arial"/>
              <w:sz w:val="24"/>
            </w:rPr>
          </w:pPr>
          <w:bookmarkStart w:id="28" w:name="_Toc228222263"/>
          <w:r>
            <w:rPr>
              <w:rFonts w:cs="Arial"/>
            </w:rPr>
            <w:t>10</w:t>
          </w:r>
          <w:r>
            <w:rPr>
              <w:rFonts w:cs="Arial"/>
              <w:sz w:val="24"/>
            </w:rPr>
            <w:t>.</w:t>
          </w:r>
          <w:r>
            <w:rPr>
              <w:rFonts w:cs="Arial"/>
            </w:rPr>
            <w:t xml:space="preserve"> Growth Strategies</w:t>
          </w:r>
          <w:bookmarkEnd w:id="28"/>
          <w:r>
            <w:rPr>
              <w:rFonts w:cs="Arial"/>
            </w:rPr>
            <w:t xml:space="preserve"> </w:t>
          </w:r>
        </w:p>
        <w:p w14:paraId="2A7B9A3B">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The Alibaba Group is embracing a multi-dimensional strategy of growth approach to maintain long-term competitiveness in the global digital economy. Ansoff Matrix is a systematic method to explore its strategic development options, such as market penetration, product development, market development, and diversification (Ansoff, 1957; used in the digital strategy setting by Zhang and Liu, 2024).</w:t>
          </w:r>
        </w:p>
        <w:p w14:paraId="1BEB01F4">
          <w:pPr>
            <w:keepNext/>
            <w:spacing w:before="240" w:line="360" w:lineRule="auto"/>
            <w:jc w:val="center"/>
            <w:rPr>
              <w:rFonts w:ascii="Arial" w:hAnsi="Arial" w:cs="Arial"/>
            </w:rPr>
          </w:pPr>
          <w:r>
            <w:rPr>
              <w:rFonts w:ascii="Arial" w:hAnsi="Arial" w:eastAsia="Times New Roman" w:cs="Arial"/>
              <w:szCs w:val="24"/>
              <w:lang w:val="en-US"/>
            </w:rPr>
            <w:drawing>
              <wp:inline distT="0" distB="0" distL="0" distR="0">
                <wp:extent cx="2400300" cy="1600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38721" cy="1625724"/>
                        </a:xfrm>
                        <a:prstGeom prst="rect">
                          <a:avLst/>
                        </a:prstGeom>
                      </pic:spPr>
                    </pic:pic>
                  </a:graphicData>
                </a:graphic>
              </wp:inline>
            </w:drawing>
          </w:r>
        </w:p>
        <w:p w14:paraId="19CD24E7">
          <w:pPr>
            <w:pStyle w:val="9"/>
            <w:jc w:val="center"/>
            <w:rPr>
              <w:rFonts w:ascii="Arial" w:hAnsi="Arial" w:eastAsia="Times New Roman" w:cs="Arial"/>
              <w:sz w:val="24"/>
              <w:szCs w:val="24"/>
              <w:lang w:eastAsia="en-GB"/>
            </w:rPr>
          </w:pPr>
          <w:bookmarkStart w:id="29" w:name="_Toc228222457"/>
          <w:r>
            <w:rPr>
              <w:rFonts w:ascii="Arial" w:hAnsi="Arial" w:cs="Arial"/>
              <w:sz w:val="24"/>
            </w:rPr>
            <w:t xml:space="preserve">Figure </w:t>
          </w:r>
          <w:r>
            <w:rPr>
              <w:rFonts w:ascii="Arial" w:hAnsi="Arial" w:cs="Arial"/>
              <w:sz w:val="24"/>
            </w:rPr>
            <w:fldChar w:fldCharType="begin"/>
          </w:r>
          <w:r>
            <w:rPr>
              <w:rFonts w:ascii="Arial" w:hAnsi="Arial" w:cs="Arial"/>
              <w:sz w:val="24"/>
            </w:rPr>
            <w:instrText xml:space="preserve"> SEQ Figure \* ARABIC </w:instrText>
          </w:r>
          <w:r>
            <w:rPr>
              <w:rFonts w:ascii="Arial" w:hAnsi="Arial" w:cs="Arial"/>
              <w:sz w:val="24"/>
            </w:rPr>
            <w:fldChar w:fldCharType="separate"/>
          </w:r>
          <w:r>
            <w:rPr>
              <w:rFonts w:ascii="Arial" w:hAnsi="Arial" w:cs="Arial"/>
              <w:sz w:val="24"/>
            </w:rPr>
            <w:t>10</w:t>
          </w:r>
          <w:r>
            <w:rPr>
              <w:rFonts w:ascii="Arial" w:hAnsi="Arial" w:cs="Arial"/>
              <w:sz w:val="24"/>
            </w:rPr>
            <w:fldChar w:fldCharType="end"/>
          </w:r>
          <w:r>
            <w:rPr>
              <w:rFonts w:ascii="Arial" w:hAnsi="Arial" w:cs="Arial"/>
              <w:sz w:val="24"/>
            </w:rPr>
            <w:t>. Growth Strategies Framework illustrating internal and external expansion approaches. Adapted from Ansoff (1957) and corporate strategy literature.</w:t>
          </w:r>
          <w:bookmarkEnd w:id="29"/>
        </w:p>
        <w:p w14:paraId="43A66270">
          <w:pPr>
            <w:pStyle w:val="25"/>
            <w:numPr>
              <w:ilvl w:val="0"/>
              <w:numId w:val="15"/>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Market Penetration</w:t>
          </w:r>
          <w:r>
            <w:rPr>
              <w:rFonts w:ascii="Arial" w:hAnsi="Arial" w:cs="Arial"/>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Alibaba is steadily gaining grounds in Chinese e-commerce industry with the help of Taobao and Tmall. It enhances customer interaction with promotional pricing, personalised suggestions and loyalty programs. The effectiveness of this strategy lies in the fact that China has a significant number of digital consumers, but the pace of their growth is decreasing because of market saturation (Wang, 2023).</w:t>
          </w:r>
        </w:p>
        <w:p w14:paraId="61376CE9">
          <w:pPr>
            <w:pStyle w:val="25"/>
            <w:numPr>
              <w:ilvl w:val="0"/>
              <w:numId w:val="15"/>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Product Development</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The company has invested a lot in the innovation of its products, especially Alibaba Cloud, artificial intelligence, and digital payment technologies. These new services expand its ecosystem beyond traditional e-commerce and enhance customer value. One of the strategies to decrease the reliance on retail income and enhance technological leadership is product development (Chen, 2024).</w:t>
          </w:r>
        </w:p>
        <w:p w14:paraId="3DF43F4B">
          <w:pPr>
            <w:pStyle w:val="25"/>
            <w:numPr>
              <w:ilvl w:val="0"/>
              <w:numId w:val="15"/>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Market Development</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Alibaba has also diversified to international markets including Southeast Asia, Europe and Latin America using websites like AliExpress and Lazada. This will enable the company to tap into new markets and lessen dependence on the Chinese market. Nevertheless, there are cultural differences and regulatory obstacles that pose threats to international expansion (Lee, 2024).</w:t>
          </w:r>
        </w:p>
        <w:p w14:paraId="1F599FE5">
          <w:pPr>
            <w:pStyle w:val="25"/>
            <w:numPr>
              <w:ilvl w:val="0"/>
              <w:numId w:val="15"/>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Diversification</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Alibaba has also ventured into cloud computing, fintech (through Ant Group), digital media and logistics. This unrelated diversification and related diversification minimizes risk and generates numerous revenue streams. One of the key strategic growth forces in enterprise services is cloud computing in particular (Zhang and Liu, 2024).</w:t>
          </w:r>
        </w:p>
        <w:p w14:paraId="0D7E55D5">
          <w:pPr>
            <w:pStyle w:val="25"/>
            <w:numPr>
              <w:ilvl w:val="0"/>
              <w:numId w:val="15"/>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International Strategy and Entry Modes</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Alibaba is a transnational company pursuing both global and local strategies. It combines international performance and local sensitivity, especially in the emerging markets. Its entry modes are joint ventures (e.g., Lazada in Southeast Asia), acquisitions, and strategic partnerships, which allow entering the market faster and minimizing risk (Kumar, 2023).</w:t>
          </w:r>
        </w:p>
        <w:p w14:paraId="715E0899">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Altogether, the strategy of growth of Alibaba is very diversified and innovational. As it expands its dominance in the domestic market, market penetration is becoming a required element of long-term growth.</w:t>
          </w:r>
        </w:p>
        <w:p w14:paraId="0331CF93">
          <w:pPr>
            <w:pStyle w:val="2"/>
            <w:rPr>
              <w:rFonts w:cs="Arial"/>
            </w:rPr>
          </w:pPr>
          <w:bookmarkStart w:id="30" w:name="_Toc228222264"/>
          <w:r>
            <w:rPr>
              <w:rFonts w:cs="Arial"/>
            </w:rPr>
            <w:t>11. Strategic Choices &amp; Implementation</w:t>
          </w:r>
          <w:bookmarkEnd w:id="30"/>
          <w:r>
            <w:rPr>
              <w:rFonts w:cs="Arial"/>
            </w:rPr>
            <w:t xml:space="preserve"> </w:t>
          </w:r>
        </w:p>
        <w:p w14:paraId="2915EF1A">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Alibaba Group is under mounting pressure due to regulatory restrictions, stiff competition, and market saturation in its traditional e-commerce business. Thus, its strategic decisions need to be based on long run sustainability, worldwide diversification and technological dominance.</w:t>
          </w:r>
        </w:p>
        <w:p w14:paraId="5B47683E">
          <w:pPr>
            <w:rPr>
              <w:rFonts w:ascii="Arial" w:hAnsi="Arial" w:eastAsia="Times New Roman" w:cs="Arial"/>
              <w:b/>
              <w:szCs w:val="24"/>
              <w:lang w:eastAsia="en-GB"/>
            </w:rPr>
          </w:pPr>
          <w:r>
            <w:rPr>
              <w:rFonts w:ascii="Arial" w:hAnsi="Arial" w:eastAsia="Times New Roman" w:cs="Arial"/>
              <w:b/>
              <w:szCs w:val="24"/>
              <w:lang w:eastAsia="en-GB"/>
            </w:rPr>
            <w:br w:type="page"/>
          </w:r>
        </w:p>
        <w:p w14:paraId="0B9B96F3">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 xml:space="preserve">Strategic Choices </w:t>
          </w:r>
        </w:p>
        <w:p w14:paraId="4BB18847">
          <w:pPr>
            <w:spacing w:before="240" w:line="360" w:lineRule="auto"/>
            <w:jc w:val="both"/>
            <w:rPr>
              <w:rFonts w:ascii="Arial" w:hAnsi="Arial" w:eastAsia="Times New Roman" w:cs="Arial"/>
              <w:b/>
              <w:szCs w:val="24"/>
              <w:lang w:eastAsia="en-GB"/>
            </w:rPr>
          </w:pPr>
          <w:r>
            <w:rPr>
              <w:rFonts w:ascii="Arial" w:hAnsi="Arial" w:eastAsia="Times New Roman" w:cs="Arial"/>
              <w:szCs w:val="24"/>
              <w:lang w:eastAsia="en-GB"/>
            </w:rPr>
            <w:t>To begin with, Alibaba needs to focus more on a differentiation-based approach, enhancing its ecosystem advantage by artificial intelligence, cloud computing, and data-driven services. Second, it must hasten market penetration in the international market, especially in emerging markets like Southeast Asia, Africa, and Middle East. Thirdly, Alibaba ought to pursue a similar diversification strategy, diversifying its digital offerings by adding additional digital services like fintech, logistics technology, and enterprise software solutions (Zhang and Liu, 2024).</w:t>
          </w:r>
        </w:p>
        <w:p w14:paraId="03060A7E">
          <w:pPr>
            <w:spacing w:before="240" w:line="360" w:lineRule="auto"/>
            <w:jc w:val="both"/>
            <w:rPr>
              <w:rFonts w:ascii="Arial" w:hAnsi="Arial" w:cs="Arial"/>
            </w:rPr>
          </w:pPr>
          <w:r>
            <w:rPr>
              <w:rFonts w:ascii="Arial" w:hAnsi="Arial" w:eastAsia="Times New Roman" w:cs="Arial"/>
              <w:b/>
              <w:szCs w:val="24"/>
              <w:lang w:eastAsia="en-GB"/>
            </w:rPr>
            <w:t>Reasons why these strategies are appropriate</w:t>
          </w:r>
        </w:p>
        <w:p w14:paraId="57C25328">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 xml:space="preserve"> </w:t>
          </w:r>
          <w:r>
            <w:rPr>
              <w:rFonts w:ascii="Arial" w:hAnsi="Arial" w:eastAsia="Times New Roman" w:cs="Arial"/>
              <w:szCs w:val="24"/>
              <w:lang w:eastAsia="en-GB"/>
            </w:rPr>
            <w:t>These measures are appropriate since the Chinese traditional e-commerce market of Alibaba is maturing, which restricts its future growth. Technological differentiation provides sustainability in competitive advantage and internationalization minimizes reliance on local regulatory regimes. Diversification also diversifies the business risk in many revenue sources, thus enhancing the ability to withstand market changes (Wang, 2023).</w:t>
          </w:r>
        </w:p>
        <w:p w14:paraId="08CC71F7">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 xml:space="preserve">How to implement </w:t>
          </w:r>
        </w:p>
        <w:p w14:paraId="02238F3E">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There should be three main areas of implementation:</w:t>
          </w:r>
        </w:p>
        <w:p w14:paraId="293AF80B">
          <w:pPr>
            <w:pStyle w:val="25"/>
            <w:numPr>
              <w:ilvl w:val="0"/>
              <w:numId w:val="16"/>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Investment in technology:</w:t>
          </w:r>
          <w:r>
            <w:rPr>
              <w:rFonts w:ascii="Arial" w:hAnsi="Arial" w:eastAsia="Times New Roman" w:cs="Arial"/>
              <w:szCs w:val="24"/>
              <w:lang w:eastAsia="en-GB"/>
            </w:rPr>
            <w:t xml:space="preserve"> Allocate more resources to Alibaba Cloud, artificial intelligence, and big data analytics to become more efficient and customer-oriented.</w:t>
          </w:r>
        </w:p>
        <w:p w14:paraId="564A9284">
          <w:pPr>
            <w:pStyle w:val="25"/>
            <w:numPr>
              <w:ilvl w:val="0"/>
              <w:numId w:val="16"/>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Global relationships:</w:t>
          </w:r>
          <w:r>
            <w:rPr>
              <w:rFonts w:ascii="Arial" w:hAnsi="Arial" w:eastAsia="Times New Roman" w:cs="Arial"/>
              <w:szCs w:val="24"/>
              <w:lang w:eastAsia="en-GB"/>
            </w:rPr>
            <w:t xml:space="preserve"> Establish joint ventures and strategic alliances with global companies to access new markets in a more efficient way.</w:t>
          </w:r>
        </w:p>
        <w:p w14:paraId="05E3BE9A">
          <w:pPr>
            <w:pStyle w:val="25"/>
            <w:numPr>
              <w:ilvl w:val="0"/>
              <w:numId w:val="16"/>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Ecosystem integration:</w:t>
          </w:r>
          <w:r>
            <w:rPr>
              <w:rFonts w:ascii="Arial" w:hAnsi="Arial" w:eastAsia="Times New Roman" w:cs="Arial"/>
              <w:szCs w:val="24"/>
              <w:lang w:eastAsia="en-GB"/>
            </w:rPr>
            <w:t xml:space="preserve"> Enhance the connection between e-commerce and logistics (Cainiao), and financial services to enhance user retention and platform stickiness.</w:t>
          </w:r>
        </w:p>
        <w:p w14:paraId="4DEA20D1">
          <w:p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Change management</w:t>
          </w:r>
        </w:p>
        <w:p w14:paraId="6C7325E9">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Good implementation entails good change management practices. Alibaba needs to be organised in a way that a culture of digital transformation and innovation is encouraged. The issue of resistance to change especially in traditional business units should be addressed by means of employee reskilling and communication at the level of the leadership. Also, the international operations can be made responsive to the local market conditions through decentralised decision-making (Chen, 2024).</w:t>
          </w:r>
        </w:p>
        <w:p w14:paraId="700B3CEC">
          <w:pPr>
            <w:rPr>
              <w:rFonts w:ascii="Arial" w:hAnsi="Arial" w:eastAsia="Times New Roman" w:cs="Arial"/>
              <w:b/>
              <w:bCs/>
              <w:color w:val="000000" w:themeColor="text1"/>
              <w:sz w:val="32"/>
              <w:szCs w:val="24"/>
              <w:lang w:eastAsia="ja-JP"/>
              <w14:textFill>
                <w14:solidFill>
                  <w14:schemeClr w14:val="tx1"/>
                </w14:solidFill>
              </w14:textFill>
            </w:rPr>
          </w:pPr>
          <w:bookmarkStart w:id="31" w:name="_Toc228222265"/>
          <w:r>
            <w:rPr>
              <w:rFonts w:ascii="Arial" w:hAnsi="Arial" w:cs="Arial"/>
            </w:rPr>
            <w:br w:type="page"/>
          </w:r>
        </w:p>
        <w:p w14:paraId="370C98F2">
          <w:pPr>
            <w:pStyle w:val="2"/>
            <w:rPr>
              <w:rFonts w:cs="Arial"/>
            </w:rPr>
          </w:pPr>
          <w:r>
            <w:rPr>
              <w:rFonts w:cs="Arial"/>
            </w:rPr>
            <w:t>12. Conclusion</w:t>
          </w:r>
          <w:bookmarkEnd w:id="31"/>
          <w:r>
            <w:rPr>
              <w:rFonts w:cs="Arial"/>
            </w:rPr>
            <w:t xml:space="preserve"> </w:t>
          </w:r>
        </w:p>
        <w:p w14:paraId="645B771F">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 xml:space="preserve">The report has developed a detailed strategic analysis of the Alibaba Group based on the main strategic management models such as PESTEL, Porters Five Forces, VRIO, SWOT, value chain analysis and the Balanced Scorecard. The analysis indicates that Alibaba is in a very competitive and a fast changing digital economy, where its strategic direction is heavily influenced by the technological innovation, regulatory forces, and globalization (Zhang and Liu, 2024). The most important findings imply that Alibaba has good internal strengths, especially in its integrated system, data-driven technologies, and cloud computing system. These resources give the company a sustainable competitive advantage as per the VRIO framework. Nonetheless, external threats like governmental control, fierce competition in the industry, and geopolitical uncertainty pose strategic limitations on its long-term flexibility and possibility of global growth (Wang, 2023). Strategically, Alibaba is a leader in the digital platforms in China but is shifting to a global technology-based ecosystem provider. The fact that it has made an aggressive move to cloud computing, artificial intelligence and diversifying internationally is an indication of the necessity of cutting off reliance on overcrowded e-commerce markets. </w:t>
          </w:r>
        </w:p>
        <w:p w14:paraId="30F3D66B">
          <w:pPr>
            <w:rPr>
              <w:rFonts w:ascii="Arial" w:hAnsi="Arial" w:eastAsia="Times New Roman" w:cs="Arial"/>
              <w:b/>
              <w:bCs/>
              <w:color w:val="000000" w:themeColor="text1"/>
              <w:sz w:val="32"/>
              <w:szCs w:val="24"/>
              <w:lang w:eastAsia="ja-JP"/>
              <w14:textFill>
                <w14:solidFill>
                  <w14:schemeClr w14:val="tx1"/>
                </w14:solidFill>
              </w14:textFill>
            </w:rPr>
          </w:pPr>
          <w:bookmarkStart w:id="32" w:name="_Toc228222266"/>
          <w:r>
            <w:rPr>
              <w:rFonts w:ascii="Arial" w:hAnsi="Arial" w:cs="Arial"/>
            </w:rPr>
            <w:br w:type="page"/>
          </w:r>
        </w:p>
        <w:p w14:paraId="186AFD42">
          <w:pPr>
            <w:pStyle w:val="2"/>
            <w:rPr>
              <w:rFonts w:cs="Arial"/>
            </w:rPr>
          </w:pPr>
          <w:r>
            <w:rPr>
              <w:rFonts w:cs="Arial"/>
            </w:rPr>
            <w:t>13. Recommendations</w:t>
          </w:r>
          <w:bookmarkEnd w:id="32"/>
          <w:r>
            <w:rPr>
              <w:rFonts w:cs="Arial"/>
            </w:rPr>
            <w:t xml:space="preserve"> </w:t>
          </w:r>
        </w:p>
        <w:p w14:paraId="3D0FFF91">
          <w:pPr>
            <w:spacing w:before="240" w:line="360" w:lineRule="auto"/>
            <w:jc w:val="both"/>
            <w:rPr>
              <w:rFonts w:ascii="Arial" w:hAnsi="Arial" w:eastAsia="Times New Roman" w:cs="Arial"/>
              <w:szCs w:val="24"/>
              <w:lang w:eastAsia="en-GB"/>
            </w:rPr>
          </w:pPr>
          <w:r>
            <w:rPr>
              <w:rFonts w:ascii="Arial" w:hAnsi="Arial" w:eastAsia="Times New Roman" w:cs="Arial"/>
              <w:szCs w:val="24"/>
              <w:lang w:eastAsia="en-GB"/>
            </w:rPr>
            <w:t>According to the strategic analysis of Alibaba Group, it is possible to formulate a number of practice and theory-driven recommendations to reinforce its competitive standing in the long-term in a more complex global digital economy.</w:t>
          </w:r>
        </w:p>
        <w:p w14:paraId="6FBBA698">
          <w:pPr>
            <w:pStyle w:val="25"/>
            <w:numPr>
              <w:ilvl w:val="0"/>
              <w:numId w:val="17"/>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Enhance International Diversification Policy</w:t>
          </w:r>
          <w:r>
            <w:rPr>
              <w:rFonts w:ascii="Arial" w:hAnsi="Arial" w:cs="Arial"/>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Alibaba needs to hasten its globalization outside China, especially in the high-growth emerging economies like Southeast Asia, Africa, and the Middle East. This would be a market development strategy according to the Ansoff Matrix, which is necessary to have less dependence on the saturated domestic market. (Zhang and Liu, 2024).</w:t>
          </w:r>
        </w:p>
        <w:p w14:paraId="14D5A7AE">
          <w:pPr>
            <w:pStyle w:val="25"/>
            <w:numPr>
              <w:ilvl w:val="0"/>
              <w:numId w:val="17"/>
            </w:numPr>
            <w:spacing w:before="240" w:line="360" w:lineRule="auto"/>
            <w:jc w:val="both"/>
            <w:rPr>
              <w:rFonts w:ascii="Arial" w:hAnsi="Arial" w:eastAsia="Times New Roman" w:cs="Arial"/>
              <w:szCs w:val="24"/>
              <w:lang w:eastAsia="en-GB"/>
            </w:rPr>
          </w:pPr>
          <w:r>
            <w:rPr>
              <w:rFonts w:ascii="Arial" w:hAnsi="Arial" w:eastAsia="Times New Roman" w:cs="Arial"/>
              <w:b/>
              <w:szCs w:val="24"/>
              <w:lang w:eastAsia="en-GB"/>
            </w:rPr>
            <w:t>Strengthen commitment to Cloud computing and AI</w:t>
          </w:r>
          <w:r>
            <w:rPr>
              <w:rFonts w:ascii="Arial" w:hAnsi="Arial" w:cs="Arial"/>
              <w:b/>
            </w:rPr>
            <w:t xml:space="preserve"> </w:t>
          </w:r>
          <w:r>
            <w:rPr>
              <w:rFonts w:ascii="Arial" w:hAnsi="Arial" w:eastAsia="Times New Roman" w:cs="Arial"/>
              <w:b/>
              <w:szCs w:val="24"/>
              <w:lang w:eastAsia="en-GB"/>
            </w:rPr>
            <w:t>:</w:t>
          </w:r>
          <w:r>
            <w:rPr>
              <w:rFonts w:ascii="Arial" w:hAnsi="Arial" w:eastAsia="Times New Roman" w:cs="Arial"/>
              <w:szCs w:val="24"/>
              <w:lang w:eastAsia="en-GB"/>
            </w:rPr>
            <w:t xml:space="preserve"> Resource-based perspective (RBV) indicates that Alibaba has a long-term competitive advantage in terms of technology. Consequently, the company ought to invest considerably in Alibaba Cloud and artificial intelligence-based services. (Chen, 2024).</w:t>
          </w:r>
        </w:p>
        <w:p w14:paraId="03E04AF5">
          <w:pPr>
            <w:pStyle w:val="25"/>
            <w:numPr>
              <w:ilvl w:val="0"/>
              <w:numId w:val="17"/>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Enhance Regulatory Risk Management</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 xml:space="preserve">Alibaba needs to establish a better regulatory compliance and governance system, considering the growing scrutiny of Chinese government and international laws on data protection. Uncertainty and the confidence of investors will be minimized by taking a proactive stance regarding legal and political risk as observed in the PESTEL analysis. </w:t>
          </w:r>
        </w:p>
        <w:p w14:paraId="63553DBE">
          <w:pPr>
            <w:pStyle w:val="25"/>
            <w:numPr>
              <w:ilvl w:val="0"/>
              <w:numId w:val="17"/>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Enhance the ESG/Sustainability Transparency</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 xml:space="preserve">Even though Alibaba has achieved some progress in sustainability, it must go beyond the symbolic sustainability efforts to quantifiable environmental impact. Stronger ESG reporting standards that are consistent with the international standards will enhance credibility among international investors. </w:t>
          </w:r>
        </w:p>
        <w:p w14:paraId="1B35EEC1">
          <w:pPr>
            <w:pStyle w:val="25"/>
            <w:numPr>
              <w:ilvl w:val="0"/>
              <w:numId w:val="17"/>
            </w:numPr>
            <w:spacing w:before="240" w:line="360" w:lineRule="auto"/>
            <w:jc w:val="both"/>
            <w:rPr>
              <w:rFonts w:ascii="Arial" w:hAnsi="Arial" w:eastAsia="Times New Roman" w:cs="Arial"/>
              <w:b/>
              <w:szCs w:val="24"/>
              <w:lang w:eastAsia="en-GB"/>
            </w:rPr>
          </w:pPr>
          <w:r>
            <w:rPr>
              <w:rFonts w:ascii="Arial" w:hAnsi="Arial" w:eastAsia="Times New Roman" w:cs="Arial"/>
              <w:b/>
              <w:szCs w:val="24"/>
              <w:lang w:eastAsia="en-GB"/>
            </w:rPr>
            <w:t>Strengthen Customer-Centric Innovation</w:t>
          </w:r>
          <w:r>
            <w:rPr>
              <w:rFonts w:ascii="Arial" w:hAnsi="Arial" w:cs="Arial"/>
              <w:b/>
            </w:rPr>
            <w:t xml:space="preserve"> </w:t>
          </w:r>
          <w:r>
            <w:rPr>
              <w:rFonts w:ascii="Arial" w:hAnsi="Arial" w:eastAsia="Times New Roman" w:cs="Arial"/>
              <w:b/>
              <w:szCs w:val="24"/>
              <w:lang w:eastAsia="en-GB"/>
            </w:rPr>
            <w:t xml:space="preserve">: </w:t>
          </w:r>
          <w:r>
            <w:rPr>
              <w:rFonts w:ascii="Arial" w:hAnsi="Arial" w:eastAsia="Times New Roman" w:cs="Arial"/>
              <w:szCs w:val="24"/>
              <w:lang w:eastAsia="en-GB"/>
            </w:rPr>
            <w:t xml:space="preserve">Alibaba ought to implement a continuous innovation policy, which aims at improving customer experience. </w:t>
          </w:r>
        </w:p>
        <w:p w14:paraId="66B332A2">
          <w:pPr>
            <w:spacing w:before="240" w:line="360" w:lineRule="auto"/>
            <w:jc w:val="both"/>
            <w:rPr>
              <w:rFonts w:ascii="Arial" w:hAnsi="Arial" w:eastAsia="Times New Roman" w:cs="Arial"/>
              <w:szCs w:val="24"/>
              <w:lang w:eastAsia="en-GB"/>
            </w:rPr>
          </w:pPr>
        </w:p>
        <w:p w14:paraId="5017F0A9">
          <w:pPr>
            <w:spacing w:line="360" w:lineRule="auto"/>
            <w:jc w:val="both"/>
            <w:rPr>
              <w:rFonts w:ascii="Arial" w:hAnsi="Arial" w:cs="Arial"/>
              <w:lang w:eastAsia="en-GB"/>
            </w:rPr>
          </w:pPr>
        </w:p>
        <w:p w14:paraId="6F934274">
          <w:pPr>
            <w:spacing w:line="360" w:lineRule="auto"/>
            <w:jc w:val="both"/>
            <w:rPr>
              <w:rFonts w:ascii="Arial" w:hAnsi="Arial" w:cs="Arial"/>
              <w:lang w:eastAsia="en-GB"/>
            </w:rPr>
          </w:pPr>
        </w:p>
        <w:p w14:paraId="51D52DD1">
          <w:pPr>
            <w:pStyle w:val="2"/>
            <w:jc w:val="center"/>
            <w:rPr>
              <w:rFonts w:cs="Arial"/>
            </w:rPr>
          </w:pPr>
          <w:bookmarkStart w:id="33" w:name="_Toc228222267"/>
          <w:r>
            <w:rPr>
              <w:rFonts w:cs="Arial"/>
            </w:rPr>
            <w:t>Section 2</w:t>
          </w:r>
          <w:bookmarkEnd w:id="33"/>
        </w:p>
        <w:p w14:paraId="7A4B976B">
          <w:pPr>
            <w:pStyle w:val="3"/>
            <w:rPr>
              <w:rFonts w:cs="Arial"/>
            </w:rPr>
          </w:pPr>
          <w:bookmarkStart w:id="34" w:name="_Toc228222268"/>
          <w:r>
            <w:rPr>
              <w:rFonts w:cs="Arial"/>
            </w:rPr>
            <w:t>Reflective Account (Gibbs Cycle)</w:t>
          </w:r>
          <w:bookmarkEnd w:id="34"/>
        </w:p>
        <w:p w14:paraId="066ACF55">
          <w:pPr>
            <w:spacing w:before="240" w:line="360" w:lineRule="auto"/>
            <w:jc w:val="both"/>
            <w:rPr>
              <w:rFonts w:ascii="Arial" w:hAnsi="Arial" w:cs="Arial"/>
              <w:szCs w:val="24"/>
            </w:rPr>
          </w:pPr>
          <w:r>
            <w:rPr>
              <w:rFonts w:ascii="Arial" w:hAnsi="Arial" w:cs="Arial"/>
              <w:szCs w:val="24"/>
            </w:rPr>
            <w:t>This reflective report assesses the research, analysis and writing of the strategic management report on Alibaba Group through Gibbs Reflective Cycle (1988). The reflection is about my learning experience, development as an analyst, strengths, weaknesses, and areas of future improvement in strategic management analysis.</w:t>
          </w:r>
        </w:p>
        <w:p w14:paraId="2707D16C">
          <w:pPr>
            <w:keepNext/>
            <w:spacing w:before="240" w:line="360" w:lineRule="auto"/>
            <w:jc w:val="center"/>
            <w:rPr>
              <w:rFonts w:ascii="Arial" w:hAnsi="Arial" w:cs="Arial"/>
            </w:rPr>
          </w:pPr>
          <w:r>
            <w:rPr>
              <w:rFonts w:ascii="Arial" w:hAnsi="Arial" w:cs="Arial"/>
              <w:szCs w:val="24"/>
              <w:lang w:val="en-US"/>
            </w:rPr>
            <w:drawing>
              <wp:inline distT="0" distB="0" distL="0" distR="0">
                <wp:extent cx="4219575" cy="28124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36308" cy="2824048"/>
                        </a:xfrm>
                        <a:prstGeom prst="rect">
                          <a:avLst/>
                        </a:prstGeom>
                      </pic:spPr>
                    </pic:pic>
                  </a:graphicData>
                </a:graphic>
              </wp:inline>
            </w:drawing>
          </w:r>
        </w:p>
        <w:p w14:paraId="63BE0297">
          <w:pPr>
            <w:pStyle w:val="9"/>
            <w:jc w:val="center"/>
            <w:rPr>
              <w:rFonts w:ascii="Arial" w:hAnsi="Arial" w:cs="Arial"/>
              <w:sz w:val="24"/>
              <w:szCs w:val="24"/>
            </w:rPr>
          </w:pPr>
          <w:bookmarkStart w:id="35" w:name="_Toc228222458"/>
          <w:r>
            <w:rPr>
              <w:rFonts w:ascii="Arial" w:hAnsi="Arial" w:cs="Arial"/>
              <w:sz w:val="24"/>
            </w:rPr>
            <w:t xml:space="preserve">Figure </w:t>
          </w:r>
          <w:r>
            <w:rPr>
              <w:rFonts w:ascii="Arial" w:hAnsi="Arial" w:cs="Arial"/>
              <w:sz w:val="24"/>
            </w:rPr>
            <w:fldChar w:fldCharType="begin"/>
          </w:r>
          <w:r>
            <w:rPr>
              <w:rFonts w:ascii="Arial" w:hAnsi="Arial" w:cs="Arial"/>
              <w:sz w:val="24"/>
            </w:rPr>
            <w:instrText xml:space="preserve"> SEQ Figure \* ARABIC </w:instrText>
          </w:r>
          <w:r>
            <w:rPr>
              <w:rFonts w:ascii="Arial" w:hAnsi="Arial" w:cs="Arial"/>
              <w:sz w:val="24"/>
            </w:rPr>
            <w:fldChar w:fldCharType="separate"/>
          </w:r>
          <w:r>
            <w:rPr>
              <w:rFonts w:ascii="Arial" w:hAnsi="Arial" w:cs="Arial"/>
              <w:sz w:val="24"/>
            </w:rPr>
            <w:t>11</w:t>
          </w:r>
          <w:r>
            <w:rPr>
              <w:rFonts w:ascii="Arial" w:hAnsi="Arial" w:cs="Arial"/>
              <w:sz w:val="24"/>
            </w:rPr>
            <w:fldChar w:fldCharType="end"/>
          </w:r>
          <w:r>
            <w:rPr>
              <w:rFonts w:ascii="Arial" w:hAnsi="Arial" w:cs="Arial"/>
              <w:sz w:val="24"/>
            </w:rPr>
            <w:t>. Gibbs’ Reflective Cycle illustrating six stages of structured reflection. Adapted from Gibbs (1988).</w:t>
          </w:r>
          <w:bookmarkEnd w:id="35"/>
        </w:p>
        <w:p w14:paraId="101206F3">
          <w:pPr>
            <w:pStyle w:val="3"/>
            <w:rPr>
              <w:rFonts w:cs="Arial"/>
            </w:rPr>
          </w:pPr>
          <w:bookmarkStart w:id="36" w:name="_Toc228222269"/>
          <w:r>
            <w:rPr>
              <w:rFonts w:cs="Arial"/>
            </w:rPr>
            <w:t>1. Description</w:t>
          </w:r>
          <w:bookmarkEnd w:id="36"/>
        </w:p>
        <w:p w14:paraId="2CF81BE2">
          <w:pPr>
            <w:spacing w:before="240" w:line="360" w:lineRule="auto"/>
            <w:jc w:val="both"/>
            <w:rPr>
              <w:rFonts w:ascii="Arial" w:hAnsi="Arial" w:cs="Arial"/>
              <w:szCs w:val="24"/>
            </w:rPr>
          </w:pPr>
          <w:r>
            <w:rPr>
              <w:rFonts w:ascii="Arial" w:hAnsi="Arial" w:cs="Arial"/>
              <w:szCs w:val="24"/>
            </w:rPr>
            <w:t>This assignment entailed a complete strategic analysis of Alibaba Group according to some major strategic management frameworks in PESTEL, Porters Five Forces, VRIO analysis, SWOT analysis, value chain analysis, Balanced Scorecard, Ansoff Matrix and Porters Generic Strategies.</w:t>
          </w:r>
        </w:p>
        <w:p w14:paraId="05ABAFCB">
          <w:pPr>
            <w:spacing w:before="240" w:line="360" w:lineRule="auto"/>
            <w:jc w:val="both"/>
            <w:rPr>
              <w:rFonts w:ascii="Arial" w:hAnsi="Arial" w:cs="Arial"/>
              <w:szCs w:val="24"/>
            </w:rPr>
          </w:pPr>
          <w:r>
            <w:rPr>
              <w:rFonts w:ascii="Arial" w:hAnsi="Arial" w:cs="Arial"/>
              <w:szCs w:val="24"/>
            </w:rPr>
            <w:t>The aim of the work was to assess the functioning of Alibaba in a very competitive world digital environment and how it attains and sustains competitive advantage. I have chosen Alibaba at the outset because it has a robust presence in e-commerce, cloud computing, logistics, and artificial intelligence worldwide.</w:t>
          </w:r>
        </w:p>
        <w:p w14:paraId="64D29290">
          <w:pPr>
            <w:spacing w:before="240" w:line="360" w:lineRule="auto"/>
            <w:jc w:val="both"/>
            <w:rPr>
              <w:rFonts w:ascii="Arial" w:hAnsi="Arial" w:cs="Arial"/>
              <w:szCs w:val="24"/>
            </w:rPr>
          </w:pPr>
          <w:r>
            <w:rPr>
              <w:rFonts w:ascii="Arial" w:hAnsi="Arial" w:cs="Arial"/>
              <w:szCs w:val="24"/>
            </w:rPr>
            <w:t>The research process entailed secondary data collection in the form of academic journals, company reports, industry publications and reputable websites. Having collected the needed information, I was able to structure the report by the assignment structure and relate the theoretical models to the real-life business cases. I also made sure that every section was backed up with in-text references and aligned to concepts of strategic management.</w:t>
          </w:r>
        </w:p>
        <w:p w14:paraId="7A79ADB2">
          <w:pPr>
            <w:pStyle w:val="3"/>
            <w:rPr>
              <w:rFonts w:cs="Arial"/>
            </w:rPr>
          </w:pPr>
          <w:bookmarkStart w:id="37" w:name="_Toc228222270"/>
          <w:r>
            <w:rPr>
              <w:rFonts w:cs="Arial"/>
            </w:rPr>
            <w:t>2. Feelings</w:t>
          </w:r>
          <w:bookmarkEnd w:id="37"/>
        </w:p>
        <w:p w14:paraId="6DE88164">
          <w:pPr>
            <w:spacing w:before="240" w:line="360" w:lineRule="auto"/>
            <w:jc w:val="both"/>
            <w:rPr>
              <w:rFonts w:ascii="Arial" w:hAnsi="Arial" w:cs="Arial"/>
              <w:szCs w:val="24"/>
            </w:rPr>
          </w:pPr>
          <w:r>
            <w:rPr>
              <w:rFonts w:ascii="Arial" w:hAnsi="Arial" w:cs="Arial"/>
              <w:szCs w:val="24"/>
            </w:rPr>
            <w:t>As I started the task, I was motivated, yet a bit unsure as the task demanded to combine several complex frameworks into a single report that would make sense. I felt comfortable with simple tools like SWOT and PESTEL but not with more complex tools, such as VRIO analysis and the Balanced Scorecard.</w:t>
          </w:r>
        </w:p>
        <w:p w14:paraId="497BD666">
          <w:pPr>
            <w:spacing w:before="240" w:line="360" w:lineRule="auto"/>
            <w:jc w:val="both"/>
            <w:rPr>
              <w:rFonts w:ascii="Arial" w:hAnsi="Arial" w:cs="Arial"/>
              <w:szCs w:val="24"/>
            </w:rPr>
          </w:pPr>
          <w:r>
            <w:rPr>
              <w:rFonts w:ascii="Arial" w:hAnsi="Arial" w:cs="Arial"/>
              <w:szCs w:val="24"/>
            </w:rPr>
            <w:t>My confidence was growing slowly as I made progress. It was especially fascinating to me to examine the digital ecosystem of Alibaba and get a sense of how technology, data, and network effects help the company establish a competitive advantage. Nevertheless, I also felt a bit of frustration as various sources presented contradictory opinions on the topic of the global strategy of Alibaba and regulatory issues.</w:t>
          </w:r>
        </w:p>
        <w:p w14:paraId="68F4B6A6">
          <w:pPr>
            <w:spacing w:before="240" w:line="360" w:lineRule="auto"/>
            <w:jc w:val="both"/>
            <w:rPr>
              <w:rFonts w:ascii="Arial" w:hAnsi="Arial" w:cs="Arial"/>
              <w:szCs w:val="24"/>
            </w:rPr>
          </w:pPr>
          <w:r>
            <w:rPr>
              <w:rFonts w:ascii="Arial" w:hAnsi="Arial" w:cs="Arial"/>
              <w:szCs w:val="24"/>
            </w:rPr>
            <w:t>I became more satisfied and confident towards the end of the assignment as I could relate theoretical models to the real-world evidence well. In general, there was a change in the initial uncertainty to better knowledge and confidence in strategic analysis.</w:t>
          </w:r>
        </w:p>
        <w:p w14:paraId="7053990C">
          <w:pPr>
            <w:pStyle w:val="3"/>
            <w:rPr>
              <w:rFonts w:cs="Arial"/>
            </w:rPr>
          </w:pPr>
          <w:bookmarkStart w:id="38" w:name="_Toc228222271"/>
          <w:r>
            <w:rPr>
              <w:rFonts w:cs="Arial"/>
            </w:rPr>
            <w:t>3. Evaluation</w:t>
          </w:r>
          <w:bookmarkEnd w:id="38"/>
        </w:p>
        <w:p w14:paraId="30885879">
          <w:pPr>
            <w:spacing w:before="240" w:line="360" w:lineRule="auto"/>
            <w:jc w:val="both"/>
            <w:rPr>
              <w:rFonts w:ascii="Arial" w:hAnsi="Arial" w:cs="Arial"/>
              <w:szCs w:val="24"/>
            </w:rPr>
          </w:pPr>
          <w:r>
            <w:rPr>
              <w:rFonts w:ascii="Arial" w:hAnsi="Arial" w:cs="Arial"/>
              <w:szCs w:val="24"/>
            </w:rPr>
            <w:t>A number of elements of the assignment performed. To begin with, the application of various strategic frameworks allowed me to create a systematic and detailed examination of the internal and external environment of Alibaba. All models gave a variation in perspective and this enhanced the richness of the report.</w:t>
          </w:r>
        </w:p>
        <w:p w14:paraId="7B23C5BC">
          <w:pPr>
            <w:spacing w:before="240" w:line="360" w:lineRule="auto"/>
            <w:jc w:val="both"/>
            <w:rPr>
              <w:rFonts w:ascii="Arial" w:hAnsi="Arial" w:cs="Arial"/>
              <w:szCs w:val="24"/>
            </w:rPr>
          </w:pPr>
          <w:r>
            <w:rPr>
              <w:rFonts w:ascii="Arial" w:hAnsi="Arial" w:cs="Arial"/>
              <w:szCs w:val="24"/>
            </w:rPr>
            <w:t>Secondly, the academic journals and industry reports enhanced the quality and credibility of my analysis. Thirdly, the practical application of the theory to a real company made the learning process more realistic and enabled me to learn how strategic decisions are taken in big global organisations.</w:t>
          </w:r>
        </w:p>
        <w:p w14:paraId="26FE7671">
          <w:pPr>
            <w:spacing w:before="240" w:line="360" w:lineRule="auto"/>
            <w:jc w:val="both"/>
            <w:rPr>
              <w:rFonts w:ascii="Arial" w:hAnsi="Arial" w:cs="Arial"/>
              <w:szCs w:val="24"/>
            </w:rPr>
          </w:pPr>
          <w:r>
            <w:rPr>
              <w:rFonts w:ascii="Arial" w:hAnsi="Arial" w:cs="Arial"/>
              <w:szCs w:val="24"/>
            </w:rPr>
            <w:t>Nevertheless, it also had its limitations. A significant difficulty was in controlling the number of words used and at the same time ensuring depth in every part. Certain frameworks were more to be explained as compared to others and this meant that content balancing was challenging.</w:t>
          </w:r>
        </w:p>
        <w:p w14:paraId="1B98936B">
          <w:pPr>
            <w:spacing w:before="240" w:line="360" w:lineRule="auto"/>
            <w:jc w:val="both"/>
            <w:rPr>
              <w:rFonts w:ascii="Arial" w:hAnsi="Arial" w:cs="Arial"/>
              <w:szCs w:val="24"/>
            </w:rPr>
          </w:pPr>
          <w:r>
            <w:rPr>
              <w:rFonts w:ascii="Arial" w:hAnsi="Arial" w:cs="Arial"/>
              <w:szCs w:val="24"/>
            </w:rPr>
            <w:t>The other weakness was the assessment of CSR and ESG strategies. Even though Alibaba posts sustainability information, it was not always easy to tell whether the information concerns the actual environmental impact or corporate branding or marketing statements.</w:t>
          </w:r>
        </w:p>
        <w:p w14:paraId="389912E8">
          <w:pPr>
            <w:pStyle w:val="3"/>
            <w:rPr>
              <w:rFonts w:cs="Arial"/>
            </w:rPr>
          </w:pPr>
          <w:bookmarkStart w:id="39" w:name="_Toc228222272"/>
          <w:r>
            <w:rPr>
              <w:rFonts w:cs="Arial"/>
            </w:rPr>
            <w:t>4. Analysis</w:t>
          </w:r>
          <w:bookmarkEnd w:id="39"/>
        </w:p>
        <w:p w14:paraId="6999497B">
          <w:pPr>
            <w:spacing w:before="240" w:line="360" w:lineRule="auto"/>
            <w:jc w:val="both"/>
            <w:rPr>
              <w:rFonts w:ascii="Arial" w:hAnsi="Arial" w:cs="Arial"/>
              <w:szCs w:val="24"/>
            </w:rPr>
          </w:pPr>
          <w:r>
            <w:rPr>
              <w:rFonts w:ascii="Arial" w:hAnsi="Arial" w:cs="Arial"/>
              <w:szCs w:val="24"/>
            </w:rPr>
            <w:t>This assignment has helped me greatly to conceptualize strategic management and its practical use. I also got to learn that strategic analysis does not merely consist of describing frameworks but critically interpreting the results.</w:t>
          </w:r>
        </w:p>
        <w:p w14:paraId="2753297F">
          <w:pPr>
            <w:spacing w:before="240" w:line="360" w:lineRule="auto"/>
            <w:jc w:val="both"/>
            <w:rPr>
              <w:rFonts w:ascii="Arial" w:hAnsi="Arial" w:cs="Arial"/>
              <w:szCs w:val="24"/>
            </w:rPr>
          </w:pPr>
          <w:r>
            <w:rPr>
              <w:rFonts w:ascii="Arial" w:hAnsi="Arial" w:cs="Arial"/>
              <w:szCs w:val="24"/>
            </w:rPr>
            <w:t>As an illustration, the VRIO framework made me realize that the most competitive advantage Alibaba has is its ecosystem, data assets, and technological infrastructure. In the meantime, the Porters Five Forces revealed that the industry is very competitive, particularly owing to the presence of such competitors as Amazon and JD.com.</w:t>
          </w:r>
        </w:p>
        <w:p w14:paraId="0CC8E17D">
          <w:pPr>
            <w:spacing w:before="240" w:line="360" w:lineRule="auto"/>
            <w:jc w:val="both"/>
            <w:rPr>
              <w:rFonts w:ascii="Arial" w:hAnsi="Arial" w:cs="Arial"/>
              <w:szCs w:val="24"/>
            </w:rPr>
          </w:pPr>
          <w:r>
            <w:rPr>
              <w:rFonts w:ascii="Arial" w:hAnsi="Arial" w:cs="Arial"/>
              <w:szCs w:val="24"/>
            </w:rPr>
            <w:t>I also got to know that external and internal analyses should be interrelated. As an example, the high internal strengths (VRIO) of Alibaba enable it to address external threats as indicated in the PESTEL analysis like the regulation and geopolitical risk.</w:t>
          </w:r>
        </w:p>
        <w:p w14:paraId="5772CD3F">
          <w:pPr>
            <w:spacing w:before="240" w:line="360" w:lineRule="auto"/>
            <w:jc w:val="both"/>
            <w:rPr>
              <w:rFonts w:ascii="Arial" w:hAnsi="Arial" w:cs="Arial"/>
              <w:szCs w:val="24"/>
            </w:rPr>
          </w:pPr>
          <w:r>
            <w:rPr>
              <w:rFonts w:ascii="Arial" w:hAnsi="Arial" w:cs="Arial"/>
              <w:szCs w:val="24"/>
            </w:rPr>
            <w:t>In addition, I have gained skills of critical thinking by contrasting various points of view of academic sources and corporate reports. I also found out that companies tend to portray CSR strategies in a good light but actual impact needs to be critically assessed with independent data.</w:t>
          </w:r>
        </w:p>
        <w:p w14:paraId="213A8B68">
          <w:pPr>
            <w:spacing w:before="240" w:line="360" w:lineRule="auto"/>
            <w:jc w:val="both"/>
            <w:rPr>
              <w:rFonts w:ascii="Arial" w:hAnsi="Arial" w:cs="Arial"/>
              <w:szCs w:val="24"/>
            </w:rPr>
          </w:pPr>
          <w:r>
            <w:rPr>
              <w:rFonts w:ascii="Arial" w:hAnsi="Arial" w:cs="Arial"/>
              <w:szCs w:val="24"/>
            </w:rPr>
            <w:t>In general, the assignment helped me become a better synthesiser of information, strategic tools evaluator, and theorist of complex business situations.</w:t>
          </w:r>
        </w:p>
        <w:p w14:paraId="395CDC7B">
          <w:pPr>
            <w:rPr>
              <w:rFonts w:ascii="Arial" w:hAnsi="Arial" w:eastAsia="Times New Roman" w:cs="Arial"/>
              <w:b/>
              <w:color w:val="000000" w:themeColor="text1"/>
              <w:sz w:val="28"/>
              <w:szCs w:val="26"/>
              <w:lang w:eastAsia="ja-JP"/>
              <w14:textFill>
                <w14:solidFill>
                  <w14:schemeClr w14:val="tx1"/>
                </w14:solidFill>
              </w14:textFill>
            </w:rPr>
          </w:pPr>
          <w:bookmarkStart w:id="40" w:name="_Toc228222273"/>
          <w:r>
            <w:rPr>
              <w:rFonts w:ascii="Arial" w:hAnsi="Arial" w:cs="Arial"/>
            </w:rPr>
            <w:br w:type="page"/>
          </w:r>
        </w:p>
        <w:p w14:paraId="2BFA3B74">
          <w:pPr>
            <w:pStyle w:val="3"/>
            <w:rPr>
              <w:rFonts w:cs="Arial"/>
            </w:rPr>
          </w:pPr>
          <w:r>
            <w:rPr>
              <w:rFonts w:cs="Arial"/>
            </w:rPr>
            <w:t>5. Conclusion</w:t>
          </w:r>
          <w:bookmarkEnd w:id="40"/>
        </w:p>
        <w:p w14:paraId="1B017484">
          <w:pPr>
            <w:spacing w:before="240" w:line="360" w:lineRule="auto"/>
            <w:jc w:val="both"/>
            <w:rPr>
              <w:rFonts w:ascii="Arial" w:hAnsi="Arial" w:cs="Arial"/>
              <w:szCs w:val="24"/>
            </w:rPr>
          </w:pPr>
          <w:r>
            <w:rPr>
              <w:rFonts w:ascii="Arial" w:hAnsi="Arial" w:cs="Arial"/>
              <w:szCs w:val="24"/>
            </w:rPr>
            <w:t>Conclusively, this reflective process has equipped my academic and analytical skills. I am able to gain a better appreciation of strategic management frameworks and their interplay in the actual business environment. One of the main lessons is that the integrated digital ecosystem, technological innovation, and data-driven capabilities are the key drivers for the success of Alibaba. Nevertheless, its sustainability over time is tied to its ability to deal with regulatory pressure, international growth, and ESG demands. The significance of critical thinking, structured writing and evidence-based analysis in postgraduate-level work was also mentioned in this assignment. Now I know that strategic management is not a mere theory but it is very practical and is continuously changing in real world industries.</w:t>
          </w:r>
        </w:p>
        <w:p w14:paraId="1C52C0DC">
          <w:pPr>
            <w:pStyle w:val="3"/>
            <w:rPr>
              <w:rFonts w:cs="Arial"/>
            </w:rPr>
          </w:pPr>
          <w:bookmarkStart w:id="41" w:name="_Toc228222274"/>
          <w:r>
            <w:rPr>
              <w:rFonts w:cs="Arial"/>
            </w:rPr>
            <w:t>6. Action Plan</w:t>
          </w:r>
          <w:bookmarkEnd w:id="41"/>
        </w:p>
        <w:p w14:paraId="3DF39C0C">
          <w:pPr>
            <w:spacing w:before="240" w:line="360" w:lineRule="auto"/>
            <w:jc w:val="both"/>
            <w:rPr>
              <w:rFonts w:ascii="Arial" w:hAnsi="Arial" w:cs="Arial"/>
              <w:szCs w:val="24"/>
            </w:rPr>
          </w:pPr>
          <w:r>
            <w:rPr>
              <w:rFonts w:ascii="Arial" w:hAnsi="Arial" w:cs="Arial"/>
              <w:szCs w:val="24"/>
            </w:rPr>
            <w:t>To enhance future performance, I have determined some of the main actions:</w:t>
          </w:r>
        </w:p>
        <w:p w14:paraId="45B65BF0">
          <w:pPr>
            <w:pStyle w:val="25"/>
            <w:numPr>
              <w:ilvl w:val="0"/>
              <w:numId w:val="18"/>
            </w:numPr>
            <w:spacing w:before="240" w:line="360" w:lineRule="auto"/>
            <w:jc w:val="both"/>
            <w:rPr>
              <w:rFonts w:ascii="Arial" w:hAnsi="Arial" w:cs="Arial"/>
              <w:szCs w:val="24"/>
            </w:rPr>
          </w:pPr>
          <w:r>
            <w:rPr>
              <w:rFonts w:ascii="Arial" w:hAnsi="Arial" w:cs="Arial"/>
              <w:b/>
              <w:szCs w:val="24"/>
            </w:rPr>
            <w:t>Enhance critical analysis:</w:t>
          </w:r>
          <w:r>
            <w:rPr>
              <w:rFonts w:ascii="Arial" w:hAnsi="Arial" w:cs="Arial"/>
              <w:szCs w:val="24"/>
            </w:rPr>
            <w:t xml:space="preserve"> I will pay more attention to the evaluation and comparison of theories, instead of describing them.</w:t>
          </w:r>
        </w:p>
        <w:p w14:paraId="7FF1EF62">
          <w:pPr>
            <w:pStyle w:val="25"/>
            <w:numPr>
              <w:ilvl w:val="0"/>
              <w:numId w:val="18"/>
            </w:numPr>
            <w:spacing w:before="240" w:line="360" w:lineRule="auto"/>
            <w:jc w:val="both"/>
            <w:rPr>
              <w:rFonts w:ascii="Arial" w:hAnsi="Arial" w:cs="Arial"/>
              <w:szCs w:val="24"/>
            </w:rPr>
          </w:pPr>
          <w:r>
            <w:rPr>
              <w:rFonts w:ascii="Arial" w:hAnsi="Arial" w:cs="Arial"/>
              <w:b/>
              <w:szCs w:val="24"/>
            </w:rPr>
            <w:t>Improve academic reading:</w:t>
          </w:r>
          <w:r>
            <w:rPr>
              <w:rFonts w:ascii="Arial" w:hAnsi="Arial" w:cs="Arial"/>
              <w:szCs w:val="24"/>
            </w:rPr>
            <w:t xml:space="preserve"> I will read more academic publications and peer-reviewed journals (20232026) to build stronger academic arguments.</w:t>
          </w:r>
        </w:p>
        <w:p w14:paraId="7F7983B3">
          <w:pPr>
            <w:pStyle w:val="25"/>
            <w:numPr>
              <w:ilvl w:val="0"/>
              <w:numId w:val="18"/>
            </w:numPr>
            <w:spacing w:before="240" w:line="360" w:lineRule="auto"/>
            <w:jc w:val="both"/>
            <w:rPr>
              <w:rFonts w:ascii="Arial" w:hAnsi="Arial" w:cs="Arial"/>
              <w:szCs w:val="24"/>
            </w:rPr>
          </w:pPr>
          <w:r>
            <w:rPr>
              <w:rFonts w:ascii="Arial" w:hAnsi="Arial" w:cs="Arial"/>
              <w:b/>
              <w:szCs w:val="24"/>
            </w:rPr>
            <w:t>Improve time management:</w:t>
          </w:r>
          <w:r>
            <w:rPr>
              <w:rFonts w:ascii="Arial" w:hAnsi="Arial" w:cs="Arial"/>
              <w:szCs w:val="24"/>
            </w:rPr>
            <w:t xml:space="preserve"> I will also set certain times to do my research, write, and edit to better structure and avoid last minute stress.</w:t>
          </w:r>
        </w:p>
        <w:p w14:paraId="73BE6907">
          <w:pPr>
            <w:pStyle w:val="25"/>
            <w:numPr>
              <w:ilvl w:val="0"/>
              <w:numId w:val="18"/>
            </w:numPr>
            <w:spacing w:before="240" w:line="360" w:lineRule="auto"/>
            <w:jc w:val="both"/>
            <w:rPr>
              <w:rFonts w:ascii="Arial" w:hAnsi="Arial" w:cs="Arial"/>
              <w:szCs w:val="24"/>
            </w:rPr>
          </w:pPr>
          <w:r>
            <w:rPr>
              <w:rFonts w:ascii="Arial" w:hAnsi="Arial" w:cs="Arial"/>
              <w:b/>
              <w:szCs w:val="24"/>
            </w:rPr>
            <w:t>Enhance the integration of frameworks:</w:t>
          </w:r>
          <w:r>
            <w:rPr>
              <w:rFonts w:ascii="Arial" w:hAnsi="Arial" w:cs="Arial"/>
              <w:szCs w:val="24"/>
            </w:rPr>
            <w:t xml:space="preserve"> I will train to integrate various strategic models into cohesive arguments instead of analysing them one at a time.</w:t>
          </w:r>
        </w:p>
        <w:p w14:paraId="4F64C5E4">
          <w:pPr>
            <w:pStyle w:val="25"/>
            <w:numPr>
              <w:ilvl w:val="0"/>
              <w:numId w:val="18"/>
            </w:numPr>
            <w:spacing w:before="240" w:line="360" w:lineRule="auto"/>
            <w:jc w:val="both"/>
            <w:rPr>
              <w:rFonts w:ascii="Arial" w:hAnsi="Arial" w:cs="Arial"/>
              <w:szCs w:val="24"/>
            </w:rPr>
          </w:pPr>
          <w:r>
            <w:rPr>
              <w:rFonts w:ascii="Arial" w:hAnsi="Arial" w:cs="Arial"/>
              <w:b/>
              <w:szCs w:val="24"/>
            </w:rPr>
            <w:t>Enhance CSR assessment capabilities:</w:t>
          </w:r>
          <w:r>
            <w:rPr>
              <w:rFonts w:ascii="Arial" w:hAnsi="Arial" w:cs="Arial"/>
              <w:szCs w:val="24"/>
            </w:rPr>
            <w:t xml:space="preserve"> I will read more on ESG reporting frameworks to know how to better evaluate the sustainability claims and their actual impact.</w:t>
          </w:r>
        </w:p>
        <w:p w14:paraId="1EFD7992">
          <w:pPr>
            <w:spacing w:before="240" w:line="360" w:lineRule="auto"/>
            <w:jc w:val="both"/>
            <w:rPr>
              <w:rFonts w:ascii="Arial" w:hAnsi="Arial" w:cs="Arial"/>
              <w:szCs w:val="24"/>
            </w:rPr>
          </w:pPr>
          <w:r>
            <w:rPr>
              <w:rFonts w:ascii="Arial" w:hAnsi="Arial" w:cs="Arial"/>
              <w:szCs w:val="24"/>
            </w:rPr>
            <w:t>In further assignments, I will strive to create a more critical, structured and analytically developed work that exhibits a greater synthesis of theory and practice.</w:t>
          </w:r>
        </w:p>
        <w:p w14:paraId="213B07D1">
          <w:pPr>
            <w:spacing w:before="240" w:line="360" w:lineRule="auto"/>
            <w:jc w:val="both"/>
            <w:rPr>
              <w:rFonts w:ascii="Arial" w:hAnsi="Arial" w:cs="Arial"/>
              <w:szCs w:val="24"/>
            </w:rPr>
          </w:pPr>
        </w:p>
        <w:p w14:paraId="44CECCE7">
          <w:pPr>
            <w:spacing w:before="240" w:line="360" w:lineRule="auto"/>
            <w:jc w:val="both"/>
            <w:rPr>
              <w:rFonts w:ascii="Arial" w:hAnsi="Arial" w:cs="Arial"/>
              <w:szCs w:val="24"/>
            </w:rPr>
          </w:pPr>
        </w:p>
        <w:p w14:paraId="26B64DE4">
          <w:pPr>
            <w:spacing w:before="100" w:beforeAutospacing="1" w:after="100" w:afterAutospacing="1" w:line="240" w:lineRule="auto"/>
            <w:outlineLvl w:val="0"/>
            <w:rPr>
              <w:rFonts w:ascii="Arial" w:hAnsi="Arial" w:eastAsia="Times New Roman" w:cs="Arial"/>
              <w:b/>
              <w:bCs/>
              <w:kern w:val="36"/>
              <w:sz w:val="32"/>
              <w:szCs w:val="48"/>
              <w:lang w:eastAsia="en-GB"/>
            </w:rPr>
          </w:pPr>
          <w:bookmarkStart w:id="42" w:name="_Toc228222275"/>
          <w:r>
            <w:rPr>
              <w:rFonts w:ascii="Arial" w:hAnsi="Arial" w:eastAsia="Times New Roman" w:cs="Arial"/>
              <w:b/>
              <w:bCs/>
              <w:kern w:val="36"/>
              <w:sz w:val="32"/>
              <w:szCs w:val="48"/>
              <w:lang w:eastAsia="en-GB"/>
            </w:rPr>
            <w:t>14. References</w:t>
          </w:r>
          <w:bookmarkEnd w:id="42"/>
        </w:p>
        <w:p w14:paraId="3AD6F367">
          <w:pPr>
            <w:spacing w:line="360" w:lineRule="auto"/>
            <w:jc w:val="both"/>
            <w:rPr>
              <w:rFonts w:ascii="Arial" w:hAnsi="Arial" w:eastAsia="MS Mincho" w:cs="Arial"/>
              <w:lang w:val="en-US"/>
            </w:rPr>
          </w:pPr>
          <w:r>
            <w:rPr>
              <w:rFonts w:ascii="Arial" w:hAnsi="Arial" w:eastAsia="MS Mincho" w:cs="Arial"/>
              <w:lang w:val="en-US"/>
            </w:rPr>
            <w:t xml:space="preserve">Ansoff, H.I. (1957) Strategies for Diversification. Harvard Business Review. </w:t>
          </w:r>
          <w:r>
            <w:fldChar w:fldCharType="begin"/>
          </w:r>
          <w:r>
            <w:instrText xml:space="preserve"> HYPERLINK "https://hbr.org/1957/09/strategies-for-diversification" </w:instrText>
          </w:r>
          <w:r>
            <w:fldChar w:fldCharType="separate"/>
          </w:r>
          <w:r>
            <w:rPr>
              <w:rFonts w:ascii="Arial" w:hAnsi="Arial" w:eastAsia="MS Mincho" w:cs="Arial"/>
              <w:color w:val="0000FF" w:themeColor="hyperlink"/>
              <w:u w:val="single"/>
              <w:lang w:val="en-US"/>
              <w14:textFill>
                <w14:solidFill>
                  <w14:schemeClr w14:val="hlink"/>
                </w14:solidFill>
              </w14:textFill>
            </w:rPr>
            <w:t>https://hbr.org/1957/09/strategies-for-diversification</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63448C82">
          <w:pPr>
            <w:spacing w:line="360" w:lineRule="auto"/>
            <w:jc w:val="both"/>
            <w:rPr>
              <w:rFonts w:ascii="Arial" w:hAnsi="Arial" w:eastAsia="MS Mincho" w:cs="Arial"/>
              <w:lang w:val="en-US"/>
            </w:rPr>
          </w:pPr>
          <w:r>
            <w:rPr>
              <w:rFonts w:ascii="Arial" w:hAnsi="Arial" w:eastAsia="MS Mincho" w:cs="Arial"/>
              <w:lang w:val="en-US"/>
            </w:rPr>
            <w:t xml:space="preserve">Barney, J. (1991) Firm Resources and Sustained Competitive Advantage. Journal of Management. </w:t>
          </w:r>
          <w:r>
            <w:fldChar w:fldCharType="begin"/>
          </w:r>
          <w:r>
            <w:instrText xml:space="preserve"> HYPERLINK "https://doi.org/10.1177/014920639101700108" </w:instrText>
          </w:r>
          <w:r>
            <w:fldChar w:fldCharType="separate"/>
          </w:r>
          <w:r>
            <w:rPr>
              <w:rFonts w:ascii="Arial" w:hAnsi="Arial" w:eastAsia="MS Mincho" w:cs="Arial"/>
              <w:color w:val="0000FF" w:themeColor="hyperlink"/>
              <w:u w:val="single"/>
              <w:lang w:val="en-US"/>
              <w14:textFill>
                <w14:solidFill>
                  <w14:schemeClr w14:val="hlink"/>
                </w14:solidFill>
              </w14:textFill>
            </w:rPr>
            <w:t>https://doi.org/10.1177/014920639101700108</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57CF4C1D">
          <w:pPr>
            <w:spacing w:line="360" w:lineRule="auto"/>
            <w:jc w:val="both"/>
            <w:rPr>
              <w:rFonts w:ascii="Arial" w:hAnsi="Arial" w:eastAsia="MS Mincho" w:cs="Arial"/>
              <w:lang w:val="en-US"/>
            </w:rPr>
          </w:pPr>
          <w:r>
            <w:rPr>
              <w:rFonts w:ascii="Arial" w:hAnsi="Arial" w:eastAsia="MS Mincho" w:cs="Arial"/>
              <w:lang w:val="en-US"/>
            </w:rPr>
            <w:t xml:space="preserve">Barney, J.B. &amp; Hesterly, W. (2012) Strategic Management and Competitive Advantage. Pearson. </w:t>
          </w:r>
          <w:r>
            <w:fldChar w:fldCharType="begin"/>
          </w:r>
          <w:r>
            <w:instrText xml:space="preserve"> HYPERLINK "https://www.pearson.com" </w:instrText>
          </w:r>
          <w:r>
            <w:fldChar w:fldCharType="separate"/>
          </w:r>
          <w:r>
            <w:rPr>
              <w:rFonts w:ascii="Arial" w:hAnsi="Arial" w:eastAsia="MS Mincho" w:cs="Arial"/>
              <w:color w:val="0000FF" w:themeColor="hyperlink"/>
              <w:u w:val="single"/>
              <w:lang w:val="en-US"/>
              <w14:textFill>
                <w14:solidFill>
                  <w14:schemeClr w14:val="hlink"/>
                </w14:solidFill>
              </w14:textFill>
            </w:rPr>
            <w:t>https://www.pearson.com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46A7DC29">
          <w:pPr>
            <w:spacing w:line="360" w:lineRule="auto"/>
            <w:jc w:val="both"/>
            <w:rPr>
              <w:rFonts w:ascii="Arial" w:hAnsi="Arial" w:eastAsia="MS Mincho" w:cs="Arial"/>
              <w:lang w:val="en-US"/>
            </w:rPr>
          </w:pPr>
          <w:r>
            <w:rPr>
              <w:rFonts w:ascii="Arial" w:hAnsi="Arial" w:eastAsia="MS Mincho" w:cs="Arial"/>
              <w:lang w:val="en-US"/>
            </w:rPr>
            <w:t xml:space="preserve">Chen, X. (2024) Digital platform strategy in e-commerce firms. Journal of Business Research. </w:t>
          </w:r>
          <w:r>
            <w:fldChar w:fldCharType="begin"/>
          </w:r>
          <w:r>
            <w:instrText xml:space="preserve"> HYPERLINK "https://www.sciencedirect.com" </w:instrText>
          </w:r>
          <w:r>
            <w:fldChar w:fldCharType="separate"/>
          </w:r>
          <w:r>
            <w:rPr>
              <w:rFonts w:ascii="Arial" w:hAnsi="Arial" w:eastAsia="MS Mincho" w:cs="Arial"/>
              <w:color w:val="0000FF" w:themeColor="hyperlink"/>
              <w:u w:val="single"/>
              <w:lang w:val="en-US"/>
              <w14:textFill>
                <w14:solidFill>
                  <w14:schemeClr w14:val="hlink"/>
                </w14:solidFill>
              </w14:textFill>
            </w:rPr>
            <w:t>https://www.sciencedirect.com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30B5F2C1">
          <w:pPr>
            <w:spacing w:line="360" w:lineRule="auto"/>
            <w:jc w:val="both"/>
            <w:rPr>
              <w:rFonts w:ascii="Arial" w:hAnsi="Arial" w:eastAsia="MS Mincho" w:cs="Arial"/>
              <w:lang w:val="en-US"/>
            </w:rPr>
          </w:pPr>
          <w:r>
            <w:rPr>
              <w:rFonts w:ascii="Arial" w:hAnsi="Arial" w:eastAsia="MS Mincho" w:cs="Arial"/>
              <w:lang w:val="en-US"/>
            </w:rPr>
            <w:t xml:space="preserve">Kumar, S. (2023) Global e-commerce transformation and strategy. International Business Review. </w:t>
          </w:r>
          <w:r>
            <w:fldChar w:fldCharType="begin"/>
          </w:r>
          <w:r>
            <w:instrText xml:space="preserve"> HYPERLINK "https://www.sciencedirect.com" </w:instrText>
          </w:r>
          <w:r>
            <w:fldChar w:fldCharType="separate"/>
          </w:r>
          <w:r>
            <w:rPr>
              <w:rFonts w:ascii="Arial" w:hAnsi="Arial" w:eastAsia="MS Mincho" w:cs="Arial"/>
              <w:color w:val="0000FF" w:themeColor="hyperlink"/>
              <w:u w:val="single"/>
              <w:lang w:val="en-US"/>
              <w14:textFill>
                <w14:solidFill>
                  <w14:schemeClr w14:val="hlink"/>
                </w14:solidFill>
              </w14:textFill>
            </w:rPr>
            <w:t>https://www.sciencedirect.com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4F2E9221">
          <w:pPr>
            <w:spacing w:line="360" w:lineRule="auto"/>
            <w:jc w:val="both"/>
            <w:rPr>
              <w:rFonts w:ascii="Arial" w:hAnsi="Arial" w:eastAsia="MS Mincho" w:cs="Arial"/>
              <w:lang w:val="en-US"/>
            </w:rPr>
          </w:pPr>
          <w:r>
            <w:rPr>
              <w:rFonts w:ascii="Arial" w:hAnsi="Arial" w:eastAsia="MS Mincho" w:cs="Arial"/>
              <w:lang w:val="en-US"/>
            </w:rPr>
            <w:t xml:space="preserve">Lee, J. (2024) Regulatory pressures on Chinese tech firms. Asian Business &amp; Management. </w:t>
          </w:r>
          <w:r>
            <w:fldChar w:fldCharType="begin"/>
          </w:r>
          <w:r>
            <w:instrText xml:space="preserve"> HYPERLINK "https://link.springer.com" </w:instrText>
          </w:r>
          <w:r>
            <w:fldChar w:fldCharType="separate"/>
          </w:r>
          <w:r>
            <w:rPr>
              <w:rFonts w:ascii="Arial" w:hAnsi="Arial" w:eastAsia="MS Mincho" w:cs="Arial"/>
              <w:color w:val="0000FF" w:themeColor="hyperlink"/>
              <w:u w:val="single"/>
              <w:lang w:val="en-US"/>
              <w14:textFill>
                <w14:solidFill>
                  <w14:schemeClr w14:val="hlink"/>
                </w14:solidFill>
              </w14:textFill>
            </w:rPr>
            <w:t>https://link.springer.com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48A8E8C9">
          <w:pPr>
            <w:spacing w:line="360" w:lineRule="auto"/>
            <w:jc w:val="both"/>
            <w:rPr>
              <w:rFonts w:ascii="Arial" w:hAnsi="Arial" w:eastAsia="MS Mincho" w:cs="Arial"/>
              <w:lang w:val="en-US"/>
            </w:rPr>
          </w:pPr>
          <w:r>
            <w:rPr>
              <w:rFonts w:ascii="Arial" w:hAnsi="Arial" w:eastAsia="MS Mincho" w:cs="Arial"/>
              <w:lang w:val="en-US"/>
            </w:rPr>
            <w:t xml:space="preserve">Porter, M.E. (1985) Competitive Advantage. Free Press. </w:t>
          </w:r>
          <w:r>
            <w:fldChar w:fldCharType="begin"/>
          </w:r>
          <w:r>
            <w:instrText xml:space="preserve"> HYPERLINK "https://hbr.org" </w:instrText>
          </w:r>
          <w:r>
            <w:fldChar w:fldCharType="separate"/>
          </w:r>
          <w:r>
            <w:rPr>
              <w:rFonts w:ascii="Arial" w:hAnsi="Arial" w:eastAsia="MS Mincho" w:cs="Arial"/>
              <w:color w:val="0000FF" w:themeColor="hyperlink"/>
              <w:u w:val="single"/>
              <w:lang w:val="en-US"/>
              <w14:textFill>
                <w14:solidFill>
                  <w14:schemeClr w14:val="hlink"/>
                </w14:solidFill>
              </w14:textFill>
            </w:rPr>
            <w:t>https://hbr.org</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12F736F9">
          <w:pPr>
            <w:spacing w:line="360" w:lineRule="auto"/>
            <w:jc w:val="both"/>
            <w:rPr>
              <w:rFonts w:ascii="Arial" w:hAnsi="Arial" w:eastAsia="MS Mincho" w:cs="Arial"/>
              <w:lang w:val="en-US"/>
            </w:rPr>
          </w:pPr>
          <w:r>
            <w:rPr>
              <w:rFonts w:ascii="Arial" w:hAnsi="Arial" w:eastAsia="MS Mincho" w:cs="Arial"/>
              <w:lang w:val="en-US"/>
            </w:rPr>
            <w:t xml:space="preserve">Porter, M.E. (2008) The Five Competitive Forces That Shape Strategy. Harvard Business Review. </w:t>
          </w:r>
          <w:r>
            <w:fldChar w:fldCharType="begin"/>
          </w:r>
          <w:r>
            <w:instrText xml:space="preserve"> HYPERLINK "https://hbr.org" </w:instrText>
          </w:r>
          <w:r>
            <w:fldChar w:fldCharType="separate"/>
          </w:r>
          <w:r>
            <w:rPr>
              <w:rFonts w:ascii="Arial" w:hAnsi="Arial" w:eastAsia="MS Mincho" w:cs="Arial"/>
              <w:color w:val="0000FF" w:themeColor="hyperlink"/>
              <w:u w:val="single"/>
              <w:lang w:val="en-US"/>
              <w14:textFill>
                <w14:solidFill>
                  <w14:schemeClr w14:val="hlink"/>
                </w14:solidFill>
              </w14:textFill>
            </w:rPr>
            <w:t>https://hbr.org</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31049AAA">
          <w:pPr>
            <w:spacing w:line="360" w:lineRule="auto"/>
            <w:jc w:val="both"/>
            <w:rPr>
              <w:rFonts w:ascii="Arial" w:hAnsi="Arial" w:eastAsia="MS Mincho" w:cs="Arial"/>
              <w:lang w:val="en-US"/>
            </w:rPr>
          </w:pPr>
          <w:r>
            <w:rPr>
              <w:rFonts w:ascii="Arial" w:hAnsi="Arial" w:eastAsia="MS Mincho" w:cs="Arial"/>
              <w:lang w:val="en-US"/>
            </w:rPr>
            <w:t xml:space="preserve">Wang, Y. (2023) Platform ecosystems and digital competition. Electronic Commerce Research. </w:t>
          </w:r>
          <w:r>
            <w:fldChar w:fldCharType="begin"/>
          </w:r>
          <w:r>
            <w:instrText xml:space="preserve"> HYPERLINK "https://link.springer.com" </w:instrText>
          </w:r>
          <w:r>
            <w:fldChar w:fldCharType="separate"/>
          </w:r>
          <w:r>
            <w:rPr>
              <w:rFonts w:ascii="Arial" w:hAnsi="Arial" w:eastAsia="MS Mincho" w:cs="Arial"/>
              <w:color w:val="0000FF" w:themeColor="hyperlink"/>
              <w:u w:val="single"/>
              <w:lang w:val="en-US"/>
              <w14:textFill>
                <w14:solidFill>
                  <w14:schemeClr w14:val="hlink"/>
                </w14:solidFill>
              </w14:textFill>
            </w:rPr>
            <w:t>https://link.springer.com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18AE4C0B">
          <w:pPr>
            <w:spacing w:line="360" w:lineRule="auto"/>
            <w:jc w:val="both"/>
            <w:rPr>
              <w:rFonts w:ascii="Arial" w:hAnsi="Arial" w:eastAsia="MS Mincho" w:cs="Arial"/>
              <w:lang w:val="en-US"/>
            </w:rPr>
          </w:pPr>
          <w:r>
            <w:rPr>
              <w:rFonts w:ascii="Arial" w:hAnsi="Arial" w:eastAsia="MS Mincho" w:cs="Arial"/>
              <w:lang w:val="en-US"/>
            </w:rPr>
            <w:t xml:space="preserve">Zhang, L. &amp; Liu, H. (2024) Innovation and AI in Chinese tech giants. Technology Forecasting Journal. </w:t>
          </w:r>
          <w:r>
            <w:fldChar w:fldCharType="begin"/>
          </w:r>
          <w:r>
            <w:instrText xml:space="preserve"> HYPERLINK "https://www.sciencedirect.com" </w:instrText>
          </w:r>
          <w:r>
            <w:fldChar w:fldCharType="separate"/>
          </w:r>
          <w:r>
            <w:rPr>
              <w:rFonts w:ascii="Arial" w:hAnsi="Arial" w:eastAsia="MS Mincho" w:cs="Arial"/>
              <w:color w:val="0000FF" w:themeColor="hyperlink"/>
              <w:u w:val="single"/>
              <w:lang w:val="en-US"/>
              <w14:textFill>
                <w14:solidFill>
                  <w14:schemeClr w14:val="hlink"/>
                </w14:solidFill>
              </w14:textFill>
            </w:rPr>
            <w:t>https://www.sciencedirect.com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71A80521">
          <w:pPr>
            <w:spacing w:line="360" w:lineRule="auto"/>
            <w:jc w:val="both"/>
            <w:rPr>
              <w:rFonts w:ascii="Arial" w:hAnsi="Arial" w:eastAsia="MS Mincho" w:cs="Arial"/>
              <w:lang w:val="en-US"/>
            </w:rPr>
          </w:pPr>
          <w:r>
            <w:rPr>
              <w:rFonts w:ascii="Arial" w:hAnsi="Arial" w:eastAsia="MS Mincho" w:cs="Arial"/>
              <w:lang w:val="en-US"/>
            </w:rPr>
            <w:t xml:space="preserve">Alibaba Group (2025) Annual Report. </w:t>
          </w:r>
          <w:r>
            <w:fldChar w:fldCharType="begin"/>
          </w:r>
          <w:r>
            <w:instrText xml:space="preserve"> HYPERLINK "https://www.alibabagroup.com" </w:instrText>
          </w:r>
          <w:r>
            <w:fldChar w:fldCharType="separate"/>
          </w:r>
          <w:r>
            <w:rPr>
              <w:rFonts w:ascii="Arial" w:hAnsi="Arial" w:eastAsia="MS Mincho" w:cs="Arial"/>
              <w:color w:val="0000FF" w:themeColor="hyperlink"/>
              <w:u w:val="single"/>
              <w:lang w:val="en-US"/>
              <w14:textFill>
                <w14:solidFill>
                  <w14:schemeClr w14:val="hlink"/>
                </w14:solidFill>
              </w14:textFill>
            </w:rPr>
            <w:t>https://www.alibabagroup.com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55D9B999">
          <w:pPr>
            <w:spacing w:line="360" w:lineRule="auto"/>
            <w:jc w:val="both"/>
            <w:rPr>
              <w:rFonts w:ascii="Arial" w:hAnsi="Arial" w:eastAsia="MS Mincho" w:cs="Arial"/>
              <w:lang w:val="en-US"/>
            </w:rPr>
          </w:pPr>
          <w:r>
            <w:rPr>
              <w:rFonts w:ascii="Arial" w:hAnsi="Arial" w:eastAsia="MS Mincho" w:cs="Arial"/>
              <w:lang w:val="en-US"/>
            </w:rPr>
            <w:t xml:space="preserve">Alibaba Group (2024) Investor Relations. </w:t>
          </w:r>
          <w:r>
            <w:fldChar w:fldCharType="begin"/>
          </w:r>
          <w:r>
            <w:instrText xml:space="preserve"> HYPERLINK "https://www.alibabagroup.com/en/investor" </w:instrText>
          </w:r>
          <w:r>
            <w:fldChar w:fldCharType="separate"/>
          </w:r>
          <w:r>
            <w:rPr>
              <w:rFonts w:ascii="Arial" w:hAnsi="Arial" w:eastAsia="MS Mincho" w:cs="Arial"/>
              <w:color w:val="0000FF" w:themeColor="hyperlink"/>
              <w:u w:val="single"/>
              <w:lang w:val="en-US"/>
              <w14:textFill>
                <w14:solidFill>
                  <w14:schemeClr w14:val="hlink"/>
                </w14:solidFill>
              </w14:textFill>
            </w:rPr>
            <w:t>https://www.alibabagroup.com/en/investor</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1CB2111B">
          <w:pPr>
            <w:spacing w:line="360" w:lineRule="auto"/>
            <w:jc w:val="both"/>
            <w:rPr>
              <w:rFonts w:ascii="Arial" w:hAnsi="Arial" w:eastAsia="MS Mincho" w:cs="Arial"/>
              <w:lang w:val="en-US"/>
            </w:rPr>
          </w:pPr>
          <w:r>
            <w:rPr>
              <w:rFonts w:ascii="Arial" w:hAnsi="Arial" w:eastAsia="MS Mincho" w:cs="Arial"/>
              <w:lang w:val="en-US"/>
            </w:rPr>
            <w:t xml:space="preserve">Statista (2025) Global E-commerce Statistics. </w:t>
          </w:r>
          <w:r>
            <w:fldChar w:fldCharType="begin"/>
          </w:r>
          <w:r>
            <w:instrText xml:space="preserve"> HYPERLINK "https://www.statista.com" </w:instrText>
          </w:r>
          <w:r>
            <w:fldChar w:fldCharType="separate"/>
          </w:r>
          <w:r>
            <w:rPr>
              <w:rFonts w:ascii="Arial" w:hAnsi="Arial" w:eastAsia="MS Mincho" w:cs="Arial"/>
              <w:color w:val="0000FF" w:themeColor="hyperlink"/>
              <w:u w:val="single"/>
              <w:lang w:val="en-US"/>
              <w14:textFill>
                <w14:solidFill>
                  <w14:schemeClr w14:val="hlink"/>
                </w14:solidFill>
              </w14:textFill>
            </w:rPr>
            <w:t>https://www.statista.com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7646E936">
          <w:pPr>
            <w:spacing w:line="360" w:lineRule="auto"/>
            <w:jc w:val="both"/>
            <w:rPr>
              <w:rFonts w:ascii="Arial" w:hAnsi="Arial" w:eastAsia="MS Mincho" w:cs="Arial"/>
              <w:lang w:val="en-US"/>
            </w:rPr>
          </w:pPr>
          <w:r>
            <w:rPr>
              <w:rFonts w:ascii="Arial" w:hAnsi="Arial" w:eastAsia="MS Mincho" w:cs="Arial"/>
              <w:lang w:val="en-US"/>
            </w:rPr>
            <w:t xml:space="preserve">McKinsey &amp; Company (2024) Digital Ecosystems Report. </w:t>
          </w:r>
          <w:r>
            <w:fldChar w:fldCharType="begin"/>
          </w:r>
          <w:r>
            <w:instrText xml:space="preserve"> HYPERLINK "https://www.mckinsey.com" </w:instrText>
          </w:r>
          <w:r>
            <w:fldChar w:fldCharType="separate"/>
          </w:r>
          <w:r>
            <w:rPr>
              <w:rFonts w:ascii="Arial" w:hAnsi="Arial" w:eastAsia="MS Mincho" w:cs="Arial"/>
              <w:color w:val="0000FF" w:themeColor="hyperlink"/>
              <w:u w:val="single"/>
              <w:lang w:val="en-US"/>
              <w14:textFill>
                <w14:solidFill>
                  <w14:schemeClr w14:val="hlink"/>
                </w14:solidFill>
              </w14:textFill>
            </w:rPr>
            <w:t>https://www.mckinsey.com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196DA37F">
          <w:pPr>
            <w:spacing w:line="360" w:lineRule="auto"/>
            <w:jc w:val="both"/>
            <w:rPr>
              <w:rFonts w:ascii="Arial" w:hAnsi="Arial" w:eastAsia="MS Mincho" w:cs="Arial"/>
              <w:lang w:val="en-US"/>
            </w:rPr>
          </w:pPr>
          <w:r>
            <w:rPr>
              <w:rFonts w:ascii="Arial" w:hAnsi="Arial" w:eastAsia="MS Mincho" w:cs="Arial"/>
              <w:lang w:val="en-US"/>
            </w:rPr>
            <w:t xml:space="preserve">Deloitte (2024) Global Retail Outlook. </w:t>
          </w:r>
          <w:r>
            <w:fldChar w:fldCharType="begin"/>
          </w:r>
          <w:r>
            <w:instrText xml:space="preserve"> HYPERLINK "https://www2.deloitte.com" </w:instrText>
          </w:r>
          <w:r>
            <w:fldChar w:fldCharType="separate"/>
          </w:r>
          <w:r>
            <w:rPr>
              <w:rFonts w:ascii="Arial" w:hAnsi="Arial" w:eastAsia="MS Mincho" w:cs="Arial"/>
              <w:color w:val="0000FF" w:themeColor="hyperlink"/>
              <w:u w:val="single"/>
              <w:lang w:val="en-US"/>
              <w14:textFill>
                <w14:solidFill>
                  <w14:schemeClr w14:val="hlink"/>
                </w14:solidFill>
              </w14:textFill>
            </w:rPr>
            <w:t>https://www2.deloitte.com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1E2601C0">
          <w:pPr>
            <w:spacing w:line="360" w:lineRule="auto"/>
            <w:jc w:val="both"/>
            <w:rPr>
              <w:rFonts w:ascii="Arial" w:hAnsi="Arial" w:eastAsia="MS Mincho" w:cs="Arial"/>
              <w:lang w:val="en-US"/>
            </w:rPr>
          </w:pPr>
          <w:r>
            <w:rPr>
              <w:rFonts w:ascii="Arial" w:hAnsi="Arial" w:eastAsia="MS Mincho" w:cs="Arial"/>
              <w:lang w:val="en-US"/>
            </w:rPr>
            <w:t xml:space="preserve">World Bank (2024) Digital Economy Reports. </w:t>
          </w:r>
          <w:r>
            <w:fldChar w:fldCharType="begin"/>
          </w:r>
          <w:r>
            <w:instrText xml:space="preserve"> HYPERLINK "https://www.worldbank.org" </w:instrText>
          </w:r>
          <w:r>
            <w:fldChar w:fldCharType="separate"/>
          </w:r>
          <w:r>
            <w:rPr>
              <w:rFonts w:ascii="Arial" w:hAnsi="Arial" w:eastAsia="MS Mincho" w:cs="Arial"/>
              <w:color w:val="0000FF" w:themeColor="hyperlink"/>
              <w:u w:val="single"/>
              <w:lang w:val="en-US"/>
              <w14:textFill>
                <w14:solidFill>
                  <w14:schemeClr w14:val="hlink"/>
                </w14:solidFill>
              </w14:textFill>
            </w:rPr>
            <w:t>https://www.worldbank.org</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331DE896">
          <w:pPr>
            <w:spacing w:line="360" w:lineRule="auto"/>
            <w:jc w:val="both"/>
            <w:rPr>
              <w:rFonts w:ascii="Arial" w:hAnsi="Arial" w:eastAsia="MS Mincho" w:cs="Arial"/>
              <w:lang w:val="en-US"/>
            </w:rPr>
          </w:pPr>
          <w:r>
            <w:rPr>
              <w:rFonts w:ascii="Arial" w:hAnsi="Arial" w:eastAsia="MS Mincho" w:cs="Arial"/>
              <w:lang w:val="en-US"/>
            </w:rPr>
            <w:t xml:space="preserve">IMF (2023) Global Economic Outlook. </w:t>
          </w:r>
          <w:r>
            <w:fldChar w:fldCharType="begin"/>
          </w:r>
          <w:r>
            <w:instrText xml:space="preserve"> HYPERLINK "https://www.imf.org" </w:instrText>
          </w:r>
          <w:r>
            <w:fldChar w:fldCharType="separate"/>
          </w:r>
          <w:r>
            <w:rPr>
              <w:rFonts w:ascii="Arial" w:hAnsi="Arial" w:eastAsia="MS Mincho" w:cs="Arial"/>
              <w:color w:val="0000FF" w:themeColor="hyperlink"/>
              <w:u w:val="single"/>
              <w:lang w:val="en-US"/>
              <w14:textFill>
                <w14:solidFill>
                  <w14:schemeClr w14:val="hlink"/>
                </w14:solidFill>
              </w14:textFill>
            </w:rPr>
            <w:t>https://www.imf.org</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1D70810F">
          <w:pPr>
            <w:spacing w:line="360" w:lineRule="auto"/>
            <w:jc w:val="both"/>
            <w:rPr>
              <w:rFonts w:ascii="Arial" w:hAnsi="Arial" w:eastAsia="MS Mincho" w:cs="Arial"/>
              <w:lang w:val="en-US"/>
            </w:rPr>
          </w:pPr>
          <w:r>
            <w:rPr>
              <w:rFonts w:ascii="Arial" w:hAnsi="Arial" w:eastAsia="MS Mincho" w:cs="Arial"/>
              <w:lang w:val="en-US"/>
            </w:rPr>
            <w:t xml:space="preserve">Yahoo Finance (2025) Alibaba Stock Overview. </w:t>
          </w:r>
          <w:r>
            <w:fldChar w:fldCharType="begin"/>
          </w:r>
          <w:r>
            <w:instrText xml:space="preserve"> HYPERLINK "https://finance.yahoo.com" </w:instrText>
          </w:r>
          <w:r>
            <w:fldChar w:fldCharType="separate"/>
          </w:r>
          <w:r>
            <w:rPr>
              <w:rFonts w:ascii="Arial" w:hAnsi="Arial" w:eastAsia="MS Mincho" w:cs="Arial"/>
              <w:color w:val="0000FF" w:themeColor="hyperlink"/>
              <w:u w:val="single"/>
              <w:lang w:val="en-US"/>
              <w14:textFill>
                <w14:solidFill>
                  <w14:schemeClr w14:val="hlink"/>
                </w14:solidFill>
              </w14:textFill>
            </w:rPr>
            <w:t>https://finance.yahoo.com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0013E9A1">
          <w:pPr>
            <w:spacing w:line="360" w:lineRule="auto"/>
            <w:jc w:val="both"/>
            <w:rPr>
              <w:rFonts w:ascii="Arial" w:hAnsi="Arial" w:eastAsia="MS Mincho" w:cs="Arial"/>
              <w:lang w:val="en-US"/>
            </w:rPr>
          </w:pPr>
          <w:r>
            <w:rPr>
              <w:rFonts w:ascii="Arial" w:hAnsi="Arial" w:eastAsia="MS Mincho" w:cs="Arial"/>
              <w:lang w:val="en-US"/>
            </w:rPr>
            <w:t xml:space="preserve">Bloomberg (2024) Alibaba Company Profile. </w:t>
          </w:r>
          <w:r>
            <w:fldChar w:fldCharType="begin"/>
          </w:r>
          <w:r>
            <w:instrText xml:space="preserve"> HYPERLINK "https://www.bloomberg.com" </w:instrText>
          </w:r>
          <w:r>
            <w:fldChar w:fldCharType="separate"/>
          </w:r>
          <w:r>
            <w:rPr>
              <w:rFonts w:ascii="Arial" w:hAnsi="Arial" w:eastAsia="MS Mincho" w:cs="Arial"/>
              <w:color w:val="0000FF" w:themeColor="hyperlink"/>
              <w:u w:val="single"/>
              <w:lang w:val="en-US"/>
              <w14:textFill>
                <w14:solidFill>
                  <w14:schemeClr w14:val="hlink"/>
                </w14:solidFill>
              </w14:textFill>
            </w:rPr>
            <w:t>https://www.bloomberg.com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16F67C6A">
          <w:pPr>
            <w:spacing w:line="360" w:lineRule="auto"/>
            <w:jc w:val="both"/>
            <w:rPr>
              <w:rFonts w:ascii="Arial" w:hAnsi="Arial" w:eastAsia="MS Mincho" w:cs="Arial"/>
              <w:lang w:val="en-US"/>
            </w:rPr>
          </w:pPr>
          <w:r>
            <w:rPr>
              <w:rFonts w:ascii="Arial" w:hAnsi="Arial" w:eastAsia="MS Mincho" w:cs="Arial"/>
              <w:lang w:val="en-US"/>
            </w:rPr>
            <w:t xml:space="preserve">Reuters (2024) Alibaba Business News. </w:t>
          </w:r>
          <w:r>
            <w:fldChar w:fldCharType="begin"/>
          </w:r>
          <w:r>
            <w:instrText xml:space="preserve"> HYPERLINK "https://www.reuters.com" </w:instrText>
          </w:r>
          <w:r>
            <w:fldChar w:fldCharType="separate"/>
          </w:r>
          <w:r>
            <w:rPr>
              <w:rFonts w:ascii="Arial" w:hAnsi="Arial" w:eastAsia="MS Mincho" w:cs="Arial"/>
              <w:color w:val="0000FF" w:themeColor="hyperlink"/>
              <w:u w:val="single"/>
              <w:lang w:val="en-US"/>
              <w14:textFill>
                <w14:solidFill>
                  <w14:schemeClr w14:val="hlink"/>
                </w14:solidFill>
              </w14:textFill>
            </w:rPr>
            <w:t>https://www.reuters.com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090FA775">
          <w:pPr>
            <w:spacing w:line="360" w:lineRule="auto"/>
            <w:jc w:val="both"/>
            <w:rPr>
              <w:rFonts w:ascii="Arial" w:hAnsi="Arial" w:eastAsia="MS Mincho" w:cs="Arial"/>
              <w:lang w:val="en-US"/>
            </w:rPr>
          </w:pPr>
          <w:r>
            <w:rPr>
              <w:rFonts w:ascii="Arial" w:hAnsi="Arial" w:eastAsia="MS Mincho" w:cs="Arial"/>
              <w:lang w:val="en-US"/>
            </w:rPr>
            <w:t xml:space="preserve">Harvard Business Review (2023) ESG and Corporate Strategy. </w:t>
          </w:r>
          <w:r>
            <w:fldChar w:fldCharType="begin"/>
          </w:r>
          <w:r>
            <w:instrText xml:space="preserve"> HYPERLINK "https://hbr.org" </w:instrText>
          </w:r>
          <w:r>
            <w:fldChar w:fldCharType="separate"/>
          </w:r>
          <w:r>
            <w:rPr>
              <w:rFonts w:ascii="Arial" w:hAnsi="Arial" w:eastAsia="MS Mincho" w:cs="Arial"/>
              <w:color w:val="0000FF" w:themeColor="hyperlink"/>
              <w:u w:val="single"/>
              <w:lang w:val="en-US"/>
              <w14:textFill>
                <w14:solidFill>
                  <w14:schemeClr w14:val="hlink"/>
                </w14:solidFill>
              </w14:textFill>
            </w:rPr>
            <w:t>https://hbr.org</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3897F66F">
          <w:pPr>
            <w:spacing w:line="360" w:lineRule="auto"/>
            <w:jc w:val="both"/>
            <w:rPr>
              <w:rFonts w:ascii="Arial" w:hAnsi="Arial" w:eastAsia="MS Mincho" w:cs="Arial"/>
              <w:lang w:val="en-US"/>
            </w:rPr>
          </w:pPr>
          <w:r>
            <w:rPr>
              <w:rFonts w:ascii="Arial" w:hAnsi="Arial" w:eastAsia="MS Mincho" w:cs="Arial"/>
              <w:lang w:val="en-US"/>
            </w:rPr>
            <w:t xml:space="preserve">UN Global Compact (2024) Sustainability Framework. </w:t>
          </w:r>
          <w:r>
            <w:fldChar w:fldCharType="begin"/>
          </w:r>
          <w:r>
            <w:instrText xml:space="preserve"> HYPERLINK "https://unglobalcompact.org" </w:instrText>
          </w:r>
          <w:r>
            <w:fldChar w:fldCharType="separate"/>
          </w:r>
          <w:r>
            <w:rPr>
              <w:rFonts w:ascii="Arial" w:hAnsi="Arial" w:eastAsia="MS Mincho" w:cs="Arial"/>
              <w:color w:val="0000FF" w:themeColor="hyperlink"/>
              <w:u w:val="single"/>
              <w:lang w:val="en-US"/>
              <w14:textFill>
                <w14:solidFill>
                  <w14:schemeClr w14:val="hlink"/>
                </w14:solidFill>
              </w14:textFill>
            </w:rPr>
            <w:t>https://unglobalcompact.org</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38D5DA2F">
          <w:pPr>
            <w:spacing w:line="360" w:lineRule="auto"/>
            <w:jc w:val="both"/>
            <w:rPr>
              <w:rFonts w:ascii="Arial" w:hAnsi="Arial" w:eastAsia="MS Mincho" w:cs="Arial"/>
              <w:lang w:val="en-US"/>
            </w:rPr>
          </w:pPr>
          <w:r>
            <w:rPr>
              <w:rFonts w:ascii="Arial" w:hAnsi="Arial" w:eastAsia="MS Mincho" w:cs="Arial"/>
              <w:lang w:val="en-US"/>
            </w:rPr>
            <w:t xml:space="preserve">OECD (2023) Corporate Governance Guidelines. </w:t>
          </w:r>
          <w:r>
            <w:fldChar w:fldCharType="begin"/>
          </w:r>
          <w:r>
            <w:instrText xml:space="preserve"> HYPERLINK "https://www.oecd.org" </w:instrText>
          </w:r>
          <w:r>
            <w:fldChar w:fldCharType="separate"/>
          </w:r>
          <w:r>
            <w:rPr>
              <w:rFonts w:ascii="Arial" w:hAnsi="Arial" w:eastAsia="MS Mincho" w:cs="Arial"/>
              <w:color w:val="0000FF" w:themeColor="hyperlink"/>
              <w:u w:val="single"/>
              <w:lang w:val="en-US"/>
              <w14:textFill>
                <w14:solidFill>
                  <w14:schemeClr w14:val="hlink"/>
                </w14:solidFill>
              </w14:textFill>
            </w:rPr>
            <w:t>https://www.oecd.org</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7F2006E0">
          <w:pPr>
            <w:spacing w:line="360" w:lineRule="auto"/>
            <w:jc w:val="both"/>
            <w:rPr>
              <w:rFonts w:ascii="Arial" w:hAnsi="Arial" w:eastAsia="MS Mincho" w:cs="Arial"/>
              <w:lang w:val="en-US"/>
            </w:rPr>
          </w:pPr>
          <w:r>
            <w:rPr>
              <w:rFonts w:ascii="Arial" w:hAnsi="Arial" w:eastAsia="MS Mincho" w:cs="Arial"/>
              <w:lang w:val="en-US"/>
            </w:rPr>
            <w:t xml:space="preserve">Carbon Disclosure Project (2024). </w:t>
          </w:r>
          <w:r>
            <w:fldChar w:fldCharType="begin"/>
          </w:r>
          <w:r>
            <w:instrText xml:space="preserve"> HYPERLINK "https://www.cdp.net" </w:instrText>
          </w:r>
          <w:r>
            <w:fldChar w:fldCharType="separate"/>
          </w:r>
          <w:r>
            <w:rPr>
              <w:rFonts w:ascii="Arial" w:hAnsi="Arial" w:eastAsia="MS Mincho" w:cs="Arial"/>
              <w:color w:val="0000FF" w:themeColor="hyperlink"/>
              <w:u w:val="single"/>
              <w:lang w:val="en-US"/>
              <w14:textFill>
                <w14:solidFill>
                  <w14:schemeClr w14:val="hlink"/>
                </w14:solidFill>
              </w14:textFill>
            </w:rPr>
            <w:t>https://www.cdp.net</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0AB4BC5C">
          <w:pPr>
            <w:spacing w:line="360" w:lineRule="auto"/>
            <w:jc w:val="both"/>
            <w:rPr>
              <w:rFonts w:ascii="Arial" w:hAnsi="Arial" w:eastAsia="MS Mincho" w:cs="Arial"/>
              <w:lang w:val="en-US"/>
            </w:rPr>
          </w:pPr>
          <w:r>
            <w:rPr>
              <w:rFonts w:ascii="Arial" w:hAnsi="Arial" w:eastAsia="MS Mincho" w:cs="Arial"/>
              <w:lang w:val="en-US"/>
            </w:rPr>
            <w:t xml:space="preserve">Kaplan, R. &amp; Norton, D. (1992) The Balanced Scorecard. Harvard Business Review. </w:t>
          </w:r>
          <w:r>
            <w:fldChar w:fldCharType="begin"/>
          </w:r>
          <w:r>
            <w:instrText xml:space="preserve"> HYPERLINK "https://hbr.org/1992/01/the-balanced-scorecard" </w:instrText>
          </w:r>
          <w:r>
            <w:fldChar w:fldCharType="separate"/>
          </w:r>
          <w:r>
            <w:rPr>
              <w:rFonts w:ascii="Arial" w:hAnsi="Arial" w:eastAsia="MS Mincho" w:cs="Arial"/>
              <w:color w:val="0000FF" w:themeColor="hyperlink"/>
              <w:u w:val="single"/>
              <w:lang w:val="en-US"/>
              <w14:textFill>
                <w14:solidFill>
                  <w14:schemeClr w14:val="hlink"/>
                </w14:solidFill>
              </w14:textFill>
            </w:rPr>
            <w:t>https://hbr.org/1992/01/the-balanced-scorecard</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52AAC7FF">
          <w:pPr>
            <w:spacing w:line="360" w:lineRule="auto"/>
            <w:jc w:val="both"/>
            <w:rPr>
              <w:rFonts w:ascii="Arial" w:hAnsi="Arial" w:eastAsia="MS Mincho" w:cs="Arial"/>
              <w:lang w:val="en-US"/>
            </w:rPr>
          </w:pPr>
          <w:r>
            <w:rPr>
              <w:rFonts w:ascii="Arial" w:hAnsi="Arial" w:eastAsia="MS Mincho" w:cs="Arial"/>
              <w:lang w:val="en-US"/>
            </w:rPr>
            <w:t xml:space="preserve">Li, H. &amp; Zhang, Y. (2023) Digital trust in e-commerce platforms. Journal of Digital Business. </w:t>
          </w:r>
          <w:r>
            <w:fldChar w:fldCharType="begin"/>
          </w:r>
          <w:r>
            <w:instrText xml:space="preserve"> HYPERLINK "https://www.sciencedirect.com" </w:instrText>
          </w:r>
          <w:r>
            <w:fldChar w:fldCharType="separate"/>
          </w:r>
          <w:r>
            <w:rPr>
              <w:rFonts w:ascii="Arial" w:hAnsi="Arial" w:eastAsia="MS Mincho" w:cs="Arial"/>
              <w:color w:val="0000FF" w:themeColor="hyperlink"/>
              <w:u w:val="single"/>
              <w:lang w:val="en-US"/>
              <w14:textFill>
                <w14:solidFill>
                  <w14:schemeClr w14:val="hlink"/>
                </w14:solidFill>
              </w14:textFill>
            </w:rPr>
            <w:t>https://www.sciencedirect.com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7CC772C6">
          <w:pPr>
            <w:spacing w:line="360" w:lineRule="auto"/>
            <w:jc w:val="both"/>
            <w:rPr>
              <w:rFonts w:ascii="Arial" w:hAnsi="Arial" w:eastAsia="MS Mincho" w:cs="Arial"/>
              <w:lang w:val="en-US"/>
            </w:rPr>
          </w:pPr>
          <w:r>
            <w:rPr>
              <w:rFonts w:ascii="Arial" w:hAnsi="Arial" w:eastAsia="MS Mincho" w:cs="Arial"/>
              <w:lang w:val="en-US"/>
            </w:rPr>
            <w:t xml:space="preserve">Chen, X. (2024) AI-driven competitive advantage in platforms. Journal of Business Research. </w:t>
          </w:r>
          <w:r>
            <w:fldChar w:fldCharType="begin"/>
          </w:r>
          <w:r>
            <w:instrText xml:space="preserve"> HYPERLINK "https://www.sciencedirect.com" </w:instrText>
          </w:r>
          <w:r>
            <w:fldChar w:fldCharType="separate"/>
          </w:r>
          <w:r>
            <w:rPr>
              <w:rFonts w:ascii="Arial" w:hAnsi="Arial" w:eastAsia="MS Mincho" w:cs="Arial"/>
              <w:color w:val="0000FF" w:themeColor="hyperlink"/>
              <w:u w:val="single"/>
              <w:lang w:val="en-US"/>
              <w14:textFill>
                <w14:solidFill>
                  <w14:schemeClr w14:val="hlink"/>
                </w14:solidFill>
              </w14:textFill>
            </w:rPr>
            <w:t>https://www.sciencedirect.com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0A8B20C7">
          <w:pPr>
            <w:spacing w:line="360" w:lineRule="auto"/>
            <w:jc w:val="both"/>
            <w:rPr>
              <w:rFonts w:ascii="Arial" w:hAnsi="Arial" w:eastAsia="MS Mincho" w:cs="Arial"/>
              <w:lang w:val="en-US"/>
            </w:rPr>
          </w:pPr>
          <w:r>
            <w:rPr>
              <w:rFonts w:ascii="Arial" w:hAnsi="Arial" w:eastAsia="MS Mincho" w:cs="Arial"/>
              <w:lang w:val="en-US"/>
            </w:rPr>
            <w:t xml:space="preserve">Wang, Y. (2024) E-commerce market dynamics in Asia. Electronic Commerce Research. </w:t>
          </w:r>
          <w:r>
            <w:fldChar w:fldCharType="begin"/>
          </w:r>
          <w:r>
            <w:instrText xml:space="preserve"> HYPERLINK "https://link.springer.com" </w:instrText>
          </w:r>
          <w:r>
            <w:fldChar w:fldCharType="separate"/>
          </w:r>
          <w:r>
            <w:rPr>
              <w:rFonts w:ascii="Arial" w:hAnsi="Arial" w:eastAsia="MS Mincho" w:cs="Arial"/>
              <w:color w:val="0000FF" w:themeColor="hyperlink"/>
              <w:u w:val="single"/>
              <w:lang w:val="en-US"/>
              <w14:textFill>
                <w14:solidFill>
                  <w14:schemeClr w14:val="hlink"/>
                </w14:solidFill>
              </w14:textFill>
            </w:rPr>
            <w:t>https://link.springer.com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167515BD">
          <w:pPr>
            <w:spacing w:line="360" w:lineRule="auto"/>
            <w:jc w:val="both"/>
            <w:rPr>
              <w:rFonts w:ascii="Arial" w:hAnsi="Arial" w:eastAsia="MS Mincho" w:cs="Arial"/>
              <w:lang w:val="en-US"/>
            </w:rPr>
          </w:pPr>
          <w:r>
            <w:rPr>
              <w:rFonts w:ascii="Arial" w:hAnsi="Arial" w:eastAsia="MS Mincho" w:cs="Arial"/>
              <w:lang w:val="en-US"/>
            </w:rPr>
            <w:t xml:space="preserve">Zhang, L. &amp; Liu, H. (2024) Strategic transformation in tech firms. Technology Forecasting Journal. </w:t>
          </w:r>
          <w:r>
            <w:fldChar w:fldCharType="begin"/>
          </w:r>
          <w:r>
            <w:instrText xml:space="preserve"> HYPERLINK "https://www.sciencedirect.com" </w:instrText>
          </w:r>
          <w:r>
            <w:fldChar w:fldCharType="separate"/>
          </w:r>
          <w:r>
            <w:rPr>
              <w:rFonts w:ascii="Arial" w:hAnsi="Arial" w:eastAsia="MS Mincho" w:cs="Arial"/>
              <w:color w:val="0000FF" w:themeColor="hyperlink"/>
              <w:u w:val="single"/>
              <w:lang w:val="en-US"/>
              <w14:textFill>
                <w14:solidFill>
                  <w14:schemeClr w14:val="hlink"/>
                </w14:solidFill>
              </w14:textFill>
            </w:rPr>
            <w:t>https://www.sciencedirect.com</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24CFA3EA">
          <w:pPr>
            <w:spacing w:line="360" w:lineRule="auto"/>
            <w:jc w:val="both"/>
            <w:rPr>
              <w:rFonts w:ascii="Arial" w:hAnsi="Arial" w:eastAsia="MS Mincho" w:cs="Arial"/>
              <w:lang w:val="en-US"/>
            </w:rPr>
          </w:pPr>
          <w:r>
            <w:rPr>
              <w:rFonts w:ascii="Arial" w:hAnsi="Arial" w:eastAsia="MS Mincho" w:cs="Arial"/>
              <w:lang w:val="en-US"/>
            </w:rPr>
            <w:t xml:space="preserve">ResearchGate (2024) Case Study on Alibaba Group. </w:t>
          </w:r>
          <w:r>
            <w:fldChar w:fldCharType="begin"/>
          </w:r>
          <w:r>
            <w:instrText xml:space="preserve"> HYPERLINK "https://www.researchgate.net" </w:instrText>
          </w:r>
          <w:r>
            <w:fldChar w:fldCharType="separate"/>
          </w:r>
          <w:r>
            <w:rPr>
              <w:rFonts w:ascii="Arial" w:hAnsi="Arial" w:eastAsia="MS Mincho" w:cs="Arial"/>
              <w:color w:val="0000FF" w:themeColor="hyperlink"/>
              <w:u w:val="single"/>
              <w:lang w:val="en-US"/>
              <w14:textFill>
                <w14:solidFill>
                  <w14:schemeClr w14:val="hlink"/>
                </w14:solidFill>
              </w14:textFill>
            </w:rPr>
            <w:t>https://www.researchgate.net</w:t>
          </w:r>
          <w:r>
            <w:rPr>
              <w:rFonts w:ascii="Arial" w:hAnsi="Arial" w:eastAsia="MS Mincho" w:cs="Arial"/>
              <w:color w:val="0000FF" w:themeColor="hyperlink"/>
              <w:u w:val="single"/>
              <w:lang w:val="en-US"/>
              <w14:textFill>
                <w14:solidFill>
                  <w14:schemeClr w14:val="hlink"/>
                </w14:solidFill>
              </w14:textFill>
            </w:rPr>
            <w:fldChar w:fldCharType="end"/>
          </w:r>
          <w:r>
            <w:rPr>
              <w:rFonts w:ascii="Arial" w:hAnsi="Arial" w:eastAsia="MS Mincho" w:cs="Arial"/>
              <w:lang w:val="en-US"/>
            </w:rPr>
            <w:t xml:space="preserve"> </w:t>
          </w:r>
        </w:p>
        <w:p w14:paraId="4CD020F2">
          <w:pPr>
            <w:rPr>
              <w:rFonts w:ascii="Arial" w:hAnsi="Arial" w:cs="Arial"/>
              <w:lang w:eastAsia="en-GB"/>
            </w:rPr>
          </w:pPr>
        </w:p>
        <w:p w14:paraId="678CD50E">
          <w:pPr>
            <w:rPr>
              <w:rFonts w:ascii="Arial" w:hAnsi="Arial" w:cs="Arial"/>
              <w:lang w:eastAsia="en-GB"/>
            </w:rPr>
          </w:pPr>
        </w:p>
        <w:p w14:paraId="20D65E91">
          <w:pPr>
            <w:rPr>
              <w:rFonts w:ascii="Arial" w:hAnsi="Arial" w:cs="Arial"/>
              <w:lang w:eastAsia="en-GB"/>
            </w:rPr>
          </w:pPr>
        </w:p>
        <w:p w14:paraId="5AF6AA67">
          <w:pPr>
            <w:rPr>
              <w:rFonts w:ascii="Arial" w:hAnsi="Arial" w:cs="Arial"/>
              <w:lang w:eastAsia="en-GB"/>
            </w:rPr>
          </w:pPr>
        </w:p>
        <w:p w14:paraId="43F4276E">
          <w:pPr>
            <w:keepNext/>
            <w:keepLines/>
            <w:spacing w:before="360" w:after="240" w:line="360" w:lineRule="auto"/>
            <w:jc w:val="both"/>
            <w:outlineLvl w:val="0"/>
            <w:rPr>
              <w:rFonts w:ascii="Arial" w:hAnsi="Arial" w:eastAsia="Times New Roman" w:cs="Arial"/>
              <w:b/>
              <w:bCs/>
              <w:color w:val="000000" w:themeColor="text1"/>
              <w:sz w:val="32"/>
              <w:szCs w:val="24"/>
              <w:lang w:eastAsia="ja-JP"/>
              <w14:textFill>
                <w14:solidFill>
                  <w14:schemeClr w14:val="tx1"/>
                </w14:solidFill>
              </w14:textFill>
            </w:rPr>
          </w:pPr>
          <w:r>
            <w:rPr>
              <w:rFonts w:ascii="Arial" w:hAnsi="Arial" w:eastAsia="Times New Roman" w:cs="Arial"/>
              <w:b/>
              <w:bCs/>
              <w:color w:val="000000" w:themeColor="text1"/>
              <w:sz w:val="32"/>
              <w:szCs w:val="24"/>
              <w:lang w:eastAsia="ja-JP"/>
              <w14:textFill>
                <w14:solidFill>
                  <w14:schemeClr w14:val="tx1"/>
                </w14:solidFill>
              </w14:textFill>
            </w:rPr>
            <w:t xml:space="preserve"> </w:t>
          </w:r>
          <w:bookmarkStart w:id="43" w:name="_Toc228222276"/>
          <w:r>
            <w:rPr>
              <w:rFonts w:ascii="Arial" w:hAnsi="Arial" w:eastAsia="Times New Roman" w:cs="Arial"/>
              <w:b/>
              <w:bCs/>
              <w:color w:val="000000" w:themeColor="text1"/>
              <w:sz w:val="32"/>
              <w:szCs w:val="24"/>
              <w:lang w:eastAsia="ja-JP"/>
              <w14:textFill>
                <w14:solidFill>
                  <w14:schemeClr w14:val="tx1"/>
                </w14:solidFill>
              </w14:textFill>
            </w:rPr>
            <w:t>15. Appendix</w:t>
          </w:r>
          <w:bookmarkEnd w:id="43"/>
          <w:r>
            <w:rPr>
              <w:rFonts w:ascii="Arial" w:hAnsi="Arial" w:eastAsia="Times New Roman" w:cs="Arial"/>
              <w:b/>
              <w:bCs/>
              <w:color w:val="000000" w:themeColor="text1"/>
              <w:sz w:val="32"/>
              <w:szCs w:val="24"/>
              <w:lang w:eastAsia="ja-JP"/>
              <w14:textFill>
                <w14:solidFill>
                  <w14:schemeClr w14:val="tx1"/>
                </w14:solidFill>
              </w14:textFill>
            </w:rPr>
            <w:t xml:space="preserve"> </w:t>
          </w:r>
        </w:p>
        <w:p w14:paraId="08998407">
          <w:pPr>
            <w:spacing w:line="360" w:lineRule="auto"/>
            <w:jc w:val="both"/>
            <w:rPr>
              <w:rFonts w:ascii="Arial" w:hAnsi="Arial" w:cs="Arial"/>
              <w:lang w:eastAsia="en-GB"/>
            </w:rPr>
          </w:pPr>
          <w:r>
            <w:rPr>
              <w:rFonts w:ascii="Arial" w:hAnsi="Arial" w:cs="Arial"/>
              <w:lang w:eastAsia="en-GB"/>
            </w:rPr>
            <w:t>The appendix section is used to provide supporting material that strengthens the strategic analysis of Alibaba Group but is not included in the main word count. This section helps to improve clarity, depth, and evidence base of the report.</w:t>
          </w:r>
        </w:p>
        <w:p w14:paraId="046AA496">
          <w:pPr>
            <w:keepNext/>
            <w:keepLines/>
            <w:spacing w:before="40" w:after="0" w:line="360" w:lineRule="auto"/>
            <w:jc w:val="both"/>
            <w:outlineLvl w:val="1"/>
            <w:rPr>
              <w:rFonts w:ascii="Arial" w:hAnsi="Arial" w:eastAsia="Times New Roman" w:cs="Arial"/>
              <w:b/>
              <w:color w:val="000000" w:themeColor="text1"/>
              <w:sz w:val="28"/>
              <w:szCs w:val="26"/>
              <w:lang w:eastAsia="ja-JP"/>
              <w14:textFill>
                <w14:solidFill>
                  <w14:schemeClr w14:val="tx1"/>
                </w14:solidFill>
              </w14:textFill>
            </w:rPr>
          </w:pPr>
          <w:r>
            <w:rPr>
              <w:rFonts w:ascii="Arial" w:hAnsi="Arial" w:eastAsia="Times New Roman" w:cs="Arial"/>
              <w:b/>
              <w:color w:val="000000" w:themeColor="text1"/>
              <w:sz w:val="28"/>
              <w:szCs w:val="26"/>
              <w:lang w:eastAsia="ja-JP"/>
              <w14:textFill>
                <w14:solidFill>
                  <w14:schemeClr w14:val="tx1"/>
                </w14:solidFill>
              </w14:textFill>
            </w:rPr>
            <w:t xml:space="preserve"> </w:t>
          </w:r>
          <w:bookmarkStart w:id="44" w:name="_Toc228222277"/>
          <w:r>
            <w:rPr>
              <w:rFonts w:ascii="Arial" w:hAnsi="Arial" w:eastAsia="Times New Roman" w:cs="Arial"/>
              <w:b/>
              <w:color w:val="000000" w:themeColor="text1"/>
              <w:sz w:val="28"/>
              <w:szCs w:val="26"/>
              <w:lang w:eastAsia="ja-JP"/>
              <w14:textFill>
                <w14:solidFill>
                  <w14:schemeClr w14:val="tx1"/>
                </w14:solidFill>
              </w14:textFill>
            </w:rPr>
            <w:t>Appendix 1: Suggested Strategic Analysis Table (PESTEL Summary)</w:t>
          </w:r>
          <w:bookmarkEnd w:id="44"/>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5"/>
            <w:gridCol w:w="3005"/>
            <w:gridCol w:w="3006"/>
          </w:tblGrid>
          <w:tr w14:paraId="4F91FBC4">
            <w:tc>
              <w:tcPr>
                <w:tcW w:w="3005" w:type="dxa"/>
              </w:tcPr>
              <w:p w14:paraId="0A38D022">
                <w:pPr>
                  <w:spacing w:after="0" w:line="360" w:lineRule="auto"/>
                  <w:jc w:val="both"/>
                  <w:rPr>
                    <w:rFonts w:ascii="Arial" w:hAnsi="Arial" w:cs="Arial"/>
                    <w:b/>
                    <w:lang w:eastAsia="en-GB"/>
                  </w:rPr>
                </w:pPr>
                <w:r>
                  <w:rPr>
                    <w:rFonts w:ascii="Arial" w:hAnsi="Arial" w:cs="Arial"/>
                    <w:b/>
                    <w:lang w:eastAsia="en-GB"/>
                  </w:rPr>
                  <w:t>Factor</w:t>
                </w:r>
              </w:p>
            </w:tc>
            <w:tc>
              <w:tcPr>
                <w:tcW w:w="3005" w:type="dxa"/>
              </w:tcPr>
              <w:p w14:paraId="40956053">
                <w:pPr>
                  <w:spacing w:after="0" w:line="360" w:lineRule="auto"/>
                  <w:jc w:val="both"/>
                  <w:rPr>
                    <w:rFonts w:ascii="Arial" w:hAnsi="Arial" w:cs="Arial"/>
                    <w:b/>
                    <w:lang w:eastAsia="en-GB"/>
                  </w:rPr>
                </w:pPr>
                <w:r>
                  <w:rPr>
                    <w:rFonts w:ascii="Arial" w:hAnsi="Arial" w:cs="Arial"/>
                    <w:b/>
                    <w:lang w:eastAsia="en-GB"/>
                  </w:rPr>
                  <w:t>Key Issue</w:t>
                </w:r>
              </w:p>
            </w:tc>
            <w:tc>
              <w:tcPr>
                <w:tcW w:w="3006" w:type="dxa"/>
              </w:tcPr>
              <w:p w14:paraId="3D9D1DEE">
                <w:pPr>
                  <w:spacing w:after="0" w:line="360" w:lineRule="auto"/>
                  <w:jc w:val="both"/>
                  <w:rPr>
                    <w:rFonts w:ascii="Arial" w:hAnsi="Arial" w:cs="Arial"/>
                    <w:b/>
                    <w:lang w:eastAsia="en-GB"/>
                  </w:rPr>
                </w:pPr>
                <w:r>
                  <w:rPr>
                    <w:rFonts w:ascii="Arial" w:hAnsi="Arial" w:cs="Arial"/>
                    <w:b/>
                    <w:lang w:eastAsia="en-GB"/>
                  </w:rPr>
                  <w:t>Strategic Impact on Alibaba</w:t>
                </w:r>
              </w:p>
            </w:tc>
          </w:tr>
          <w:tr w14:paraId="53064937">
            <w:tc>
              <w:tcPr>
                <w:tcW w:w="3005" w:type="dxa"/>
              </w:tcPr>
              <w:p w14:paraId="2E7472E8">
                <w:pPr>
                  <w:spacing w:after="0" w:line="360" w:lineRule="auto"/>
                  <w:jc w:val="both"/>
                  <w:rPr>
                    <w:rFonts w:ascii="Arial" w:hAnsi="Arial" w:cs="Arial"/>
                    <w:lang w:eastAsia="en-GB"/>
                  </w:rPr>
                </w:pPr>
                <w:r>
                  <w:rPr>
                    <w:rFonts w:ascii="Arial" w:hAnsi="Arial" w:cs="Arial"/>
                    <w:lang w:eastAsia="en-GB"/>
                  </w:rPr>
                  <w:t>Political</w:t>
                </w:r>
              </w:p>
            </w:tc>
            <w:tc>
              <w:tcPr>
                <w:tcW w:w="3005" w:type="dxa"/>
              </w:tcPr>
              <w:p w14:paraId="44690CEA">
                <w:pPr>
                  <w:spacing w:after="0" w:line="360" w:lineRule="auto"/>
                  <w:jc w:val="both"/>
                  <w:rPr>
                    <w:rFonts w:ascii="Arial" w:hAnsi="Arial" w:cs="Arial"/>
                    <w:lang w:eastAsia="en-GB"/>
                  </w:rPr>
                </w:pPr>
                <w:r>
                  <w:rPr>
                    <w:rFonts w:ascii="Arial" w:hAnsi="Arial" w:cs="Arial"/>
                    <w:lang w:eastAsia="en-GB"/>
                  </w:rPr>
                  <w:t>Government regulation in China</w:t>
                </w:r>
              </w:p>
            </w:tc>
            <w:tc>
              <w:tcPr>
                <w:tcW w:w="3006" w:type="dxa"/>
              </w:tcPr>
              <w:p w14:paraId="0D2156A9">
                <w:pPr>
                  <w:spacing w:after="0" w:line="360" w:lineRule="auto"/>
                  <w:jc w:val="both"/>
                  <w:rPr>
                    <w:rFonts w:ascii="Arial" w:hAnsi="Arial" w:cs="Arial"/>
                    <w:lang w:eastAsia="en-GB"/>
                  </w:rPr>
                </w:pPr>
                <w:r>
                  <w:rPr>
                    <w:rFonts w:ascii="Arial" w:hAnsi="Arial" w:cs="Arial"/>
                    <w:lang w:eastAsia="en-GB"/>
                  </w:rPr>
                  <w:t>Limits expansion and increases compliance cost</w:t>
                </w:r>
              </w:p>
            </w:tc>
          </w:tr>
          <w:tr w14:paraId="61F90D28">
            <w:tc>
              <w:tcPr>
                <w:tcW w:w="3005" w:type="dxa"/>
              </w:tcPr>
              <w:p w14:paraId="3333A92F">
                <w:pPr>
                  <w:spacing w:after="0" w:line="360" w:lineRule="auto"/>
                  <w:jc w:val="both"/>
                  <w:rPr>
                    <w:rFonts w:ascii="Arial" w:hAnsi="Arial" w:cs="Arial"/>
                    <w:lang w:eastAsia="en-GB"/>
                  </w:rPr>
                </w:pPr>
                <w:r>
                  <w:rPr>
                    <w:rFonts w:ascii="Arial" w:hAnsi="Arial" w:cs="Arial"/>
                    <w:lang w:eastAsia="en-GB"/>
                  </w:rPr>
                  <w:t>Economic</w:t>
                </w:r>
              </w:p>
            </w:tc>
            <w:tc>
              <w:tcPr>
                <w:tcW w:w="3005" w:type="dxa"/>
              </w:tcPr>
              <w:p w14:paraId="5FEE409F">
                <w:pPr>
                  <w:spacing w:after="0" w:line="360" w:lineRule="auto"/>
                  <w:jc w:val="both"/>
                  <w:rPr>
                    <w:rFonts w:ascii="Arial" w:hAnsi="Arial" w:cs="Arial"/>
                    <w:lang w:eastAsia="en-GB"/>
                  </w:rPr>
                </w:pPr>
                <w:r>
                  <w:rPr>
                    <w:rFonts w:ascii="Arial" w:hAnsi="Arial" w:cs="Arial"/>
                    <w:lang w:eastAsia="en-GB"/>
                  </w:rPr>
                  <w:t>Global inflation &amp; consumer spending changes</w:t>
                </w:r>
              </w:p>
            </w:tc>
            <w:tc>
              <w:tcPr>
                <w:tcW w:w="3006" w:type="dxa"/>
              </w:tcPr>
              <w:p w14:paraId="5231F7B7">
                <w:pPr>
                  <w:spacing w:after="0" w:line="360" w:lineRule="auto"/>
                  <w:jc w:val="both"/>
                  <w:rPr>
                    <w:rFonts w:ascii="Arial" w:hAnsi="Arial" w:cs="Arial"/>
                    <w:lang w:eastAsia="en-GB"/>
                  </w:rPr>
                </w:pPr>
                <w:r>
                  <w:rPr>
                    <w:rFonts w:ascii="Arial" w:hAnsi="Arial" w:cs="Arial"/>
                    <w:lang w:eastAsia="en-GB"/>
                  </w:rPr>
                  <w:t>Affects e-commerce demand and revenue growth</w:t>
                </w:r>
              </w:p>
            </w:tc>
          </w:tr>
          <w:tr w14:paraId="66AB4CF1">
            <w:tc>
              <w:tcPr>
                <w:tcW w:w="3005" w:type="dxa"/>
              </w:tcPr>
              <w:p w14:paraId="2A7AA407">
                <w:pPr>
                  <w:spacing w:after="0" w:line="360" w:lineRule="auto"/>
                  <w:jc w:val="both"/>
                  <w:rPr>
                    <w:rFonts w:ascii="Arial" w:hAnsi="Arial" w:cs="Arial"/>
                    <w:lang w:eastAsia="en-GB"/>
                  </w:rPr>
                </w:pPr>
                <w:r>
                  <w:rPr>
                    <w:rFonts w:ascii="Arial" w:hAnsi="Arial" w:cs="Arial"/>
                    <w:lang w:eastAsia="en-GB"/>
                  </w:rPr>
                  <w:t>Social</w:t>
                </w:r>
              </w:p>
            </w:tc>
            <w:tc>
              <w:tcPr>
                <w:tcW w:w="3005" w:type="dxa"/>
              </w:tcPr>
              <w:p w14:paraId="3DF37AFB">
                <w:pPr>
                  <w:spacing w:after="0" w:line="360" w:lineRule="auto"/>
                  <w:jc w:val="both"/>
                  <w:rPr>
                    <w:rFonts w:ascii="Arial" w:hAnsi="Arial" w:cs="Arial"/>
                    <w:lang w:eastAsia="en-GB"/>
                  </w:rPr>
                </w:pPr>
                <w:r>
                  <w:rPr>
                    <w:rFonts w:ascii="Arial" w:hAnsi="Arial" w:cs="Arial"/>
                    <w:lang w:eastAsia="en-GB"/>
                  </w:rPr>
                  <w:t>Growth of digital consumers</w:t>
                </w:r>
              </w:p>
            </w:tc>
            <w:tc>
              <w:tcPr>
                <w:tcW w:w="3006" w:type="dxa"/>
              </w:tcPr>
              <w:p w14:paraId="40C1D23D">
                <w:pPr>
                  <w:spacing w:after="0" w:line="360" w:lineRule="auto"/>
                  <w:jc w:val="both"/>
                  <w:rPr>
                    <w:rFonts w:ascii="Arial" w:hAnsi="Arial" w:cs="Arial"/>
                    <w:lang w:eastAsia="en-GB"/>
                  </w:rPr>
                </w:pPr>
                <w:r>
                  <w:rPr>
                    <w:rFonts w:ascii="Arial" w:hAnsi="Arial" w:cs="Arial"/>
                    <w:lang w:eastAsia="en-GB"/>
                  </w:rPr>
                  <w:t>Increases platform usage and mobile commerce</w:t>
                </w:r>
              </w:p>
            </w:tc>
          </w:tr>
          <w:tr w14:paraId="11999D0E">
            <w:tc>
              <w:tcPr>
                <w:tcW w:w="3005" w:type="dxa"/>
              </w:tcPr>
              <w:p w14:paraId="54B3B123">
                <w:pPr>
                  <w:spacing w:after="0" w:line="360" w:lineRule="auto"/>
                  <w:jc w:val="both"/>
                  <w:rPr>
                    <w:rFonts w:ascii="Arial" w:hAnsi="Arial" w:cs="Arial"/>
                    <w:lang w:eastAsia="en-GB"/>
                  </w:rPr>
                </w:pPr>
                <w:r>
                  <w:rPr>
                    <w:rFonts w:ascii="Arial" w:hAnsi="Arial" w:cs="Arial"/>
                    <w:lang w:eastAsia="en-GB"/>
                  </w:rPr>
                  <w:t>Technological</w:t>
                </w:r>
              </w:p>
            </w:tc>
            <w:tc>
              <w:tcPr>
                <w:tcW w:w="3005" w:type="dxa"/>
              </w:tcPr>
              <w:p w14:paraId="0C9F61A9">
                <w:pPr>
                  <w:spacing w:after="0" w:line="360" w:lineRule="auto"/>
                  <w:jc w:val="both"/>
                  <w:rPr>
                    <w:rFonts w:ascii="Arial" w:hAnsi="Arial" w:cs="Arial"/>
                    <w:lang w:eastAsia="en-GB"/>
                  </w:rPr>
                </w:pPr>
                <w:r>
                  <w:rPr>
                    <w:rFonts w:ascii="Arial" w:hAnsi="Arial" w:cs="Arial"/>
                    <w:lang w:eastAsia="en-GB"/>
                  </w:rPr>
                  <w:t>AI, cloud computing, big data</w:t>
                </w:r>
              </w:p>
            </w:tc>
            <w:tc>
              <w:tcPr>
                <w:tcW w:w="3006" w:type="dxa"/>
              </w:tcPr>
              <w:p w14:paraId="597250FB">
                <w:pPr>
                  <w:spacing w:after="0" w:line="360" w:lineRule="auto"/>
                  <w:jc w:val="both"/>
                  <w:rPr>
                    <w:rFonts w:ascii="Arial" w:hAnsi="Arial" w:cs="Arial"/>
                    <w:lang w:eastAsia="en-GB"/>
                  </w:rPr>
                </w:pPr>
                <w:r>
                  <w:rPr>
                    <w:rFonts w:ascii="Arial" w:hAnsi="Arial" w:cs="Arial"/>
                    <w:lang w:eastAsia="en-GB"/>
                  </w:rPr>
                  <w:t>Strengthens competitive advantage</w:t>
                </w:r>
              </w:p>
            </w:tc>
          </w:tr>
          <w:tr w14:paraId="54764B15">
            <w:tc>
              <w:tcPr>
                <w:tcW w:w="3005" w:type="dxa"/>
              </w:tcPr>
              <w:p w14:paraId="4D2ADCD4">
                <w:pPr>
                  <w:spacing w:after="0" w:line="360" w:lineRule="auto"/>
                  <w:jc w:val="both"/>
                  <w:rPr>
                    <w:rFonts w:ascii="Arial" w:hAnsi="Arial" w:cs="Arial"/>
                    <w:lang w:eastAsia="en-GB"/>
                  </w:rPr>
                </w:pPr>
                <w:r>
                  <w:rPr>
                    <w:rFonts w:ascii="Arial" w:hAnsi="Arial" w:cs="Arial"/>
                    <w:lang w:eastAsia="en-GB"/>
                  </w:rPr>
                  <w:t>Environmental</w:t>
                </w:r>
              </w:p>
            </w:tc>
            <w:tc>
              <w:tcPr>
                <w:tcW w:w="3005" w:type="dxa"/>
              </w:tcPr>
              <w:p w14:paraId="00669A72">
                <w:pPr>
                  <w:spacing w:after="0" w:line="360" w:lineRule="auto"/>
                  <w:jc w:val="both"/>
                  <w:rPr>
                    <w:rFonts w:ascii="Arial" w:hAnsi="Arial" w:cs="Arial"/>
                    <w:lang w:eastAsia="en-GB"/>
                  </w:rPr>
                </w:pPr>
                <w:r>
                  <w:rPr>
                    <w:rFonts w:ascii="Arial" w:hAnsi="Arial" w:cs="Arial"/>
                    <w:lang w:eastAsia="en-GB"/>
                  </w:rPr>
                  <w:t>Carbon reduction pressure</w:t>
                </w:r>
              </w:p>
            </w:tc>
            <w:tc>
              <w:tcPr>
                <w:tcW w:w="3006" w:type="dxa"/>
              </w:tcPr>
              <w:p w14:paraId="7B3FAA54">
                <w:pPr>
                  <w:spacing w:after="0" w:line="360" w:lineRule="auto"/>
                  <w:jc w:val="both"/>
                  <w:rPr>
                    <w:rFonts w:ascii="Arial" w:hAnsi="Arial" w:cs="Arial"/>
                    <w:lang w:eastAsia="en-GB"/>
                  </w:rPr>
                </w:pPr>
                <w:r>
                  <w:rPr>
                    <w:rFonts w:ascii="Arial" w:hAnsi="Arial" w:cs="Arial"/>
                    <w:lang w:eastAsia="en-GB"/>
                  </w:rPr>
                  <w:t>Forces green logistics transformation</w:t>
                </w:r>
              </w:p>
            </w:tc>
          </w:tr>
          <w:tr w14:paraId="2BD41EF8">
            <w:tc>
              <w:tcPr>
                <w:tcW w:w="3005" w:type="dxa"/>
              </w:tcPr>
              <w:p w14:paraId="592B4283">
                <w:pPr>
                  <w:spacing w:after="0" w:line="360" w:lineRule="auto"/>
                  <w:jc w:val="both"/>
                  <w:rPr>
                    <w:rFonts w:ascii="Arial" w:hAnsi="Arial" w:cs="Arial"/>
                    <w:lang w:eastAsia="en-GB"/>
                  </w:rPr>
                </w:pPr>
                <w:r>
                  <w:rPr>
                    <w:rFonts w:ascii="Arial" w:hAnsi="Arial" w:cs="Arial"/>
                    <w:lang w:eastAsia="en-GB"/>
                  </w:rPr>
                  <w:t>Legal</w:t>
                </w:r>
              </w:p>
            </w:tc>
            <w:tc>
              <w:tcPr>
                <w:tcW w:w="3005" w:type="dxa"/>
              </w:tcPr>
              <w:p w14:paraId="6BA38C48">
                <w:pPr>
                  <w:spacing w:after="0" w:line="360" w:lineRule="auto"/>
                  <w:jc w:val="both"/>
                  <w:rPr>
                    <w:rFonts w:ascii="Arial" w:hAnsi="Arial" w:cs="Arial"/>
                    <w:lang w:eastAsia="en-GB"/>
                  </w:rPr>
                </w:pPr>
                <w:r>
                  <w:rPr>
                    <w:rFonts w:ascii="Arial" w:hAnsi="Arial" w:cs="Arial"/>
                    <w:lang w:eastAsia="en-GB"/>
                  </w:rPr>
                  <w:t>Data protection laws</w:t>
                </w:r>
              </w:p>
            </w:tc>
            <w:tc>
              <w:tcPr>
                <w:tcW w:w="3006" w:type="dxa"/>
              </w:tcPr>
              <w:p w14:paraId="7C49872F">
                <w:pPr>
                  <w:spacing w:after="0" w:line="360" w:lineRule="auto"/>
                  <w:jc w:val="both"/>
                  <w:rPr>
                    <w:rFonts w:ascii="Arial" w:hAnsi="Arial" w:cs="Arial"/>
                    <w:lang w:eastAsia="en-GB"/>
                  </w:rPr>
                </w:pPr>
                <w:r>
                  <w:rPr>
                    <w:rFonts w:ascii="Arial" w:hAnsi="Arial" w:cs="Arial"/>
                    <w:lang w:eastAsia="en-GB"/>
                  </w:rPr>
                  <w:t>Requires stronger governance and compliance</w:t>
                </w:r>
              </w:p>
            </w:tc>
          </w:tr>
        </w:tbl>
        <w:p w14:paraId="03B4E48B">
          <w:pPr>
            <w:spacing w:line="360" w:lineRule="auto"/>
            <w:jc w:val="both"/>
            <w:rPr>
              <w:rFonts w:ascii="Arial" w:hAnsi="Arial" w:cs="Arial"/>
              <w:lang w:eastAsia="en-GB"/>
            </w:rPr>
          </w:pPr>
        </w:p>
        <w:p w14:paraId="4DB050CF">
          <w:pPr>
            <w:keepNext/>
            <w:keepLines/>
            <w:spacing w:before="40" w:after="0" w:line="360" w:lineRule="auto"/>
            <w:jc w:val="both"/>
            <w:outlineLvl w:val="1"/>
            <w:rPr>
              <w:rFonts w:ascii="Arial" w:hAnsi="Arial" w:eastAsia="Times New Roman" w:cs="Arial"/>
              <w:b/>
              <w:color w:val="000000" w:themeColor="text1"/>
              <w:sz w:val="28"/>
              <w:szCs w:val="26"/>
              <w:lang w:eastAsia="ja-JP"/>
              <w14:textFill>
                <w14:solidFill>
                  <w14:schemeClr w14:val="tx1"/>
                </w14:solidFill>
              </w14:textFill>
            </w:rPr>
          </w:pPr>
          <w:bookmarkStart w:id="45" w:name="_Toc228222278"/>
          <w:r>
            <w:rPr>
              <w:rFonts w:ascii="Arial" w:hAnsi="Arial" w:eastAsia="Times New Roman" w:cs="Arial"/>
              <w:b/>
              <w:color w:val="000000" w:themeColor="text1"/>
              <w:sz w:val="28"/>
              <w:szCs w:val="26"/>
              <w:lang w:eastAsia="ja-JP"/>
              <w14:textFill>
                <w14:solidFill>
                  <w14:schemeClr w14:val="tx1"/>
                </w14:solidFill>
              </w14:textFill>
            </w:rPr>
            <w:t>Appendix 2: Porter’s Five Forces Summary</w:t>
          </w:r>
          <w:bookmarkEnd w:id="45"/>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5"/>
            <w:gridCol w:w="3005"/>
            <w:gridCol w:w="3006"/>
          </w:tblGrid>
          <w:tr w14:paraId="7A5347A3">
            <w:tc>
              <w:tcPr>
                <w:tcW w:w="3005" w:type="dxa"/>
              </w:tcPr>
              <w:p w14:paraId="0018E467">
                <w:pPr>
                  <w:spacing w:after="0" w:line="360" w:lineRule="auto"/>
                  <w:jc w:val="both"/>
                  <w:rPr>
                    <w:rFonts w:ascii="Arial" w:hAnsi="Arial" w:cs="Arial"/>
                    <w:b/>
                    <w:lang w:eastAsia="en-GB"/>
                  </w:rPr>
                </w:pPr>
                <w:r>
                  <w:rPr>
                    <w:rFonts w:ascii="Arial" w:hAnsi="Arial" w:cs="Arial"/>
                    <w:b/>
                    <w:lang w:eastAsia="en-GB"/>
                  </w:rPr>
                  <w:t>Force</w:t>
                </w:r>
              </w:p>
            </w:tc>
            <w:tc>
              <w:tcPr>
                <w:tcW w:w="3005" w:type="dxa"/>
              </w:tcPr>
              <w:p w14:paraId="55FEF6AB">
                <w:pPr>
                  <w:spacing w:after="0" w:line="360" w:lineRule="auto"/>
                  <w:jc w:val="both"/>
                  <w:rPr>
                    <w:rFonts w:ascii="Arial" w:hAnsi="Arial" w:cs="Arial"/>
                    <w:b/>
                    <w:lang w:eastAsia="en-GB"/>
                  </w:rPr>
                </w:pPr>
                <w:r>
                  <w:rPr>
                    <w:rFonts w:ascii="Arial" w:hAnsi="Arial" w:cs="Arial"/>
                    <w:b/>
                    <w:lang w:eastAsia="en-GB"/>
                  </w:rPr>
                  <w:t>Level</w:t>
                </w:r>
              </w:p>
            </w:tc>
            <w:tc>
              <w:tcPr>
                <w:tcW w:w="3006" w:type="dxa"/>
              </w:tcPr>
              <w:p w14:paraId="3149E141">
                <w:pPr>
                  <w:spacing w:after="0" w:line="360" w:lineRule="auto"/>
                  <w:jc w:val="both"/>
                  <w:rPr>
                    <w:rFonts w:ascii="Arial" w:hAnsi="Arial" w:cs="Arial"/>
                    <w:b/>
                    <w:lang w:eastAsia="en-GB"/>
                  </w:rPr>
                </w:pPr>
                <w:r>
                  <w:rPr>
                    <w:rFonts w:ascii="Arial" w:hAnsi="Arial" w:cs="Arial"/>
                    <w:b/>
                    <w:lang w:eastAsia="en-GB"/>
                  </w:rPr>
                  <w:t>Impact on Alibaba</w:t>
                </w:r>
              </w:p>
            </w:tc>
          </w:tr>
          <w:tr w14:paraId="2EAD7B32">
            <w:tc>
              <w:tcPr>
                <w:tcW w:w="3005" w:type="dxa"/>
              </w:tcPr>
              <w:p w14:paraId="67F02DED">
                <w:pPr>
                  <w:spacing w:after="0" w:line="360" w:lineRule="auto"/>
                  <w:jc w:val="both"/>
                  <w:rPr>
                    <w:rFonts w:ascii="Arial" w:hAnsi="Arial" w:cs="Arial"/>
                    <w:lang w:eastAsia="en-GB"/>
                  </w:rPr>
                </w:pPr>
                <w:r>
                  <w:rPr>
                    <w:rFonts w:ascii="Arial" w:hAnsi="Arial" w:cs="Arial"/>
                    <w:lang w:eastAsia="en-GB"/>
                  </w:rPr>
                  <w:t>Competitive Rivalry</w:t>
                </w:r>
              </w:p>
            </w:tc>
            <w:tc>
              <w:tcPr>
                <w:tcW w:w="3005" w:type="dxa"/>
              </w:tcPr>
              <w:p w14:paraId="041EC4BA">
                <w:pPr>
                  <w:spacing w:after="0" w:line="360" w:lineRule="auto"/>
                  <w:jc w:val="both"/>
                  <w:rPr>
                    <w:rFonts w:ascii="Arial" w:hAnsi="Arial" w:cs="Arial"/>
                    <w:lang w:eastAsia="en-GB"/>
                  </w:rPr>
                </w:pPr>
                <w:r>
                  <w:rPr>
                    <w:rFonts w:ascii="Arial" w:hAnsi="Arial" w:cs="Arial"/>
                    <w:lang w:eastAsia="en-GB"/>
                  </w:rPr>
                  <w:t>High</w:t>
                </w:r>
              </w:p>
            </w:tc>
            <w:tc>
              <w:tcPr>
                <w:tcW w:w="3006" w:type="dxa"/>
              </w:tcPr>
              <w:p w14:paraId="2B6DCF11">
                <w:pPr>
                  <w:spacing w:after="0" w:line="360" w:lineRule="auto"/>
                  <w:jc w:val="both"/>
                  <w:rPr>
                    <w:rFonts w:ascii="Arial" w:hAnsi="Arial" w:cs="Arial"/>
                    <w:lang w:eastAsia="en-GB"/>
                  </w:rPr>
                </w:pPr>
                <w:r>
                  <w:rPr>
                    <w:rFonts w:ascii="Arial" w:hAnsi="Arial" w:cs="Arial"/>
                    <w:lang w:eastAsia="en-GB"/>
                  </w:rPr>
                  <w:t>Strong competition from Amazon, JD.com</w:t>
                </w:r>
              </w:p>
            </w:tc>
          </w:tr>
          <w:tr w14:paraId="49100241">
            <w:tc>
              <w:tcPr>
                <w:tcW w:w="3005" w:type="dxa"/>
              </w:tcPr>
              <w:p w14:paraId="505BF399">
                <w:pPr>
                  <w:spacing w:after="0" w:line="360" w:lineRule="auto"/>
                  <w:jc w:val="both"/>
                  <w:rPr>
                    <w:rFonts w:ascii="Arial" w:hAnsi="Arial" w:cs="Arial"/>
                    <w:lang w:eastAsia="en-GB"/>
                  </w:rPr>
                </w:pPr>
                <w:r>
                  <w:rPr>
                    <w:rFonts w:ascii="Arial" w:hAnsi="Arial" w:cs="Arial"/>
                    <w:lang w:eastAsia="en-GB"/>
                  </w:rPr>
                  <w:t>Threat of New Entrants</w:t>
                </w:r>
              </w:p>
            </w:tc>
            <w:tc>
              <w:tcPr>
                <w:tcW w:w="3005" w:type="dxa"/>
              </w:tcPr>
              <w:p w14:paraId="729D0487">
                <w:pPr>
                  <w:spacing w:after="0" w:line="360" w:lineRule="auto"/>
                  <w:jc w:val="both"/>
                  <w:rPr>
                    <w:rFonts w:ascii="Arial" w:hAnsi="Arial" w:cs="Arial"/>
                    <w:lang w:eastAsia="en-GB"/>
                  </w:rPr>
                </w:pPr>
                <w:r>
                  <w:rPr>
                    <w:rFonts w:ascii="Arial" w:hAnsi="Arial" w:cs="Arial"/>
                    <w:lang w:eastAsia="en-GB"/>
                  </w:rPr>
                  <w:t>Low–Moderate</w:t>
                </w:r>
              </w:p>
            </w:tc>
            <w:tc>
              <w:tcPr>
                <w:tcW w:w="3006" w:type="dxa"/>
              </w:tcPr>
              <w:p w14:paraId="0CC3A7FB">
                <w:pPr>
                  <w:spacing w:after="0" w:line="360" w:lineRule="auto"/>
                  <w:jc w:val="both"/>
                  <w:rPr>
                    <w:rFonts w:ascii="Arial" w:hAnsi="Arial" w:cs="Arial"/>
                    <w:lang w:eastAsia="en-GB"/>
                  </w:rPr>
                </w:pPr>
                <w:r>
                  <w:rPr>
                    <w:rFonts w:ascii="Arial" w:hAnsi="Arial" w:cs="Arial"/>
                    <w:lang w:eastAsia="en-GB"/>
                  </w:rPr>
                  <w:t>High capital and tech barriers</w:t>
                </w:r>
              </w:p>
            </w:tc>
          </w:tr>
          <w:tr w14:paraId="1D8BCB25">
            <w:tc>
              <w:tcPr>
                <w:tcW w:w="3005" w:type="dxa"/>
              </w:tcPr>
              <w:p w14:paraId="063348B1">
                <w:pPr>
                  <w:spacing w:after="0" w:line="360" w:lineRule="auto"/>
                  <w:jc w:val="both"/>
                  <w:rPr>
                    <w:rFonts w:ascii="Arial" w:hAnsi="Arial" w:cs="Arial"/>
                    <w:lang w:eastAsia="en-GB"/>
                  </w:rPr>
                </w:pPr>
                <w:r>
                  <w:rPr>
                    <w:rFonts w:ascii="Arial" w:hAnsi="Arial" w:cs="Arial"/>
                    <w:lang w:eastAsia="en-GB"/>
                  </w:rPr>
                  <w:t>Supplier Power</w:t>
                </w:r>
              </w:p>
            </w:tc>
            <w:tc>
              <w:tcPr>
                <w:tcW w:w="3005" w:type="dxa"/>
              </w:tcPr>
              <w:p w14:paraId="78784FF1">
                <w:pPr>
                  <w:spacing w:after="0" w:line="360" w:lineRule="auto"/>
                  <w:jc w:val="both"/>
                  <w:rPr>
                    <w:rFonts w:ascii="Arial" w:hAnsi="Arial" w:cs="Arial"/>
                    <w:lang w:eastAsia="en-GB"/>
                  </w:rPr>
                </w:pPr>
                <w:r>
                  <w:rPr>
                    <w:rFonts w:ascii="Arial" w:hAnsi="Arial" w:cs="Arial"/>
                    <w:lang w:eastAsia="en-GB"/>
                  </w:rPr>
                  <w:t>Low</w:t>
                </w:r>
              </w:p>
            </w:tc>
            <w:tc>
              <w:tcPr>
                <w:tcW w:w="3006" w:type="dxa"/>
              </w:tcPr>
              <w:p w14:paraId="3A9FBFBF">
                <w:pPr>
                  <w:spacing w:after="0" w:line="360" w:lineRule="auto"/>
                  <w:jc w:val="both"/>
                  <w:rPr>
                    <w:rFonts w:ascii="Arial" w:hAnsi="Arial" w:cs="Arial"/>
                    <w:lang w:eastAsia="en-GB"/>
                  </w:rPr>
                </w:pPr>
                <w:r>
                  <w:rPr>
                    <w:rFonts w:ascii="Arial" w:hAnsi="Arial" w:cs="Arial"/>
                    <w:lang w:eastAsia="en-GB"/>
                  </w:rPr>
                  <w:t>Large supplier base reduces dependency</w:t>
                </w:r>
              </w:p>
            </w:tc>
          </w:tr>
          <w:tr w14:paraId="321E9FEB">
            <w:tc>
              <w:tcPr>
                <w:tcW w:w="3005" w:type="dxa"/>
              </w:tcPr>
              <w:p w14:paraId="16FD0C3B">
                <w:pPr>
                  <w:spacing w:after="0" w:line="360" w:lineRule="auto"/>
                  <w:jc w:val="both"/>
                  <w:rPr>
                    <w:rFonts w:ascii="Arial" w:hAnsi="Arial" w:cs="Arial"/>
                    <w:lang w:eastAsia="en-GB"/>
                  </w:rPr>
                </w:pPr>
                <w:r>
                  <w:rPr>
                    <w:rFonts w:ascii="Arial" w:hAnsi="Arial" w:cs="Arial"/>
                    <w:lang w:eastAsia="en-GB"/>
                  </w:rPr>
                  <w:t>Buyer Power</w:t>
                </w:r>
              </w:p>
            </w:tc>
            <w:tc>
              <w:tcPr>
                <w:tcW w:w="3005" w:type="dxa"/>
              </w:tcPr>
              <w:p w14:paraId="04CAF958">
                <w:pPr>
                  <w:spacing w:after="0" w:line="360" w:lineRule="auto"/>
                  <w:jc w:val="both"/>
                  <w:rPr>
                    <w:rFonts w:ascii="Arial" w:hAnsi="Arial" w:cs="Arial"/>
                    <w:lang w:eastAsia="en-GB"/>
                  </w:rPr>
                </w:pPr>
                <w:r>
                  <w:rPr>
                    <w:rFonts w:ascii="Arial" w:hAnsi="Arial" w:cs="Arial"/>
                    <w:lang w:eastAsia="en-GB"/>
                  </w:rPr>
                  <w:t>High</w:t>
                </w:r>
              </w:p>
            </w:tc>
            <w:tc>
              <w:tcPr>
                <w:tcW w:w="3006" w:type="dxa"/>
              </w:tcPr>
              <w:p w14:paraId="79CC6A80">
                <w:pPr>
                  <w:spacing w:after="0" w:line="360" w:lineRule="auto"/>
                  <w:jc w:val="both"/>
                  <w:rPr>
                    <w:rFonts w:ascii="Arial" w:hAnsi="Arial" w:cs="Arial"/>
                    <w:lang w:eastAsia="en-GB"/>
                  </w:rPr>
                </w:pPr>
                <w:r>
                  <w:rPr>
                    <w:rFonts w:ascii="Arial" w:hAnsi="Arial" w:cs="Arial"/>
                    <w:lang w:eastAsia="en-GB"/>
                  </w:rPr>
                  <w:t>Customers have many platform choices</w:t>
                </w:r>
              </w:p>
            </w:tc>
          </w:tr>
          <w:tr w14:paraId="6B8ADB32">
            <w:tc>
              <w:tcPr>
                <w:tcW w:w="3005" w:type="dxa"/>
              </w:tcPr>
              <w:p w14:paraId="5BE9D81B">
                <w:pPr>
                  <w:spacing w:after="0" w:line="360" w:lineRule="auto"/>
                  <w:jc w:val="both"/>
                  <w:rPr>
                    <w:rFonts w:ascii="Arial" w:hAnsi="Arial" w:cs="Arial"/>
                    <w:lang w:eastAsia="en-GB"/>
                  </w:rPr>
                </w:pPr>
                <w:r>
                  <w:rPr>
                    <w:rFonts w:ascii="Arial" w:hAnsi="Arial" w:cs="Arial"/>
                    <w:lang w:eastAsia="en-GB"/>
                  </w:rPr>
                  <w:t>Threat of Substitutes</w:t>
                </w:r>
              </w:p>
            </w:tc>
            <w:tc>
              <w:tcPr>
                <w:tcW w:w="3005" w:type="dxa"/>
              </w:tcPr>
              <w:p w14:paraId="35146691">
                <w:pPr>
                  <w:spacing w:after="0" w:line="360" w:lineRule="auto"/>
                  <w:jc w:val="both"/>
                  <w:rPr>
                    <w:rFonts w:ascii="Arial" w:hAnsi="Arial" w:cs="Arial"/>
                    <w:lang w:eastAsia="en-GB"/>
                  </w:rPr>
                </w:pPr>
                <w:r>
                  <w:rPr>
                    <w:rFonts w:ascii="Arial" w:hAnsi="Arial" w:cs="Arial"/>
                    <w:lang w:eastAsia="en-GB"/>
                  </w:rPr>
                  <w:t>Moderate</w:t>
                </w:r>
              </w:p>
            </w:tc>
            <w:tc>
              <w:tcPr>
                <w:tcW w:w="3006" w:type="dxa"/>
              </w:tcPr>
              <w:p w14:paraId="6AAF8B96">
                <w:pPr>
                  <w:spacing w:after="0" w:line="360" w:lineRule="auto"/>
                  <w:jc w:val="both"/>
                  <w:rPr>
                    <w:rFonts w:ascii="Arial" w:hAnsi="Arial" w:cs="Arial"/>
                    <w:lang w:eastAsia="en-GB"/>
                  </w:rPr>
                </w:pPr>
                <w:r>
                  <w:rPr>
                    <w:rFonts w:ascii="Arial" w:hAnsi="Arial" w:cs="Arial"/>
                    <w:lang w:eastAsia="en-GB"/>
                  </w:rPr>
                  <w:t>Physical retail and social commerce</w:t>
                </w:r>
              </w:p>
            </w:tc>
          </w:tr>
        </w:tbl>
        <w:p w14:paraId="490807F9">
          <w:pPr>
            <w:spacing w:line="360" w:lineRule="auto"/>
            <w:jc w:val="both"/>
            <w:rPr>
              <w:rFonts w:ascii="Arial" w:hAnsi="Arial" w:cs="Arial"/>
              <w:lang w:eastAsia="en-GB"/>
            </w:rPr>
          </w:pPr>
          <w:r>
            <w:rPr>
              <w:rFonts w:ascii="Arial" w:hAnsi="Arial" w:cs="Arial"/>
              <w:lang w:eastAsia="en-GB"/>
            </w:rPr>
            <w:t xml:space="preserve"> </w:t>
          </w:r>
        </w:p>
        <w:p w14:paraId="5426AA35">
          <w:pPr>
            <w:keepNext/>
            <w:keepLines/>
            <w:spacing w:before="40" w:after="0" w:line="360" w:lineRule="auto"/>
            <w:jc w:val="both"/>
            <w:outlineLvl w:val="1"/>
            <w:rPr>
              <w:rFonts w:ascii="Arial" w:hAnsi="Arial" w:eastAsia="Times New Roman" w:cs="Arial"/>
              <w:b/>
              <w:color w:val="000000" w:themeColor="text1"/>
              <w:sz w:val="28"/>
              <w:szCs w:val="26"/>
              <w:lang w:eastAsia="ja-JP"/>
              <w14:textFill>
                <w14:solidFill>
                  <w14:schemeClr w14:val="tx1"/>
                </w14:solidFill>
              </w14:textFill>
            </w:rPr>
          </w:pPr>
          <w:bookmarkStart w:id="46" w:name="_Toc228222279"/>
          <w:r>
            <w:rPr>
              <w:rFonts w:ascii="Arial" w:hAnsi="Arial" w:eastAsia="Times New Roman" w:cs="Arial"/>
              <w:b/>
              <w:color w:val="000000" w:themeColor="text1"/>
              <w:sz w:val="28"/>
              <w:szCs w:val="26"/>
              <w:lang w:eastAsia="ja-JP"/>
              <w14:textFill>
                <w14:solidFill>
                  <w14:schemeClr w14:val="tx1"/>
                </w14:solidFill>
              </w14:textFill>
            </w:rPr>
            <w:t>Appendix 3: SWOT Summary Table</w:t>
          </w:r>
          <w:bookmarkEnd w:id="46"/>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14:paraId="4E17C813">
            <w:tc>
              <w:tcPr>
                <w:tcW w:w="4508" w:type="dxa"/>
              </w:tcPr>
              <w:p w14:paraId="6A5C896B">
                <w:pPr>
                  <w:spacing w:after="0" w:line="360" w:lineRule="auto"/>
                  <w:jc w:val="both"/>
                  <w:rPr>
                    <w:rFonts w:ascii="Arial" w:hAnsi="Arial" w:cs="Arial"/>
                    <w:b/>
                    <w:lang w:eastAsia="en-GB"/>
                  </w:rPr>
                </w:pPr>
                <w:r>
                  <w:rPr>
                    <w:rFonts w:ascii="Arial" w:hAnsi="Arial" w:cs="Arial"/>
                    <w:b/>
                    <w:lang w:eastAsia="en-GB"/>
                  </w:rPr>
                  <w:t>Strengths</w:t>
                </w:r>
              </w:p>
            </w:tc>
            <w:tc>
              <w:tcPr>
                <w:tcW w:w="4508" w:type="dxa"/>
              </w:tcPr>
              <w:p w14:paraId="7B10C9B9">
                <w:pPr>
                  <w:spacing w:after="0" w:line="360" w:lineRule="auto"/>
                  <w:jc w:val="both"/>
                  <w:rPr>
                    <w:rFonts w:ascii="Arial" w:hAnsi="Arial" w:cs="Arial"/>
                    <w:b/>
                    <w:lang w:eastAsia="en-GB"/>
                  </w:rPr>
                </w:pPr>
                <w:r>
                  <w:rPr>
                    <w:rFonts w:ascii="Arial" w:hAnsi="Arial" w:cs="Arial"/>
                    <w:b/>
                    <w:lang w:eastAsia="en-GB"/>
                  </w:rPr>
                  <w:t>Weaknesses</w:t>
                </w:r>
              </w:p>
            </w:tc>
          </w:tr>
          <w:tr w14:paraId="6F6565CE">
            <w:tc>
              <w:tcPr>
                <w:tcW w:w="4508" w:type="dxa"/>
              </w:tcPr>
              <w:p w14:paraId="01636323">
                <w:pPr>
                  <w:spacing w:after="0" w:line="360" w:lineRule="auto"/>
                  <w:jc w:val="both"/>
                  <w:rPr>
                    <w:rFonts w:ascii="Arial" w:hAnsi="Arial" w:cs="Arial"/>
                    <w:lang w:eastAsia="en-GB"/>
                  </w:rPr>
                </w:pPr>
                <w:r>
                  <w:rPr>
                    <w:rFonts w:ascii="Arial" w:hAnsi="Arial" w:cs="Arial"/>
                    <w:lang w:eastAsia="en-GB"/>
                  </w:rPr>
                  <w:t>Strong ecosystem</w:t>
                </w:r>
              </w:p>
            </w:tc>
            <w:tc>
              <w:tcPr>
                <w:tcW w:w="4508" w:type="dxa"/>
              </w:tcPr>
              <w:p w14:paraId="5CDEEE36">
                <w:pPr>
                  <w:spacing w:after="0" w:line="360" w:lineRule="auto"/>
                  <w:jc w:val="both"/>
                  <w:rPr>
                    <w:rFonts w:ascii="Arial" w:hAnsi="Arial" w:cs="Arial"/>
                    <w:lang w:eastAsia="en-GB"/>
                  </w:rPr>
                </w:pPr>
                <w:r>
                  <w:rPr>
                    <w:rFonts w:ascii="Arial" w:hAnsi="Arial" w:cs="Arial"/>
                    <w:lang w:eastAsia="en-GB"/>
                  </w:rPr>
                  <w:t>Regulatory pressure</w:t>
                </w:r>
              </w:p>
            </w:tc>
          </w:tr>
          <w:tr w14:paraId="1CF3ED92">
            <w:tc>
              <w:tcPr>
                <w:tcW w:w="4508" w:type="dxa"/>
              </w:tcPr>
              <w:p w14:paraId="1FFF937D">
                <w:pPr>
                  <w:spacing w:after="0" w:line="360" w:lineRule="auto"/>
                  <w:jc w:val="both"/>
                  <w:rPr>
                    <w:rFonts w:ascii="Arial" w:hAnsi="Arial" w:cs="Arial"/>
                    <w:lang w:eastAsia="en-GB"/>
                  </w:rPr>
                </w:pPr>
                <w:r>
                  <w:rPr>
                    <w:rFonts w:ascii="Arial" w:hAnsi="Arial" w:cs="Arial"/>
                    <w:lang w:eastAsia="en-GB"/>
                  </w:rPr>
                  <w:t>Advanced technology</w:t>
                </w:r>
              </w:p>
            </w:tc>
            <w:tc>
              <w:tcPr>
                <w:tcW w:w="4508" w:type="dxa"/>
              </w:tcPr>
              <w:p w14:paraId="2AC9DB6F">
                <w:pPr>
                  <w:spacing w:after="0" w:line="360" w:lineRule="auto"/>
                  <w:jc w:val="both"/>
                  <w:rPr>
                    <w:rFonts w:ascii="Arial" w:hAnsi="Arial" w:cs="Arial"/>
                    <w:lang w:eastAsia="en-GB"/>
                  </w:rPr>
                </w:pPr>
                <w:r>
                  <w:rPr>
                    <w:rFonts w:ascii="Arial" w:hAnsi="Arial" w:cs="Arial"/>
                    <w:lang w:eastAsia="en-GB"/>
                  </w:rPr>
                  <w:t>China market dependency</w:t>
                </w:r>
              </w:p>
            </w:tc>
          </w:tr>
          <w:tr w14:paraId="24888354">
            <w:tc>
              <w:tcPr>
                <w:tcW w:w="4508" w:type="dxa"/>
              </w:tcPr>
              <w:p w14:paraId="54EDAF03">
                <w:pPr>
                  <w:spacing w:after="0" w:line="360" w:lineRule="auto"/>
                  <w:jc w:val="both"/>
                  <w:rPr>
                    <w:rFonts w:ascii="Arial" w:hAnsi="Arial" w:cs="Arial"/>
                    <w:b/>
                    <w:lang w:eastAsia="en-GB"/>
                  </w:rPr>
                </w:pPr>
                <w:r>
                  <w:rPr>
                    <w:rFonts w:ascii="Arial" w:hAnsi="Arial" w:cs="Arial"/>
                    <w:b/>
                    <w:lang w:eastAsia="en-GB"/>
                  </w:rPr>
                  <w:t>Opportunities</w:t>
                </w:r>
              </w:p>
            </w:tc>
            <w:tc>
              <w:tcPr>
                <w:tcW w:w="4508" w:type="dxa"/>
              </w:tcPr>
              <w:p w14:paraId="3D5FF00A">
                <w:pPr>
                  <w:spacing w:after="0" w:line="360" w:lineRule="auto"/>
                  <w:jc w:val="both"/>
                  <w:rPr>
                    <w:rFonts w:ascii="Arial" w:hAnsi="Arial" w:cs="Arial"/>
                    <w:b/>
                    <w:lang w:eastAsia="en-GB"/>
                  </w:rPr>
                </w:pPr>
                <w:r>
                  <w:rPr>
                    <w:rFonts w:ascii="Arial" w:hAnsi="Arial" w:cs="Arial"/>
                    <w:b/>
                    <w:lang w:eastAsia="en-GB"/>
                  </w:rPr>
                  <w:t>Threats</w:t>
                </w:r>
              </w:p>
            </w:tc>
          </w:tr>
          <w:tr w14:paraId="2487C257">
            <w:tc>
              <w:tcPr>
                <w:tcW w:w="4508" w:type="dxa"/>
              </w:tcPr>
              <w:p w14:paraId="2423033C">
                <w:pPr>
                  <w:spacing w:after="0" w:line="360" w:lineRule="auto"/>
                  <w:jc w:val="both"/>
                  <w:rPr>
                    <w:rFonts w:ascii="Arial" w:hAnsi="Arial" w:cs="Arial"/>
                    <w:lang w:eastAsia="en-GB"/>
                  </w:rPr>
                </w:pPr>
                <w:r>
                  <w:rPr>
                    <w:rFonts w:ascii="Arial" w:hAnsi="Arial" w:cs="Arial"/>
                    <w:lang w:eastAsia="en-GB"/>
                  </w:rPr>
                  <w:t>Global expansion</w:t>
                </w:r>
              </w:p>
            </w:tc>
            <w:tc>
              <w:tcPr>
                <w:tcW w:w="4508" w:type="dxa"/>
              </w:tcPr>
              <w:p w14:paraId="6E3FE6D7">
                <w:pPr>
                  <w:spacing w:after="0" w:line="360" w:lineRule="auto"/>
                  <w:jc w:val="both"/>
                  <w:rPr>
                    <w:rFonts w:ascii="Arial" w:hAnsi="Arial" w:cs="Arial"/>
                    <w:lang w:eastAsia="en-GB"/>
                  </w:rPr>
                </w:pPr>
                <w:r>
                  <w:rPr>
                    <w:rFonts w:ascii="Arial" w:hAnsi="Arial" w:cs="Arial"/>
                    <w:lang w:eastAsia="en-GB"/>
                  </w:rPr>
                  <w:t>Competition (Amazon, Pinduoduo)</w:t>
                </w:r>
              </w:p>
            </w:tc>
          </w:tr>
          <w:tr w14:paraId="749F0C2D">
            <w:tc>
              <w:tcPr>
                <w:tcW w:w="4508" w:type="dxa"/>
              </w:tcPr>
              <w:p w14:paraId="07373D61">
                <w:pPr>
                  <w:spacing w:after="0" w:line="360" w:lineRule="auto"/>
                  <w:jc w:val="both"/>
                  <w:rPr>
                    <w:rFonts w:ascii="Arial" w:hAnsi="Arial" w:cs="Arial"/>
                    <w:lang w:eastAsia="en-GB"/>
                  </w:rPr>
                </w:pPr>
                <w:r>
                  <w:rPr>
                    <w:rFonts w:ascii="Arial" w:hAnsi="Arial" w:cs="Arial"/>
                    <w:lang w:eastAsia="en-GB"/>
                  </w:rPr>
                  <w:t>AI &amp; cloud growth</w:t>
                </w:r>
              </w:p>
            </w:tc>
            <w:tc>
              <w:tcPr>
                <w:tcW w:w="4508" w:type="dxa"/>
              </w:tcPr>
              <w:p w14:paraId="6D3A676F">
                <w:pPr>
                  <w:spacing w:after="0" w:line="360" w:lineRule="auto"/>
                  <w:jc w:val="both"/>
                  <w:rPr>
                    <w:rFonts w:ascii="Arial" w:hAnsi="Arial" w:cs="Arial"/>
                    <w:lang w:eastAsia="en-GB"/>
                  </w:rPr>
                </w:pPr>
                <w:r>
                  <w:rPr>
                    <w:rFonts w:ascii="Arial" w:hAnsi="Arial" w:cs="Arial"/>
                    <w:lang w:eastAsia="en-GB"/>
                  </w:rPr>
                  <w:t>Geopolitical risks</w:t>
                </w:r>
              </w:p>
            </w:tc>
          </w:tr>
        </w:tbl>
        <w:p w14:paraId="14A3081F">
          <w:pPr>
            <w:spacing w:line="360" w:lineRule="auto"/>
            <w:jc w:val="both"/>
            <w:rPr>
              <w:rFonts w:ascii="Arial" w:hAnsi="Arial" w:cs="Arial"/>
              <w:lang w:eastAsia="en-GB"/>
            </w:rPr>
          </w:pPr>
        </w:p>
        <w:p w14:paraId="4D7B44C8">
          <w:pPr>
            <w:spacing w:line="360" w:lineRule="auto"/>
            <w:jc w:val="both"/>
            <w:rPr>
              <w:rFonts w:ascii="Arial" w:hAnsi="Arial" w:cs="Arial"/>
              <w:lang w:eastAsia="en-GB"/>
            </w:rPr>
          </w:pPr>
          <w:r>
            <w:rPr>
              <w:rFonts w:ascii="Arial" w:hAnsi="Arial" w:cs="Arial"/>
              <w:lang w:eastAsia="en-GB"/>
            </w:rPr>
            <w:t>These appendices support the main analysis by providing structured visual summaries of key strategic tools (PESTEL, Porter’s Five Forces, SWOT), helping to reinforce Alibaba’s competitive position and strategic challenges.</w:t>
          </w:r>
        </w:p>
        <w:p w14:paraId="1C23D8C5">
          <w:pPr>
            <w:spacing w:before="240" w:line="360" w:lineRule="auto"/>
            <w:jc w:val="both"/>
            <w:rPr>
              <w:rFonts w:ascii="Arial" w:hAnsi="Arial" w:cs="Arial"/>
              <w:szCs w:val="24"/>
            </w:rPr>
          </w:pPr>
        </w:p>
        <w:p w14:paraId="7D2D8684">
          <w:pPr>
            <w:rPr>
              <w:rFonts w:ascii="Arial" w:hAnsi="Arial" w:cs="Arial"/>
              <w:lang w:eastAsia="ja-JP"/>
            </w:rPr>
          </w:pPr>
        </w:p>
        <w:p w14:paraId="23FD9906">
          <w:pPr>
            <w:rPr>
              <w:rFonts w:ascii="Arial" w:hAnsi="Arial" w:cs="Arial"/>
              <w:szCs w:val="24"/>
            </w:rPr>
          </w:pPr>
        </w:p>
        <w:p w14:paraId="75EB4658">
          <w:pPr>
            <w:rPr>
              <w:rFonts w:ascii="Arial" w:hAnsi="Arial" w:cs="Arial"/>
              <w:szCs w:val="24"/>
            </w:rPr>
          </w:pPr>
        </w:p>
        <w:p w14:paraId="2CAA27BD">
          <w:pPr>
            <w:rPr>
              <w:rFonts w:ascii="Arial" w:hAnsi="Arial" w:cs="Arial"/>
              <w:szCs w:val="24"/>
            </w:rPr>
          </w:pPr>
        </w:p>
      </w:sdtContent>
    </w:sdt>
    <w:sectPr>
      <w:pgSz w:w="11906" w:h="16838"/>
      <w:pgMar w:top="1440" w:right="1440" w:bottom="1440" w:left="1440" w:header="708" w:footer="708" w:gutter="0"/>
      <w:pgNumType w:start="1"/>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Calibri">
    <w:altName w:val="Helvetica Neue"/>
    <w:panose1 w:val="00000000000000000000"/>
    <w:charset w:val="00"/>
    <w:family w:val="auto"/>
    <w:pitch w:val="default"/>
    <w:sig w:usb0="00000000" w:usb1="00000000" w:usb2="00000000" w:usb3="00000000" w:csb0="00000000" w:csb1="00000000"/>
  </w:font>
  <w:font w:name="Tahoma">
    <w:panose1 w:val="020B0804030504040204"/>
    <w:charset w:val="00"/>
    <w:family w:val="swiss"/>
    <w:pitch w:val="default"/>
    <w:sig w:usb0="E1002AFF" w:usb1="C000605B" w:usb2="00000029" w:usb3="00000000" w:csb0="200101FF" w:csb1="20280000"/>
  </w:font>
  <w:font w:name="Cambria">
    <w:altName w:val="苹方-简"/>
    <w:panose1 w:val="02040503050406030204"/>
    <w:charset w:val="00"/>
    <w:family w:val="roman"/>
    <w:pitch w:val="default"/>
    <w:sig w:usb0="00000000" w:usb1="00000000" w:usb2="02000000" w:usb3="00000000" w:csb0="0000019F" w:csb1="00000000"/>
  </w:font>
  <w:font w:name="LinoLetter-Roman">
    <w:altName w:val="苹方-简"/>
    <w:panose1 w:val="00000000000000000000"/>
    <w:charset w:val="00"/>
    <w:family w:val="roman"/>
    <w:pitch w:val="default"/>
    <w:sig w:usb0="00000000" w:usb1="00000000" w:usb2="00000000" w:usb3="00000000" w:csb0="00000000" w:csb1="00000000"/>
  </w:font>
  <w:font w:name="Cambria Math">
    <w:altName w:val="Kingsoft Math"/>
    <w:panose1 w:val="02040503050406030204"/>
    <w:charset w:val="00"/>
    <w:family w:val="roman"/>
    <w:pitch w:val="default"/>
    <w:sig w:usb0="00000000" w:usb1="00000000" w:usb2="02000000" w:usb3="00000000" w:csb0="0000019F" w:csb1="00000000"/>
  </w:font>
  <w:font w:name="Wingdings">
    <w:panose1 w:val="05000000000000000000"/>
    <w:charset w:val="02"/>
    <w:family w:val="auto"/>
    <w:pitch w:val="default"/>
    <w:sig w:usb0="00000000" w:usb1="00000000" w:usb2="00000000" w:usb3="00000000" w:csb0="80000000" w:csb1="00000000"/>
  </w:font>
  <w:font w:name="Symbol">
    <w:altName w:val="Kingsoft Sign"/>
    <w:panose1 w:val="05050102010706020507"/>
    <w:charset w:val="02"/>
    <w:family w:val="roman"/>
    <w:pitch w:val="default"/>
    <w:sig w:usb0="00000000" w:usb1="00000000" w:usb2="00000000" w:usb3="00000000" w:csb0="80000000" w:csb1="00000000"/>
  </w:font>
  <w:font w:name="MS Mincho">
    <w:altName w:val="Hiragino Sans"/>
    <w:panose1 w:val="02020609040205080304"/>
    <w:charset w:val="80"/>
    <w:family w:val="roman"/>
    <w:pitch w:val="default"/>
    <w:sig w:usb0="00000000" w:usb1="00000000" w:usb2="00000010" w:usb3="00000000" w:csb0="00020000" w:csb1="00000000"/>
  </w:font>
  <w:font w:name="Helvetica Neue">
    <w:panose1 w:val="02000503000000020004"/>
    <w:charset w:val="00"/>
    <w:family w:val="auto"/>
    <w:pitch w:val="default"/>
    <w:sig w:usb0="E50002FF" w:usb1="500079DB" w:usb2="00000010" w:usb3="00000000" w:csb0="00000000" w:csb1="00000000"/>
  </w:font>
  <w:font w:name="Hiragino Sans GB">
    <w:panose1 w:val="020B0300000000000000"/>
    <w:charset w:val="86"/>
    <w:family w:val="auto"/>
    <w:pitch w:val="default"/>
    <w:sig w:usb0="A00002BF" w:usb1="1ACF7CFA" w:usb2="00000016" w:usb3="00000000" w:csb0="00060007" w:csb1="00000000"/>
  </w:font>
  <w:font w:name="Kingsoft Math">
    <w:panose1 w:val="02040503050406030204"/>
    <w:charset w:val="00"/>
    <w:family w:val="auto"/>
    <w:pitch w:val="default"/>
    <w:sig w:usb0="80000087" w:usb1="00002068" w:usb2="00000000" w:usb3="00000000" w:csb0="2000019F" w:csb1="00000000"/>
  </w:font>
  <w:font w:name="宋体-简">
    <w:panose1 w:val="02010800040101010101"/>
    <w:charset w:val="86"/>
    <w:family w:val="auto"/>
    <w:pitch w:val="default"/>
    <w:sig w:usb0="00000001" w:usb1="080F0000" w:usb2="00000000" w:usb3="00000000" w:csb0="00040000" w:csb1="00000000"/>
  </w:font>
  <w:font w:name="黑体-简">
    <w:panose1 w:val="00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Kingsoft Sign">
    <w:panose1 w:val="05050102010706020507"/>
    <w:charset w:val="00"/>
    <w:family w:val="auto"/>
    <w:pitch w:val="default"/>
    <w:sig w:usb0="00000000" w:usb1="10000000" w:usb2="00000000" w:usb3="00000000" w:csb0="00000001" w:csb1="00000000"/>
  </w:font>
  <w:font w:name="Hiragino Sans">
    <w:panose1 w:val="020B0700000000000000"/>
    <w:charset w:val="80"/>
    <w:family w:val="auto"/>
    <w:pitch w:val="default"/>
    <w:sig w:usb0="800002CF" w:usb1="6AC7FCFC"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4819023"/>
      <w:docPartObj>
        <w:docPartGallery w:val="AutoText"/>
      </w:docPartObj>
    </w:sdtPr>
    <w:sdtContent>
      <w:p w14:paraId="761D67D7">
        <w:pPr>
          <w:pStyle w:val="14"/>
          <w:jc w:val="center"/>
        </w:pPr>
        <w:r>
          <w:fldChar w:fldCharType="begin"/>
        </w:r>
        <w:r>
          <w:instrText xml:space="preserve"> PAGE   \* MERGEFORMAT </w:instrText>
        </w:r>
        <w:r>
          <w:fldChar w:fldCharType="separate"/>
        </w:r>
        <w:r>
          <w:t>28</w:t>
        </w:r>
        <w:r>
          <w:fldChar w:fldCharType="end"/>
        </w:r>
      </w:p>
    </w:sdtContent>
  </w:sdt>
  <w:p w14:paraId="207D48FD">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3991032"/>
      <w:docPartObj>
        <w:docPartGallery w:val="AutoText"/>
      </w:docPartObj>
    </w:sdtPr>
    <w:sdtContent>
      <w:p w14:paraId="16084760">
        <w:pPr>
          <w:pStyle w:val="14"/>
          <w:jc w:val="center"/>
        </w:pPr>
        <w:r>
          <w:fldChar w:fldCharType="begin"/>
        </w:r>
        <w:r>
          <w:instrText xml:space="preserve"> PAGE   \* MERGEFORMAT </w:instrText>
        </w:r>
        <w:r>
          <w:fldChar w:fldCharType="separate"/>
        </w:r>
        <w:r>
          <w:t>1</w:t>
        </w:r>
        <w:r>
          <w:fldChar w:fldCharType="end"/>
        </w:r>
      </w:p>
    </w:sdtContent>
  </w:sdt>
  <w:p w14:paraId="0901683B">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F5258">
    <w:pPr>
      <w:pStyle w:val="15"/>
    </w:pPr>
  </w:p>
  <w:p w14:paraId="1266B889">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8D032E"/>
    <w:multiLevelType w:val="multilevel"/>
    <w:tmpl w:val="0A8D032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DEF2A1F"/>
    <w:multiLevelType w:val="multilevel"/>
    <w:tmpl w:val="0DEF2A1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8233C91"/>
    <w:multiLevelType w:val="multilevel"/>
    <w:tmpl w:val="18233C9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84C4225"/>
    <w:multiLevelType w:val="multilevel"/>
    <w:tmpl w:val="184C422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27C6103C"/>
    <w:multiLevelType w:val="multilevel"/>
    <w:tmpl w:val="27C6103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2E937A98"/>
    <w:multiLevelType w:val="multilevel"/>
    <w:tmpl w:val="2E937A9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38956B4C"/>
    <w:multiLevelType w:val="multilevel"/>
    <w:tmpl w:val="38956B4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3A091C09"/>
    <w:multiLevelType w:val="multilevel"/>
    <w:tmpl w:val="3A091C09"/>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3CC17E3C"/>
    <w:multiLevelType w:val="multilevel"/>
    <w:tmpl w:val="3CC17E3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3DF407FB"/>
    <w:multiLevelType w:val="multilevel"/>
    <w:tmpl w:val="3DF407F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471943B5"/>
    <w:multiLevelType w:val="multilevel"/>
    <w:tmpl w:val="471943B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4AFF5F47"/>
    <w:multiLevelType w:val="multilevel"/>
    <w:tmpl w:val="4AFF5F4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58934618"/>
    <w:multiLevelType w:val="multilevel"/>
    <w:tmpl w:val="5893461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622F75D9"/>
    <w:multiLevelType w:val="multilevel"/>
    <w:tmpl w:val="622F75D9"/>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645553CB"/>
    <w:multiLevelType w:val="multilevel"/>
    <w:tmpl w:val="645553C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65F95A32"/>
    <w:multiLevelType w:val="multilevel"/>
    <w:tmpl w:val="65F95A32"/>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70EC54F1"/>
    <w:multiLevelType w:val="multilevel"/>
    <w:tmpl w:val="70EC54F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75645118"/>
    <w:multiLevelType w:val="multilevel"/>
    <w:tmpl w:val="7564511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9"/>
  </w:num>
  <w:num w:numId="2">
    <w:abstractNumId w:val="13"/>
  </w:num>
  <w:num w:numId="3">
    <w:abstractNumId w:val="15"/>
  </w:num>
  <w:num w:numId="4">
    <w:abstractNumId w:val="1"/>
  </w:num>
  <w:num w:numId="5">
    <w:abstractNumId w:val="10"/>
  </w:num>
  <w:num w:numId="6">
    <w:abstractNumId w:val="8"/>
  </w:num>
  <w:num w:numId="7">
    <w:abstractNumId w:val="2"/>
  </w:num>
  <w:num w:numId="8">
    <w:abstractNumId w:val="5"/>
  </w:num>
  <w:num w:numId="9">
    <w:abstractNumId w:val="14"/>
  </w:num>
  <w:num w:numId="10">
    <w:abstractNumId w:val="4"/>
  </w:num>
  <w:num w:numId="11">
    <w:abstractNumId w:val="12"/>
  </w:num>
  <w:num w:numId="12">
    <w:abstractNumId w:val="6"/>
  </w:num>
  <w:num w:numId="13">
    <w:abstractNumId w:val="3"/>
  </w:num>
  <w:num w:numId="14">
    <w:abstractNumId w:val="11"/>
  </w:num>
  <w:num w:numId="15">
    <w:abstractNumId w:val="16"/>
  </w:num>
  <w:num w:numId="16">
    <w:abstractNumId w:val="0"/>
  </w:num>
  <w:num w:numId="17">
    <w:abstractNumId w:val="7"/>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A2A"/>
    <w:rsid w:val="00002D3D"/>
    <w:rsid w:val="00021225"/>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1B5C"/>
    <w:rsid w:val="00083F61"/>
    <w:rsid w:val="00087796"/>
    <w:rsid w:val="00097E9A"/>
    <w:rsid w:val="000A01BD"/>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E519D"/>
    <w:rsid w:val="000F0770"/>
    <w:rsid w:val="000F5D41"/>
    <w:rsid w:val="000F5E40"/>
    <w:rsid w:val="000F6714"/>
    <w:rsid w:val="000F700D"/>
    <w:rsid w:val="00101A38"/>
    <w:rsid w:val="00101E20"/>
    <w:rsid w:val="00103BF3"/>
    <w:rsid w:val="0011111A"/>
    <w:rsid w:val="001137B5"/>
    <w:rsid w:val="00116DFE"/>
    <w:rsid w:val="001176C1"/>
    <w:rsid w:val="00117A2C"/>
    <w:rsid w:val="00120CEC"/>
    <w:rsid w:val="00120E31"/>
    <w:rsid w:val="00123E15"/>
    <w:rsid w:val="0013214C"/>
    <w:rsid w:val="00132602"/>
    <w:rsid w:val="00133E40"/>
    <w:rsid w:val="001354AE"/>
    <w:rsid w:val="00136748"/>
    <w:rsid w:val="001410E0"/>
    <w:rsid w:val="00142286"/>
    <w:rsid w:val="00142815"/>
    <w:rsid w:val="00146E8E"/>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1AF3"/>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680"/>
    <w:rsid w:val="001F3A64"/>
    <w:rsid w:val="001F4649"/>
    <w:rsid w:val="00200CCC"/>
    <w:rsid w:val="00200F9A"/>
    <w:rsid w:val="00201AB8"/>
    <w:rsid w:val="002030AF"/>
    <w:rsid w:val="0021049C"/>
    <w:rsid w:val="002104C1"/>
    <w:rsid w:val="002110A6"/>
    <w:rsid w:val="00213556"/>
    <w:rsid w:val="0022027E"/>
    <w:rsid w:val="00225DBC"/>
    <w:rsid w:val="00227CB0"/>
    <w:rsid w:val="00232008"/>
    <w:rsid w:val="002350E9"/>
    <w:rsid w:val="002431EA"/>
    <w:rsid w:val="002450F4"/>
    <w:rsid w:val="00245ECE"/>
    <w:rsid w:val="0025060B"/>
    <w:rsid w:val="002545E6"/>
    <w:rsid w:val="00264FFA"/>
    <w:rsid w:val="00265005"/>
    <w:rsid w:val="00267784"/>
    <w:rsid w:val="002731C2"/>
    <w:rsid w:val="002733D9"/>
    <w:rsid w:val="00273783"/>
    <w:rsid w:val="0027530B"/>
    <w:rsid w:val="00276EFB"/>
    <w:rsid w:val="00280439"/>
    <w:rsid w:val="002831C4"/>
    <w:rsid w:val="002969AB"/>
    <w:rsid w:val="00296C77"/>
    <w:rsid w:val="002A0625"/>
    <w:rsid w:val="002A12D6"/>
    <w:rsid w:val="002A3996"/>
    <w:rsid w:val="002A3AF7"/>
    <w:rsid w:val="002A3E66"/>
    <w:rsid w:val="002A728F"/>
    <w:rsid w:val="002B25EB"/>
    <w:rsid w:val="002B4CBE"/>
    <w:rsid w:val="002C2FAE"/>
    <w:rsid w:val="002C42CD"/>
    <w:rsid w:val="002C60D0"/>
    <w:rsid w:val="002C6C68"/>
    <w:rsid w:val="002D1642"/>
    <w:rsid w:val="002D1BC0"/>
    <w:rsid w:val="002D5294"/>
    <w:rsid w:val="002D562D"/>
    <w:rsid w:val="002D5708"/>
    <w:rsid w:val="002D5793"/>
    <w:rsid w:val="002E404B"/>
    <w:rsid w:val="002E6999"/>
    <w:rsid w:val="002F1E01"/>
    <w:rsid w:val="002F56C1"/>
    <w:rsid w:val="002F662F"/>
    <w:rsid w:val="0030016E"/>
    <w:rsid w:val="00300828"/>
    <w:rsid w:val="00302FEA"/>
    <w:rsid w:val="00304C44"/>
    <w:rsid w:val="00305218"/>
    <w:rsid w:val="00306CE9"/>
    <w:rsid w:val="00310C35"/>
    <w:rsid w:val="00311E3C"/>
    <w:rsid w:val="00317507"/>
    <w:rsid w:val="003238D8"/>
    <w:rsid w:val="00324C5C"/>
    <w:rsid w:val="00334714"/>
    <w:rsid w:val="00334CF0"/>
    <w:rsid w:val="00336A0D"/>
    <w:rsid w:val="003374BE"/>
    <w:rsid w:val="00337C1C"/>
    <w:rsid w:val="00337D13"/>
    <w:rsid w:val="00340386"/>
    <w:rsid w:val="00340813"/>
    <w:rsid w:val="00340FED"/>
    <w:rsid w:val="003424C6"/>
    <w:rsid w:val="0034310F"/>
    <w:rsid w:val="00343528"/>
    <w:rsid w:val="003452F9"/>
    <w:rsid w:val="00345BAE"/>
    <w:rsid w:val="00346494"/>
    <w:rsid w:val="0034651A"/>
    <w:rsid w:val="003503C1"/>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2237"/>
    <w:rsid w:val="003B385F"/>
    <w:rsid w:val="003B70E6"/>
    <w:rsid w:val="003C02D3"/>
    <w:rsid w:val="003C0E4F"/>
    <w:rsid w:val="003C24FC"/>
    <w:rsid w:val="003D1766"/>
    <w:rsid w:val="003D2665"/>
    <w:rsid w:val="003D267A"/>
    <w:rsid w:val="003D5162"/>
    <w:rsid w:val="003E417D"/>
    <w:rsid w:val="003E639A"/>
    <w:rsid w:val="003F1C26"/>
    <w:rsid w:val="003F3D3A"/>
    <w:rsid w:val="003F4F21"/>
    <w:rsid w:val="003F6C45"/>
    <w:rsid w:val="003F7C6D"/>
    <w:rsid w:val="00400A56"/>
    <w:rsid w:val="0040286B"/>
    <w:rsid w:val="0040475B"/>
    <w:rsid w:val="00405D99"/>
    <w:rsid w:val="00410B63"/>
    <w:rsid w:val="00410DE7"/>
    <w:rsid w:val="004110A0"/>
    <w:rsid w:val="00411CBD"/>
    <w:rsid w:val="00411D3F"/>
    <w:rsid w:val="004131E5"/>
    <w:rsid w:val="004165E8"/>
    <w:rsid w:val="00416B0A"/>
    <w:rsid w:val="00423510"/>
    <w:rsid w:val="00426FF4"/>
    <w:rsid w:val="00430D15"/>
    <w:rsid w:val="0043612A"/>
    <w:rsid w:val="00443237"/>
    <w:rsid w:val="00443888"/>
    <w:rsid w:val="00444052"/>
    <w:rsid w:val="004601DA"/>
    <w:rsid w:val="00460EF1"/>
    <w:rsid w:val="00461B0B"/>
    <w:rsid w:val="00462F22"/>
    <w:rsid w:val="004635AE"/>
    <w:rsid w:val="00467D62"/>
    <w:rsid w:val="004736DD"/>
    <w:rsid w:val="00474C7C"/>
    <w:rsid w:val="004817B1"/>
    <w:rsid w:val="00483B8B"/>
    <w:rsid w:val="00497538"/>
    <w:rsid w:val="004A230D"/>
    <w:rsid w:val="004A295D"/>
    <w:rsid w:val="004A46C9"/>
    <w:rsid w:val="004A530C"/>
    <w:rsid w:val="004B504C"/>
    <w:rsid w:val="004C0806"/>
    <w:rsid w:val="004C1424"/>
    <w:rsid w:val="004C1748"/>
    <w:rsid w:val="004C1849"/>
    <w:rsid w:val="004C1AD5"/>
    <w:rsid w:val="004C1EBF"/>
    <w:rsid w:val="004C21A4"/>
    <w:rsid w:val="004C4656"/>
    <w:rsid w:val="004C75D8"/>
    <w:rsid w:val="004D3B72"/>
    <w:rsid w:val="004D4A31"/>
    <w:rsid w:val="004D7074"/>
    <w:rsid w:val="004E0713"/>
    <w:rsid w:val="004E2087"/>
    <w:rsid w:val="004E2562"/>
    <w:rsid w:val="004F52E3"/>
    <w:rsid w:val="004F5F6F"/>
    <w:rsid w:val="004F6BFF"/>
    <w:rsid w:val="00507BAA"/>
    <w:rsid w:val="00507D09"/>
    <w:rsid w:val="00507EBC"/>
    <w:rsid w:val="00510870"/>
    <w:rsid w:val="00511ACE"/>
    <w:rsid w:val="00512202"/>
    <w:rsid w:val="00513B35"/>
    <w:rsid w:val="00515234"/>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5144"/>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341A"/>
    <w:rsid w:val="005939DA"/>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48A3"/>
    <w:rsid w:val="005C60F0"/>
    <w:rsid w:val="005C6D80"/>
    <w:rsid w:val="005D227F"/>
    <w:rsid w:val="005D2281"/>
    <w:rsid w:val="005D259A"/>
    <w:rsid w:val="005D6BE7"/>
    <w:rsid w:val="005F1551"/>
    <w:rsid w:val="005F17AF"/>
    <w:rsid w:val="005F3E3E"/>
    <w:rsid w:val="005F4A93"/>
    <w:rsid w:val="005F5DED"/>
    <w:rsid w:val="005F6345"/>
    <w:rsid w:val="005F7B4C"/>
    <w:rsid w:val="0060408E"/>
    <w:rsid w:val="00604197"/>
    <w:rsid w:val="006103E9"/>
    <w:rsid w:val="00613B8C"/>
    <w:rsid w:val="00614B45"/>
    <w:rsid w:val="00614EA4"/>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0994"/>
    <w:rsid w:val="00677E72"/>
    <w:rsid w:val="00680989"/>
    <w:rsid w:val="00680C13"/>
    <w:rsid w:val="006838E6"/>
    <w:rsid w:val="00683FB6"/>
    <w:rsid w:val="00686251"/>
    <w:rsid w:val="00687E17"/>
    <w:rsid w:val="00690FE7"/>
    <w:rsid w:val="00692F0B"/>
    <w:rsid w:val="00693FB2"/>
    <w:rsid w:val="006959BC"/>
    <w:rsid w:val="0069632B"/>
    <w:rsid w:val="006A098F"/>
    <w:rsid w:val="006A1772"/>
    <w:rsid w:val="006A43A8"/>
    <w:rsid w:val="006A6078"/>
    <w:rsid w:val="006B1544"/>
    <w:rsid w:val="006B2E77"/>
    <w:rsid w:val="006B7A36"/>
    <w:rsid w:val="006C11B8"/>
    <w:rsid w:val="006C4738"/>
    <w:rsid w:val="006C63CC"/>
    <w:rsid w:val="006C6C70"/>
    <w:rsid w:val="006D299C"/>
    <w:rsid w:val="006D30A1"/>
    <w:rsid w:val="006D4671"/>
    <w:rsid w:val="006D542B"/>
    <w:rsid w:val="006D7608"/>
    <w:rsid w:val="006E2EEB"/>
    <w:rsid w:val="006E4C65"/>
    <w:rsid w:val="006F0AE7"/>
    <w:rsid w:val="006F3FA8"/>
    <w:rsid w:val="006F71F5"/>
    <w:rsid w:val="007004D6"/>
    <w:rsid w:val="00703A87"/>
    <w:rsid w:val="00704378"/>
    <w:rsid w:val="007057B1"/>
    <w:rsid w:val="00707D7B"/>
    <w:rsid w:val="00712BDD"/>
    <w:rsid w:val="007213E9"/>
    <w:rsid w:val="00722A0F"/>
    <w:rsid w:val="00725F89"/>
    <w:rsid w:val="00733570"/>
    <w:rsid w:val="0073473E"/>
    <w:rsid w:val="00742A91"/>
    <w:rsid w:val="00742D06"/>
    <w:rsid w:val="0074301B"/>
    <w:rsid w:val="00744D07"/>
    <w:rsid w:val="00744DF5"/>
    <w:rsid w:val="007453BB"/>
    <w:rsid w:val="00745C91"/>
    <w:rsid w:val="00746431"/>
    <w:rsid w:val="00746753"/>
    <w:rsid w:val="00757F11"/>
    <w:rsid w:val="0076312F"/>
    <w:rsid w:val="0076348E"/>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B244A"/>
    <w:rsid w:val="007B324E"/>
    <w:rsid w:val="007B3CA9"/>
    <w:rsid w:val="007B51C9"/>
    <w:rsid w:val="007C2182"/>
    <w:rsid w:val="007C389A"/>
    <w:rsid w:val="007C527A"/>
    <w:rsid w:val="007C5F04"/>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24C29"/>
    <w:rsid w:val="00826AE0"/>
    <w:rsid w:val="00841E80"/>
    <w:rsid w:val="00843FDF"/>
    <w:rsid w:val="00845C09"/>
    <w:rsid w:val="00851C71"/>
    <w:rsid w:val="008644DC"/>
    <w:rsid w:val="0086616B"/>
    <w:rsid w:val="008673A4"/>
    <w:rsid w:val="00880D9D"/>
    <w:rsid w:val="00881867"/>
    <w:rsid w:val="00882BE1"/>
    <w:rsid w:val="008926CE"/>
    <w:rsid w:val="00892A63"/>
    <w:rsid w:val="00894C15"/>
    <w:rsid w:val="00895EB5"/>
    <w:rsid w:val="008A0FF6"/>
    <w:rsid w:val="008A3181"/>
    <w:rsid w:val="008B0AA5"/>
    <w:rsid w:val="008B2DE3"/>
    <w:rsid w:val="008B569F"/>
    <w:rsid w:val="008B5AA7"/>
    <w:rsid w:val="008B7894"/>
    <w:rsid w:val="008C02D5"/>
    <w:rsid w:val="008C2203"/>
    <w:rsid w:val="008C495F"/>
    <w:rsid w:val="008D0F0D"/>
    <w:rsid w:val="008D36CA"/>
    <w:rsid w:val="008D37B9"/>
    <w:rsid w:val="008D739A"/>
    <w:rsid w:val="008E012E"/>
    <w:rsid w:val="008E0D35"/>
    <w:rsid w:val="008E241E"/>
    <w:rsid w:val="008E6929"/>
    <w:rsid w:val="008F1E2F"/>
    <w:rsid w:val="008F2BC4"/>
    <w:rsid w:val="008F461D"/>
    <w:rsid w:val="008F51EC"/>
    <w:rsid w:val="008F7A83"/>
    <w:rsid w:val="009036AC"/>
    <w:rsid w:val="00916166"/>
    <w:rsid w:val="00920ED2"/>
    <w:rsid w:val="0092238F"/>
    <w:rsid w:val="00924A47"/>
    <w:rsid w:val="00925049"/>
    <w:rsid w:val="00925D75"/>
    <w:rsid w:val="009278E8"/>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7289"/>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C5011"/>
    <w:rsid w:val="009C77B9"/>
    <w:rsid w:val="009D353B"/>
    <w:rsid w:val="009D372C"/>
    <w:rsid w:val="009D65BB"/>
    <w:rsid w:val="009D670A"/>
    <w:rsid w:val="009E4CB2"/>
    <w:rsid w:val="009E4D1B"/>
    <w:rsid w:val="009E573F"/>
    <w:rsid w:val="009E6660"/>
    <w:rsid w:val="009E7A9D"/>
    <w:rsid w:val="009E7E83"/>
    <w:rsid w:val="009F1D49"/>
    <w:rsid w:val="009F21F6"/>
    <w:rsid w:val="009F46BA"/>
    <w:rsid w:val="009F5F15"/>
    <w:rsid w:val="009F65D5"/>
    <w:rsid w:val="00A02B02"/>
    <w:rsid w:val="00A031D3"/>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423D4"/>
    <w:rsid w:val="00A429B1"/>
    <w:rsid w:val="00A54991"/>
    <w:rsid w:val="00A57C62"/>
    <w:rsid w:val="00A57CF6"/>
    <w:rsid w:val="00A61161"/>
    <w:rsid w:val="00A63B12"/>
    <w:rsid w:val="00A657D4"/>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921F0"/>
    <w:rsid w:val="00A923D1"/>
    <w:rsid w:val="00A94D29"/>
    <w:rsid w:val="00A95AAD"/>
    <w:rsid w:val="00AA3949"/>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0A4A"/>
    <w:rsid w:val="00B0308B"/>
    <w:rsid w:val="00B03774"/>
    <w:rsid w:val="00B0538B"/>
    <w:rsid w:val="00B05BF4"/>
    <w:rsid w:val="00B06908"/>
    <w:rsid w:val="00B115C9"/>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C3108"/>
    <w:rsid w:val="00BC3966"/>
    <w:rsid w:val="00BD1665"/>
    <w:rsid w:val="00BD20E4"/>
    <w:rsid w:val="00BD4701"/>
    <w:rsid w:val="00BD4B7A"/>
    <w:rsid w:val="00BD6139"/>
    <w:rsid w:val="00BF48B3"/>
    <w:rsid w:val="00BF53FD"/>
    <w:rsid w:val="00C05C69"/>
    <w:rsid w:val="00C14930"/>
    <w:rsid w:val="00C158E6"/>
    <w:rsid w:val="00C257C8"/>
    <w:rsid w:val="00C25CBF"/>
    <w:rsid w:val="00C27544"/>
    <w:rsid w:val="00C30903"/>
    <w:rsid w:val="00C32695"/>
    <w:rsid w:val="00C32E7C"/>
    <w:rsid w:val="00C3351A"/>
    <w:rsid w:val="00C412F8"/>
    <w:rsid w:val="00C4421F"/>
    <w:rsid w:val="00C442CE"/>
    <w:rsid w:val="00C449B6"/>
    <w:rsid w:val="00C44BA9"/>
    <w:rsid w:val="00C454E0"/>
    <w:rsid w:val="00C47C6E"/>
    <w:rsid w:val="00C532F6"/>
    <w:rsid w:val="00C54855"/>
    <w:rsid w:val="00C6039D"/>
    <w:rsid w:val="00C62CE1"/>
    <w:rsid w:val="00C6553E"/>
    <w:rsid w:val="00C67E98"/>
    <w:rsid w:val="00C710B6"/>
    <w:rsid w:val="00C730F6"/>
    <w:rsid w:val="00C74088"/>
    <w:rsid w:val="00C75103"/>
    <w:rsid w:val="00C77CF2"/>
    <w:rsid w:val="00C829E4"/>
    <w:rsid w:val="00C83D91"/>
    <w:rsid w:val="00C84B84"/>
    <w:rsid w:val="00C86A27"/>
    <w:rsid w:val="00C86A6C"/>
    <w:rsid w:val="00C87F4F"/>
    <w:rsid w:val="00C92072"/>
    <w:rsid w:val="00C947C7"/>
    <w:rsid w:val="00C94A84"/>
    <w:rsid w:val="00C962BF"/>
    <w:rsid w:val="00CA1ECF"/>
    <w:rsid w:val="00CA491A"/>
    <w:rsid w:val="00CA5E80"/>
    <w:rsid w:val="00CA6020"/>
    <w:rsid w:val="00CA6659"/>
    <w:rsid w:val="00CA6BA9"/>
    <w:rsid w:val="00CB26E3"/>
    <w:rsid w:val="00CB2D52"/>
    <w:rsid w:val="00CB4A82"/>
    <w:rsid w:val="00CB634D"/>
    <w:rsid w:val="00CB70CD"/>
    <w:rsid w:val="00CB7C67"/>
    <w:rsid w:val="00CC0A60"/>
    <w:rsid w:val="00CC1E29"/>
    <w:rsid w:val="00CC317A"/>
    <w:rsid w:val="00CC68D8"/>
    <w:rsid w:val="00CD1A37"/>
    <w:rsid w:val="00CD4103"/>
    <w:rsid w:val="00CD4AB4"/>
    <w:rsid w:val="00CD5801"/>
    <w:rsid w:val="00CD7C5C"/>
    <w:rsid w:val="00CE4121"/>
    <w:rsid w:val="00CE4FFA"/>
    <w:rsid w:val="00CE52EE"/>
    <w:rsid w:val="00CE62CB"/>
    <w:rsid w:val="00CE6545"/>
    <w:rsid w:val="00CE78D7"/>
    <w:rsid w:val="00CF0035"/>
    <w:rsid w:val="00CF16E3"/>
    <w:rsid w:val="00CF37E8"/>
    <w:rsid w:val="00CF5624"/>
    <w:rsid w:val="00CF5FD7"/>
    <w:rsid w:val="00D00067"/>
    <w:rsid w:val="00D01A18"/>
    <w:rsid w:val="00D039BB"/>
    <w:rsid w:val="00D04FB3"/>
    <w:rsid w:val="00D13270"/>
    <w:rsid w:val="00D1472C"/>
    <w:rsid w:val="00D159BC"/>
    <w:rsid w:val="00D1727B"/>
    <w:rsid w:val="00D20FE5"/>
    <w:rsid w:val="00D23750"/>
    <w:rsid w:val="00D31049"/>
    <w:rsid w:val="00D328A7"/>
    <w:rsid w:val="00D32917"/>
    <w:rsid w:val="00D3435F"/>
    <w:rsid w:val="00D348C6"/>
    <w:rsid w:val="00D3521C"/>
    <w:rsid w:val="00D40E0E"/>
    <w:rsid w:val="00D44A47"/>
    <w:rsid w:val="00D45AAC"/>
    <w:rsid w:val="00D46666"/>
    <w:rsid w:val="00D509F9"/>
    <w:rsid w:val="00D51309"/>
    <w:rsid w:val="00D52337"/>
    <w:rsid w:val="00D52427"/>
    <w:rsid w:val="00D549DC"/>
    <w:rsid w:val="00D60E71"/>
    <w:rsid w:val="00D6246C"/>
    <w:rsid w:val="00D64FAA"/>
    <w:rsid w:val="00D6761F"/>
    <w:rsid w:val="00D71125"/>
    <w:rsid w:val="00D73363"/>
    <w:rsid w:val="00D75D5A"/>
    <w:rsid w:val="00D762B2"/>
    <w:rsid w:val="00D768D7"/>
    <w:rsid w:val="00D7758D"/>
    <w:rsid w:val="00D83705"/>
    <w:rsid w:val="00D847E4"/>
    <w:rsid w:val="00D86192"/>
    <w:rsid w:val="00D92A4A"/>
    <w:rsid w:val="00D92A9B"/>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DF7C7D"/>
    <w:rsid w:val="00E04417"/>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3DB8"/>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D450D"/>
    <w:rsid w:val="00EE2E0F"/>
    <w:rsid w:val="00EE3204"/>
    <w:rsid w:val="00EF166E"/>
    <w:rsid w:val="00EF1C73"/>
    <w:rsid w:val="00EF27AC"/>
    <w:rsid w:val="00EF44A5"/>
    <w:rsid w:val="00EF450D"/>
    <w:rsid w:val="00EF599E"/>
    <w:rsid w:val="00EF7881"/>
    <w:rsid w:val="00EF7F38"/>
    <w:rsid w:val="00F03FEB"/>
    <w:rsid w:val="00F042FC"/>
    <w:rsid w:val="00F06F3A"/>
    <w:rsid w:val="00F129DC"/>
    <w:rsid w:val="00F14B56"/>
    <w:rsid w:val="00F14D75"/>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612AB"/>
    <w:rsid w:val="00F72461"/>
    <w:rsid w:val="00F824C6"/>
    <w:rsid w:val="00F837FB"/>
    <w:rsid w:val="00F8660B"/>
    <w:rsid w:val="00F90671"/>
    <w:rsid w:val="00F92EA1"/>
    <w:rsid w:val="00F93827"/>
    <w:rsid w:val="00F94C31"/>
    <w:rsid w:val="00F95AEB"/>
    <w:rsid w:val="00F96B83"/>
    <w:rsid w:val="00F97499"/>
    <w:rsid w:val="00FA36F2"/>
    <w:rsid w:val="00FA451F"/>
    <w:rsid w:val="00FA5C2A"/>
    <w:rsid w:val="00FA68D2"/>
    <w:rsid w:val="00FB5E09"/>
    <w:rsid w:val="00FB6867"/>
    <w:rsid w:val="00FC347E"/>
    <w:rsid w:val="00FC35D4"/>
    <w:rsid w:val="00FC3D26"/>
    <w:rsid w:val="00FC411E"/>
    <w:rsid w:val="00FC4D8B"/>
    <w:rsid w:val="00FC743D"/>
    <w:rsid w:val="00FC7632"/>
    <w:rsid w:val="00FC7C4B"/>
    <w:rsid w:val="00FD256E"/>
    <w:rsid w:val="00FE00CD"/>
    <w:rsid w:val="00FE0BE5"/>
    <w:rsid w:val="00FE1B13"/>
    <w:rsid w:val="00FE2001"/>
    <w:rsid w:val="00FE253C"/>
    <w:rsid w:val="00FE2E11"/>
    <w:rsid w:val="00FE39D0"/>
    <w:rsid w:val="00FE590B"/>
    <w:rsid w:val="00FF24FC"/>
    <w:rsid w:val="00FF2E33"/>
    <w:rsid w:val="00FF3B83"/>
    <w:rsid w:val="00FF3FA4"/>
    <w:rsid w:val="00FF5A7A"/>
    <w:rsid w:val="00FF6601"/>
    <w:rsid w:val="AF7BA1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iPriority="65"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heme="minorHAnsi" w:cstheme="minorBidi"/>
      <w:sz w:val="24"/>
      <w:szCs w:val="22"/>
      <w:lang w:val="en-GB" w:eastAsia="en-US" w:bidi="ar-SA"/>
    </w:rPr>
  </w:style>
  <w:style w:type="paragraph" w:styleId="2">
    <w:name w:val="heading 1"/>
    <w:basedOn w:val="1"/>
    <w:next w:val="1"/>
    <w:link w:val="28"/>
    <w:autoRedefine/>
    <w:qFormat/>
    <w:uiPriority w:val="9"/>
    <w:pPr>
      <w:keepNext/>
      <w:keepLines/>
      <w:spacing w:before="360" w:after="240" w:line="360" w:lineRule="auto"/>
      <w:jc w:val="both"/>
      <w:outlineLvl w:val="0"/>
    </w:pPr>
    <w:rPr>
      <w:rFonts w:ascii="Arial" w:hAnsi="Arial" w:eastAsia="Times New Roman" w:cs="Times New Roman"/>
      <w:b/>
      <w:bCs/>
      <w:color w:val="000000" w:themeColor="text1"/>
      <w:sz w:val="32"/>
      <w:szCs w:val="24"/>
      <w:lang w:eastAsia="ja-JP"/>
      <w14:textFill>
        <w14:solidFill>
          <w14:schemeClr w14:val="tx1"/>
        </w14:solidFill>
      </w14:textFill>
    </w:rPr>
  </w:style>
  <w:style w:type="paragraph" w:styleId="3">
    <w:name w:val="heading 2"/>
    <w:basedOn w:val="1"/>
    <w:next w:val="1"/>
    <w:link w:val="33"/>
    <w:autoRedefine/>
    <w:unhideWhenUsed/>
    <w:qFormat/>
    <w:uiPriority w:val="9"/>
    <w:pPr>
      <w:keepNext/>
      <w:keepLines/>
      <w:spacing w:before="40" w:after="0" w:line="360" w:lineRule="auto"/>
      <w:jc w:val="both"/>
      <w:outlineLvl w:val="1"/>
    </w:pPr>
    <w:rPr>
      <w:rFonts w:ascii="Arial" w:hAnsi="Arial" w:eastAsia="Times New Roman" w:cstheme="majorBidi"/>
      <w:b/>
      <w:color w:val="000000" w:themeColor="text1"/>
      <w:sz w:val="28"/>
      <w:szCs w:val="26"/>
      <w:lang w:eastAsia="ja-JP"/>
      <w14:textFill>
        <w14:solidFill>
          <w14:schemeClr w14:val="tx1"/>
        </w14:solidFill>
      </w14:textFill>
    </w:rPr>
  </w:style>
  <w:style w:type="paragraph" w:styleId="4">
    <w:name w:val="heading 3"/>
    <w:basedOn w:val="1"/>
    <w:next w:val="1"/>
    <w:link w:val="37"/>
    <w:autoRedefine/>
    <w:unhideWhenUsed/>
    <w:qFormat/>
    <w:uiPriority w:val="9"/>
    <w:pPr>
      <w:keepNext/>
      <w:keepLines/>
      <w:spacing w:before="240" w:after="240"/>
      <w:jc w:val="both"/>
      <w:outlineLvl w:val="2"/>
    </w:pPr>
    <w:rPr>
      <w:rFonts w:ascii="Arial" w:hAnsi="Arial" w:eastAsiaTheme="majorEastAsia" w:cstheme="majorBidi"/>
      <w:b/>
      <w:color w:val="254061" w:themeColor="accent1" w:themeShade="80"/>
      <w:szCs w:val="24"/>
    </w:rPr>
  </w:style>
  <w:style w:type="paragraph" w:styleId="5">
    <w:name w:val="heading 4"/>
    <w:basedOn w:val="1"/>
    <w:next w:val="1"/>
    <w:link w:val="39"/>
    <w:unhideWhenUsed/>
    <w:qFormat/>
    <w:uiPriority w:val="9"/>
    <w:pPr>
      <w:keepNext/>
      <w:keepLines/>
      <w:spacing w:before="40" w:after="0"/>
      <w:outlineLvl w:val="3"/>
    </w:pPr>
    <w:rPr>
      <w:rFonts w:ascii="Arial" w:hAnsi="Arial" w:eastAsiaTheme="majorEastAsia" w:cstheme="majorBidi"/>
      <w:b/>
      <w:iCs/>
      <w:color w:val="632523" w:themeColor="accent2" w:themeShade="80"/>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8">
    <w:name w:val="Balloon Text"/>
    <w:basedOn w:val="1"/>
    <w:link w:val="26"/>
    <w:semiHidden/>
    <w:unhideWhenUsed/>
    <w:uiPriority w:val="99"/>
    <w:pPr>
      <w:spacing w:after="0" w:line="240" w:lineRule="auto"/>
    </w:pPr>
    <w:rPr>
      <w:rFonts w:ascii="Tahoma" w:hAnsi="Tahoma" w:cs="Tahoma"/>
      <w:sz w:val="16"/>
      <w:szCs w:val="16"/>
    </w:rPr>
  </w:style>
  <w:style w:type="paragraph" w:styleId="9">
    <w:name w:val="caption"/>
    <w:basedOn w:val="1"/>
    <w:next w:val="1"/>
    <w:unhideWhenUsed/>
    <w:qFormat/>
    <w:uiPriority w:val="35"/>
    <w:pPr>
      <w:spacing w:line="240" w:lineRule="auto"/>
    </w:pPr>
    <w:rPr>
      <w:i/>
      <w:iCs/>
      <w:color w:val="1F497D" w:themeColor="text2"/>
      <w:sz w:val="18"/>
      <w:szCs w:val="18"/>
      <w14:textFill>
        <w14:solidFill>
          <w14:schemeClr w14:val="tx2"/>
        </w14:solidFill>
      </w14:textFill>
    </w:rPr>
  </w:style>
  <w:style w:type="character" w:styleId="10">
    <w:name w:val="annotation reference"/>
    <w:basedOn w:val="6"/>
    <w:semiHidden/>
    <w:unhideWhenUsed/>
    <w:uiPriority w:val="99"/>
    <w:rPr>
      <w:sz w:val="16"/>
      <w:szCs w:val="16"/>
    </w:rPr>
  </w:style>
  <w:style w:type="paragraph" w:styleId="11">
    <w:name w:val="annotation text"/>
    <w:basedOn w:val="1"/>
    <w:link w:val="40"/>
    <w:semiHidden/>
    <w:unhideWhenUsed/>
    <w:uiPriority w:val="99"/>
    <w:pPr>
      <w:spacing w:line="240" w:lineRule="auto"/>
    </w:pPr>
    <w:rPr>
      <w:sz w:val="20"/>
      <w:szCs w:val="20"/>
    </w:rPr>
  </w:style>
  <w:style w:type="paragraph" w:styleId="12">
    <w:name w:val="annotation subject"/>
    <w:basedOn w:val="11"/>
    <w:next w:val="11"/>
    <w:link w:val="41"/>
    <w:semiHidden/>
    <w:unhideWhenUsed/>
    <w:uiPriority w:val="99"/>
    <w:rPr>
      <w:b/>
      <w:bCs/>
    </w:rPr>
  </w:style>
  <w:style w:type="character" w:styleId="13">
    <w:name w:val="FollowedHyperlink"/>
    <w:basedOn w:val="6"/>
    <w:semiHidden/>
    <w:unhideWhenUsed/>
    <w:uiPriority w:val="99"/>
    <w:rPr>
      <w:color w:val="800080" w:themeColor="followedHyperlink"/>
      <w:u w:val="single"/>
      <w14:textFill>
        <w14:solidFill>
          <w14:schemeClr w14:val="folHlink"/>
        </w14:solidFill>
      </w14:textFill>
    </w:rPr>
  </w:style>
  <w:style w:type="paragraph" w:styleId="14">
    <w:name w:val="footer"/>
    <w:basedOn w:val="1"/>
    <w:link w:val="32"/>
    <w:unhideWhenUsed/>
    <w:uiPriority w:val="99"/>
    <w:pPr>
      <w:tabs>
        <w:tab w:val="center" w:pos="4513"/>
        <w:tab w:val="right" w:pos="9026"/>
      </w:tabs>
      <w:spacing w:after="0" w:line="240" w:lineRule="auto"/>
    </w:pPr>
  </w:style>
  <w:style w:type="paragraph" w:styleId="15">
    <w:name w:val="header"/>
    <w:basedOn w:val="1"/>
    <w:link w:val="31"/>
    <w:unhideWhenUsed/>
    <w:uiPriority w:val="99"/>
    <w:pPr>
      <w:tabs>
        <w:tab w:val="center" w:pos="4513"/>
        <w:tab w:val="right" w:pos="9026"/>
      </w:tabs>
      <w:spacing w:after="0" w:line="240" w:lineRule="auto"/>
    </w:pPr>
  </w:style>
  <w:style w:type="character" w:styleId="16">
    <w:name w:val="Hyperlink"/>
    <w:basedOn w:val="6"/>
    <w:unhideWhenUsed/>
    <w:uiPriority w:val="99"/>
    <w:rPr>
      <w:color w:val="0000FF" w:themeColor="hyperlink"/>
      <w:u w:val="single"/>
      <w14:textFill>
        <w14:solidFill>
          <w14:schemeClr w14:val="hlink"/>
        </w14:solidFill>
      </w14:textFill>
    </w:rPr>
  </w:style>
  <w:style w:type="table" w:styleId="17">
    <w:name w:val="Table Grid"/>
    <w:basedOn w:val="7"/>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8">
    <w:name w:val="table of figures"/>
    <w:basedOn w:val="1"/>
    <w:next w:val="1"/>
    <w:unhideWhenUsed/>
    <w:uiPriority w:val="99"/>
    <w:pPr>
      <w:spacing w:after="0"/>
    </w:pPr>
  </w:style>
  <w:style w:type="paragraph" w:styleId="19">
    <w:name w:val="toc 1"/>
    <w:basedOn w:val="1"/>
    <w:next w:val="1"/>
    <w:autoRedefine/>
    <w:unhideWhenUsed/>
    <w:uiPriority w:val="39"/>
    <w:pPr>
      <w:spacing w:after="100"/>
    </w:pPr>
  </w:style>
  <w:style w:type="paragraph" w:styleId="20">
    <w:name w:val="toc 2"/>
    <w:basedOn w:val="1"/>
    <w:next w:val="1"/>
    <w:autoRedefine/>
    <w:unhideWhenUsed/>
    <w:uiPriority w:val="39"/>
    <w:pPr>
      <w:tabs>
        <w:tab w:val="right" w:leader="dot" w:pos="9016"/>
      </w:tabs>
      <w:spacing w:after="100"/>
      <w:ind w:left="220"/>
    </w:pPr>
    <w:rPr>
      <w:rFonts w:ascii="Arial" w:hAnsi="Arial" w:cs="Arial"/>
    </w:rPr>
  </w:style>
  <w:style w:type="paragraph" w:styleId="21">
    <w:name w:val="toc 3"/>
    <w:basedOn w:val="1"/>
    <w:next w:val="1"/>
    <w:autoRedefine/>
    <w:unhideWhenUsed/>
    <w:uiPriority w:val="39"/>
    <w:pPr>
      <w:spacing w:after="100"/>
      <w:ind w:left="440"/>
    </w:pPr>
  </w:style>
  <w:style w:type="paragraph" w:styleId="22">
    <w:name w:val="toc 4"/>
    <w:basedOn w:val="1"/>
    <w:next w:val="1"/>
    <w:autoRedefine/>
    <w:unhideWhenUsed/>
    <w:uiPriority w:val="39"/>
    <w:pPr>
      <w:spacing w:after="100"/>
      <w:ind w:left="660"/>
    </w:pPr>
  </w:style>
  <w:style w:type="table" w:styleId="23">
    <w:name w:val="Medium List 1 Accent 5"/>
    <w:basedOn w:val="7"/>
    <w:semiHidden/>
    <w:unhideWhenUsed/>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24">
    <w:name w:val="Colorful Shading Accent 3"/>
    <w:basedOn w:val="7"/>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paragraph" w:styleId="25">
    <w:name w:val="List Paragraph"/>
    <w:basedOn w:val="1"/>
    <w:qFormat/>
    <w:uiPriority w:val="34"/>
    <w:pPr>
      <w:ind w:left="720"/>
      <w:contextualSpacing/>
    </w:pPr>
  </w:style>
  <w:style w:type="character" w:customStyle="1" w:styleId="26">
    <w:name w:val="Balloon Text Char"/>
    <w:basedOn w:val="6"/>
    <w:link w:val="8"/>
    <w:semiHidden/>
    <w:uiPriority w:val="99"/>
    <w:rPr>
      <w:rFonts w:ascii="Tahoma" w:hAnsi="Tahoma" w:cs="Tahoma"/>
      <w:sz w:val="16"/>
      <w:szCs w:val="16"/>
    </w:rPr>
  </w:style>
  <w:style w:type="paragraph" w:customStyle="1" w:styleId="27">
    <w:name w:val="Bibliography"/>
    <w:basedOn w:val="1"/>
    <w:next w:val="1"/>
    <w:unhideWhenUsed/>
    <w:uiPriority w:val="37"/>
  </w:style>
  <w:style w:type="character" w:customStyle="1" w:styleId="28">
    <w:name w:val="Heading 1 Char"/>
    <w:basedOn w:val="6"/>
    <w:link w:val="2"/>
    <w:uiPriority w:val="9"/>
    <w:rPr>
      <w:rFonts w:ascii="Arial" w:hAnsi="Arial" w:eastAsia="Times New Roman" w:cs="Times New Roman"/>
      <w:b/>
      <w:bCs/>
      <w:color w:val="000000" w:themeColor="text1"/>
      <w:sz w:val="32"/>
      <w:szCs w:val="24"/>
      <w:lang w:eastAsia="ja-JP"/>
      <w14:textFill>
        <w14:solidFill>
          <w14:schemeClr w14:val="tx1"/>
        </w14:solidFill>
      </w14:textFill>
    </w:rPr>
  </w:style>
  <w:style w:type="paragraph" w:styleId="29">
    <w:name w:val="No Spacing"/>
    <w:link w:val="30"/>
    <w:qFormat/>
    <w:uiPriority w:val="1"/>
    <w:pPr>
      <w:spacing w:after="0" w:line="240" w:lineRule="auto"/>
    </w:pPr>
    <w:rPr>
      <w:rFonts w:asciiTheme="minorHAnsi" w:hAnsiTheme="minorHAnsi" w:eastAsiaTheme="minorEastAsia" w:cstheme="minorBidi"/>
      <w:sz w:val="22"/>
      <w:szCs w:val="22"/>
      <w:lang w:val="en-US" w:eastAsia="ja-JP" w:bidi="ar-SA"/>
    </w:rPr>
  </w:style>
  <w:style w:type="character" w:customStyle="1" w:styleId="30">
    <w:name w:val="No Spacing Char"/>
    <w:basedOn w:val="6"/>
    <w:link w:val="29"/>
    <w:uiPriority w:val="1"/>
    <w:rPr>
      <w:rFonts w:eastAsiaTheme="minorEastAsia"/>
      <w:lang w:val="en-US" w:eastAsia="ja-JP"/>
    </w:rPr>
  </w:style>
  <w:style w:type="character" w:customStyle="1" w:styleId="31">
    <w:name w:val="Header Char"/>
    <w:basedOn w:val="6"/>
    <w:link w:val="15"/>
    <w:uiPriority w:val="99"/>
  </w:style>
  <w:style w:type="character" w:customStyle="1" w:styleId="32">
    <w:name w:val="Footer Char"/>
    <w:basedOn w:val="6"/>
    <w:link w:val="14"/>
    <w:uiPriority w:val="99"/>
  </w:style>
  <w:style w:type="character" w:customStyle="1" w:styleId="33">
    <w:name w:val="Heading 2 Char"/>
    <w:basedOn w:val="6"/>
    <w:link w:val="3"/>
    <w:uiPriority w:val="9"/>
    <w:rPr>
      <w:rFonts w:ascii="Arial" w:hAnsi="Arial" w:eastAsia="Times New Roman" w:cstheme="majorBidi"/>
      <w:b/>
      <w:color w:val="000000" w:themeColor="text1"/>
      <w:sz w:val="28"/>
      <w:szCs w:val="26"/>
      <w:lang w:eastAsia="ja-JP"/>
      <w14:textFill>
        <w14:solidFill>
          <w14:schemeClr w14:val="tx1"/>
        </w14:solidFill>
      </w14:textFill>
    </w:rPr>
  </w:style>
  <w:style w:type="paragraph" w:customStyle="1" w:styleId="34">
    <w:name w:val="TOC Heading"/>
    <w:basedOn w:val="2"/>
    <w:next w:val="1"/>
    <w:unhideWhenUsed/>
    <w:qFormat/>
    <w:uiPriority w:val="39"/>
    <w:pPr>
      <w:spacing w:before="240" w:line="259" w:lineRule="auto"/>
      <w:outlineLvl w:val="9"/>
    </w:pPr>
    <w:rPr>
      <w:rFonts w:asciiTheme="majorHAnsi" w:hAnsiTheme="majorHAnsi"/>
      <w:b w:val="0"/>
      <w:bCs w:val="0"/>
      <w:color w:val="376092" w:themeColor="accent1" w:themeShade="BF"/>
      <w:szCs w:val="32"/>
      <w:lang w:eastAsia="en-US"/>
    </w:rPr>
  </w:style>
  <w:style w:type="character" w:customStyle="1" w:styleId="35">
    <w:name w:val="Unresolved Mention"/>
    <w:basedOn w:val="6"/>
    <w:semiHidden/>
    <w:unhideWhenUsed/>
    <w:uiPriority w:val="99"/>
    <w:rPr>
      <w:color w:val="605E5C"/>
      <w:shd w:val="clear" w:color="auto" w:fill="E1DFDD"/>
    </w:rPr>
  </w:style>
  <w:style w:type="character" w:customStyle="1" w:styleId="36">
    <w:name w:val="fontstyle01"/>
    <w:basedOn w:val="6"/>
    <w:uiPriority w:val="0"/>
    <w:rPr>
      <w:rFonts w:hint="default" w:ascii="LinoLetter-Roman" w:hAnsi="LinoLetter-Roman"/>
      <w:color w:val="242021"/>
      <w:sz w:val="20"/>
      <w:szCs w:val="20"/>
    </w:rPr>
  </w:style>
  <w:style w:type="character" w:customStyle="1" w:styleId="37">
    <w:name w:val="Heading 3 Char"/>
    <w:basedOn w:val="6"/>
    <w:link w:val="4"/>
    <w:uiPriority w:val="9"/>
    <w:rPr>
      <w:rFonts w:ascii="Arial" w:hAnsi="Arial" w:eastAsiaTheme="majorEastAsia" w:cstheme="majorBidi"/>
      <w:b/>
      <w:color w:val="254061" w:themeColor="accent1" w:themeShade="80"/>
      <w:sz w:val="24"/>
      <w:szCs w:val="24"/>
    </w:rPr>
  </w:style>
  <w:style w:type="table" w:customStyle="1" w:styleId="38">
    <w:name w:val="Medium List 1 - Accent 51"/>
    <w:basedOn w:val="7"/>
    <w:uiPriority w:val="65"/>
    <w:pPr>
      <w:spacing w:after="0" w:line="240" w:lineRule="auto"/>
      <w:jc w:val="both"/>
    </w:pPr>
    <w:rPr>
      <w:rFonts w:ascii="Times New Roman" w:hAnsi="Times New Roman" w:eastAsia="Times New Roman" w:cs="Times New Roman"/>
      <w:color w:val="000000"/>
      <w:sz w:val="24"/>
      <w:szCs w:val="24"/>
    </w:rPr>
    <w:tblPr>
      <w:tblBorders>
        <w:top w:val="single" w:color="4BACC6" w:sz="8" w:space="0"/>
        <w:bottom w:val="single" w:color="4BACC6" w:sz="8" w:space="0"/>
      </w:tblBorders>
      <w:tblCellMar>
        <w:top w:w="0" w:type="dxa"/>
        <w:left w:w="108" w:type="dxa"/>
        <w:bottom w:w="0" w:type="dxa"/>
        <w:right w:w="108" w:type="dxa"/>
      </w:tblCellMar>
    </w:tblPr>
    <w:tblStylePr w:type="firstRow">
      <w:rPr>
        <w:rFonts w:ascii="Cambria" w:hAnsi="Cambria" w:eastAsia="Times New Roman" w:cs="Times New Roman"/>
      </w:rPr>
      <w:tcPr>
        <w:tcBorders>
          <w:top w:val="nil"/>
          <w:bottom w:val="single" w:color="4BACC6" w:sz="8" w:space="0"/>
        </w:tcBorders>
      </w:tcPr>
    </w:tblStylePr>
    <w:tblStylePr w:type="lastRow">
      <w:rPr>
        <w:b/>
        <w:bCs/>
        <w:color w:val="1F497D"/>
      </w:rPr>
      <w:tcPr>
        <w:tcBorders>
          <w:top w:val="single" w:color="4BACC6" w:sz="8" w:space="0"/>
          <w:bottom w:val="single" w:color="4BACC6" w:sz="8" w:space="0"/>
        </w:tcBorders>
      </w:tcPr>
    </w:tblStylePr>
    <w:tblStylePr w:type="firstCol">
      <w:rPr>
        <w:b/>
        <w:bCs/>
      </w:rPr>
    </w:tblStylePr>
    <w:tblStylePr w:type="lastCol">
      <w:rPr>
        <w:b/>
        <w:bCs/>
      </w:rPr>
      <w:tcPr>
        <w:tcBorders>
          <w:top w:val="single" w:color="4BACC6" w:sz="8" w:space="0"/>
          <w:bottom w:val="single" w:color="4BACC6" w:sz="8" w:space="0"/>
        </w:tcBorders>
      </w:tcPr>
    </w:tblStylePr>
    <w:tblStylePr w:type="band1Vert">
      <w:tcPr>
        <w:shd w:val="clear" w:color="auto" w:fill="D2EAF1"/>
      </w:tcPr>
    </w:tblStylePr>
    <w:tblStylePr w:type="band1Horz">
      <w:tcPr>
        <w:shd w:val="clear" w:color="auto" w:fill="D2EAF1"/>
      </w:tcPr>
    </w:tblStylePr>
  </w:style>
  <w:style w:type="character" w:customStyle="1" w:styleId="39">
    <w:name w:val="Heading 4 Char"/>
    <w:basedOn w:val="6"/>
    <w:link w:val="5"/>
    <w:uiPriority w:val="9"/>
    <w:rPr>
      <w:rFonts w:ascii="Arial" w:hAnsi="Arial" w:eastAsiaTheme="majorEastAsia" w:cstheme="majorBidi"/>
      <w:b/>
      <w:iCs/>
      <w:color w:val="632523" w:themeColor="accent2" w:themeShade="80"/>
    </w:rPr>
  </w:style>
  <w:style w:type="character" w:customStyle="1" w:styleId="40">
    <w:name w:val="Comment Text Char"/>
    <w:basedOn w:val="6"/>
    <w:link w:val="11"/>
    <w:semiHidden/>
    <w:uiPriority w:val="99"/>
    <w:rPr>
      <w:rFonts w:ascii="Times New Roman" w:hAnsi="Times New Roman"/>
      <w:sz w:val="20"/>
      <w:szCs w:val="20"/>
    </w:rPr>
  </w:style>
  <w:style w:type="character" w:customStyle="1" w:styleId="41">
    <w:name w:val="Comment Subject Char"/>
    <w:basedOn w:val="40"/>
    <w:link w:val="12"/>
    <w:semiHidden/>
    <w:uiPriority w:val="99"/>
    <w:rPr>
      <w:rFonts w:ascii="Times New Roman" w:hAnsi="Times New Roman"/>
      <w:b/>
      <w:bCs/>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customXml" Target="../customXml/item1.xml"/><Relationship Id="rId22" Type="http://schemas.openxmlformats.org/officeDocument/2006/relationships/numbering" Target="numbering.xml"/><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http://schemas.openxmlformats.org/officeDocument/2006/bibliography" xmlns:b="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2.xml><?xml version="1.0" encoding="utf-8"?>
<CoverPageProperties xmlns="http://schemas.microsoft.com/office/2006/coverPageProps">
  <PublishDate>2019/2020</PublishDate>
  <Abstract>Lecturer: Hossein Shokri</Abstract>
  <CompanyAddress/>
  <CompanyPhone/>
  <CompanyFax/>
  <CompanyEmail/>
</CoverPageProperties>
</file>

<file path=customXml/itemProps1.xml><?xml version="1.0" encoding="utf-8"?>
<ds:datastoreItem xmlns:ds="http://schemas.openxmlformats.org/officeDocument/2006/customXml" ds:itemID="{3235371F-81B4-4368-832F-D6888BCF729C}">
  <ds:schemaRefs/>
</ds:datastoreItem>
</file>

<file path=customXml/itemProps2.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Pages>31</Pages>
  <Words>7440</Words>
  <Characters>42414</Characters>
  <Lines>353</Lines>
  <Paragraphs>99</Paragraphs>
  <TotalTime>16</TotalTime>
  <ScaleCrop>false</ScaleCrop>
  <LinksUpToDate>false</LinksUpToDate>
  <CharactersWithSpaces>49755</CharactersWithSpaces>
  <Application>WPS Office_12.1.23155.23155_F1E327BC-269C-435d-A152-05C5408002CA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2026-04-27T17:44:00Z</dcterms:created>
  <dc:creator>Data</dc:creator>
  <cp:lastModifiedBy>WPS_1773887296</cp:lastModifiedBy>
  <cp:lastPrinted>2020-05-15T22:08:00Z</cp:lastPrinted>
  <dcterms:modified xsi:type="dcterms:W3CDTF">2026-04-30T00:38:39Z</dcterms:modified>
  <dc:subject>Marketing Management Report</dc:subject>
  <dc:title>Marketing Management LCMB 7001</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1033-12.1.23155.23155</vt:lpwstr>
  </property>
  <property fmtid="{D5CDD505-2E9C-101B-9397-08002B2CF9AE}" pid="3" name="ICV">
    <vt:lpwstr>7C56AA4CC291EF7E7F96F26903FBC54A_42</vt:lpwstr>
  </property>
</Properties>
</file>