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51521" w14:textId="77777777" w:rsidR="00F33939" w:rsidRDefault="00F33939" w:rsidP="00F33939">
      <w:pPr>
        <w:jc w:val="center"/>
        <w:rPr>
          <w:rFonts w:eastAsia="Times New Roman" w:cs="Times New Roman"/>
          <w:b/>
          <w:sz w:val="44"/>
          <w:szCs w:val="44"/>
        </w:rPr>
      </w:pPr>
    </w:p>
    <w:p w14:paraId="2C7FD91A" w14:textId="77777777" w:rsidR="00F33939" w:rsidRDefault="00F33939" w:rsidP="00F33939">
      <w:pPr>
        <w:jc w:val="center"/>
        <w:rPr>
          <w:rFonts w:eastAsia="Times New Roman" w:cs="Times New Roman"/>
          <w:b/>
          <w:sz w:val="44"/>
          <w:szCs w:val="44"/>
        </w:rPr>
      </w:pPr>
    </w:p>
    <w:p w14:paraId="26F827E0" w14:textId="77777777" w:rsidR="00F33939" w:rsidRDefault="00F33939" w:rsidP="00F33939">
      <w:pPr>
        <w:jc w:val="center"/>
        <w:rPr>
          <w:rFonts w:eastAsia="Times New Roman" w:cs="Times New Roman"/>
          <w:b/>
          <w:sz w:val="44"/>
          <w:szCs w:val="44"/>
        </w:rPr>
      </w:pPr>
    </w:p>
    <w:p w14:paraId="41EC1664" w14:textId="77777777" w:rsidR="00F33939" w:rsidRDefault="00F33939" w:rsidP="00F33939">
      <w:pPr>
        <w:jc w:val="center"/>
        <w:rPr>
          <w:rFonts w:eastAsia="Times New Roman" w:cs="Times New Roman"/>
          <w:b/>
          <w:sz w:val="44"/>
          <w:szCs w:val="44"/>
        </w:rPr>
      </w:pPr>
    </w:p>
    <w:p w14:paraId="0D8F72CE" w14:textId="77777777" w:rsidR="00F33939" w:rsidRDefault="00F33939" w:rsidP="00F33939">
      <w:pPr>
        <w:jc w:val="center"/>
        <w:rPr>
          <w:rFonts w:eastAsia="Times New Roman" w:cs="Times New Roman"/>
          <w:b/>
          <w:sz w:val="44"/>
          <w:szCs w:val="44"/>
        </w:rPr>
      </w:pPr>
    </w:p>
    <w:p w14:paraId="7A076B7F" w14:textId="1923CD80" w:rsidR="00595CD3" w:rsidRPr="00F33939" w:rsidRDefault="00F33939" w:rsidP="00F33939">
      <w:pPr>
        <w:jc w:val="center"/>
        <w:rPr>
          <w:rFonts w:eastAsia="Times New Roman" w:cs="Times New Roman"/>
          <w:b/>
          <w:sz w:val="44"/>
          <w:szCs w:val="44"/>
        </w:rPr>
      </w:pPr>
      <w:r w:rsidRPr="00F33939">
        <w:rPr>
          <w:rFonts w:eastAsia="Times New Roman" w:cs="Times New Roman"/>
          <w:b/>
          <w:sz w:val="44"/>
          <w:szCs w:val="44"/>
        </w:rPr>
        <w:t>Financial Management for the Hotel Industry</w:t>
      </w:r>
    </w:p>
    <w:p w14:paraId="74500851" w14:textId="5C9B13A1" w:rsidR="00F33939" w:rsidRPr="00F33939" w:rsidRDefault="00F33939" w:rsidP="00F33939">
      <w:pPr>
        <w:jc w:val="center"/>
        <w:rPr>
          <w:rFonts w:eastAsia="Times New Roman" w:cs="Times New Roman"/>
          <w:b/>
          <w:sz w:val="44"/>
          <w:szCs w:val="44"/>
        </w:rPr>
      </w:pPr>
      <w:r w:rsidRPr="00F33939">
        <w:rPr>
          <w:rFonts w:eastAsia="Times New Roman" w:cs="Times New Roman"/>
          <w:b/>
          <w:sz w:val="44"/>
          <w:szCs w:val="44"/>
        </w:rPr>
        <w:t>Student ID:</w:t>
      </w:r>
      <w:r w:rsidR="00160EE1" w:rsidRPr="00160EE1">
        <w:rPr>
          <w:b/>
          <w:color w:val="000000" w:themeColor="text1"/>
          <w:sz w:val="32"/>
          <w:szCs w:val="32"/>
        </w:rPr>
        <w:t xml:space="preserve"> </w:t>
      </w:r>
      <w:r w:rsidR="00160EE1">
        <w:rPr>
          <w:b/>
          <w:color w:val="000000" w:themeColor="text1"/>
          <w:sz w:val="32"/>
          <w:szCs w:val="32"/>
        </w:rPr>
        <w:t>2208277</w:t>
      </w:r>
    </w:p>
    <w:p w14:paraId="7DA6E38E" w14:textId="4A28705D" w:rsidR="00F33939" w:rsidRDefault="00F33939" w:rsidP="00F33939">
      <w:pPr>
        <w:jc w:val="center"/>
        <w:rPr>
          <w:rFonts w:cs="Times New Roman"/>
          <w:color w:val="1F1F1F"/>
          <w:sz w:val="44"/>
          <w:szCs w:val="44"/>
          <w:shd w:val="clear" w:color="auto" w:fill="FFFFFF"/>
        </w:rPr>
      </w:pPr>
      <w:r w:rsidRPr="00F33939">
        <w:rPr>
          <w:rFonts w:eastAsia="Times New Roman" w:cs="Times New Roman"/>
          <w:b/>
          <w:sz w:val="44"/>
          <w:szCs w:val="44"/>
        </w:rPr>
        <w:t>Student Name:</w:t>
      </w:r>
      <w:r w:rsidR="00271A7C" w:rsidRPr="00271A7C">
        <w:rPr>
          <w:rFonts w:ascii="Roboto" w:hAnsi="Roboto"/>
          <w:color w:val="1F1F1F"/>
          <w:sz w:val="33"/>
          <w:szCs w:val="33"/>
          <w:shd w:val="clear" w:color="auto" w:fill="FFFFFF"/>
        </w:rPr>
        <w:t xml:space="preserve"> </w:t>
      </w:r>
      <w:r w:rsidR="00271A7C" w:rsidRPr="00271A7C">
        <w:rPr>
          <w:rFonts w:cs="Times New Roman"/>
          <w:color w:val="1F1F1F"/>
          <w:sz w:val="44"/>
          <w:szCs w:val="44"/>
          <w:shd w:val="clear" w:color="auto" w:fill="FFFFFF"/>
        </w:rPr>
        <w:t>Andreea Mangarea</w:t>
      </w:r>
    </w:p>
    <w:p w14:paraId="07D74D46" w14:textId="03F9B2A9" w:rsidR="002536A3" w:rsidRPr="00F33939" w:rsidRDefault="002536A3" w:rsidP="00F33939">
      <w:pPr>
        <w:jc w:val="center"/>
        <w:rPr>
          <w:rFonts w:eastAsia="Times New Roman" w:cs="Times New Roman"/>
          <w:b/>
          <w:sz w:val="44"/>
          <w:szCs w:val="44"/>
        </w:rPr>
      </w:pPr>
      <w:r>
        <w:rPr>
          <w:rFonts w:cs="Times New Roman"/>
          <w:color w:val="1F1F1F"/>
          <w:sz w:val="44"/>
          <w:szCs w:val="44"/>
          <w:shd w:val="clear" w:color="auto" w:fill="FFFFFF"/>
        </w:rPr>
        <w:t>Word counted : 2000</w:t>
      </w:r>
    </w:p>
    <w:p w14:paraId="30E859A8" w14:textId="77777777" w:rsidR="00F33939" w:rsidRDefault="00F33939">
      <w:pPr>
        <w:spacing w:line="276" w:lineRule="auto"/>
        <w:jc w:val="left"/>
        <w:rPr>
          <w:b/>
          <w:bCs/>
        </w:rPr>
      </w:pPr>
      <w:r>
        <w:rPr>
          <w:b/>
          <w:bCs/>
        </w:rPr>
        <w:br w:type="page"/>
      </w:r>
    </w:p>
    <w:p w14:paraId="09B3DCA1" w14:textId="0D37CE0C" w:rsidR="00D86249" w:rsidRPr="00595CD3" w:rsidRDefault="00000000" w:rsidP="00595CD3">
      <w:pPr>
        <w:jc w:val="center"/>
        <w:rPr>
          <w:b/>
          <w:bCs/>
        </w:rPr>
      </w:pPr>
      <w:r w:rsidRPr="00595CD3">
        <w:rPr>
          <w:b/>
          <w:bCs/>
        </w:rPr>
        <w:lastRenderedPageBreak/>
        <w:t>Executive summary</w:t>
      </w:r>
    </w:p>
    <w:p w14:paraId="797444D0" w14:textId="28A15FA0" w:rsidR="00D86249" w:rsidRDefault="00245FC5" w:rsidP="00595CD3">
      <w:r>
        <w:t>The</w:t>
      </w:r>
      <w:r w:rsidR="00104DB3">
        <w:t xml:space="preserve"> examination of The Seacrest Lodge's financial performance over the previous three years </w:t>
      </w:r>
      <w:r>
        <w:t>has been</w:t>
      </w:r>
      <w:r w:rsidR="00104DB3">
        <w:t xml:space="preserve"> provided in the report. The study has addressed the factors that contributed to the company's declining profitability and performance, which in turn caused a drop in revenue and an increase in expenses. The turnaround strategy</w:t>
      </w:r>
      <w:r>
        <w:t xml:space="preserve"> in the form of</w:t>
      </w:r>
      <w:r w:rsidR="00104DB3">
        <w:t xml:space="preserve"> recommendations that can help the company improve its performance have also been included in the report.</w:t>
      </w:r>
    </w:p>
    <w:p w14:paraId="68293255" w14:textId="77777777" w:rsidR="007702EF" w:rsidRPr="007702EF" w:rsidRDefault="00000000" w:rsidP="007702EF">
      <w:pPr>
        <w:rPr>
          <w:rFonts w:eastAsia="Times New Roman" w:cs="Times New Roman"/>
          <w:b/>
          <w:sz w:val="28"/>
          <w:szCs w:val="28"/>
        </w:rPr>
      </w:pPr>
      <w:r>
        <w:br w:type="page"/>
      </w:r>
    </w:p>
    <w:sdt>
      <w:sdtPr>
        <w:rPr>
          <w:rFonts w:ascii="Times New Roman" w:eastAsia="Arial" w:hAnsi="Times New Roman" w:cs="Arial"/>
          <w:color w:val="auto"/>
          <w:sz w:val="24"/>
          <w:szCs w:val="22"/>
          <w:lang w:val="en-GB"/>
        </w:rPr>
        <w:id w:val="1419292773"/>
        <w:docPartObj>
          <w:docPartGallery w:val="Table of Contents"/>
          <w:docPartUnique/>
        </w:docPartObj>
      </w:sdtPr>
      <w:sdtEndPr>
        <w:rPr>
          <w:b/>
          <w:bCs/>
          <w:noProof/>
        </w:rPr>
      </w:sdtEndPr>
      <w:sdtContent>
        <w:p w14:paraId="0F7CDC85" w14:textId="20A70DD8" w:rsidR="007702EF" w:rsidRDefault="007702EF">
          <w:pPr>
            <w:pStyle w:val="TOCHeading"/>
          </w:pPr>
          <w:r>
            <w:t>Table of Contents</w:t>
          </w:r>
        </w:p>
        <w:p w14:paraId="4168B852" w14:textId="2F68DA1C" w:rsidR="007702EF" w:rsidRDefault="007702EF">
          <w:pPr>
            <w:pStyle w:val="TOC1"/>
            <w:tabs>
              <w:tab w:val="right" w:leader="dot" w:pos="9019"/>
            </w:tabs>
            <w:rPr>
              <w:noProof/>
            </w:rPr>
          </w:pPr>
          <w:r>
            <w:fldChar w:fldCharType="begin"/>
          </w:r>
          <w:r>
            <w:instrText xml:space="preserve"> TOC \o "1-3" \h \z \u </w:instrText>
          </w:r>
          <w:r>
            <w:fldChar w:fldCharType="separate"/>
          </w:r>
          <w:hyperlink w:anchor="_Toc159005382" w:history="1">
            <w:r w:rsidRPr="00A32A41">
              <w:rPr>
                <w:rStyle w:val="Hyperlink"/>
                <w:noProof/>
              </w:rPr>
              <w:t>Introduction</w:t>
            </w:r>
            <w:r>
              <w:rPr>
                <w:noProof/>
                <w:webHidden/>
              </w:rPr>
              <w:tab/>
            </w:r>
            <w:r>
              <w:rPr>
                <w:noProof/>
                <w:webHidden/>
              </w:rPr>
              <w:fldChar w:fldCharType="begin"/>
            </w:r>
            <w:r>
              <w:rPr>
                <w:noProof/>
                <w:webHidden/>
              </w:rPr>
              <w:instrText xml:space="preserve"> PAGEREF _Toc159005382 \h </w:instrText>
            </w:r>
            <w:r>
              <w:rPr>
                <w:noProof/>
                <w:webHidden/>
              </w:rPr>
            </w:r>
            <w:r>
              <w:rPr>
                <w:noProof/>
                <w:webHidden/>
              </w:rPr>
              <w:fldChar w:fldCharType="separate"/>
            </w:r>
            <w:r>
              <w:rPr>
                <w:noProof/>
                <w:webHidden/>
              </w:rPr>
              <w:t>4</w:t>
            </w:r>
            <w:r>
              <w:rPr>
                <w:noProof/>
                <w:webHidden/>
              </w:rPr>
              <w:fldChar w:fldCharType="end"/>
            </w:r>
          </w:hyperlink>
        </w:p>
        <w:p w14:paraId="697403CB" w14:textId="32E0AC1A" w:rsidR="007702EF" w:rsidRDefault="00000000">
          <w:pPr>
            <w:pStyle w:val="TOC1"/>
            <w:tabs>
              <w:tab w:val="right" w:leader="dot" w:pos="9019"/>
            </w:tabs>
            <w:rPr>
              <w:noProof/>
            </w:rPr>
          </w:pPr>
          <w:hyperlink w:anchor="_Toc159005383" w:history="1">
            <w:r w:rsidR="007702EF" w:rsidRPr="00A32A41">
              <w:rPr>
                <w:rStyle w:val="Hyperlink"/>
                <w:noProof/>
              </w:rPr>
              <w:t>Elaborating on the financial performance of The Seacrest Lodge for three years</w:t>
            </w:r>
            <w:r w:rsidR="007702EF">
              <w:rPr>
                <w:noProof/>
                <w:webHidden/>
              </w:rPr>
              <w:tab/>
            </w:r>
            <w:r w:rsidR="007702EF">
              <w:rPr>
                <w:noProof/>
                <w:webHidden/>
              </w:rPr>
              <w:fldChar w:fldCharType="begin"/>
            </w:r>
            <w:r w:rsidR="007702EF">
              <w:rPr>
                <w:noProof/>
                <w:webHidden/>
              </w:rPr>
              <w:instrText xml:space="preserve"> PAGEREF _Toc159005383 \h </w:instrText>
            </w:r>
            <w:r w:rsidR="007702EF">
              <w:rPr>
                <w:noProof/>
                <w:webHidden/>
              </w:rPr>
            </w:r>
            <w:r w:rsidR="007702EF">
              <w:rPr>
                <w:noProof/>
                <w:webHidden/>
              </w:rPr>
              <w:fldChar w:fldCharType="separate"/>
            </w:r>
            <w:r w:rsidR="007702EF">
              <w:rPr>
                <w:noProof/>
                <w:webHidden/>
              </w:rPr>
              <w:t>5</w:t>
            </w:r>
            <w:r w:rsidR="007702EF">
              <w:rPr>
                <w:noProof/>
                <w:webHidden/>
              </w:rPr>
              <w:fldChar w:fldCharType="end"/>
            </w:r>
          </w:hyperlink>
        </w:p>
        <w:p w14:paraId="22C27311" w14:textId="159AC099" w:rsidR="007702EF" w:rsidRDefault="00000000">
          <w:pPr>
            <w:pStyle w:val="TOC1"/>
            <w:tabs>
              <w:tab w:val="right" w:leader="dot" w:pos="9019"/>
            </w:tabs>
            <w:rPr>
              <w:noProof/>
            </w:rPr>
          </w:pPr>
          <w:hyperlink w:anchor="_Toc159005384" w:history="1">
            <w:r w:rsidR="007702EF" w:rsidRPr="00A32A41">
              <w:rPr>
                <w:rStyle w:val="Hyperlink"/>
                <w:noProof/>
              </w:rPr>
              <w:t>Explaining the reasons for the decline in the profitability of The Seacrest Lodge</w:t>
            </w:r>
            <w:r w:rsidR="007702EF">
              <w:rPr>
                <w:noProof/>
                <w:webHidden/>
              </w:rPr>
              <w:tab/>
            </w:r>
            <w:r w:rsidR="007702EF">
              <w:rPr>
                <w:noProof/>
                <w:webHidden/>
              </w:rPr>
              <w:fldChar w:fldCharType="begin"/>
            </w:r>
            <w:r w:rsidR="007702EF">
              <w:rPr>
                <w:noProof/>
                <w:webHidden/>
              </w:rPr>
              <w:instrText xml:space="preserve"> PAGEREF _Toc159005384 \h </w:instrText>
            </w:r>
            <w:r w:rsidR="007702EF">
              <w:rPr>
                <w:noProof/>
                <w:webHidden/>
              </w:rPr>
            </w:r>
            <w:r w:rsidR="007702EF">
              <w:rPr>
                <w:noProof/>
                <w:webHidden/>
              </w:rPr>
              <w:fldChar w:fldCharType="separate"/>
            </w:r>
            <w:r w:rsidR="007702EF">
              <w:rPr>
                <w:noProof/>
                <w:webHidden/>
              </w:rPr>
              <w:t>7</w:t>
            </w:r>
            <w:r w:rsidR="007702EF">
              <w:rPr>
                <w:noProof/>
                <w:webHidden/>
              </w:rPr>
              <w:fldChar w:fldCharType="end"/>
            </w:r>
          </w:hyperlink>
        </w:p>
        <w:p w14:paraId="18C5115E" w14:textId="4EBEFB25" w:rsidR="007702EF" w:rsidRDefault="00000000">
          <w:pPr>
            <w:pStyle w:val="TOC1"/>
            <w:tabs>
              <w:tab w:val="right" w:leader="dot" w:pos="9019"/>
            </w:tabs>
            <w:rPr>
              <w:noProof/>
            </w:rPr>
          </w:pPr>
          <w:hyperlink w:anchor="_Toc159005385" w:history="1">
            <w:r w:rsidR="007702EF" w:rsidRPr="00A32A41">
              <w:rPr>
                <w:rStyle w:val="Hyperlink"/>
                <w:noProof/>
              </w:rPr>
              <w:t>Ways to improve the profitability and performance of The Seacrest Lodge</w:t>
            </w:r>
            <w:r w:rsidR="007702EF">
              <w:rPr>
                <w:noProof/>
                <w:webHidden/>
              </w:rPr>
              <w:tab/>
            </w:r>
            <w:r w:rsidR="007702EF">
              <w:rPr>
                <w:noProof/>
                <w:webHidden/>
              </w:rPr>
              <w:fldChar w:fldCharType="begin"/>
            </w:r>
            <w:r w:rsidR="007702EF">
              <w:rPr>
                <w:noProof/>
                <w:webHidden/>
              </w:rPr>
              <w:instrText xml:space="preserve"> PAGEREF _Toc159005385 \h </w:instrText>
            </w:r>
            <w:r w:rsidR="007702EF">
              <w:rPr>
                <w:noProof/>
                <w:webHidden/>
              </w:rPr>
            </w:r>
            <w:r w:rsidR="007702EF">
              <w:rPr>
                <w:noProof/>
                <w:webHidden/>
              </w:rPr>
              <w:fldChar w:fldCharType="separate"/>
            </w:r>
            <w:r w:rsidR="007702EF">
              <w:rPr>
                <w:noProof/>
                <w:webHidden/>
              </w:rPr>
              <w:t>9</w:t>
            </w:r>
            <w:r w:rsidR="007702EF">
              <w:rPr>
                <w:noProof/>
                <w:webHidden/>
              </w:rPr>
              <w:fldChar w:fldCharType="end"/>
            </w:r>
          </w:hyperlink>
        </w:p>
        <w:p w14:paraId="5B3813D8" w14:textId="4378044C" w:rsidR="007702EF" w:rsidRDefault="00000000">
          <w:pPr>
            <w:pStyle w:val="TOC1"/>
            <w:tabs>
              <w:tab w:val="right" w:leader="dot" w:pos="9019"/>
            </w:tabs>
            <w:rPr>
              <w:noProof/>
            </w:rPr>
          </w:pPr>
          <w:hyperlink w:anchor="_Toc159005386" w:history="1">
            <w:r w:rsidR="007702EF" w:rsidRPr="00A32A41">
              <w:rPr>
                <w:rStyle w:val="Hyperlink"/>
                <w:noProof/>
              </w:rPr>
              <w:t>Recommendations</w:t>
            </w:r>
            <w:r w:rsidR="007702EF">
              <w:rPr>
                <w:noProof/>
                <w:webHidden/>
              </w:rPr>
              <w:tab/>
            </w:r>
            <w:r w:rsidR="007702EF">
              <w:rPr>
                <w:noProof/>
                <w:webHidden/>
              </w:rPr>
              <w:fldChar w:fldCharType="begin"/>
            </w:r>
            <w:r w:rsidR="007702EF">
              <w:rPr>
                <w:noProof/>
                <w:webHidden/>
              </w:rPr>
              <w:instrText xml:space="preserve"> PAGEREF _Toc159005386 \h </w:instrText>
            </w:r>
            <w:r w:rsidR="007702EF">
              <w:rPr>
                <w:noProof/>
                <w:webHidden/>
              </w:rPr>
            </w:r>
            <w:r w:rsidR="007702EF">
              <w:rPr>
                <w:noProof/>
                <w:webHidden/>
              </w:rPr>
              <w:fldChar w:fldCharType="separate"/>
            </w:r>
            <w:r w:rsidR="007702EF">
              <w:rPr>
                <w:noProof/>
                <w:webHidden/>
              </w:rPr>
              <w:t>11</w:t>
            </w:r>
            <w:r w:rsidR="007702EF">
              <w:rPr>
                <w:noProof/>
                <w:webHidden/>
              </w:rPr>
              <w:fldChar w:fldCharType="end"/>
            </w:r>
          </w:hyperlink>
        </w:p>
        <w:p w14:paraId="115E375D" w14:textId="34421895" w:rsidR="007702EF" w:rsidRDefault="00000000">
          <w:pPr>
            <w:pStyle w:val="TOC1"/>
            <w:tabs>
              <w:tab w:val="right" w:leader="dot" w:pos="9019"/>
            </w:tabs>
            <w:rPr>
              <w:noProof/>
            </w:rPr>
          </w:pPr>
          <w:hyperlink w:anchor="_Toc159005387" w:history="1">
            <w:r w:rsidR="007702EF" w:rsidRPr="00A32A41">
              <w:rPr>
                <w:rStyle w:val="Hyperlink"/>
                <w:noProof/>
              </w:rPr>
              <w:t>Conclusion</w:t>
            </w:r>
            <w:r w:rsidR="007702EF">
              <w:rPr>
                <w:noProof/>
                <w:webHidden/>
              </w:rPr>
              <w:tab/>
            </w:r>
            <w:r w:rsidR="007702EF">
              <w:rPr>
                <w:noProof/>
                <w:webHidden/>
              </w:rPr>
              <w:fldChar w:fldCharType="begin"/>
            </w:r>
            <w:r w:rsidR="007702EF">
              <w:rPr>
                <w:noProof/>
                <w:webHidden/>
              </w:rPr>
              <w:instrText xml:space="preserve"> PAGEREF _Toc159005387 \h </w:instrText>
            </w:r>
            <w:r w:rsidR="007702EF">
              <w:rPr>
                <w:noProof/>
                <w:webHidden/>
              </w:rPr>
            </w:r>
            <w:r w:rsidR="007702EF">
              <w:rPr>
                <w:noProof/>
                <w:webHidden/>
              </w:rPr>
              <w:fldChar w:fldCharType="separate"/>
            </w:r>
            <w:r w:rsidR="007702EF">
              <w:rPr>
                <w:noProof/>
                <w:webHidden/>
              </w:rPr>
              <w:t>13</w:t>
            </w:r>
            <w:r w:rsidR="007702EF">
              <w:rPr>
                <w:noProof/>
                <w:webHidden/>
              </w:rPr>
              <w:fldChar w:fldCharType="end"/>
            </w:r>
          </w:hyperlink>
        </w:p>
        <w:p w14:paraId="667EA1DB" w14:textId="78F81E90" w:rsidR="007702EF" w:rsidRDefault="00000000">
          <w:pPr>
            <w:pStyle w:val="TOC1"/>
            <w:tabs>
              <w:tab w:val="right" w:leader="dot" w:pos="9019"/>
            </w:tabs>
            <w:rPr>
              <w:noProof/>
            </w:rPr>
          </w:pPr>
          <w:hyperlink w:anchor="_Toc159005388" w:history="1">
            <w:r w:rsidR="007702EF" w:rsidRPr="00A32A41">
              <w:rPr>
                <w:rStyle w:val="Hyperlink"/>
                <w:noProof/>
              </w:rPr>
              <w:t>References</w:t>
            </w:r>
            <w:r w:rsidR="007702EF">
              <w:rPr>
                <w:noProof/>
                <w:webHidden/>
              </w:rPr>
              <w:tab/>
            </w:r>
            <w:r w:rsidR="007702EF">
              <w:rPr>
                <w:noProof/>
                <w:webHidden/>
              </w:rPr>
              <w:fldChar w:fldCharType="begin"/>
            </w:r>
            <w:r w:rsidR="007702EF">
              <w:rPr>
                <w:noProof/>
                <w:webHidden/>
              </w:rPr>
              <w:instrText xml:space="preserve"> PAGEREF _Toc159005388 \h </w:instrText>
            </w:r>
            <w:r w:rsidR="007702EF">
              <w:rPr>
                <w:noProof/>
                <w:webHidden/>
              </w:rPr>
            </w:r>
            <w:r w:rsidR="007702EF">
              <w:rPr>
                <w:noProof/>
                <w:webHidden/>
              </w:rPr>
              <w:fldChar w:fldCharType="separate"/>
            </w:r>
            <w:r w:rsidR="007702EF">
              <w:rPr>
                <w:noProof/>
                <w:webHidden/>
              </w:rPr>
              <w:t>14</w:t>
            </w:r>
            <w:r w:rsidR="007702EF">
              <w:rPr>
                <w:noProof/>
                <w:webHidden/>
              </w:rPr>
              <w:fldChar w:fldCharType="end"/>
            </w:r>
          </w:hyperlink>
        </w:p>
        <w:p w14:paraId="44249489" w14:textId="61B966BB" w:rsidR="007702EF" w:rsidRDefault="007702EF">
          <w:r>
            <w:rPr>
              <w:b/>
              <w:bCs/>
              <w:noProof/>
            </w:rPr>
            <w:fldChar w:fldCharType="end"/>
          </w:r>
        </w:p>
      </w:sdtContent>
    </w:sdt>
    <w:p w14:paraId="64711989" w14:textId="53E736AB" w:rsidR="007702EF" w:rsidRPr="007702EF" w:rsidRDefault="007702EF" w:rsidP="007702EF">
      <w:pPr>
        <w:rPr>
          <w:rFonts w:eastAsia="Times New Roman" w:cs="Times New Roman"/>
          <w:b/>
          <w:sz w:val="28"/>
          <w:szCs w:val="28"/>
        </w:rPr>
      </w:pPr>
      <w:r>
        <w:br w:type="page"/>
      </w:r>
    </w:p>
    <w:p w14:paraId="78CFE008" w14:textId="423ACA56" w:rsidR="00D86249" w:rsidRDefault="00000000" w:rsidP="00595CD3">
      <w:pPr>
        <w:pStyle w:val="Heading1"/>
      </w:pPr>
      <w:bookmarkStart w:id="0" w:name="_Toc159005382"/>
      <w:r>
        <w:lastRenderedPageBreak/>
        <w:t>Introduction</w:t>
      </w:r>
      <w:bookmarkEnd w:id="0"/>
      <w:r>
        <w:t xml:space="preserve"> </w:t>
      </w:r>
    </w:p>
    <w:p w14:paraId="59D284DF" w14:textId="11E1C5B8" w:rsidR="00D86249" w:rsidRPr="00595CD3" w:rsidRDefault="00104DB3">
      <w:pPr>
        <w:rPr>
          <w:rFonts w:eastAsia="Georgia" w:cs="Times New Roman"/>
          <w:highlight w:val="white"/>
        </w:rPr>
      </w:pPr>
      <w:r w:rsidRPr="00104DB3">
        <w:rPr>
          <w:rFonts w:eastAsia="Georgia" w:cs="Times New Roman"/>
        </w:rPr>
        <w:t>The Seacrest Lodge is a</w:t>
      </w:r>
      <w:r w:rsidR="00ED5FA1">
        <w:rPr>
          <w:rFonts w:eastAsia="Georgia" w:cs="Times New Roman"/>
        </w:rPr>
        <w:t xml:space="preserve"> </w:t>
      </w:r>
      <w:r w:rsidRPr="00104DB3">
        <w:rPr>
          <w:rFonts w:eastAsia="Georgia" w:cs="Times New Roman"/>
        </w:rPr>
        <w:t>bar</w:t>
      </w:r>
      <w:r w:rsidR="00ED5FA1">
        <w:rPr>
          <w:rFonts w:eastAsia="Georgia" w:cs="Times New Roman"/>
        </w:rPr>
        <w:t xml:space="preserve"> with restaurant</w:t>
      </w:r>
      <w:r w:rsidRPr="00104DB3">
        <w:rPr>
          <w:rFonts w:eastAsia="Georgia" w:cs="Times New Roman"/>
        </w:rPr>
        <w:t xml:space="preserve"> located on the beach to provide its traffic, who come to unwind and take in the opulence of the lodge, with a picturesque and picturesque outlook. The corporation's sales are declining, and this record will study The Seacrest Lodge's financial status and operations over the preceding </w:t>
      </w:r>
      <w:r>
        <w:rPr>
          <w:rFonts w:eastAsia="Georgia" w:cs="Times New Roman"/>
        </w:rPr>
        <w:t>three</w:t>
      </w:r>
      <w:r w:rsidRPr="00104DB3">
        <w:rPr>
          <w:rFonts w:eastAsia="Georgia" w:cs="Times New Roman"/>
        </w:rPr>
        <w:t xml:space="preserve"> years. To assess the causes of the organization's declining earnings, these studies can be focused on prices, client happiness, and inn occupancy using a turnaround strategy. The record's evaluation will examine the reasons in light of actual international events as well as the present financial climate wherein the precise employer operates.</w:t>
      </w:r>
      <w:r>
        <w:rPr>
          <w:rFonts w:eastAsia="Georgia" w:cs="Times New Roman"/>
        </w:rPr>
        <w:t xml:space="preserve"> </w:t>
      </w:r>
      <w:r w:rsidRPr="00595CD3">
        <w:rPr>
          <w:rFonts w:eastAsia="Georgia" w:cs="Times New Roman"/>
          <w:highlight w:val="white"/>
        </w:rPr>
        <w:t xml:space="preserve">The report will also explore the different ways to increase the profit of the firm after the implementation of the turnaround strategy. </w:t>
      </w:r>
      <w:r w:rsidRPr="00595CD3">
        <w:rPr>
          <w:rFonts w:cs="Times New Roman"/>
        </w:rPr>
        <w:br w:type="page"/>
      </w:r>
    </w:p>
    <w:p w14:paraId="7C40437D" w14:textId="77777777" w:rsidR="00D86249" w:rsidRDefault="00000000" w:rsidP="00595CD3">
      <w:pPr>
        <w:pStyle w:val="Heading1"/>
      </w:pPr>
      <w:bookmarkStart w:id="1" w:name="_Toc159005383"/>
      <w:r>
        <w:lastRenderedPageBreak/>
        <w:t>Elaborating on the financial performance of The Seacrest Lodge for three years</w:t>
      </w:r>
      <w:bookmarkEnd w:id="1"/>
    </w:p>
    <w:p w14:paraId="486A0281" w14:textId="77777777" w:rsidR="00D86249" w:rsidRDefault="00000000">
      <w:pPr>
        <w:rPr>
          <w:rFonts w:eastAsia="Times New Roman" w:cs="Times New Roman"/>
          <w:b/>
          <w:sz w:val="26"/>
          <w:szCs w:val="26"/>
        </w:rPr>
      </w:pPr>
      <w:r>
        <w:rPr>
          <w:rFonts w:eastAsia="Times New Roman" w:cs="Times New Roman"/>
          <w:b/>
          <w:sz w:val="26"/>
          <w:szCs w:val="26"/>
        </w:rPr>
        <w:t xml:space="preserve">Income statement </w:t>
      </w:r>
    </w:p>
    <w:p w14:paraId="25EEDE84" w14:textId="77777777" w:rsidR="00D86249" w:rsidRDefault="00000000">
      <w:pPr>
        <w:jc w:val="center"/>
        <w:rPr>
          <w:rFonts w:eastAsia="Times New Roman" w:cs="Times New Roman"/>
          <w:b/>
          <w:sz w:val="26"/>
          <w:szCs w:val="26"/>
        </w:rPr>
      </w:pPr>
      <w:r>
        <w:rPr>
          <w:rFonts w:eastAsia="Times New Roman" w:cs="Times New Roman"/>
          <w:b/>
          <w:noProof/>
          <w:sz w:val="26"/>
          <w:szCs w:val="26"/>
        </w:rPr>
        <w:drawing>
          <wp:inline distT="114300" distB="114300" distL="114300" distR="114300" wp14:anchorId="660316CB" wp14:editId="1F8E52CC">
            <wp:extent cx="4752975" cy="914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752975" cy="914400"/>
                    </a:xfrm>
                    <a:prstGeom prst="rect">
                      <a:avLst/>
                    </a:prstGeom>
                    <a:ln/>
                  </pic:spPr>
                </pic:pic>
              </a:graphicData>
            </a:graphic>
          </wp:inline>
        </w:drawing>
      </w:r>
    </w:p>
    <w:p w14:paraId="57DB24A6" w14:textId="77777777" w:rsidR="00D86249" w:rsidRDefault="00000000">
      <w:pPr>
        <w:jc w:val="center"/>
        <w:rPr>
          <w:rFonts w:eastAsia="Times New Roman" w:cs="Times New Roman"/>
          <w:b/>
          <w:szCs w:val="24"/>
        </w:rPr>
      </w:pPr>
      <w:r>
        <w:rPr>
          <w:rFonts w:eastAsia="Times New Roman" w:cs="Times New Roman"/>
          <w:b/>
          <w:szCs w:val="24"/>
        </w:rPr>
        <w:t xml:space="preserve">Figure: Income statement </w:t>
      </w:r>
    </w:p>
    <w:p w14:paraId="0D19E513" w14:textId="77777777" w:rsidR="00D86249" w:rsidRDefault="00000000">
      <w:pPr>
        <w:rPr>
          <w:rFonts w:eastAsia="Times New Roman" w:cs="Times New Roman"/>
          <w:b/>
          <w:szCs w:val="24"/>
        </w:rPr>
      </w:pPr>
      <w:r>
        <w:rPr>
          <w:rFonts w:eastAsia="Times New Roman" w:cs="Times New Roman"/>
          <w:i/>
          <w:szCs w:val="24"/>
        </w:rPr>
        <w:t xml:space="preserve">Analysis: </w:t>
      </w:r>
      <w:r>
        <w:rPr>
          <w:rFonts w:eastAsia="Times New Roman" w:cs="Times New Roman"/>
          <w:szCs w:val="24"/>
        </w:rPr>
        <w:t>The income statement of The Seacrest Lodge reflects that the revenue of the firm has declined over the three years. There was a downfall of £250,000 in the revenue from 2021 to 2023. There is a drop of £100,000 in 2022 and £50,000 in 2023 which can be caused due to certain economic impacts on the company. The operating expense has increased by £50,000 in 2022 and £150,000 in 2023 and this has resulted in an increase in the expenses by £150,000 over the revenue of the company which eventually caused the decline in the overall net income of the firm. The net income for the year 2021 is £300,000 and declined to half in the next year 2022, £150,000. Therefore, the growth in the expenses over the income has resulted in a negative income in 2023 of (-£150,000).</w:t>
      </w:r>
    </w:p>
    <w:p w14:paraId="3575CB8A" w14:textId="77777777" w:rsidR="00D86249" w:rsidRDefault="00000000">
      <w:pPr>
        <w:rPr>
          <w:rFonts w:eastAsia="Times New Roman" w:cs="Times New Roman"/>
          <w:b/>
          <w:sz w:val="26"/>
          <w:szCs w:val="26"/>
        </w:rPr>
      </w:pPr>
      <w:r>
        <w:rPr>
          <w:rFonts w:eastAsia="Times New Roman" w:cs="Times New Roman"/>
          <w:b/>
          <w:sz w:val="26"/>
          <w:szCs w:val="26"/>
        </w:rPr>
        <w:t xml:space="preserve">Balance sheet </w:t>
      </w:r>
    </w:p>
    <w:p w14:paraId="030E4B79" w14:textId="77777777" w:rsidR="00D86249" w:rsidRDefault="00000000">
      <w:pPr>
        <w:jc w:val="center"/>
        <w:rPr>
          <w:rFonts w:eastAsia="Times New Roman" w:cs="Times New Roman"/>
          <w:b/>
          <w:sz w:val="26"/>
          <w:szCs w:val="26"/>
        </w:rPr>
      </w:pPr>
      <w:r>
        <w:rPr>
          <w:rFonts w:eastAsia="Times New Roman" w:cs="Times New Roman"/>
          <w:b/>
          <w:noProof/>
          <w:sz w:val="26"/>
          <w:szCs w:val="26"/>
        </w:rPr>
        <w:drawing>
          <wp:inline distT="114300" distB="114300" distL="114300" distR="114300" wp14:anchorId="320B28E9" wp14:editId="712D5373">
            <wp:extent cx="4686300" cy="1638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686300" cy="1638300"/>
                    </a:xfrm>
                    <a:prstGeom prst="rect">
                      <a:avLst/>
                    </a:prstGeom>
                    <a:ln/>
                  </pic:spPr>
                </pic:pic>
              </a:graphicData>
            </a:graphic>
          </wp:inline>
        </w:drawing>
      </w:r>
    </w:p>
    <w:p w14:paraId="5672085E" w14:textId="77777777" w:rsidR="00D86249" w:rsidRDefault="00000000">
      <w:pPr>
        <w:jc w:val="center"/>
        <w:rPr>
          <w:rFonts w:eastAsia="Times New Roman" w:cs="Times New Roman"/>
          <w:b/>
          <w:sz w:val="26"/>
          <w:szCs w:val="26"/>
        </w:rPr>
      </w:pPr>
      <w:r>
        <w:rPr>
          <w:rFonts w:eastAsia="Times New Roman" w:cs="Times New Roman"/>
          <w:b/>
          <w:sz w:val="26"/>
          <w:szCs w:val="26"/>
        </w:rPr>
        <w:t>Figure: Balance Sheet</w:t>
      </w:r>
    </w:p>
    <w:p w14:paraId="6FB7ECD1" w14:textId="77777777" w:rsidR="00D86249" w:rsidRDefault="00000000">
      <w:pPr>
        <w:rPr>
          <w:rFonts w:eastAsia="Times New Roman" w:cs="Times New Roman"/>
          <w:szCs w:val="24"/>
        </w:rPr>
      </w:pPr>
      <w:r>
        <w:rPr>
          <w:rFonts w:eastAsia="Times New Roman" w:cs="Times New Roman"/>
          <w:i/>
          <w:szCs w:val="24"/>
        </w:rPr>
        <w:lastRenderedPageBreak/>
        <w:t xml:space="preserve">Analysis: </w:t>
      </w:r>
      <w:r>
        <w:rPr>
          <w:rFonts w:eastAsia="Times New Roman" w:cs="Times New Roman"/>
          <w:szCs w:val="24"/>
        </w:rPr>
        <w:t>The balance sheet of The Seacrest Lodge reflected that the cash and cash equivalents have dropped significantly from £100,000 to £20,000 and this drop could have occurred due to decreasing in the purchasing power of the company. The accounts receivable of the firm have also decreased which can increase the risk of defaulters within the firm (</w:t>
      </w:r>
      <w:r>
        <w:rPr>
          <w:rFonts w:eastAsia="Times New Roman" w:cs="Times New Roman"/>
          <w:color w:val="222222"/>
          <w:szCs w:val="24"/>
          <w:highlight w:val="white"/>
        </w:rPr>
        <w:t xml:space="preserve">Abinzano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2020)</w:t>
      </w:r>
      <w:r>
        <w:rPr>
          <w:rFonts w:eastAsia="Times New Roman" w:cs="Times New Roman"/>
          <w:szCs w:val="24"/>
        </w:rPr>
        <w:t>. This can create problems in meeting the current obligations of the firm due to an increase in accounts payable. The long-term debt of the firm remained the same for all three years that is £1,500,000. The total assets have declined over three periods and the total liabilities have increased by £10,000 each year. The equity of the firm has also declined over the period from £620,000 in 2021 to £300,000 in 2023.</w:t>
      </w:r>
    </w:p>
    <w:p w14:paraId="7E0509A1" w14:textId="77777777" w:rsidR="00D86249" w:rsidRDefault="00000000">
      <w:pPr>
        <w:rPr>
          <w:rFonts w:eastAsia="Times New Roman" w:cs="Times New Roman"/>
          <w:b/>
          <w:sz w:val="26"/>
          <w:szCs w:val="26"/>
        </w:rPr>
      </w:pPr>
      <w:r>
        <w:rPr>
          <w:rFonts w:eastAsia="Times New Roman" w:cs="Times New Roman"/>
          <w:b/>
          <w:sz w:val="26"/>
          <w:szCs w:val="26"/>
        </w:rPr>
        <w:t xml:space="preserve">Average Room Rate (ARR) and Occupancy Rate </w:t>
      </w:r>
    </w:p>
    <w:p w14:paraId="224F617F" w14:textId="77777777" w:rsidR="00D86249" w:rsidRDefault="00000000">
      <w:pPr>
        <w:jc w:val="center"/>
        <w:rPr>
          <w:rFonts w:eastAsia="Times New Roman" w:cs="Times New Roman"/>
          <w:b/>
          <w:sz w:val="26"/>
          <w:szCs w:val="26"/>
        </w:rPr>
      </w:pPr>
      <w:r>
        <w:rPr>
          <w:rFonts w:eastAsia="Times New Roman" w:cs="Times New Roman"/>
          <w:b/>
          <w:noProof/>
          <w:sz w:val="26"/>
          <w:szCs w:val="26"/>
        </w:rPr>
        <w:drawing>
          <wp:inline distT="114300" distB="114300" distL="114300" distR="114300" wp14:anchorId="72E756B0" wp14:editId="2FF59E24">
            <wp:extent cx="2000250" cy="108585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000250" cy="1085850"/>
                    </a:xfrm>
                    <a:prstGeom prst="rect">
                      <a:avLst/>
                    </a:prstGeom>
                    <a:ln w="25400">
                      <a:solidFill>
                        <a:srgbClr val="000000"/>
                      </a:solidFill>
                      <a:prstDash val="solid"/>
                    </a:ln>
                  </pic:spPr>
                </pic:pic>
              </a:graphicData>
            </a:graphic>
          </wp:inline>
        </w:drawing>
      </w:r>
    </w:p>
    <w:p w14:paraId="5A5C104A" w14:textId="77777777" w:rsidR="00D86249" w:rsidRDefault="00000000">
      <w:pPr>
        <w:jc w:val="center"/>
        <w:rPr>
          <w:rFonts w:eastAsia="Times New Roman" w:cs="Times New Roman"/>
          <w:b/>
          <w:sz w:val="26"/>
          <w:szCs w:val="26"/>
        </w:rPr>
      </w:pPr>
      <w:r>
        <w:rPr>
          <w:rFonts w:eastAsia="Times New Roman" w:cs="Times New Roman"/>
          <w:b/>
          <w:sz w:val="26"/>
          <w:szCs w:val="26"/>
        </w:rPr>
        <w:t>Figure: Average Room Rate and Occupancy Rate</w:t>
      </w:r>
    </w:p>
    <w:p w14:paraId="18E9C7D8" w14:textId="77777777" w:rsidR="00D86249" w:rsidRDefault="00000000">
      <w:pPr>
        <w:rPr>
          <w:rFonts w:eastAsia="Times New Roman" w:cs="Times New Roman"/>
          <w:i/>
          <w:szCs w:val="24"/>
        </w:rPr>
      </w:pPr>
      <w:r>
        <w:rPr>
          <w:rFonts w:eastAsia="Times New Roman" w:cs="Times New Roman"/>
          <w:i/>
          <w:szCs w:val="24"/>
        </w:rPr>
        <w:t>Analysis:</w:t>
      </w:r>
      <w:r>
        <w:rPr>
          <w:rFonts w:eastAsia="Times New Roman" w:cs="Times New Roman"/>
          <w:szCs w:val="24"/>
        </w:rPr>
        <w:t xml:space="preserve"> ARR is an important metric for firms like The Seacrest Lodge within the hospitality industry as it assists in analysing the average price of the rooms and provides valuable insight into the pricing strategy of the firm which helps in generating revenue for the firm (</w:t>
      </w:r>
      <w:r>
        <w:rPr>
          <w:rFonts w:eastAsia="Times New Roman" w:cs="Times New Roman"/>
          <w:color w:val="222222"/>
          <w:szCs w:val="24"/>
          <w:highlight w:val="white"/>
        </w:rPr>
        <w:t>Kossecki and Kossecki, 2020)</w:t>
      </w:r>
      <w:r>
        <w:rPr>
          <w:rFonts w:eastAsia="Times New Roman" w:cs="Times New Roman"/>
          <w:szCs w:val="24"/>
        </w:rPr>
        <w:t>. The ARR has also declined over the period as it has dropped to £210 in 2023 from £260 in 2021. The occupancy rate reflects the space rented and not exclusively used within the hospitality industry (</w:t>
      </w:r>
      <w:r>
        <w:rPr>
          <w:rFonts w:eastAsia="Times New Roman" w:cs="Times New Roman"/>
          <w:color w:val="222222"/>
          <w:szCs w:val="24"/>
          <w:highlight w:val="white"/>
        </w:rPr>
        <w:t xml:space="preserve">Price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2022)</w:t>
      </w:r>
      <w:r>
        <w:rPr>
          <w:rFonts w:eastAsia="Times New Roman" w:cs="Times New Roman"/>
          <w:szCs w:val="24"/>
        </w:rPr>
        <w:t xml:space="preserve">. The occupancy rate has also declined by 5% each year which resulted in the decline of the revenue of the company. Thus, the financial analysis of the firm has resulted in a declining performance in the period between 2021 to 2023.     </w:t>
      </w:r>
      <w:r>
        <w:rPr>
          <w:rFonts w:eastAsia="Times New Roman" w:cs="Times New Roman"/>
          <w:i/>
          <w:szCs w:val="24"/>
        </w:rPr>
        <w:t xml:space="preserve"> </w:t>
      </w:r>
      <w:r>
        <w:br w:type="page"/>
      </w:r>
    </w:p>
    <w:p w14:paraId="5BA45E97" w14:textId="77777777" w:rsidR="00D86249" w:rsidRDefault="00000000" w:rsidP="00595CD3">
      <w:pPr>
        <w:pStyle w:val="Heading1"/>
      </w:pPr>
      <w:bookmarkStart w:id="2" w:name="_Toc159005384"/>
      <w:r>
        <w:lastRenderedPageBreak/>
        <w:t>Explaining the reasons for the decline in the profitability of The Seacrest Lodge</w:t>
      </w:r>
      <w:bookmarkEnd w:id="2"/>
    </w:p>
    <w:p w14:paraId="4BCDBEBE" w14:textId="77777777" w:rsidR="00D86249" w:rsidRDefault="00000000">
      <w:pPr>
        <w:rPr>
          <w:rFonts w:eastAsia="Times New Roman" w:cs="Times New Roman"/>
          <w:szCs w:val="24"/>
        </w:rPr>
      </w:pPr>
      <w:r>
        <w:rPr>
          <w:rFonts w:eastAsia="Times New Roman" w:cs="Times New Roman"/>
          <w:b/>
          <w:i/>
          <w:szCs w:val="24"/>
        </w:rPr>
        <w:t xml:space="preserve">Inflation: </w:t>
      </w:r>
      <w:r>
        <w:rPr>
          <w:rFonts w:eastAsia="Times New Roman" w:cs="Times New Roman"/>
          <w:szCs w:val="24"/>
        </w:rPr>
        <w:t>This has impacted the operational cost of the hotel which eventually affected the profitability of the company. Inflation leads to an increase in the cost of raw materials such as food items and beverages which can impact the restaurant service of the company (</w:t>
      </w:r>
      <w:r>
        <w:rPr>
          <w:rFonts w:eastAsia="Times New Roman" w:cs="Times New Roman"/>
          <w:color w:val="222222"/>
          <w:szCs w:val="24"/>
          <w:highlight w:val="white"/>
        </w:rPr>
        <w:t xml:space="preserve">Bunn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2022)</w:t>
      </w:r>
      <w:r>
        <w:rPr>
          <w:rFonts w:eastAsia="Times New Roman" w:cs="Times New Roman"/>
          <w:szCs w:val="24"/>
        </w:rPr>
        <w:t xml:space="preserve">. The sky-high cost of energy and climbing rate of interest have impacted the operation of the business. This rising rate has caused a crisis in the hospitality business of the firm which impacted the occupancy rate and sales of the company.  </w:t>
      </w:r>
    </w:p>
    <w:p w14:paraId="2F1B4A7A" w14:textId="6309A9A3" w:rsidR="00D86249" w:rsidRDefault="00000000">
      <w:pPr>
        <w:spacing w:before="240" w:after="240"/>
        <w:rPr>
          <w:rFonts w:eastAsia="Times New Roman" w:cs="Times New Roman"/>
          <w:szCs w:val="24"/>
        </w:rPr>
      </w:pPr>
      <w:r>
        <w:rPr>
          <w:rFonts w:eastAsia="Times New Roman" w:cs="Times New Roman"/>
          <w:b/>
          <w:i/>
          <w:szCs w:val="24"/>
        </w:rPr>
        <w:t xml:space="preserve">Reduction in Revenue Streams: </w:t>
      </w:r>
      <w:r>
        <w:rPr>
          <w:rFonts w:eastAsia="Times New Roman" w:cs="Times New Roman"/>
          <w:szCs w:val="24"/>
        </w:rPr>
        <w:t>The Seacrest Lodge's capability to make money has substantially decreased, as seen through the drop in revenue from £1.2 million in 2021 to £950,000 in 2023.</w:t>
      </w:r>
      <w:r w:rsidR="00540193" w:rsidRPr="00540193">
        <w:t xml:space="preserve"> </w:t>
      </w:r>
      <w:r w:rsidR="00540193" w:rsidRPr="00540193">
        <w:rPr>
          <w:rFonts w:eastAsia="Times New Roman" w:cs="Times New Roman"/>
          <w:szCs w:val="24"/>
        </w:rPr>
        <w:t>This downturn may be attributed to loads of economic factors, inclusive of as shifts in client behaviour, fluctuations in tour patterns, and competitive strain. The enterprise may be struggling to maintain expenses competitive given the moving market dynamics, as evidenced by the commonplace room rate, which reduced from £260 in 2021 to £210 in 2023. Furthermore, the occupancy costs decreased from 65% in 2021 to 50% in 2023, highlighting the mission of attracting customers.</w:t>
      </w:r>
      <w:r>
        <w:rPr>
          <w:rFonts w:eastAsia="Times New Roman" w:cs="Times New Roman"/>
          <w:szCs w:val="24"/>
        </w:rPr>
        <w:t xml:space="preserve"> </w:t>
      </w:r>
    </w:p>
    <w:p w14:paraId="450500CA" w14:textId="7154A6D5" w:rsidR="00D86249" w:rsidRDefault="00000000">
      <w:pPr>
        <w:spacing w:before="240" w:after="240"/>
        <w:rPr>
          <w:rFonts w:eastAsia="Times New Roman" w:cs="Times New Roman"/>
          <w:szCs w:val="24"/>
        </w:rPr>
      </w:pPr>
      <w:r>
        <w:rPr>
          <w:rFonts w:eastAsia="Times New Roman" w:cs="Times New Roman"/>
          <w:b/>
          <w:i/>
          <w:szCs w:val="24"/>
        </w:rPr>
        <w:t>Rising Operating Expenses:</w:t>
      </w:r>
      <w:r w:rsidR="00CF3213">
        <w:rPr>
          <w:rFonts w:eastAsia="Times New Roman" w:cs="Times New Roman"/>
          <w:b/>
          <w:i/>
          <w:szCs w:val="24"/>
        </w:rPr>
        <w:t xml:space="preserve"> </w:t>
      </w:r>
      <w:r w:rsidR="00CF3213" w:rsidRPr="00CF3213">
        <w:t xml:space="preserve">The </w:t>
      </w:r>
      <w:r w:rsidR="00CF3213">
        <w:t>hotel’s</w:t>
      </w:r>
      <w:r w:rsidR="00CF3213" w:rsidRPr="00CF3213">
        <w:t xml:space="preserve"> running charges improved from £900,000 in 2021 to £one hundred,000 in 2023, indicating a fashion of rising costs. Increases in employees’ charges, utility fees, inflation, and different economic elements should all make a contribution to this surge in walking fees</w:t>
      </w:r>
      <w:r w:rsidR="00CF3213" w:rsidRPr="00CF3213">
        <w:rPr>
          <w:rFonts w:eastAsia="Times New Roman" w:cs="Times New Roman"/>
          <w:b/>
          <w:i/>
          <w:szCs w:val="24"/>
        </w:rPr>
        <w:t>.</w:t>
      </w:r>
      <w:r>
        <w:rPr>
          <w:rFonts w:eastAsia="Times New Roman" w:cs="Times New Roman"/>
          <w:szCs w:val="24"/>
        </w:rPr>
        <w:t xml:space="preserve"> Furthermore, change fee adjustments or interruptions inside the delivery chain could force up charges even similarly if the lodge relies upon imported items or services. Profitability could subsequently deteriorate due to the developing disparity between sales and prices if there had been no matching profits in revenue (</w:t>
      </w:r>
      <w:r>
        <w:rPr>
          <w:rFonts w:eastAsia="Times New Roman" w:cs="Times New Roman"/>
          <w:color w:val="222222"/>
          <w:szCs w:val="24"/>
          <w:highlight w:val="white"/>
        </w:rPr>
        <w:t xml:space="preserve">Barker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2022)</w:t>
      </w:r>
      <w:r>
        <w:rPr>
          <w:rFonts w:eastAsia="Times New Roman" w:cs="Times New Roman"/>
          <w:szCs w:val="24"/>
        </w:rPr>
        <w:t>.</w:t>
      </w:r>
      <w:r w:rsidR="00CF3213">
        <w:rPr>
          <w:rFonts w:eastAsia="Times New Roman" w:cs="Times New Roman"/>
          <w:szCs w:val="24"/>
        </w:rPr>
        <w:t xml:space="preserve"> </w:t>
      </w:r>
      <w:r w:rsidR="000201DB">
        <w:rPr>
          <w:rFonts w:eastAsia="Times New Roman" w:cs="Times New Roman"/>
          <w:szCs w:val="24"/>
        </w:rPr>
        <w:t xml:space="preserve"> </w:t>
      </w:r>
      <w:r w:rsidR="004B25B9">
        <w:rPr>
          <w:rFonts w:eastAsia="Times New Roman" w:cs="Times New Roman"/>
          <w:szCs w:val="24"/>
        </w:rPr>
        <w:t xml:space="preserve"> </w:t>
      </w:r>
    </w:p>
    <w:p w14:paraId="6BFC1062" w14:textId="77777777" w:rsidR="00D86249" w:rsidRDefault="00000000">
      <w:pPr>
        <w:rPr>
          <w:rFonts w:eastAsia="Times New Roman" w:cs="Times New Roman"/>
          <w:szCs w:val="24"/>
        </w:rPr>
      </w:pPr>
      <w:r>
        <w:rPr>
          <w:rFonts w:eastAsia="Times New Roman" w:cs="Times New Roman"/>
          <w:b/>
          <w:i/>
          <w:szCs w:val="24"/>
        </w:rPr>
        <w:lastRenderedPageBreak/>
        <w:t>Debt Burden and Financial Structure:</w:t>
      </w:r>
      <w:r>
        <w:rPr>
          <w:rFonts w:eastAsia="Times New Roman" w:cs="Times New Roman"/>
          <w:szCs w:val="24"/>
        </w:rPr>
        <w:t xml:space="preserve"> The stability sheet of the lodge suggests a troubling fashion in its monetary structure. In 2023, general property was £1,850,000, down from £250,000 in 2021 even though, lengthy-time period debt stayed at £1,500,000. This shows a declining debt-to-equity ratio, which may additionally have a damaging effect on the stability and adaptableness of the firm price range. High debt stages would possibly make it difficult for the firm to pay the debt and limit its ability to invest in essential renovations or visitor-attracting advertising and marketing. Moreover, the drop in cash and equivalents from £100,000 in 2021 to £20,000 in 2023 factors ability liquidity issues that could make it more difficult for the lodge to make investments in operational improvements or to fulfil quick-time period obligations. </w:t>
      </w:r>
    </w:p>
    <w:p w14:paraId="400D78FC" w14:textId="77777777" w:rsidR="00D86249" w:rsidRDefault="00000000">
      <w:pPr>
        <w:rPr>
          <w:rFonts w:eastAsia="Times New Roman" w:cs="Times New Roman"/>
          <w:b/>
          <w:i/>
          <w:szCs w:val="24"/>
        </w:rPr>
      </w:pPr>
      <w:r>
        <w:rPr>
          <w:rFonts w:eastAsia="Times New Roman" w:cs="Times New Roman"/>
          <w:b/>
          <w:i/>
          <w:szCs w:val="24"/>
          <w:highlight w:val="white"/>
        </w:rPr>
        <w:t>Justification for no impact of COVID-19 in this hotel</w:t>
      </w:r>
      <w:r>
        <w:rPr>
          <w:rFonts w:eastAsia="Times New Roman" w:cs="Times New Roman"/>
          <w:b/>
          <w:i/>
          <w:szCs w:val="24"/>
        </w:rPr>
        <w:t xml:space="preserve"> </w:t>
      </w:r>
    </w:p>
    <w:p w14:paraId="5FE73F46" w14:textId="77777777" w:rsidR="00D86249" w:rsidRDefault="00000000">
      <w:pPr>
        <w:rPr>
          <w:rFonts w:eastAsia="Times New Roman" w:cs="Times New Roman"/>
          <w:szCs w:val="24"/>
        </w:rPr>
      </w:pPr>
      <w:r>
        <w:rPr>
          <w:rFonts w:eastAsia="Times New Roman" w:cs="Times New Roman"/>
          <w:szCs w:val="24"/>
        </w:rPr>
        <w:t>The Seacrest Lodge has no impact of COVID-19 as the firm sells its services within the boundaries of the UK, it has less to no impact of the pandemic on its operations. The firm may have maintained the safety protocols regulated by the government. The firm may have adopted new ways to comply with government guidelines and regulations such as contactless check-in and check-out processes. The firm may have focused on domestic tourism due to restrictions on international travel (</w:t>
      </w:r>
      <w:r>
        <w:rPr>
          <w:rFonts w:eastAsia="Times New Roman" w:cs="Times New Roman"/>
          <w:color w:val="222222"/>
          <w:szCs w:val="24"/>
          <w:highlight w:val="white"/>
        </w:rPr>
        <w:t xml:space="preserve">Gössling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2020)</w:t>
      </w:r>
      <w:r>
        <w:rPr>
          <w:rFonts w:eastAsia="Times New Roman" w:cs="Times New Roman"/>
          <w:szCs w:val="24"/>
        </w:rPr>
        <w:t xml:space="preserve">. The firm may have provided flexible cancellation policies which may have provided the customers with peace of mind and would have encouraged them to perform bookings amidst such uncertainty.  </w:t>
      </w:r>
    </w:p>
    <w:p w14:paraId="45735791" w14:textId="77777777" w:rsidR="00D86249" w:rsidRDefault="00D86249">
      <w:pPr>
        <w:rPr>
          <w:rFonts w:eastAsia="Times New Roman" w:cs="Times New Roman"/>
          <w:b/>
          <w:i/>
          <w:szCs w:val="24"/>
        </w:rPr>
      </w:pPr>
    </w:p>
    <w:p w14:paraId="74F3282B" w14:textId="77777777" w:rsidR="00D86249" w:rsidRDefault="00D86249">
      <w:pPr>
        <w:rPr>
          <w:rFonts w:eastAsia="Times New Roman" w:cs="Times New Roman"/>
          <w:b/>
          <w:i/>
          <w:szCs w:val="24"/>
        </w:rPr>
      </w:pPr>
    </w:p>
    <w:p w14:paraId="2F58F94D" w14:textId="77777777" w:rsidR="00D86249" w:rsidRDefault="00D86249">
      <w:pPr>
        <w:rPr>
          <w:rFonts w:eastAsia="Times New Roman" w:cs="Times New Roman"/>
          <w:b/>
          <w:i/>
          <w:szCs w:val="24"/>
        </w:rPr>
      </w:pPr>
    </w:p>
    <w:p w14:paraId="0360C63C" w14:textId="77777777" w:rsidR="00D86249" w:rsidRDefault="00000000">
      <w:pPr>
        <w:rPr>
          <w:rFonts w:eastAsia="Times New Roman" w:cs="Times New Roman"/>
          <w:b/>
          <w:sz w:val="26"/>
          <w:szCs w:val="26"/>
        </w:rPr>
      </w:pPr>
      <w:r>
        <w:br w:type="page"/>
      </w:r>
    </w:p>
    <w:p w14:paraId="32A1954F" w14:textId="77777777" w:rsidR="00D86249" w:rsidRDefault="00000000" w:rsidP="00595CD3">
      <w:pPr>
        <w:pStyle w:val="Heading1"/>
      </w:pPr>
      <w:bookmarkStart w:id="3" w:name="_Toc159005385"/>
      <w:r>
        <w:lastRenderedPageBreak/>
        <w:t>Ways to improve the profitability and performance of The Seacrest Lodge</w:t>
      </w:r>
      <w:bookmarkEnd w:id="3"/>
      <w:r>
        <w:t xml:space="preserve"> </w:t>
      </w:r>
    </w:p>
    <w:p w14:paraId="7BE9C34C" w14:textId="77777777" w:rsidR="00D86249" w:rsidRDefault="00000000">
      <w:pPr>
        <w:rPr>
          <w:rFonts w:eastAsia="Times New Roman" w:cs="Times New Roman"/>
          <w:szCs w:val="24"/>
        </w:rPr>
      </w:pPr>
      <w:r>
        <w:rPr>
          <w:rFonts w:eastAsia="Times New Roman" w:cs="Times New Roman"/>
          <w:sz w:val="26"/>
          <w:szCs w:val="26"/>
        </w:rPr>
        <w:t xml:space="preserve">The </w:t>
      </w:r>
      <w:r>
        <w:rPr>
          <w:rFonts w:eastAsia="Times New Roman" w:cs="Times New Roman"/>
          <w:szCs w:val="24"/>
        </w:rPr>
        <w:t xml:space="preserve">Seacrest Lodge can attain its performance back in the hospitality sector by including certain ways of turnaround strategy within the short term. The performance and profitability can increase by fostering strong leadership, effective communication, flexibility within the operations, workforce participation and economic management. </w:t>
      </w:r>
    </w:p>
    <w:p w14:paraId="51F64560" w14:textId="77777777" w:rsidR="00D86249" w:rsidRDefault="00000000">
      <w:pPr>
        <w:spacing w:before="240" w:after="160"/>
        <w:rPr>
          <w:rFonts w:eastAsia="Times New Roman" w:cs="Times New Roman"/>
          <w:szCs w:val="24"/>
        </w:rPr>
      </w:pPr>
      <w:r>
        <w:rPr>
          <w:rFonts w:eastAsia="Times New Roman" w:cs="Times New Roman"/>
          <w:b/>
          <w:i/>
          <w:szCs w:val="24"/>
        </w:rPr>
        <w:t>Successful Leadership</w:t>
      </w:r>
      <w:r>
        <w:rPr>
          <w:rFonts w:eastAsia="Times New Roman" w:cs="Times New Roman"/>
          <w:szCs w:val="24"/>
        </w:rPr>
        <w:t>: The Seacrest Lodge wishes for a robust management approach to make sizeable profits. Making clever selections and setting up the goal and vision of the hotel relies heavily on powerful management. It also makes it easier to put essential changes into practice, which promotes an advantageous place of work and way of life (</w:t>
      </w:r>
      <w:r>
        <w:rPr>
          <w:rFonts w:eastAsia="Times New Roman" w:cs="Times New Roman"/>
          <w:color w:val="222222"/>
          <w:szCs w:val="24"/>
          <w:highlight w:val="white"/>
        </w:rPr>
        <w:t xml:space="preserve">Godfrey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2020)</w:t>
      </w:r>
      <w:r>
        <w:rPr>
          <w:rFonts w:eastAsia="Times New Roman" w:cs="Times New Roman"/>
          <w:szCs w:val="24"/>
        </w:rPr>
        <w:t>. Robust management facilitates the motel's capacity to adopt prudent dangers, guiding it closer to expansion and prosperity.</w:t>
      </w:r>
    </w:p>
    <w:p w14:paraId="6FD05CFF" w14:textId="77777777" w:rsidR="00D86249" w:rsidRDefault="00000000">
      <w:pPr>
        <w:spacing w:before="240" w:after="160"/>
        <w:rPr>
          <w:rFonts w:eastAsia="Times New Roman" w:cs="Times New Roman"/>
          <w:szCs w:val="24"/>
        </w:rPr>
      </w:pPr>
      <w:r>
        <w:rPr>
          <w:rFonts w:eastAsia="Times New Roman" w:cs="Times New Roman"/>
          <w:b/>
          <w:i/>
          <w:szCs w:val="24"/>
        </w:rPr>
        <w:t>Open and Honest Communication</w:t>
      </w:r>
      <w:r>
        <w:rPr>
          <w:rFonts w:eastAsia="Times New Roman" w:cs="Times New Roman"/>
          <w:szCs w:val="24"/>
        </w:rPr>
        <w:t>: To avoid operational breakdowns, it's miles important to establish open and honest channels of communique in any respect for organisational ranges. Customers, shareholders and staff at Seacrest Lodge have misplaced beliefs because of the firm’s loss of attention on the conversation (</w:t>
      </w:r>
      <w:r>
        <w:rPr>
          <w:rFonts w:eastAsia="Times New Roman" w:cs="Times New Roman"/>
          <w:color w:val="222222"/>
          <w:szCs w:val="24"/>
          <w:highlight w:val="white"/>
        </w:rPr>
        <w:t>Houston, 2023)</w:t>
      </w:r>
      <w:r>
        <w:rPr>
          <w:rFonts w:eastAsia="Times New Roman" w:cs="Times New Roman"/>
          <w:szCs w:val="24"/>
        </w:rPr>
        <w:t>. The motel can grow efficiency via stronger teamwork, extra customer contact and service delivery using proper and obvious communication.</w:t>
      </w:r>
    </w:p>
    <w:p w14:paraId="278C9CC6" w14:textId="77777777" w:rsidR="00D86249" w:rsidRDefault="00000000">
      <w:pPr>
        <w:spacing w:before="240" w:after="160"/>
        <w:rPr>
          <w:rFonts w:eastAsia="Times New Roman" w:cs="Times New Roman"/>
          <w:szCs w:val="24"/>
        </w:rPr>
      </w:pPr>
      <w:r>
        <w:rPr>
          <w:rFonts w:eastAsia="Times New Roman" w:cs="Times New Roman"/>
          <w:b/>
          <w:i/>
          <w:szCs w:val="24"/>
        </w:rPr>
        <w:t>Proper budgeting</w:t>
      </w:r>
      <w:r>
        <w:rPr>
          <w:rFonts w:eastAsia="Times New Roman" w:cs="Times New Roman"/>
          <w:szCs w:val="24"/>
        </w:rPr>
        <w:t>: For Seacrest Lodge to grow once more, strict monetary management processes should be put in the vicinity. Maintaining the economic field will help you get past monetary obstacles. The firm desires to hold strict monetary control, which incorporates preserving an insight fixed on cash drift and making timely debt payments. The balance sheet analysis makes clear that fee reduction techniques should be addressed if financial stability and lengthy-term growth are to be completed.</w:t>
      </w:r>
    </w:p>
    <w:p w14:paraId="58670E67" w14:textId="77777777" w:rsidR="00D86249" w:rsidRDefault="00000000">
      <w:pPr>
        <w:spacing w:before="240" w:after="160"/>
        <w:rPr>
          <w:rFonts w:eastAsia="Times New Roman" w:cs="Times New Roman"/>
          <w:szCs w:val="24"/>
        </w:rPr>
      </w:pPr>
      <w:r>
        <w:rPr>
          <w:rFonts w:eastAsia="Times New Roman" w:cs="Times New Roman"/>
          <w:b/>
          <w:i/>
          <w:szCs w:val="24"/>
        </w:rPr>
        <w:lastRenderedPageBreak/>
        <w:t>Recognition and Involvement of Employees</w:t>
      </w:r>
      <w:r>
        <w:rPr>
          <w:rFonts w:eastAsia="Times New Roman" w:cs="Times New Roman"/>
          <w:szCs w:val="24"/>
        </w:rPr>
        <w:t>: Identifying and rewarding workers or employees is crucial for The Seacrest Lodge's recovery initiatives. Positive work environments are created by way of valuing employee contributions and offering possibilities for growth, which include raises and salary increases (</w:t>
      </w:r>
      <w:r>
        <w:rPr>
          <w:rFonts w:eastAsia="Times New Roman" w:cs="Times New Roman"/>
          <w:color w:val="222222"/>
          <w:szCs w:val="24"/>
          <w:highlight w:val="white"/>
        </w:rPr>
        <w:t xml:space="preserve">Kryscynski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2021)</w:t>
      </w:r>
      <w:r>
        <w:rPr>
          <w:rFonts w:eastAsia="Times New Roman" w:cs="Times New Roman"/>
          <w:szCs w:val="24"/>
        </w:rPr>
        <w:t>. Furthermore, providing employees with on-the-task schooling and the use of modern-day methods and technology facilitates them to align with the lodge's management goals and improves average performance.</w:t>
      </w:r>
    </w:p>
    <w:p w14:paraId="04A06149" w14:textId="77777777" w:rsidR="00D86249" w:rsidRDefault="00000000">
      <w:pPr>
        <w:rPr>
          <w:rFonts w:eastAsia="Times New Roman" w:cs="Times New Roman"/>
          <w:szCs w:val="24"/>
        </w:rPr>
      </w:pPr>
      <w:r>
        <w:rPr>
          <w:rFonts w:eastAsia="Times New Roman" w:cs="Times New Roman"/>
          <w:b/>
          <w:i/>
          <w:szCs w:val="24"/>
        </w:rPr>
        <w:t>Flexibility and Quickness</w:t>
      </w:r>
      <w:r>
        <w:rPr>
          <w:rFonts w:eastAsia="Times New Roman" w:cs="Times New Roman"/>
          <w:szCs w:val="24"/>
        </w:rPr>
        <w:t>: The Seacrest Lodge can benefit from cultivating an agile work tradition and becoming greater adaptive which will efficaciously navigate the ever-converting hospitality industry panorama. Considering how frequently the realities of the world trade, the inn should be given flexibility. By fostering an agile work lifestyle, the hotel can adapt quickly to changes in the market, new traits, and changing consumer tastes, keeping its relevance and competitiveness.</w:t>
      </w:r>
    </w:p>
    <w:p w14:paraId="17C0D529" w14:textId="77777777" w:rsidR="00D86249" w:rsidRDefault="00000000">
      <w:pPr>
        <w:rPr>
          <w:rFonts w:eastAsia="Times New Roman" w:cs="Times New Roman"/>
          <w:b/>
          <w:sz w:val="26"/>
          <w:szCs w:val="26"/>
        </w:rPr>
      </w:pPr>
      <w:r>
        <w:br w:type="page"/>
      </w:r>
    </w:p>
    <w:p w14:paraId="5BBE3CBE" w14:textId="77777777" w:rsidR="00D86249" w:rsidRDefault="00000000" w:rsidP="0065727D">
      <w:pPr>
        <w:pStyle w:val="Heading1"/>
      </w:pPr>
      <w:bookmarkStart w:id="4" w:name="_Toc159005386"/>
      <w:r>
        <w:lastRenderedPageBreak/>
        <w:t>Recommendations</w:t>
      </w:r>
      <w:bookmarkEnd w:id="4"/>
    </w:p>
    <w:p w14:paraId="2C2D1D5E" w14:textId="77777777" w:rsidR="00D86249" w:rsidRDefault="00000000">
      <w:pPr>
        <w:spacing w:before="240" w:after="240"/>
        <w:rPr>
          <w:rFonts w:eastAsia="Times New Roman" w:cs="Times New Roman"/>
          <w:szCs w:val="24"/>
        </w:rPr>
      </w:pPr>
      <w:r>
        <w:rPr>
          <w:rFonts w:eastAsia="Times New Roman" w:cs="Times New Roman"/>
          <w:b/>
          <w:i/>
          <w:szCs w:val="24"/>
        </w:rPr>
        <w:t xml:space="preserve">Sustainable Growth and Diversification: </w:t>
      </w:r>
      <w:r>
        <w:rPr>
          <w:rFonts w:eastAsia="Times New Roman" w:cs="Times New Roman"/>
          <w:szCs w:val="24"/>
        </w:rPr>
        <w:t>The Seacrest Lodge ought to pursue sustainable enlargement and diversification by broadening its variety of services to generate new sales streams and fulfil changing customer needs. The hotel can observe diversification options including new leisure pursuits, wellness projects, or eco-tourism projects to draw in more customers (</w:t>
      </w:r>
      <w:r>
        <w:rPr>
          <w:rFonts w:eastAsia="Times New Roman" w:cs="Times New Roman"/>
          <w:color w:val="222222"/>
          <w:szCs w:val="24"/>
          <w:highlight w:val="white"/>
        </w:rPr>
        <w:t xml:space="preserve">Pletsas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2022)</w:t>
      </w:r>
      <w:r>
        <w:rPr>
          <w:rFonts w:eastAsia="Times New Roman" w:cs="Times New Roman"/>
          <w:szCs w:val="24"/>
        </w:rPr>
        <w:t xml:space="preserve">. The Seacrest Lodge can lessen its reliance on seasonal tourism traits and decrease the risks associated with demand adjustments by broadening its offers. Sustainable increase strategies also can improve its recognition and attract eco-aware tourists, so that it will grow long-term profitability and emblem loyalty. </w:t>
      </w:r>
    </w:p>
    <w:p w14:paraId="59CC588B" w14:textId="77777777" w:rsidR="00D86249" w:rsidRDefault="00000000">
      <w:pPr>
        <w:spacing w:before="240" w:after="240"/>
        <w:rPr>
          <w:rFonts w:eastAsia="Times New Roman" w:cs="Times New Roman"/>
          <w:szCs w:val="24"/>
        </w:rPr>
      </w:pPr>
      <w:r>
        <w:rPr>
          <w:rFonts w:eastAsia="Times New Roman" w:cs="Times New Roman"/>
          <w:b/>
          <w:i/>
          <w:szCs w:val="24"/>
        </w:rPr>
        <w:t>Enhanced Customer Experience and Brand Loyalty:</w:t>
      </w:r>
      <w:r>
        <w:rPr>
          <w:rFonts w:eastAsia="Times New Roman" w:cs="Times New Roman"/>
          <w:szCs w:val="24"/>
        </w:rPr>
        <w:t xml:space="preserve"> Prioritising the enhancement of consumer enjoyment and fostering emblem loyalty among the customer. Investing in guest pride initiatives, personalised offerings, and remarkable stories can differentiate the lodge from competitors and foster robust emotional connections with guests. Implementing a complete purchaser dating management (CRM) device can assist seize guest choices, comments, and conduct styles, allowing personalised advertising efforts and centred promotions (</w:t>
      </w:r>
      <w:r>
        <w:rPr>
          <w:rFonts w:eastAsia="Times New Roman" w:cs="Times New Roman"/>
          <w:color w:val="222222"/>
          <w:szCs w:val="24"/>
          <w:highlight w:val="white"/>
        </w:rPr>
        <w:t>Sandrin, 2021)</w:t>
      </w:r>
      <w:r>
        <w:rPr>
          <w:rFonts w:eastAsia="Times New Roman" w:cs="Times New Roman"/>
          <w:szCs w:val="24"/>
        </w:rPr>
        <w:t>. Moreover, The Seacrest Lodge has to be cognisance of building a faithful client base through loyalty programs, rewards schemes, and special privileges for repeat guests. The firm can cultivate a loyal following, drive repeat business, and secure its function as a favoured destination within the marketplace.</w:t>
      </w:r>
    </w:p>
    <w:p w14:paraId="0F6DAB95" w14:textId="77777777" w:rsidR="00D86249" w:rsidRDefault="00000000">
      <w:pPr>
        <w:spacing w:before="240" w:after="240"/>
        <w:rPr>
          <w:rFonts w:eastAsia="Times New Roman" w:cs="Times New Roman"/>
          <w:szCs w:val="24"/>
        </w:rPr>
      </w:pPr>
      <w:r>
        <w:rPr>
          <w:rFonts w:eastAsia="Times New Roman" w:cs="Times New Roman"/>
          <w:b/>
          <w:i/>
          <w:szCs w:val="24"/>
        </w:rPr>
        <w:t xml:space="preserve">Innovation and Technology Integration: </w:t>
      </w:r>
      <w:r>
        <w:rPr>
          <w:rFonts w:eastAsia="Times New Roman" w:cs="Times New Roman"/>
          <w:szCs w:val="24"/>
        </w:rPr>
        <w:t xml:space="preserve">Embracing innovation and integrating technology into its operations is critical for The Seacrest Lodge to stay ahead of enterprise traits and continue to be aggressive ultimately within the competitive market. The business entity must spend money on technological advancements which include cloud-based management structures (PMS), cell test-in/out options, and guest engagement structures to streamline </w:t>
      </w:r>
      <w:r>
        <w:rPr>
          <w:rFonts w:eastAsia="Times New Roman" w:cs="Times New Roman"/>
          <w:szCs w:val="24"/>
        </w:rPr>
        <w:lastRenderedPageBreak/>
        <w:t>operations and enhance efficiency (</w:t>
      </w:r>
      <w:r>
        <w:rPr>
          <w:rFonts w:eastAsia="Times New Roman" w:cs="Times New Roman"/>
          <w:color w:val="222222"/>
          <w:szCs w:val="24"/>
          <w:highlight w:val="white"/>
        </w:rPr>
        <w:t xml:space="preserve">Kineber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2022)</w:t>
      </w:r>
      <w:r>
        <w:rPr>
          <w:rFonts w:eastAsia="Times New Roman" w:cs="Times New Roman"/>
          <w:szCs w:val="24"/>
        </w:rPr>
        <w:t xml:space="preserve">. Moreover, leveraging facts analytics and commercial enterprise intelligence equipment can provide valuable insights into guest alternatives, market traits, and overall performance metrics, allowing statistics-driven choice-making and strategic planning. The Seacrest Lodge should additionally explore possibilities for innovation in services, offerings, and guest stories, including incorporating clever room features, immersive virtual tours, or virtual concierge offerings. The Seacrest Lodge can enhance operational effectiveness, optimise useful resource usage, and deliver progressive solutions that meet the evolving desires of guests, positioning itself for sustained increase and competitiveness in a long time. </w:t>
      </w:r>
    </w:p>
    <w:p w14:paraId="7D5C39DC" w14:textId="77777777" w:rsidR="00D86249" w:rsidRDefault="00D86249">
      <w:pPr>
        <w:spacing w:before="240" w:after="240"/>
        <w:rPr>
          <w:rFonts w:eastAsia="Times New Roman" w:cs="Times New Roman"/>
          <w:szCs w:val="24"/>
        </w:rPr>
      </w:pPr>
    </w:p>
    <w:p w14:paraId="562498BE" w14:textId="77777777" w:rsidR="00D86249" w:rsidRDefault="00D86249">
      <w:pPr>
        <w:spacing w:before="240" w:after="240"/>
        <w:rPr>
          <w:rFonts w:eastAsia="Times New Roman" w:cs="Times New Roman"/>
          <w:szCs w:val="24"/>
        </w:rPr>
      </w:pPr>
    </w:p>
    <w:p w14:paraId="5504998C" w14:textId="77777777" w:rsidR="00D86249" w:rsidRDefault="00D86249">
      <w:pPr>
        <w:spacing w:before="240" w:after="240"/>
        <w:rPr>
          <w:rFonts w:eastAsia="Times New Roman" w:cs="Times New Roman"/>
          <w:szCs w:val="24"/>
        </w:rPr>
      </w:pPr>
    </w:p>
    <w:p w14:paraId="2C83789C" w14:textId="77777777" w:rsidR="00D86249" w:rsidRDefault="00D86249">
      <w:pPr>
        <w:spacing w:before="240" w:after="240"/>
        <w:rPr>
          <w:rFonts w:eastAsia="Times New Roman" w:cs="Times New Roman"/>
          <w:szCs w:val="24"/>
        </w:rPr>
      </w:pPr>
    </w:p>
    <w:p w14:paraId="4AB6CFF7" w14:textId="77777777" w:rsidR="00D86249" w:rsidRDefault="00000000">
      <w:pPr>
        <w:rPr>
          <w:rFonts w:eastAsia="Times New Roman" w:cs="Times New Roman"/>
          <w:b/>
          <w:sz w:val="28"/>
          <w:szCs w:val="28"/>
        </w:rPr>
      </w:pPr>
      <w:r>
        <w:rPr>
          <w:rFonts w:eastAsia="Times New Roman" w:cs="Times New Roman"/>
          <w:b/>
          <w:sz w:val="28"/>
          <w:szCs w:val="28"/>
        </w:rPr>
        <w:t xml:space="preserve"> </w:t>
      </w:r>
      <w:r>
        <w:br w:type="page"/>
      </w:r>
    </w:p>
    <w:p w14:paraId="625501A8" w14:textId="77777777" w:rsidR="00D86249" w:rsidRDefault="00000000" w:rsidP="0065727D">
      <w:pPr>
        <w:pStyle w:val="Heading1"/>
      </w:pPr>
      <w:bookmarkStart w:id="5" w:name="_Toc159005387"/>
      <w:r>
        <w:lastRenderedPageBreak/>
        <w:t>Conclusion</w:t>
      </w:r>
      <w:bookmarkEnd w:id="5"/>
      <w:r>
        <w:t xml:space="preserve"> </w:t>
      </w:r>
    </w:p>
    <w:p w14:paraId="722D7C72" w14:textId="77777777" w:rsidR="00D86249" w:rsidRDefault="00000000">
      <w:pPr>
        <w:rPr>
          <w:rFonts w:eastAsia="Times New Roman" w:cs="Times New Roman"/>
          <w:b/>
          <w:sz w:val="28"/>
          <w:szCs w:val="28"/>
        </w:rPr>
      </w:pPr>
      <w:r>
        <w:rPr>
          <w:rFonts w:eastAsia="Times New Roman" w:cs="Times New Roman"/>
          <w:szCs w:val="24"/>
        </w:rPr>
        <w:t xml:space="preserve">The performance and profitability of The Seacrest Lodge for the three years has been presented which showed a downfall in the revenue of the firm. The firm needs to improve its performance by following turnaround strategies to recover its performance within a year. A strong leader is required along with effective communication to improve the position of the firm within the hospitality industry. Sustainable growth and diversification, advanced technology and enhanced customer services can assist the firm to improve its performance in the long run. Thus, The Seacrest Lodge needs to improve its operational effectiveness to make optimum utilisation of the resources. </w:t>
      </w:r>
      <w:r>
        <w:br w:type="page"/>
      </w:r>
    </w:p>
    <w:p w14:paraId="560C0943" w14:textId="77777777" w:rsidR="00D86249" w:rsidRDefault="00000000" w:rsidP="0065727D">
      <w:pPr>
        <w:pStyle w:val="Heading1"/>
      </w:pPr>
      <w:bookmarkStart w:id="6" w:name="_Toc159005388"/>
      <w:r>
        <w:lastRenderedPageBreak/>
        <w:t>References</w:t>
      </w:r>
      <w:bookmarkEnd w:id="6"/>
      <w:r>
        <w:t xml:space="preserve"> </w:t>
      </w:r>
    </w:p>
    <w:p w14:paraId="26CC4641" w14:textId="77777777" w:rsidR="00D86249" w:rsidRDefault="00000000">
      <w:pPr>
        <w:rPr>
          <w:rFonts w:eastAsia="Times New Roman" w:cs="Times New Roman"/>
          <w:color w:val="222222"/>
          <w:szCs w:val="24"/>
          <w:highlight w:val="white"/>
        </w:rPr>
      </w:pPr>
      <w:r>
        <w:rPr>
          <w:rFonts w:eastAsia="Times New Roman" w:cs="Times New Roman"/>
          <w:color w:val="222222"/>
          <w:szCs w:val="24"/>
          <w:highlight w:val="white"/>
        </w:rPr>
        <w:t xml:space="preserve">Abinzano, I., Gonzalez-Urteaga, A., Muga, L. and Sanchez, S., (2020). Performance of default-risk measures: the sample matters. </w:t>
      </w:r>
      <w:r>
        <w:rPr>
          <w:rFonts w:eastAsia="Times New Roman" w:cs="Times New Roman"/>
          <w:i/>
          <w:color w:val="222222"/>
          <w:szCs w:val="24"/>
          <w:highlight w:val="white"/>
        </w:rPr>
        <w:t>Journal of Banking &amp; Finance</w:t>
      </w:r>
      <w:r>
        <w:rPr>
          <w:rFonts w:eastAsia="Times New Roman" w:cs="Times New Roman"/>
          <w:color w:val="222222"/>
          <w:szCs w:val="24"/>
          <w:highlight w:val="white"/>
        </w:rPr>
        <w:t xml:space="preserve">, </w:t>
      </w:r>
      <w:r>
        <w:rPr>
          <w:rFonts w:eastAsia="Times New Roman" w:cs="Times New Roman"/>
          <w:i/>
          <w:color w:val="222222"/>
          <w:szCs w:val="24"/>
          <w:highlight w:val="white"/>
        </w:rPr>
        <w:t>120</w:t>
      </w:r>
      <w:r>
        <w:rPr>
          <w:rFonts w:eastAsia="Times New Roman" w:cs="Times New Roman"/>
          <w:color w:val="222222"/>
          <w:szCs w:val="24"/>
          <w:highlight w:val="white"/>
        </w:rPr>
        <w:t>, p.105959.</w:t>
      </w:r>
    </w:p>
    <w:p w14:paraId="05AFE935" w14:textId="77777777" w:rsidR="00D86249" w:rsidRDefault="00000000">
      <w:pPr>
        <w:rPr>
          <w:rFonts w:eastAsia="Times New Roman" w:cs="Times New Roman"/>
          <w:color w:val="222222"/>
          <w:szCs w:val="24"/>
          <w:highlight w:val="white"/>
        </w:rPr>
      </w:pPr>
      <w:r>
        <w:rPr>
          <w:rFonts w:eastAsia="Times New Roman" w:cs="Times New Roman"/>
          <w:color w:val="222222"/>
          <w:szCs w:val="24"/>
          <w:highlight w:val="white"/>
        </w:rPr>
        <w:t xml:space="preserve">Barker, R., Lennard, A., Penman, S. and Teixeira, A., (2022). Accounting for intangible assets: suggested solutions. </w:t>
      </w:r>
      <w:r>
        <w:rPr>
          <w:rFonts w:eastAsia="Times New Roman" w:cs="Times New Roman"/>
          <w:i/>
          <w:color w:val="222222"/>
          <w:szCs w:val="24"/>
          <w:highlight w:val="white"/>
        </w:rPr>
        <w:t>Accounting and Business Research</w:t>
      </w:r>
      <w:r>
        <w:rPr>
          <w:rFonts w:eastAsia="Times New Roman" w:cs="Times New Roman"/>
          <w:color w:val="222222"/>
          <w:szCs w:val="24"/>
          <w:highlight w:val="white"/>
        </w:rPr>
        <w:t xml:space="preserve">, </w:t>
      </w:r>
      <w:r>
        <w:rPr>
          <w:rFonts w:eastAsia="Times New Roman" w:cs="Times New Roman"/>
          <w:i/>
          <w:color w:val="222222"/>
          <w:szCs w:val="24"/>
          <w:highlight w:val="white"/>
        </w:rPr>
        <w:t>52</w:t>
      </w:r>
      <w:r>
        <w:rPr>
          <w:rFonts w:eastAsia="Times New Roman" w:cs="Times New Roman"/>
          <w:color w:val="222222"/>
          <w:szCs w:val="24"/>
          <w:highlight w:val="white"/>
        </w:rPr>
        <w:t>(6), pp.601-630.</w:t>
      </w:r>
    </w:p>
    <w:p w14:paraId="48925591" w14:textId="77777777" w:rsidR="00D86249" w:rsidRDefault="00000000">
      <w:pPr>
        <w:rPr>
          <w:rFonts w:eastAsia="Times New Roman" w:cs="Times New Roman"/>
          <w:color w:val="222222"/>
          <w:szCs w:val="24"/>
          <w:highlight w:val="white"/>
        </w:rPr>
      </w:pPr>
      <w:r>
        <w:rPr>
          <w:rFonts w:eastAsia="Times New Roman" w:cs="Times New Roman"/>
          <w:color w:val="222222"/>
          <w:szCs w:val="24"/>
          <w:highlight w:val="white"/>
        </w:rPr>
        <w:t xml:space="preserve">Bunn, P., Anayi, L.S., Bloom, N., Mizen, P., Thwaites, G. and Yotzov, I., (2022). </w:t>
      </w:r>
      <w:r>
        <w:rPr>
          <w:rFonts w:eastAsia="Times New Roman" w:cs="Times New Roman"/>
          <w:i/>
          <w:color w:val="222222"/>
          <w:szCs w:val="24"/>
          <w:highlight w:val="white"/>
        </w:rPr>
        <w:t>Firming up price inflation</w:t>
      </w:r>
      <w:r>
        <w:rPr>
          <w:rFonts w:eastAsia="Times New Roman" w:cs="Times New Roman"/>
          <w:color w:val="222222"/>
          <w:szCs w:val="24"/>
          <w:highlight w:val="white"/>
        </w:rPr>
        <w:t xml:space="preserve"> (No. w30505). National Bureau of Economic Research.</w:t>
      </w:r>
    </w:p>
    <w:p w14:paraId="30E9882C" w14:textId="77777777" w:rsidR="00D86249" w:rsidRDefault="00000000">
      <w:pPr>
        <w:rPr>
          <w:rFonts w:eastAsia="Times New Roman" w:cs="Times New Roman"/>
          <w:color w:val="222222"/>
          <w:szCs w:val="24"/>
          <w:highlight w:val="white"/>
        </w:rPr>
      </w:pPr>
      <w:r>
        <w:rPr>
          <w:rFonts w:eastAsia="Times New Roman" w:cs="Times New Roman"/>
          <w:color w:val="222222"/>
          <w:szCs w:val="24"/>
          <w:highlight w:val="white"/>
        </w:rPr>
        <w:t xml:space="preserve">Godfrey, P.C., Lauria, E., Bugalla, J. and Narvaez, K., (2020). </w:t>
      </w:r>
      <w:r>
        <w:rPr>
          <w:rFonts w:eastAsia="Times New Roman" w:cs="Times New Roman"/>
          <w:i/>
          <w:color w:val="222222"/>
          <w:szCs w:val="24"/>
          <w:highlight w:val="white"/>
        </w:rPr>
        <w:t>Strategic risk management: New tools for competitive advantage in an uncertain age</w:t>
      </w:r>
      <w:r>
        <w:rPr>
          <w:rFonts w:eastAsia="Times New Roman" w:cs="Times New Roman"/>
          <w:color w:val="222222"/>
          <w:szCs w:val="24"/>
          <w:highlight w:val="white"/>
        </w:rPr>
        <w:t>. Berrett-Koehler Publishers.</w:t>
      </w:r>
    </w:p>
    <w:p w14:paraId="0A19DA6D" w14:textId="77777777" w:rsidR="00D86249" w:rsidRDefault="00000000">
      <w:pPr>
        <w:rPr>
          <w:rFonts w:eastAsia="Times New Roman" w:cs="Times New Roman"/>
          <w:color w:val="222222"/>
          <w:szCs w:val="24"/>
          <w:highlight w:val="white"/>
        </w:rPr>
      </w:pPr>
      <w:r>
        <w:rPr>
          <w:rFonts w:eastAsia="Times New Roman" w:cs="Times New Roman"/>
          <w:color w:val="222222"/>
          <w:szCs w:val="24"/>
          <w:highlight w:val="white"/>
        </w:rPr>
        <w:t xml:space="preserve">Gössling, S., Scott, D. and Hall, C.M., (2020). Pandemics, tourism and global change: a rapid assessment of COVID-19. </w:t>
      </w:r>
      <w:r>
        <w:rPr>
          <w:rFonts w:eastAsia="Times New Roman" w:cs="Times New Roman"/>
          <w:i/>
          <w:color w:val="222222"/>
          <w:szCs w:val="24"/>
          <w:highlight w:val="white"/>
        </w:rPr>
        <w:t>Journal of sustainable tourism</w:t>
      </w:r>
      <w:r>
        <w:rPr>
          <w:rFonts w:eastAsia="Times New Roman" w:cs="Times New Roman"/>
          <w:color w:val="222222"/>
          <w:szCs w:val="24"/>
          <w:highlight w:val="white"/>
        </w:rPr>
        <w:t xml:space="preserve">, </w:t>
      </w:r>
      <w:r>
        <w:rPr>
          <w:rFonts w:eastAsia="Times New Roman" w:cs="Times New Roman"/>
          <w:i/>
          <w:color w:val="222222"/>
          <w:szCs w:val="24"/>
          <w:highlight w:val="white"/>
        </w:rPr>
        <w:t>29</w:t>
      </w:r>
      <w:r>
        <w:rPr>
          <w:rFonts w:eastAsia="Times New Roman" w:cs="Times New Roman"/>
          <w:color w:val="222222"/>
          <w:szCs w:val="24"/>
          <w:highlight w:val="white"/>
        </w:rPr>
        <w:t>(1), pp.1-20.</w:t>
      </w:r>
    </w:p>
    <w:p w14:paraId="1CDD444B" w14:textId="77777777" w:rsidR="00D86249" w:rsidRDefault="00000000">
      <w:pPr>
        <w:rPr>
          <w:rFonts w:eastAsia="Times New Roman" w:cs="Times New Roman"/>
          <w:color w:val="222222"/>
          <w:szCs w:val="24"/>
          <w:highlight w:val="white"/>
        </w:rPr>
      </w:pPr>
      <w:r>
        <w:rPr>
          <w:rFonts w:eastAsia="Times New Roman" w:cs="Times New Roman"/>
          <w:color w:val="222222"/>
          <w:szCs w:val="24"/>
          <w:highlight w:val="white"/>
        </w:rPr>
        <w:t xml:space="preserve">Houston, B., (2023). </w:t>
      </w:r>
      <w:r>
        <w:rPr>
          <w:rFonts w:eastAsia="Times New Roman" w:cs="Times New Roman"/>
          <w:i/>
          <w:color w:val="222222"/>
          <w:szCs w:val="24"/>
          <w:highlight w:val="white"/>
        </w:rPr>
        <w:t>Changing Models for Journalism: Reinventing the Newsroom</w:t>
      </w:r>
      <w:r>
        <w:rPr>
          <w:rFonts w:eastAsia="Times New Roman" w:cs="Times New Roman"/>
          <w:color w:val="222222"/>
          <w:szCs w:val="24"/>
          <w:highlight w:val="white"/>
        </w:rPr>
        <w:t>. Taylor &amp; Francis.</w:t>
      </w:r>
    </w:p>
    <w:p w14:paraId="58D1A61D" w14:textId="77777777" w:rsidR="004D4E76" w:rsidRDefault="00000000">
      <w:r>
        <w:rPr>
          <w:rFonts w:eastAsia="Times New Roman" w:cs="Times New Roman"/>
          <w:color w:val="222222"/>
          <w:szCs w:val="24"/>
          <w:highlight w:val="white"/>
        </w:rPr>
        <w:t xml:space="preserve">Kineber, A.F., Oke, A.E., Alyanbaawi, A., Abubakar, A.S. and Hamed, M.M., (2022). Exploring the Cloud Computing Implementation Drivers for Sustainable Construction Projects—A Structural Equation Modeling Approach. </w:t>
      </w:r>
      <w:r>
        <w:rPr>
          <w:rFonts w:eastAsia="Times New Roman" w:cs="Times New Roman"/>
          <w:i/>
          <w:color w:val="222222"/>
          <w:szCs w:val="24"/>
          <w:highlight w:val="white"/>
        </w:rPr>
        <w:t>Sustainability</w:t>
      </w:r>
      <w:r>
        <w:rPr>
          <w:rFonts w:eastAsia="Times New Roman" w:cs="Times New Roman"/>
          <w:color w:val="222222"/>
          <w:szCs w:val="24"/>
          <w:highlight w:val="white"/>
        </w:rPr>
        <w:t xml:space="preserve">, </w:t>
      </w:r>
      <w:r>
        <w:rPr>
          <w:rFonts w:eastAsia="Times New Roman" w:cs="Times New Roman"/>
          <w:i/>
          <w:color w:val="222222"/>
          <w:szCs w:val="24"/>
          <w:highlight w:val="white"/>
        </w:rPr>
        <w:t>14</w:t>
      </w:r>
      <w:r>
        <w:rPr>
          <w:rFonts w:eastAsia="Times New Roman" w:cs="Times New Roman"/>
          <w:color w:val="222222"/>
          <w:szCs w:val="24"/>
          <w:highlight w:val="white"/>
        </w:rPr>
        <w:t>(22), p.14789.</w:t>
      </w:r>
    </w:p>
    <w:p w14:paraId="4226D658" w14:textId="01BA0800" w:rsidR="00D86249" w:rsidRPr="004D4E76" w:rsidRDefault="00000000">
      <w:pPr>
        <w:rPr>
          <w:rFonts w:eastAsia="Times New Roman" w:cs="Times New Roman"/>
          <w:szCs w:val="24"/>
        </w:rPr>
      </w:pPr>
      <w:r>
        <w:rPr>
          <w:rFonts w:eastAsia="Times New Roman" w:cs="Times New Roman"/>
          <w:color w:val="222222"/>
          <w:szCs w:val="24"/>
          <w:highlight w:val="white"/>
        </w:rPr>
        <w:t xml:space="preserve">Kossecki, P. and Kossecki, S., (2020). Application of multivariate statistical analysis for valuation of copyrights in the hotel industry. </w:t>
      </w:r>
      <w:r>
        <w:rPr>
          <w:rFonts w:eastAsia="Times New Roman" w:cs="Times New Roman"/>
          <w:i/>
          <w:color w:val="222222"/>
          <w:szCs w:val="24"/>
          <w:highlight w:val="white"/>
        </w:rPr>
        <w:t>International Advances in Economic Research</w:t>
      </w:r>
      <w:r>
        <w:rPr>
          <w:rFonts w:eastAsia="Times New Roman" w:cs="Times New Roman"/>
          <w:color w:val="222222"/>
          <w:szCs w:val="24"/>
          <w:highlight w:val="white"/>
        </w:rPr>
        <w:t xml:space="preserve">, </w:t>
      </w:r>
      <w:r>
        <w:rPr>
          <w:rFonts w:eastAsia="Times New Roman" w:cs="Times New Roman"/>
          <w:i/>
          <w:color w:val="222222"/>
          <w:szCs w:val="24"/>
          <w:highlight w:val="white"/>
        </w:rPr>
        <w:t>26</w:t>
      </w:r>
      <w:r>
        <w:rPr>
          <w:rFonts w:eastAsia="Times New Roman" w:cs="Times New Roman"/>
          <w:color w:val="222222"/>
          <w:szCs w:val="24"/>
          <w:highlight w:val="white"/>
        </w:rPr>
        <w:t>(1), pp.103-117.</w:t>
      </w:r>
    </w:p>
    <w:p w14:paraId="66F9C3E9" w14:textId="77777777" w:rsidR="00D86249" w:rsidRDefault="00000000">
      <w:pPr>
        <w:rPr>
          <w:rFonts w:eastAsia="Times New Roman" w:cs="Times New Roman"/>
          <w:color w:val="222222"/>
          <w:szCs w:val="24"/>
          <w:highlight w:val="white"/>
        </w:rPr>
      </w:pPr>
      <w:r>
        <w:rPr>
          <w:rFonts w:eastAsia="Times New Roman" w:cs="Times New Roman"/>
          <w:color w:val="222222"/>
          <w:szCs w:val="24"/>
          <w:highlight w:val="white"/>
        </w:rPr>
        <w:t xml:space="preserve">Kryscynski, D., Coff, R. and Campbell, B., (2021). Charting a path between firm‐specific incentives and human capital‐based competitive advantage. </w:t>
      </w:r>
      <w:r>
        <w:rPr>
          <w:rFonts w:eastAsia="Times New Roman" w:cs="Times New Roman"/>
          <w:i/>
          <w:color w:val="222222"/>
          <w:szCs w:val="24"/>
          <w:highlight w:val="white"/>
        </w:rPr>
        <w:t>Strategic Management Journal</w:t>
      </w:r>
      <w:r>
        <w:rPr>
          <w:rFonts w:eastAsia="Times New Roman" w:cs="Times New Roman"/>
          <w:color w:val="222222"/>
          <w:szCs w:val="24"/>
          <w:highlight w:val="white"/>
        </w:rPr>
        <w:t xml:space="preserve">, </w:t>
      </w:r>
      <w:r>
        <w:rPr>
          <w:rFonts w:eastAsia="Times New Roman" w:cs="Times New Roman"/>
          <w:i/>
          <w:color w:val="222222"/>
          <w:szCs w:val="24"/>
          <w:highlight w:val="white"/>
        </w:rPr>
        <w:t>42</w:t>
      </w:r>
      <w:r>
        <w:rPr>
          <w:rFonts w:eastAsia="Times New Roman" w:cs="Times New Roman"/>
          <w:color w:val="222222"/>
          <w:szCs w:val="24"/>
          <w:highlight w:val="white"/>
        </w:rPr>
        <w:t>(2), pp.386-412.</w:t>
      </w:r>
    </w:p>
    <w:p w14:paraId="16DDA899" w14:textId="77777777" w:rsidR="00D86249" w:rsidRDefault="00000000">
      <w:pPr>
        <w:rPr>
          <w:rFonts w:eastAsia="Times New Roman" w:cs="Times New Roman"/>
          <w:color w:val="222222"/>
          <w:szCs w:val="24"/>
          <w:highlight w:val="white"/>
        </w:rPr>
      </w:pPr>
      <w:r>
        <w:rPr>
          <w:rFonts w:eastAsia="Times New Roman" w:cs="Times New Roman"/>
          <w:color w:val="222222"/>
          <w:szCs w:val="24"/>
          <w:highlight w:val="white"/>
        </w:rPr>
        <w:t xml:space="preserve">Pletsas, D., Barrento, S., Masters, I. and Atkinson-Willes, J., (2022). Tourism. In </w:t>
      </w:r>
      <w:r>
        <w:rPr>
          <w:rFonts w:eastAsia="Times New Roman" w:cs="Times New Roman"/>
          <w:i/>
          <w:color w:val="222222"/>
          <w:szCs w:val="24"/>
          <w:highlight w:val="white"/>
        </w:rPr>
        <w:t>Building Industries at Sea-‘Blue Growth’and the New Maritime Economy</w:t>
      </w:r>
      <w:r>
        <w:rPr>
          <w:rFonts w:eastAsia="Times New Roman" w:cs="Times New Roman"/>
          <w:color w:val="222222"/>
          <w:szCs w:val="24"/>
          <w:highlight w:val="white"/>
        </w:rPr>
        <w:t xml:space="preserve"> (pp. 285-309). River Publishers.</w:t>
      </w:r>
    </w:p>
    <w:p w14:paraId="5099BF16" w14:textId="77777777" w:rsidR="00D86249" w:rsidRDefault="00000000">
      <w:pPr>
        <w:rPr>
          <w:rFonts w:eastAsia="Times New Roman" w:cs="Times New Roman"/>
          <w:color w:val="222222"/>
          <w:szCs w:val="24"/>
          <w:highlight w:val="white"/>
        </w:rPr>
      </w:pPr>
      <w:r>
        <w:rPr>
          <w:rFonts w:eastAsia="Times New Roman" w:cs="Times New Roman"/>
          <w:color w:val="222222"/>
          <w:szCs w:val="24"/>
          <w:highlight w:val="white"/>
        </w:rPr>
        <w:lastRenderedPageBreak/>
        <w:t xml:space="preserve">Price, S., Wilkinson, T. and Coles, T., (2022). Crisis? How small tourism businesses talk about COVID-19 and business change in the UK. </w:t>
      </w:r>
      <w:r>
        <w:rPr>
          <w:rFonts w:eastAsia="Times New Roman" w:cs="Times New Roman"/>
          <w:i/>
          <w:color w:val="222222"/>
          <w:szCs w:val="24"/>
          <w:highlight w:val="white"/>
        </w:rPr>
        <w:t>Current Issues in Tourism</w:t>
      </w:r>
      <w:r>
        <w:rPr>
          <w:rFonts w:eastAsia="Times New Roman" w:cs="Times New Roman"/>
          <w:color w:val="222222"/>
          <w:szCs w:val="24"/>
          <w:highlight w:val="white"/>
        </w:rPr>
        <w:t xml:space="preserve">, </w:t>
      </w:r>
      <w:r>
        <w:rPr>
          <w:rFonts w:eastAsia="Times New Roman" w:cs="Times New Roman"/>
          <w:i/>
          <w:color w:val="222222"/>
          <w:szCs w:val="24"/>
          <w:highlight w:val="white"/>
        </w:rPr>
        <w:t>25</w:t>
      </w:r>
      <w:r>
        <w:rPr>
          <w:rFonts w:eastAsia="Times New Roman" w:cs="Times New Roman"/>
          <w:color w:val="222222"/>
          <w:szCs w:val="24"/>
          <w:highlight w:val="white"/>
        </w:rPr>
        <w:t>(7), pp.1088-1105.</w:t>
      </w:r>
    </w:p>
    <w:p w14:paraId="04374408" w14:textId="32D864B9" w:rsidR="00D86249" w:rsidRPr="004D4E76" w:rsidRDefault="00000000">
      <w:pPr>
        <w:rPr>
          <w:rFonts w:eastAsia="Times New Roman" w:cs="Times New Roman"/>
          <w:color w:val="222222"/>
          <w:szCs w:val="24"/>
          <w:highlight w:val="white"/>
        </w:rPr>
      </w:pPr>
      <w:r>
        <w:rPr>
          <w:rFonts w:eastAsia="Times New Roman" w:cs="Times New Roman"/>
          <w:color w:val="222222"/>
          <w:szCs w:val="24"/>
          <w:highlight w:val="white"/>
        </w:rPr>
        <w:t>Sandrin, V., (2021). The Struggle between Human-centredness and Intelligent Technologies: a Critical Discussion on the Use of Customer Data in Marketing Practice-A Survey Analysis of the RIR Clusters in Veneto.</w:t>
      </w:r>
    </w:p>
    <w:p w14:paraId="5739A76B" w14:textId="77777777" w:rsidR="00D86249" w:rsidRDefault="00D86249">
      <w:pPr>
        <w:rPr>
          <w:rFonts w:eastAsia="Times New Roman" w:cs="Times New Roman"/>
          <w:sz w:val="28"/>
          <w:szCs w:val="28"/>
        </w:rPr>
      </w:pPr>
    </w:p>
    <w:p w14:paraId="59D89CC5" w14:textId="77777777" w:rsidR="00D86249" w:rsidRDefault="00D86249">
      <w:pPr>
        <w:widowControl w:val="0"/>
        <w:pBdr>
          <w:top w:val="nil"/>
          <w:left w:val="nil"/>
          <w:bottom w:val="nil"/>
          <w:right w:val="nil"/>
          <w:between w:val="nil"/>
        </w:pBdr>
        <w:rPr>
          <w:rFonts w:eastAsia="Times New Roman" w:cs="Times New Roman"/>
          <w:sz w:val="28"/>
          <w:szCs w:val="28"/>
        </w:rPr>
      </w:pPr>
    </w:p>
    <w:sectPr w:rsidR="00D86249" w:rsidSect="00A07DFB">
      <w:headerReference w:type="default" r:id="rId10"/>
      <w:footerReference w:type="default" r:id="rId11"/>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AF264" w14:textId="77777777" w:rsidR="00A07DFB" w:rsidRDefault="00A07DFB" w:rsidP="0066783D">
      <w:pPr>
        <w:spacing w:line="240" w:lineRule="auto"/>
      </w:pPr>
      <w:r>
        <w:separator/>
      </w:r>
    </w:p>
  </w:endnote>
  <w:endnote w:type="continuationSeparator" w:id="0">
    <w:p w14:paraId="64A9D5C5" w14:textId="77777777" w:rsidR="00A07DFB" w:rsidRDefault="00A07DFB" w:rsidP="006678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7068F5" w14:textId="77777777" w:rsidR="0066783D" w:rsidRDefault="0066783D">
    <w:pPr>
      <w:pStyle w:val="Footer"/>
      <w:jc w:val="right"/>
    </w:pPr>
  </w:p>
  <w:sdt>
    <w:sdtPr>
      <w:id w:val="-1240944320"/>
      <w:docPartObj>
        <w:docPartGallery w:val="Page Numbers (Bottom of Page)"/>
        <w:docPartUnique/>
      </w:docPartObj>
    </w:sdtPr>
    <w:sdtContent>
      <w:sdt>
        <w:sdtPr>
          <w:id w:val="-1769616900"/>
          <w:docPartObj>
            <w:docPartGallery w:val="Page Numbers (Top of Page)"/>
            <w:docPartUnique/>
          </w:docPartObj>
        </w:sdtPr>
        <w:sdtContent>
          <w:p w14:paraId="54AE9646" w14:textId="1FE67056" w:rsidR="0066783D" w:rsidRDefault="0066783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0175239" w14:textId="77777777" w:rsidR="0066783D" w:rsidRDefault="006678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35088" w14:textId="77777777" w:rsidR="00A07DFB" w:rsidRDefault="00A07DFB" w:rsidP="0066783D">
      <w:pPr>
        <w:spacing w:line="240" w:lineRule="auto"/>
      </w:pPr>
      <w:r>
        <w:separator/>
      </w:r>
    </w:p>
  </w:footnote>
  <w:footnote w:type="continuationSeparator" w:id="0">
    <w:p w14:paraId="595CD48D" w14:textId="77777777" w:rsidR="00A07DFB" w:rsidRDefault="00A07DFB" w:rsidP="006678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8E006" w14:textId="5A8189DC" w:rsidR="0066783D" w:rsidRDefault="0066783D" w:rsidP="0066783D">
    <w:pPr>
      <w:pStyle w:val="Header"/>
      <w:jc w:val="right"/>
    </w:pPr>
    <w:r w:rsidRPr="0066783D">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removePersonalInformation/>
  <w:removeDateAndTime/>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6249"/>
    <w:rsid w:val="000201DB"/>
    <w:rsid w:val="000270D5"/>
    <w:rsid w:val="00104DB3"/>
    <w:rsid w:val="00160EE1"/>
    <w:rsid w:val="002036EC"/>
    <w:rsid w:val="00245FC5"/>
    <w:rsid w:val="002536A3"/>
    <w:rsid w:val="00271A7C"/>
    <w:rsid w:val="00402E0D"/>
    <w:rsid w:val="004B25B9"/>
    <w:rsid w:val="004D4E76"/>
    <w:rsid w:val="00540193"/>
    <w:rsid w:val="00595CD3"/>
    <w:rsid w:val="005A0B8B"/>
    <w:rsid w:val="005D325E"/>
    <w:rsid w:val="0065727D"/>
    <w:rsid w:val="0066783D"/>
    <w:rsid w:val="0071435D"/>
    <w:rsid w:val="007702EF"/>
    <w:rsid w:val="007A22D4"/>
    <w:rsid w:val="00900AA5"/>
    <w:rsid w:val="00997287"/>
    <w:rsid w:val="00A07DFB"/>
    <w:rsid w:val="00CF3213"/>
    <w:rsid w:val="00D86249"/>
    <w:rsid w:val="00ED5FA1"/>
    <w:rsid w:val="00F339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877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CD3"/>
    <w:pPr>
      <w:spacing w:line="480" w:lineRule="auto"/>
      <w:jc w:val="both"/>
    </w:pPr>
    <w:rPr>
      <w:rFonts w:ascii="Times New Roman" w:hAnsi="Times New Roman"/>
      <w:sz w:val="24"/>
    </w:rPr>
  </w:style>
  <w:style w:type="paragraph" w:styleId="Heading1">
    <w:name w:val="heading 1"/>
    <w:basedOn w:val="Normal"/>
    <w:next w:val="Normal"/>
    <w:autoRedefine/>
    <w:uiPriority w:val="9"/>
    <w:qFormat/>
    <w:rsid w:val="00595CD3"/>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TOCHeading">
    <w:name w:val="TOC Heading"/>
    <w:basedOn w:val="Heading1"/>
    <w:next w:val="Normal"/>
    <w:uiPriority w:val="39"/>
    <w:unhideWhenUsed/>
    <w:qFormat/>
    <w:rsid w:val="007702E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702EF"/>
    <w:pPr>
      <w:spacing w:after="100"/>
    </w:pPr>
  </w:style>
  <w:style w:type="character" w:styleId="Hyperlink">
    <w:name w:val="Hyperlink"/>
    <w:basedOn w:val="DefaultParagraphFont"/>
    <w:uiPriority w:val="99"/>
    <w:unhideWhenUsed/>
    <w:rsid w:val="007702EF"/>
    <w:rPr>
      <w:color w:val="0000FF" w:themeColor="hyperlink"/>
      <w:u w:val="single"/>
    </w:rPr>
  </w:style>
  <w:style w:type="paragraph" w:styleId="Header">
    <w:name w:val="header"/>
    <w:basedOn w:val="Normal"/>
    <w:link w:val="HeaderChar"/>
    <w:uiPriority w:val="99"/>
    <w:unhideWhenUsed/>
    <w:rsid w:val="0066783D"/>
    <w:pPr>
      <w:tabs>
        <w:tab w:val="center" w:pos="4680"/>
        <w:tab w:val="right" w:pos="9360"/>
      </w:tabs>
      <w:spacing w:line="240" w:lineRule="auto"/>
    </w:pPr>
  </w:style>
  <w:style w:type="character" w:customStyle="1" w:styleId="HeaderChar">
    <w:name w:val="Header Char"/>
    <w:basedOn w:val="DefaultParagraphFont"/>
    <w:link w:val="Header"/>
    <w:uiPriority w:val="99"/>
    <w:rsid w:val="0066783D"/>
    <w:rPr>
      <w:rFonts w:ascii="Times New Roman" w:hAnsi="Times New Roman"/>
      <w:sz w:val="24"/>
    </w:rPr>
  </w:style>
  <w:style w:type="paragraph" w:styleId="Footer">
    <w:name w:val="footer"/>
    <w:basedOn w:val="Normal"/>
    <w:link w:val="FooterChar"/>
    <w:uiPriority w:val="99"/>
    <w:unhideWhenUsed/>
    <w:rsid w:val="0066783D"/>
    <w:pPr>
      <w:tabs>
        <w:tab w:val="center" w:pos="4680"/>
        <w:tab w:val="right" w:pos="9360"/>
      </w:tabs>
      <w:spacing w:line="240" w:lineRule="auto"/>
    </w:pPr>
  </w:style>
  <w:style w:type="character" w:customStyle="1" w:styleId="FooterChar">
    <w:name w:val="Footer Char"/>
    <w:basedOn w:val="DefaultParagraphFont"/>
    <w:link w:val="Footer"/>
    <w:uiPriority w:val="99"/>
    <w:rsid w:val="0066783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3E5B04-8347-40BA-AB1B-7253912F9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2523</Words>
  <Characters>14386</Characters>
  <Application>Microsoft Office Word</Application>
  <DocSecurity>0</DocSecurity>
  <Lines>119</Lines>
  <Paragraphs>33</Paragraphs>
  <ScaleCrop>false</ScaleCrop>
  <Company/>
  <LinksUpToDate>false</LinksUpToDate>
  <CharactersWithSpaces>16876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2024-02-20T18:14:00Z</dcterms:created>
  <dcterms:modified xsi:type="dcterms:W3CDTF">2024-02-28T20:00:00Z</dcterms:modified>
</cp:coreProperties>
</file>