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D21A30" w:rsidRPr="00FF1FFD" w:rsidRDefault="00000000">
      <w:pPr>
        <w:jc w:val="center"/>
        <w:rPr>
          <w:b/>
          <w:sz w:val="56"/>
          <w:szCs w:val="56"/>
        </w:rPr>
      </w:pPr>
      <w:r w:rsidRPr="00FF1FFD">
        <w:rPr>
          <w:b/>
          <w:sz w:val="56"/>
          <w:szCs w:val="56"/>
        </w:rPr>
        <w:t>Module Title: Leading and Implementing Workplace Change</w:t>
      </w:r>
    </w:p>
    <w:p w14:paraId="089A37D6" w14:textId="77777777" w:rsidR="00FF1FFD" w:rsidRDefault="00FF1FFD">
      <w:pPr>
        <w:jc w:val="center"/>
        <w:rPr>
          <w:b/>
          <w:sz w:val="48"/>
          <w:szCs w:val="48"/>
        </w:rPr>
      </w:pPr>
    </w:p>
    <w:p w14:paraId="4333026E" w14:textId="77777777" w:rsidR="00FF1FFD" w:rsidRDefault="00FF1FFD">
      <w:pPr>
        <w:jc w:val="center"/>
        <w:rPr>
          <w:b/>
          <w:sz w:val="48"/>
          <w:szCs w:val="48"/>
        </w:rPr>
      </w:pPr>
    </w:p>
    <w:p w14:paraId="3AB2A93B" w14:textId="77777777" w:rsidR="00FF1FFD" w:rsidRDefault="00FF1FFD">
      <w:pPr>
        <w:jc w:val="center"/>
        <w:rPr>
          <w:b/>
          <w:sz w:val="48"/>
          <w:szCs w:val="48"/>
        </w:rPr>
      </w:pPr>
    </w:p>
    <w:p w14:paraId="3B19F1D5" w14:textId="77777777" w:rsidR="00FF1FFD" w:rsidRDefault="00FF1FFD">
      <w:pPr>
        <w:jc w:val="center"/>
        <w:rPr>
          <w:b/>
          <w:sz w:val="48"/>
          <w:szCs w:val="48"/>
        </w:rPr>
      </w:pPr>
    </w:p>
    <w:p w14:paraId="7A02211F" w14:textId="77777777" w:rsidR="00FF1FFD" w:rsidRDefault="00FF1FFD">
      <w:pPr>
        <w:jc w:val="center"/>
        <w:rPr>
          <w:b/>
          <w:sz w:val="48"/>
          <w:szCs w:val="48"/>
        </w:rPr>
      </w:pPr>
    </w:p>
    <w:p w14:paraId="59CD4520" w14:textId="6D5F3F09" w:rsidR="00FF1FFD" w:rsidRPr="00FF1FFD" w:rsidRDefault="00FF1FFD">
      <w:pPr>
        <w:jc w:val="center"/>
        <w:rPr>
          <w:b/>
          <w:sz w:val="48"/>
          <w:szCs w:val="48"/>
        </w:rPr>
      </w:pPr>
      <w:r w:rsidRPr="00FF1FFD">
        <w:rPr>
          <w:b/>
          <w:sz w:val="48"/>
          <w:szCs w:val="48"/>
        </w:rPr>
        <w:t>Lecturer: Dennis Pepple</w:t>
      </w:r>
    </w:p>
    <w:p w14:paraId="00000002" w14:textId="77777777" w:rsidR="00D21A30" w:rsidRPr="00FF1FFD" w:rsidRDefault="00000000">
      <w:pPr>
        <w:jc w:val="center"/>
        <w:rPr>
          <w:b/>
          <w:sz w:val="48"/>
          <w:szCs w:val="48"/>
        </w:rPr>
      </w:pPr>
      <w:r w:rsidRPr="00FF1FFD">
        <w:rPr>
          <w:b/>
          <w:sz w:val="48"/>
          <w:szCs w:val="48"/>
        </w:rPr>
        <w:t>Module Code: BMSW6103</w:t>
      </w:r>
    </w:p>
    <w:p w14:paraId="00000003" w14:textId="090B35BA" w:rsidR="00D21A30" w:rsidRPr="00FF1FFD" w:rsidRDefault="00000000">
      <w:pPr>
        <w:jc w:val="center"/>
        <w:rPr>
          <w:b/>
          <w:sz w:val="48"/>
          <w:szCs w:val="48"/>
        </w:rPr>
      </w:pPr>
      <w:r w:rsidRPr="00FF1FFD">
        <w:rPr>
          <w:b/>
          <w:sz w:val="48"/>
          <w:szCs w:val="48"/>
        </w:rPr>
        <w:t>Student Name:</w:t>
      </w:r>
      <w:r w:rsidR="00FF1FFD" w:rsidRPr="00FF1FFD">
        <w:rPr>
          <w:b/>
          <w:sz w:val="48"/>
          <w:szCs w:val="48"/>
        </w:rPr>
        <w:t xml:space="preserve"> Mihai Alexandru Netoi</w:t>
      </w:r>
    </w:p>
    <w:p w14:paraId="00000004" w14:textId="596978DA" w:rsidR="00D21A30" w:rsidRPr="00FF1FFD" w:rsidRDefault="00000000">
      <w:pPr>
        <w:jc w:val="center"/>
        <w:rPr>
          <w:b/>
          <w:sz w:val="48"/>
          <w:szCs w:val="48"/>
        </w:rPr>
      </w:pPr>
      <w:r w:rsidRPr="00FF1FFD">
        <w:rPr>
          <w:b/>
          <w:sz w:val="48"/>
          <w:szCs w:val="48"/>
        </w:rPr>
        <w:t>Student ID:</w:t>
      </w:r>
      <w:r w:rsidR="00FF1FFD" w:rsidRPr="00FF1FFD">
        <w:rPr>
          <w:b/>
          <w:sz w:val="48"/>
          <w:szCs w:val="48"/>
        </w:rPr>
        <w:t xml:space="preserve"> 2026780</w:t>
      </w:r>
    </w:p>
    <w:p w14:paraId="00000005" w14:textId="77777777" w:rsidR="00D21A30" w:rsidRDefault="00000000">
      <w:pPr>
        <w:rPr>
          <w:b/>
          <w:color w:val="000000"/>
          <w:sz w:val="36"/>
          <w:szCs w:val="36"/>
        </w:rPr>
      </w:pPr>
      <w:r>
        <w:br w:type="page"/>
      </w:r>
    </w:p>
    <w:p w14:paraId="00000006" w14:textId="77777777" w:rsidR="00D21A30" w:rsidRDefault="00000000">
      <w:pPr>
        <w:keepNext/>
        <w:keepLines/>
        <w:pBdr>
          <w:top w:val="nil"/>
          <w:left w:val="nil"/>
          <w:bottom w:val="nil"/>
          <w:right w:val="nil"/>
          <w:between w:val="nil"/>
        </w:pBdr>
        <w:spacing w:before="480" w:after="280"/>
        <w:jc w:val="center"/>
        <w:rPr>
          <w:rFonts w:ascii="Cambria" w:eastAsia="Cambria" w:hAnsi="Cambria" w:cs="Cambria"/>
          <w:b/>
          <w:color w:val="366091"/>
          <w:sz w:val="20"/>
          <w:szCs w:val="20"/>
        </w:rPr>
      </w:pPr>
      <w:r>
        <w:rPr>
          <w:b/>
          <w:color w:val="000000"/>
        </w:rPr>
        <w:lastRenderedPageBreak/>
        <w:t>Table of Contents</w:t>
      </w:r>
    </w:p>
    <w:bookmarkStart w:id="0" w:name="_heading=h.gjdgxs" w:colFirst="0" w:colLast="0" w:displacedByCustomXml="next"/>
    <w:bookmarkEnd w:id="0" w:displacedByCustomXml="next"/>
    <w:sdt>
      <w:sdtPr>
        <w:id w:val="688715504"/>
        <w:docPartObj>
          <w:docPartGallery w:val="Table of Contents"/>
          <w:docPartUnique/>
        </w:docPartObj>
      </w:sdtPr>
      <w:sdtContent>
        <w:p w14:paraId="00000007"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3</w:t>
            </w:r>
          </w:hyperlink>
          <w:r>
            <w:fldChar w:fldCharType="begin"/>
          </w:r>
          <w:r>
            <w:instrText xml:space="preserve"> HYPERLINK \l "_heading=h.30j0zll" </w:instrText>
          </w:r>
          <w:r>
            <w:fldChar w:fldCharType="separate"/>
          </w:r>
        </w:p>
        <w:p w14:paraId="00000008"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heading=h.1fob9te">
            <w:r>
              <w:rPr>
                <w:color w:val="000000"/>
              </w:rPr>
              <w:t>Using a relevant stakeholder analysis model, critically identify the stakeholders that should be engaged to resolve the crisis</w:t>
            </w:r>
            <w:r>
              <w:rPr>
                <w:color w:val="000000"/>
              </w:rPr>
              <w:tab/>
              <w:t>4</w:t>
            </w:r>
          </w:hyperlink>
        </w:p>
        <w:p w14:paraId="00000009"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Pr>
                <w:color w:val="000000"/>
              </w:rPr>
              <w:t>Critically discuss the conflict resolution styles and recommend the appropriate style for the case</w:t>
            </w:r>
            <w:r>
              <w:rPr>
                <w:color w:val="000000"/>
              </w:rPr>
              <w:tab/>
              <w:t>8</w:t>
            </w:r>
          </w:hyperlink>
        </w:p>
        <w:p w14:paraId="0000000A"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Pr>
                <w:color w:val="000000"/>
              </w:rPr>
              <w:t>Based on your evidence in 1 and 2, critically discuss ways to reach a ‘win-win’ solution among the stakeholders</w:t>
            </w:r>
            <w:r>
              <w:rPr>
                <w:color w:val="000000"/>
              </w:rPr>
              <w:tab/>
              <w:t>12</w:t>
            </w:r>
          </w:hyperlink>
        </w:p>
        <w:p w14:paraId="0000000B"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Pr>
                <w:color w:val="000000"/>
              </w:rPr>
              <w:t>Based on your experience with this module, how has your understanding of conflict resolution and stakeholder theory prepared you for the workplace?</w:t>
            </w:r>
            <w:r>
              <w:rPr>
                <w:color w:val="000000"/>
              </w:rPr>
              <w:tab/>
              <w:t>14</w:t>
            </w:r>
          </w:hyperlink>
        </w:p>
        <w:p w14:paraId="0000000C"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Pr>
                <w:color w:val="000000"/>
              </w:rPr>
              <w:t>Conclusion</w:t>
            </w:r>
            <w:r>
              <w:rPr>
                <w:color w:val="000000"/>
              </w:rPr>
              <w:tab/>
              <w:t>16</w:t>
            </w:r>
          </w:hyperlink>
        </w:p>
        <w:p w14:paraId="0000000D"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Pr>
                <w:color w:val="000000"/>
              </w:rPr>
              <w:t>Recommendation</w:t>
            </w:r>
            <w:r>
              <w:rPr>
                <w:color w:val="000000"/>
              </w:rPr>
              <w:tab/>
              <w:t>17</w:t>
            </w:r>
          </w:hyperlink>
        </w:p>
        <w:p w14:paraId="0000000E"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4d34og8">
            <w:r>
              <w:rPr>
                <w:color w:val="000000"/>
              </w:rPr>
              <w:t>References</w:t>
            </w:r>
            <w:r>
              <w:rPr>
                <w:color w:val="000000"/>
              </w:rPr>
              <w:tab/>
              <w:t>18</w:t>
            </w:r>
          </w:hyperlink>
        </w:p>
        <w:p w14:paraId="0000000F" w14:textId="77777777" w:rsidR="00D21A30" w:rsidRDefault="00000000">
          <w:r>
            <w:fldChar w:fldCharType="end"/>
          </w:r>
        </w:p>
      </w:sdtContent>
    </w:sdt>
    <w:p w14:paraId="00000010" w14:textId="77777777" w:rsidR="00D21A30" w:rsidRDefault="00D21A30">
      <w:pPr>
        <w:jc w:val="center"/>
        <w:rPr>
          <w:b/>
          <w:sz w:val="48"/>
          <w:szCs w:val="48"/>
        </w:rPr>
      </w:pPr>
    </w:p>
    <w:p w14:paraId="00000011" w14:textId="77777777" w:rsidR="00D21A30" w:rsidRDefault="00000000">
      <w:pPr>
        <w:rPr>
          <w:b/>
          <w:color w:val="000000"/>
          <w:sz w:val="32"/>
          <w:szCs w:val="32"/>
        </w:rPr>
      </w:pPr>
      <w:r>
        <w:br w:type="page"/>
      </w:r>
    </w:p>
    <w:p w14:paraId="00000012" w14:textId="77777777" w:rsidR="00D21A30" w:rsidRDefault="00000000">
      <w:pPr>
        <w:pStyle w:val="Heading1"/>
        <w:rPr>
          <w:sz w:val="48"/>
        </w:rPr>
      </w:pPr>
      <w:bookmarkStart w:id="1" w:name="_heading=h.30j0zll" w:colFirst="0" w:colLast="0"/>
      <w:bookmarkEnd w:id="1"/>
      <w:r>
        <w:lastRenderedPageBreak/>
        <w:t>Introduction</w:t>
      </w:r>
    </w:p>
    <w:p w14:paraId="00000013" w14:textId="77777777" w:rsidR="00D21A30" w:rsidRDefault="00000000">
      <w:r>
        <w:t xml:space="preserve">The report below will discuss the case study scenario of the post office strike which occurred due to various types of issues and conflicts. It will also be highlighting those issues and impacts which have been faced due to the utilisation of norms and techniques. Further, the relevant stakeholder theory along with managing factors related to conflict management will also be included in the discussion. It will further analyse the </w:t>
      </w:r>
      <w:proofErr w:type="gramStart"/>
      <w:r>
        <w:t>particular range</w:t>
      </w:r>
      <w:proofErr w:type="gramEnd"/>
      <w:r>
        <w:t xml:space="preserve"> of interests and forms which provide stakeholders and businesses with multiple types of operations having a particular range of interest. Moreover, it has also highlighted a few recommendations which help in improving employee productivity and relationships in the workplace by leading and implementing changes. Lastly, the indulgence of building trust and other management of trust between employees and staff have been conflicted and strengthened under various factors of resilience will be discussed below.</w:t>
      </w:r>
    </w:p>
    <w:p w14:paraId="00000014" w14:textId="77777777" w:rsidR="00D21A30" w:rsidRDefault="00000000">
      <w:pPr>
        <w:jc w:val="left"/>
        <w:rPr>
          <w:b/>
          <w:color w:val="000000"/>
          <w:sz w:val="32"/>
          <w:szCs w:val="32"/>
        </w:rPr>
      </w:pPr>
      <w:r>
        <w:br w:type="page"/>
      </w:r>
    </w:p>
    <w:p w14:paraId="00000015" w14:textId="77777777" w:rsidR="00D21A30" w:rsidRDefault="00000000">
      <w:pPr>
        <w:pStyle w:val="Heading1"/>
        <w:rPr>
          <w:sz w:val="48"/>
        </w:rPr>
      </w:pPr>
      <w:bookmarkStart w:id="2" w:name="_heading=h.1fob9te" w:colFirst="0" w:colLast="0"/>
      <w:bookmarkEnd w:id="2"/>
      <w:r>
        <w:lastRenderedPageBreak/>
        <w:t xml:space="preserve">Using a relevant stakeholder analysis model, critically identify the stakeholders that should be engaged to resolve the </w:t>
      </w:r>
      <w:proofErr w:type="gramStart"/>
      <w:r>
        <w:t>crisis</w:t>
      </w:r>
      <w:proofErr w:type="gramEnd"/>
      <w:r>
        <w:t> </w:t>
      </w:r>
    </w:p>
    <w:p w14:paraId="00000016" w14:textId="77777777" w:rsidR="00D21A30" w:rsidRDefault="00000000">
      <w:r>
        <w:t xml:space="preserve">A stakeholder can be defined as an individual or a group of people who have a particular interest in the operation of the business or are influenced by the operation of the business. Thus, stakeholders can be the people from the organisation </w:t>
      </w:r>
      <w:proofErr w:type="gramStart"/>
      <w:r>
        <w:t>and also</w:t>
      </w:r>
      <w:proofErr w:type="gramEnd"/>
      <w:r>
        <w:t xml:space="preserve"> the people who have no official affiliation with the organisation and its business operation as stakeholders can have a direct or indirect impact on the activities of the organisation. There are mainly two types of stakeholders which include internal stakeholders and external stakeholders (</w:t>
      </w:r>
      <w:r>
        <w:rPr>
          <w:color w:val="222222"/>
          <w:highlight w:val="white"/>
        </w:rPr>
        <w:t xml:space="preserve">Dimitrovski </w:t>
      </w:r>
      <w:r>
        <w:rPr>
          <w:i/>
          <w:color w:val="222222"/>
          <w:highlight w:val="white"/>
        </w:rPr>
        <w:t>et al</w:t>
      </w:r>
      <w:r>
        <w:rPr>
          <w:color w:val="222222"/>
          <w:highlight w:val="white"/>
        </w:rPr>
        <w:t>., 2021</w:t>
      </w:r>
      <w:r>
        <w:t xml:space="preserve">). Internal stakeholders of the organisation are the individuals or a group of people who are directly related to the business operation of the company and their interest is directly streamed through employment, </w:t>
      </w:r>
      <w:proofErr w:type="gramStart"/>
      <w:r>
        <w:t>investment</w:t>
      </w:r>
      <w:proofErr w:type="gramEnd"/>
      <w:r>
        <w:t xml:space="preserve"> or ownership. Some of the examples of internal stakeholders include investors, employees, owners, board of directors, project managers and other individuals related to the internal business operation. On the other hand, external stakeholders are individuals or groups of people who do not have a direct relationship with the operation of the company but are affected by the actions and outcomes of the business operation. Some examples of external stakeholders include customers, suppliers, creditors, clients, competitors, government societies and intermediaries as these are the people who are indirectly influenced by business operations (</w:t>
      </w:r>
      <w:r>
        <w:rPr>
          <w:color w:val="222222"/>
          <w:highlight w:val="white"/>
        </w:rPr>
        <w:t xml:space="preserve">Stocker </w:t>
      </w:r>
      <w:r>
        <w:rPr>
          <w:i/>
          <w:color w:val="222222"/>
          <w:highlight w:val="white"/>
        </w:rPr>
        <w:t>et al</w:t>
      </w:r>
      <w:r>
        <w:rPr>
          <w:color w:val="222222"/>
          <w:highlight w:val="white"/>
        </w:rPr>
        <w:t>., 2020</w:t>
      </w:r>
      <w:r>
        <w:t>). Thus, different business organisations need to manage these internal and external stakeholders as it can enhance the satisfaction level of the stakeholders which can boost the overall productivity of the organisation. </w:t>
      </w:r>
    </w:p>
    <w:p w14:paraId="00000017" w14:textId="77777777" w:rsidR="00D21A30" w:rsidRDefault="00000000">
      <w:r>
        <w:t>The scenario provided has shown that post office workers went on a strike for one day on the 3rd of May 2022 because of a low payment paid by the state-owned postal service. The post office workers felt that the payment offered by the state-owned poster service was significantly lower as compared to the spiralling rate of inflation which included a 2% pay rise from 1st of April 2022. In addition, the staff were only offered a £250 increase in one-off payment for 2022 which the Communication Workers Union (CWU) described as significantly lower or exceptionally poor as compared to the increasing cost of living in the United Kingdom (</w:t>
      </w:r>
      <w:r>
        <w:rPr>
          <w:color w:val="222222"/>
          <w:highlight w:val="white"/>
        </w:rPr>
        <w:t xml:space="preserve">Wood </w:t>
      </w:r>
      <w:r>
        <w:rPr>
          <w:i/>
          <w:color w:val="222222"/>
          <w:highlight w:val="white"/>
        </w:rPr>
        <w:t>et al</w:t>
      </w:r>
      <w:r>
        <w:rPr>
          <w:color w:val="222222"/>
          <w:highlight w:val="white"/>
        </w:rPr>
        <w:t>., 2021</w:t>
      </w:r>
      <w:r>
        <w:t xml:space="preserve">). In addition, the pay received by the post office workers was also described as exceptionally lower by the Communication Workers Union (CWU) by considering the Retail Price Index inflation which has reached 9%.  Thus, the unfavourable payment made by the state-owned postal service to the post office workers impacted different stakeholders significantly which also resulted in impacting the crown post offices across the United </w:t>
      </w:r>
      <w:r>
        <w:lastRenderedPageBreak/>
        <w:t>Kingdom. Hence, it is important to manage different stakeholders of the United Kingdom post office during strikes or labour disputes. It is important to manage stakeholders during these times as it can help to create security and peace during the strike (</w:t>
      </w:r>
      <w:r>
        <w:rPr>
          <w:color w:val="222222"/>
          <w:highlight w:val="white"/>
        </w:rPr>
        <w:t>Wen and Qiang, 2022</w:t>
      </w:r>
      <w:r>
        <w:t>). In addition, managing the stakeholders effectively can also help to reduce the different risks associated with the strike while also clarifying the situation to deal with challenges because of the strike. Thus, the application of the stakeholder analysis method can help to manage different stakeholders effectively and consider their importance.</w:t>
      </w:r>
    </w:p>
    <w:p w14:paraId="00000018" w14:textId="77777777" w:rsidR="00D21A30" w:rsidRDefault="00000000">
      <w:r>
        <w:t>The stakeholder analysis method which can be used to analyse and identify the stakeholder that needs to be engaged to resolve the above crisis is the Stakeholder Theory of the Modern Corporation of R. Edward Freeman. The stakeholder theory of Modern Corporation was developed by R. Edward Freeman which describes that the purpose of a corporation extends more than profit generation and the business needs to focus on creating and providing value to the stakeholders who are directly or indirectly influenced by the business operation. Thus, this theory developed by R. Edward Freeman states that work emphasises that the organisation has an interconnected relationship with different stakeholders as it advocates a broader prescription which can go beyond the interest of the stakeholders (</w:t>
      </w:r>
      <w:r>
        <w:rPr>
          <w:color w:val="222222"/>
          <w:highlight w:val="white"/>
        </w:rPr>
        <w:t xml:space="preserve">Schiavone </w:t>
      </w:r>
      <w:r>
        <w:rPr>
          <w:i/>
          <w:color w:val="222222"/>
          <w:highlight w:val="white"/>
        </w:rPr>
        <w:t>et al</w:t>
      </w:r>
      <w:r>
        <w:rPr>
          <w:color w:val="222222"/>
          <w:highlight w:val="white"/>
        </w:rPr>
        <w:t>., 2021</w:t>
      </w:r>
      <w:r>
        <w:t xml:space="preserve">). </w:t>
      </w:r>
      <w:proofErr w:type="gramStart"/>
      <w:r>
        <w:t>Thus</w:t>
      </w:r>
      <w:proofErr w:type="gramEnd"/>
      <w:r>
        <w:t xml:space="preserve"> the application of the Stakeholder Theory of the Modern Corporation can help to identify the stakeholders and engage those stakeholders to resolve the crisis of the above case study as this theory contributes to making inclusive decisions. It can help to make an inclusive decision as it allows engagement with different stakeholders such as management, unions, post office workers and costumes to overcome the issues and crises created by the pay issue. Additionally, this stakeholder theory can also help to foster a culture of transparent communication between all the stakeholders which can help to build trust and address the crisis of law pay offer (</w:t>
      </w:r>
      <w:r>
        <w:rPr>
          <w:color w:val="222222"/>
          <w:highlight w:val="white"/>
        </w:rPr>
        <w:t>Eskerod, 2020</w:t>
      </w:r>
      <w:r>
        <w:t>). Furthermore, the Stakeholder Theory of the Modern Corporation also creates long-term sustainability to address further crises as it helps to consider the interest of the stakeholders which can help to retain the post office workers.  </w:t>
      </w:r>
    </w:p>
    <w:p w14:paraId="00000019" w14:textId="77777777" w:rsidR="00D21A30" w:rsidRDefault="00000000">
      <w:pPr>
        <w:rPr>
          <w:highlight w:val="white"/>
        </w:rPr>
      </w:pPr>
      <w:r>
        <w:rPr>
          <w:highlight w:val="white"/>
        </w:rPr>
        <w:t xml:space="preserve">Hence, according to the Stakeholder Theory of the Modern Corporation by R. Edward Freeman, there are different stakeholders that are required to be managed well </w:t>
      </w:r>
      <w:proofErr w:type="gramStart"/>
      <w:r>
        <w:rPr>
          <w:highlight w:val="white"/>
        </w:rPr>
        <w:t>in order to</w:t>
      </w:r>
      <w:proofErr w:type="gramEnd"/>
      <w:r>
        <w:rPr>
          <w:highlight w:val="white"/>
        </w:rPr>
        <w:t xml:space="preserve"> deal with a situation arising out of a 24-hour strike by UK post office workers. Hence, the ‘targeted’ stakeholders that require the attention of the study </w:t>
      </w:r>
      <w:proofErr w:type="gramStart"/>
      <w:r>
        <w:rPr>
          <w:highlight w:val="white"/>
        </w:rPr>
        <w:t>in order to</w:t>
      </w:r>
      <w:proofErr w:type="gramEnd"/>
      <w:r>
        <w:rPr>
          <w:highlight w:val="white"/>
        </w:rPr>
        <w:t xml:space="preserve"> eradicate the crisis include the “post office workers, Communication Workers Union (CWU), customers, post office management, sub-post office and the general public”. Post office workers are one of the most significant and primary stakeholders who require intervention to solve the crisis that has originated due to the strike planned for 24 hours by post office workers. Therefore, </w:t>
      </w:r>
      <w:proofErr w:type="gramStart"/>
      <w:r>
        <w:rPr>
          <w:highlight w:val="white"/>
        </w:rPr>
        <w:t>in order to</w:t>
      </w:r>
      <w:proofErr w:type="gramEnd"/>
      <w:r>
        <w:rPr>
          <w:highlight w:val="white"/>
        </w:rPr>
        <w:t xml:space="preserve"> </w:t>
      </w:r>
      <w:r>
        <w:rPr>
          <w:highlight w:val="white"/>
        </w:rPr>
        <w:lastRenderedPageBreak/>
        <w:t xml:space="preserve">negotiate with the post office workers so as to address the crisis brought about by the strike, the leaders have to develop a culture of relating to the key stakeholders and this may be posted as a strategy for addressing the crisis (Giorgi </w:t>
      </w:r>
      <w:r>
        <w:rPr>
          <w:i/>
          <w:highlight w:val="white"/>
        </w:rPr>
        <w:t>et al.,</w:t>
      </w:r>
      <w:r>
        <w:rPr>
          <w:highlight w:val="white"/>
        </w:rPr>
        <w:t xml:space="preserve"> 2022). Thus, to establish and maintain transparent communication with the post office workers they should be given information concerning the pay negotiation and other information that might help to remove different uncertainties and support the carrying out of a crisis.</w:t>
      </w:r>
      <w:r>
        <w:t xml:space="preserve"> </w:t>
      </w:r>
      <w:r>
        <w:rPr>
          <w:highlight w:val="white"/>
        </w:rPr>
        <w:t>The availability of an effective medium in the communication with the post office workers is among the main considerations in the process of dealing with the crisis, as they may help in minimizing the effects of the crisis brought about by the strike. Similarly, interaction with the post office workers is also needed because, from the same example, it is obvious that involvement measures that would be helpful in maintaining high labour motivation during a crisis would help in addressing employees’ concerns (</w:t>
      </w:r>
      <w:proofErr w:type="spellStart"/>
      <w:r>
        <w:rPr>
          <w:highlight w:val="white"/>
        </w:rPr>
        <w:t>Freudenreich</w:t>
      </w:r>
      <w:proofErr w:type="spellEnd"/>
      <w:r>
        <w:rPr>
          <w:highlight w:val="white"/>
        </w:rPr>
        <w:t xml:space="preserve"> </w:t>
      </w:r>
      <w:r>
        <w:rPr>
          <w:i/>
          <w:highlight w:val="white"/>
        </w:rPr>
        <w:t>et al.</w:t>
      </w:r>
      <w:proofErr w:type="gramStart"/>
      <w:r>
        <w:rPr>
          <w:i/>
          <w:highlight w:val="white"/>
        </w:rPr>
        <w:t xml:space="preserve">, </w:t>
      </w:r>
      <w:r>
        <w:rPr>
          <w:highlight w:val="white"/>
        </w:rPr>
        <w:t xml:space="preserve"> 2020</w:t>
      </w:r>
      <w:proofErr w:type="gramEnd"/>
      <w:r>
        <w:rPr>
          <w:highlight w:val="white"/>
        </w:rPr>
        <w:t>). Hence, it is reasonably capable of positively affecting encouragement of the post office workers to strive and willingly work at an optimum level during the time of the crisis.</w:t>
      </w:r>
    </w:p>
    <w:p w14:paraId="0000001A" w14:textId="77777777" w:rsidR="00D21A30" w:rsidRDefault="00000000">
      <w:pPr>
        <w:rPr>
          <w:highlight w:val="white"/>
        </w:rPr>
      </w:pPr>
      <w:r>
        <w:rPr>
          <w:highlight w:val="white"/>
        </w:rPr>
        <w:t xml:space="preserve">It is also a material stakeholder; this simply means that if well managed, the post office worker can come up with a solution as to the crisis ushered in by CWU, the communication workers union who went for a </w:t>
      </w:r>
      <w:proofErr w:type="gramStart"/>
      <w:r>
        <w:rPr>
          <w:highlight w:val="white"/>
        </w:rPr>
        <w:t>24 hour</w:t>
      </w:r>
      <w:proofErr w:type="gramEnd"/>
      <w:r>
        <w:rPr>
          <w:highlight w:val="white"/>
        </w:rPr>
        <w:t xml:space="preserve"> strike. Concerning the basic requirements by the Communication Workers Union, an open channel of communication in the various platforms should be observed to provide adequate information. Regarding the engagement strategies used, it can be useful to include the Communication Workers Union to assist in handling the crisis as openness promotes relational and union understanding of the members’ requirements (Kremmel and Harding, 2020). The leaders of the post office of the UK should be in touch with the Communication Workers Union to lessen the impact of the 24 hours strike that post office workers conducted because they are the union workers who can help post office workers in tackling the issue of industrial unity. Also, since the Communication Workers Union also has a responsibility on internal communication, it can also help to go around whether it adds turbulence among the members and other stakeholders; or </w:t>
      </w:r>
      <w:proofErr w:type="gramStart"/>
      <w:r>
        <w:rPr>
          <w:highlight w:val="white"/>
        </w:rPr>
        <w:t>it makes</w:t>
      </w:r>
      <w:proofErr w:type="gramEnd"/>
      <w:r>
        <w:rPr>
          <w:highlight w:val="white"/>
        </w:rPr>
        <w:t xml:space="preserve"> the members and other stakeholders to operate peacefully during the crisis. The Communication Workers Union is also tasked with the formation of a single voice during the crisis that originated from the 24-hour post office workers’ strike (Velter </w:t>
      </w:r>
      <w:r>
        <w:rPr>
          <w:i/>
          <w:highlight w:val="white"/>
        </w:rPr>
        <w:t>et al.</w:t>
      </w:r>
      <w:proofErr w:type="gramStart"/>
      <w:r>
        <w:rPr>
          <w:i/>
          <w:highlight w:val="white"/>
        </w:rPr>
        <w:t xml:space="preserve">, </w:t>
      </w:r>
      <w:r>
        <w:rPr>
          <w:highlight w:val="white"/>
        </w:rPr>
        <w:t xml:space="preserve"> 2020</w:t>
      </w:r>
      <w:proofErr w:type="gramEnd"/>
      <w:r>
        <w:rPr>
          <w:highlight w:val="white"/>
        </w:rPr>
        <w:t xml:space="preserve">). Therefore, this paper will proceed to encounter these stakeholders as the CWU enables them to make mutual decisions which might augment safety measures to be adopted in addition to enhancing the conveyance of cardinal rights to the post office workers. Consequently, post office workers will be </w:t>
      </w:r>
      <w:proofErr w:type="gramStart"/>
      <w:r>
        <w:rPr>
          <w:highlight w:val="white"/>
        </w:rPr>
        <w:t>in a position</w:t>
      </w:r>
      <w:proofErr w:type="gramEnd"/>
      <w:r>
        <w:rPr>
          <w:highlight w:val="white"/>
        </w:rPr>
        <w:t xml:space="preserve"> to advocate for what belongs to the majority of them and do away with the existing issue to work </w:t>
      </w:r>
      <w:r>
        <w:rPr>
          <w:highlight w:val="white"/>
        </w:rPr>
        <w:lastRenderedPageBreak/>
        <w:t xml:space="preserve">efficiently again. Hence, the desired culture with such concrete stakeholders should be one of openness for ensuring that there is mutual understanding from both parties as well as feedback (Hamam </w:t>
      </w:r>
      <w:r>
        <w:rPr>
          <w:i/>
          <w:highlight w:val="white"/>
        </w:rPr>
        <w:t>et al.,</w:t>
      </w:r>
      <w:r>
        <w:rPr>
          <w:highlight w:val="white"/>
        </w:rPr>
        <w:t xml:space="preserve"> 2021). Thus, the above identified communication process can have a humongous contribution in managing the crisis </w:t>
      </w:r>
      <w:proofErr w:type="gramStart"/>
      <w:r>
        <w:rPr>
          <w:highlight w:val="white"/>
        </w:rPr>
        <w:t>as a result of</w:t>
      </w:r>
      <w:proofErr w:type="gramEnd"/>
      <w:r>
        <w:rPr>
          <w:highlight w:val="white"/>
        </w:rPr>
        <w:t xml:space="preserve"> the strike and the unequal remuneration extended to post office employees.</w:t>
      </w:r>
    </w:p>
    <w:p w14:paraId="0000001B" w14:textId="77777777" w:rsidR="00D21A30" w:rsidRDefault="00000000">
      <w:r>
        <w:rPr>
          <w:highlight w:val="white"/>
        </w:rPr>
        <w:t xml:space="preserve">From the above points of analysis, one can term customers </w:t>
      </w:r>
      <w:proofErr w:type="gramStart"/>
      <w:r>
        <w:rPr>
          <w:highlight w:val="white"/>
        </w:rPr>
        <w:t>as yet</w:t>
      </w:r>
      <w:proofErr w:type="gramEnd"/>
      <w:r>
        <w:rPr>
          <w:highlight w:val="white"/>
        </w:rPr>
        <w:t xml:space="preserve"> another stakeholder who needs to be well handled in order to come out of the crisis. Hence, it is imperative to mitigate the situation and attempt to Appeal to the customers of the post office of the UK as this will help towards finding facts and restore trust regarding the management of a current crisis occasioned by the 24-hour strike. Secondly, the problem which the post office stands to gain in solving through the application of this marketing strategy is the problem of managing the causality in addressing the issue of satisfying the customers to bounce back during crises for the effective operation of the business. Hence, if interaction is to be achieved with the customers, much importance should be attached to the development of the organization – customer relationship communication as cultivated by Bonilla </w:t>
      </w:r>
      <w:proofErr w:type="gramStart"/>
      <w:r>
        <w:rPr>
          <w:highlight w:val="white"/>
        </w:rPr>
        <w:t>et al. ,</w:t>
      </w:r>
      <w:proofErr w:type="gramEnd"/>
      <w:r>
        <w:rPr>
          <w:highlight w:val="white"/>
        </w:rPr>
        <w:t xml:space="preserve"> (2023). As it was stated above, high active and oriented communication can play a great role to engage the customer during the crisis as such it can help to inform the customers about the given crisis and the way how the crisis might influence the customers. Furthermore, the display of care is also one among the best strategies that can be adopted to open an improved communication channel since it can greatly help in evaluating the issues that concern the customers during the occurrence of the crisis. As a </w:t>
      </w:r>
      <w:proofErr w:type="gramStart"/>
      <w:r>
        <w:rPr>
          <w:highlight w:val="white"/>
        </w:rPr>
        <w:t>result</w:t>
      </w:r>
      <w:proofErr w:type="gramEnd"/>
      <w:r>
        <w:rPr>
          <w:highlight w:val="white"/>
        </w:rPr>
        <w:t xml:space="preserve"> it can ensure the post office's concern and engage them properly to reduce the effect of the crisis on customers Biancone et</w:t>
      </w:r>
      <w:r>
        <w:rPr>
          <w:i/>
          <w:highlight w:val="white"/>
        </w:rPr>
        <w:t xml:space="preserve"> al., </w:t>
      </w:r>
      <w:r>
        <w:rPr>
          <w:highlight w:val="white"/>
        </w:rPr>
        <w:t xml:space="preserve">2024. In addition, an efficient way of engaging the customers is to provide other services as a means of handling the disagreement brought about by the strike. This is so because interacting with the customers and offering the service during the crisis can reach and be one of the ways of addressing the stakeholders during the menace. </w:t>
      </w:r>
    </w:p>
    <w:p w14:paraId="0000001C" w14:textId="77777777" w:rsidR="00D21A30" w:rsidRDefault="00000000">
      <w:r>
        <w:t xml:space="preserve">Another stakeholder which needs to be engaged to overcome the crisis and operate smoothly is the </w:t>
      </w:r>
      <w:r>
        <w:rPr>
          <w:b/>
          <w:i/>
        </w:rPr>
        <w:t xml:space="preserve">management team </w:t>
      </w:r>
      <w:r>
        <w:t xml:space="preserve">of the post office. It is important to engage the post office management team during the crisis caused by the strike 24 hours made by the post office workers because of pay issues as management is responsible for </w:t>
      </w:r>
      <w:proofErr w:type="gramStart"/>
      <w:r>
        <w:t>making a decision</w:t>
      </w:r>
      <w:proofErr w:type="gramEnd"/>
      <w:r>
        <w:t xml:space="preserve"> and bringing solutions to the issues. Thus, engaging with this stakeholder is important as they will be able to make an effective decision to create a solution for resolving the crisis. Furthermore, post office management will also be able to allocate different resources such as financial, infrastructure and personal resources during the crisis which can help to resolve the crisis </w:t>
      </w:r>
      <w:r>
        <w:lastRenderedPageBreak/>
        <w:t>effectively (</w:t>
      </w:r>
      <w:r>
        <w:rPr>
          <w:color w:val="222222"/>
          <w:highlight w:val="white"/>
        </w:rPr>
        <w:t xml:space="preserve">Dang </w:t>
      </w:r>
      <w:r>
        <w:rPr>
          <w:i/>
          <w:color w:val="222222"/>
          <w:highlight w:val="white"/>
        </w:rPr>
        <w:t>et al</w:t>
      </w:r>
      <w:r>
        <w:rPr>
          <w:color w:val="222222"/>
          <w:highlight w:val="white"/>
        </w:rPr>
        <w:t>., 2021</w:t>
      </w:r>
      <w:r>
        <w:t xml:space="preserve">). Another stakeholder that should be engaged effectively to resolve the crisis is </w:t>
      </w:r>
      <w:r>
        <w:rPr>
          <w:b/>
          <w:i/>
        </w:rPr>
        <w:t xml:space="preserve">a sub-post office </w:t>
      </w:r>
      <w:r>
        <w:t>as the sub-post plays a crucial role in continuing the service during the strike and continuing the operation. Thus, engaging with this stakeholder can help the post office to ensure the continuity of different important operations of the post office during the crisis. Furthermore, the head post office will also be able to collaborate effectively with these stakeholders which can help to utilise different resources and resolve the crisis caused by the strike (</w:t>
      </w:r>
      <w:r>
        <w:rPr>
          <w:color w:val="222222"/>
          <w:highlight w:val="white"/>
        </w:rPr>
        <w:t>Yang and Basile, 2021</w:t>
      </w:r>
      <w:r>
        <w:t xml:space="preserve">). Similarly, </w:t>
      </w:r>
      <w:r>
        <w:rPr>
          <w:b/>
          <w:i/>
        </w:rPr>
        <w:t xml:space="preserve">the </w:t>
      </w:r>
      <w:proofErr w:type="gramStart"/>
      <w:r>
        <w:rPr>
          <w:b/>
          <w:i/>
        </w:rPr>
        <w:t>general public</w:t>
      </w:r>
      <w:proofErr w:type="gramEnd"/>
      <w:r>
        <w:rPr>
          <w:b/>
          <w:i/>
        </w:rPr>
        <w:t xml:space="preserve"> </w:t>
      </w:r>
      <w:r>
        <w:t>is also an important stakeholder which needs to be engaged effectively during the crisis and overcome the disruption caused by the 24-hour strike made by the post office workers. It is important to engage with these stakeholders as it can help to become transparent, build trust during the crisis and prevent confusion caused by the strike made by the post office workers for 24 hours. Furthermore, it can also help to increase community resilience which can also have a huge contribution to responding and recovering from the crisis caused by the 24-hour strike. </w:t>
      </w:r>
    </w:p>
    <w:p w14:paraId="0000001D" w14:textId="77777777" w:rsidR="00D21A30" w:rsidRDefault="00000000">
      <w:pPr>
        <w:pStyle w:val="Heading1"/>
        <w:rPr>
          <w:sz w:val="48"/>
        </w:rPr>
      </w:pPr>
      <w:bookmarkStart w:id="3" w:name="_heading=h.3znysh7" w:colFirst="0" w:colLast="0"/>
      <w:bookmarkEnd w:id="3"/>
      <w:r>
        <w:t xml:space="preserve">Critically discuss the conflict resolution styles and recommend the appropriate style for the </w:t>
      </w:r>
      <w:proofErr w:type="gramStart"/>
      <w:r>
        <w:t>case</w:t>
      </w:r>
      <w:proofErr w:type="gramEnd"/>
    </w:p>
    <w:p w14:paraId="0000001E" w14:textId="77777777" w:rsidR="00D21A30" w:rsidRDefault="00000000">
      <w:r>
        <w:t>Conflict resolution can be defined as the process which allows one to overcome different problems and conflicts within the workplace by addressing the needs of all people who are involved with the operation of the organisation. Thus, conflict resolution acts as a critical skill within the workplace as it allows the individual or the team to deal with different conflicts such as interpersonal conflict while also reconciling emotions. It is also important to have appropriate conflict resolution skills and use different conflict resolution styles during the conflict caused by the 24-hour strike made by the post office workers because of unfavourable pay. It is important to analyse conflict resolution styles as they can have a huge contribution to boosting productivity during the conflict caused by the 24-hour strike (</w:t>
      </w:r>
      <w:r>
        <w:rPr>
          <w:color w:val="222222"/>
          <w:highlight w:val="white"/>
        </w:rPr>
        <w:t>Lehtinen and Aaltonen, 2020</w:t>
      </w:r>
      <w:r>
        <w:t xml:space="preserve">). In addition, using an appropriate conflict resolution style can also help to build a relationship during the crisis as it allows different individuals to communicate and enhance emotional awareness and empathy during the crisis. As a result, conflict resolution style can have a huge contribution in developing personal and professional relationships and </w:t>
      </w:r>
      <w:proofErr w:type="gramStart"/>
      <w:r>
        <w:t>coming to the conclusion</w:t>
      </w:r>
      <w:proofErr w:type="gramEnd"/>
      <w:r>
        <w:t xml:space="preserve"> which is causing the conflict within the workplace. Furthermore, an appropriate conflict resolution style can also have a huge contribution in generating new insight to overcome the crisis caused by the post office worker’s strike. It is because conflict resolution can help to bring in different perspectives and ideas to solve problems and </w:t>
      </w:r>
      <w:proofErr w:type="gramStart"/>
      <w:r>
        <w:t>come to a conclusion</w:t>
      </w:r>
      <w:proofErr w:type="gramEnd"/>
      <w:r>
        <w:t xml:space="preserve"> </w:t>
      </w:r>
      <w:r>
        <w:lastRenderedPageBreak/>
        <w:t>(</w:t>
      </w:r>
      <w:r>
        <w:rPr>
          <w:color w:val="222222"/>
          <w:highlight w:val="white"/>
        </w:rPr>
        <w:t xml:space="preserve">Irawan and </w:t>
      </w:r>
      <w:proofErr w:type="spellStart"/>
      <w:r>
        <w:rPr>
          <w:color w:val="222222"/>
          <w:highlight w:val="white"/>
        </w:rPr>
        <w:t>Hartoyo</w:t>
      </w:r>
      <w:proofErr w:type="spellEnd"/>
      <w:r>
        <w:rPr>
          <w:color w:val="222222"/>
          <w:highlight w:val="white"/>
        </w:rPr>
        <w:t>, 2020</w:t>
      </w:r>
      <w:r>
        <w:t xml:space="preserve">). Hence, conflict resolution styles allow one to escalate disagreements and find solutions by making effective decisions and gaining different insights to resolve the conflict. There are different conflict resolution styles which can be used to resolve conflict and some of the conflict resolution styles include accommodating, avoiding, compromising, </w:t>
      </w:r>
      <w:proofErr w:type="gramStart"/>
      <w:r>
        <w:t>collaborating</w:t>
      </w:r>
      <w:proofErr w:type="gramEnd"/>
      <w:r>
        <w:t xml:space="preserve"> and competing. </w:t>
      </w:r>
    </w:p>
    <w:p w14:paraId="0000001F" w14:textId="77777777" w:rsidR="00D21A30" w:rsidRDefault="00000000">
      <w:r>
        <w:rPr>
          <w:b/>
          <w:i/>
        </w:rPr>
        <w:t xml:space="preserve">Accommodating </w:t>
      </w:r>
      <w:r>
        <w:t>is one of the styles of conflict resolution as it focuses on forsaking the own desires and needs in exchange for meeting the needs and wants of others and resolving the conflict raised within the workplace. This style of conflict resolution is usually adopted when the leaders simply give in or are persuaded to give in to resolve the conflict and overcome the crisis. Thus, it is one of the effective styles of conflict resolution to resolve the conflict within the workplace as it can have a huge contribution in building or preserving the relationship during a crisis by prioritising the people of the organisation and minimising the loss (</w:t>
      </w:r>
      <w:r>
        <w:rPr>
          <w:color w:val="222222"/>
          <w:highlight w:val="white"/>
        </w:rPr>
        <w:t xml:space="preserve">Dang </w:t>
      </w:r>
      <w:r>
        <w:rPr>
          <w:i/>
          <w:color w:val="222222"/>
          <w:highlight w:val="white"/>
        </w:rPr>
        <w:t>et al</w:t>
      </w:r>
      <w:r>
        <w:rPr>
          <w:color w:val="222222"/>
          <w:highlight w:val="white"/>
        </w:rPr>
        <w:t>., 2021</w:t>
      </w:r>
      <w:r>
        <w:t>). Furthermore, accommodating conflict resolution style can also contribute to improving communication during the conflict as it allows the creation of a safe space for open communication and constructive discussion. Thus, it can help different individuals to demonstrate honesty during the conflict and resolve the conflict effectively. However, there are also different disadvantages to accommodating conflict resolution styles and one of the disadvantages includes maintaining a balance between personal needs and other’s needs. This acts as a challenge as neglecting their personal needs and lots in impacting their well-being and can lead to a lack of assertiveness. </w:t>
      </w:r>
    </w:p>
    <w:p w14:paraId="00000020" w14:textId="77777777" w:rsidR="00D21A30" w:rsidRDefault="00000000">
      <w:r>
        <w:t xml:space="preserve">Secondly, the style of </w:t>
      </w:r>
      <w:r>
        <w:rPr>
          <w:b/>
          <w:i/>
        </w:rPr>
        <w:t xml:space="preserve">Competing </w:t>
      </w:r>
      <w:r>
        <w:t xml:space="preserve">is one such style of conflict resolution in which the involvement of asserting one's concerns gets done at the expense of others. It is characterised by a low rate of cooperation and a high level of assertiveness by using an appropriate set of situations which is useful for making quick decisions. It further also helps in making unpopular and necessary sets of actions which are highly required for that style of conflict resolution. The style of </w:t>
      </w:r>
      <w:r>
        <w:rPr>
          <w:b/>
          <w:i/>
        </w:rPr>
        <w:t xml:space="preserve">Collaborating </w:t>
      </w:r>
      <w:r>
        <w:t>also gets indulged in terms of description in which the working together gets related to finding a solution which requires satisfying all parties. It further requires both high cooperation and assertiveness (</w:t>
      </w:r>
      <w:r>
        <w:rPr>
          <w:color w:val="222222"/>
          <w:highlight w:val="white"/>
        </w:rPr>
        <w:t>Newman and Ford, 2021</w:t>
      </w:r>
      <w:r>
        <w:t xml:space="preserve">). Further, in terms of bringing an appropriate set of solutions, it gets ideally maintained and related to the step of forming relationships as it is known to be one of the important factors for exploring multiple perspectives of business. Thirdly, it also focuses on </w:t>
      </w:r>
      <w:r>
        <w:rPr>
          <w:b/>
          <w:i/>
        </w:rPr>
        <w:t xml:space="preserve">Compromising </w:t>
      </w:r>
      <w:r>
        <w:t xml:space="preserve">through which it could easily describe both of its parties for giving up on something to reach a mutually acceptable solution and point. It includes the step of providing moderate cooperation and moderate assertiveness. By including an effective set of appropriate </w:t>
      </w:r>
      <w:proofErr w:type="gramStart"/>
      <w:r>
        <w:t>situations</w:t>
      </w:r>
      <w:proofErr w:type="gramEnd"/>
      <w:r>
        <w:t xml:space="preserve"> it will also be providing </w:t>
      </w:r>
      <w:r>
        <w:lastRenderedPageBreak/>
        <w:t xml:space="preserve">power to its parties in terms of having equal power for reaching out to quick resolution which is an essential factor for managing business. Further, the process of managing conflicts could also be done easily by </w:t>
      </w:r>
      <w:r>
        <w:rPr>
          <w:b/>
          <w:i/>
        </w:rPr>
        <w:t xml:space="preserve">avoiding </w:t>
      </w:r>
      <w:r>
        <w:t>under which the style gets sidestepped or ignored without addressing the impacts directly. It further includes a low method of cooperation and low level of assertiveness which is known to be highly suitable for resolving conflicts along with managing emotions as per need and high time for cooling it down (</w:t>
      </w:r>
      <w:r>
        <w:rPr>
          <w:color w:val="222222"/>
          <w:highlight w:val="white"/>
        </w:rPr>
        <w:t xml:space="preserve">Daniels </w:t>
      </w:r>
      <w:r>
        <w:rPr>
          <w:i/>
          <w:color w:val="222222"/>
          <w:highlight w:val="white"/>
        </w:rPr>
        <w:t>et al</w:t>
      </w:r>
      <w:r>
        <w:rPr>
          <w:color w:val="222222"/>
          <w:highlight w:val="white"/>
        </w:rPr>
        <w:t>., 2021</w:t>
      </w:r>
      <w:r>
        <w:t xml:space="preserve">). Moreover, under the analysis of </w:t>
      </w:r>
      <w:r>
        <w:rPr>
          <w:b/>
          <w:i/>
        </w:rPr>
        <w:t xml:space="preserve">accommodation, </w:t>
      </w:r>
      <w:r>
        <w:t>the process of involving and prioritising gets highly concerned with the other level of party over one another. It tends to require a high set of cooperation and a low level of assertiveness. It is also known to be useful in terms of preserving harmony along with making it crucial to realise that they are wrong under certain terms. </w:t>
      </w:r>
    </w:p>
    <w:p w14:paraId="00000021" w14:textId="77777777" w:rsidR="00D21A30" w:rsidRDefault="00000000">
      <w:r>
        <w:t>However, as per the analysis of the case study and the context of the conflict, the workers of the post office went on a one-day strike over their frozen wages during the year 2021. It perceived an inadequate level of pay which was offered to them during the year 2022 along with offering a 2% increase and one-off payment of 250 euros for an insufficient range of consideration due to the high rate of inflation at the rate of 9%. The stakeholders were further also involved which are the post office workers which are its employees, post office management such as its employer along its general and customers public who were affected by the service disruption. Further, the nature of the conflict under economic manners also indulged under the rate of disagreement over the rate of fair compensation amidst its high rate of inflation (</w:t>
      </w:r>
      <w:r>
        <w:rPr>
          <w:color w:val="222222"/>
          <w:highlight w:val="white"/>
        </w:rPr>
        <w:t>Vallo Hult and Byström, 2022</w:t>
      </w:r>
      <w:r>
        <w:t>). It helped in focusing and creating such an impact in which the morale and trust between management and workers gets developed. Moreover, the structural issues with the process of negotiation and perseverance are also related to the offering of fairness. To bring recommendations related to the style of conflict management, the specific measure of case study discussion gets related and appears to be one of the most appropriate sets of styles to manage conflict resolution. It helps in focusing on those strikes which affect public services and operations by making a swift range of changes in terms of its resolution and is also termed to be beneficial. The factors of wage freezes and inflation are also related in a complicated way which requires negotiations and other types of nuanced approaches. </w:t>
      </w:r>
    </w:p>
    <w:p w14:paraId="00000022" w14:textId="77777777" w:rsidR="00D21A30" w:rsidRDefault="00000000">
      <w:r>
        <w:t>It further helps in focusing and building a collaborative set of efforts by improving and rebuilding trust for managing labour relations (</w:t>
      </w:r>
      <w:r>
        <w:rPr>
          <w:color w:val="222222"/>
          <w:highlight w:val="white"/>
        </w:rPr>
        <w:t xml:space="preserve">Malhotra </w:t>
      </w:r>
      <w:r>
        <w:rPr>
          <w:i/>
          <w:color w:val="222222"/>
          <w:highlight w:val="white"/>
        </w:rPr>
        <w:t>et al</w:t>
      </w:r>
      <w:r>
        <w:rPr>
          <w:color w:val="222222"/>
          <w:highlight w:val="white"/>
        </w:rPr>
        <w:t>., 2021</w:t>
      </w:r>
      <w:r>
        <w:t xml:space="preserve">). Further, it also allows us to get beyond the limits and explore the monetary range of business compensation with the help of flexible working conditions and benefits. Moreover, it will also be engaging itself with an open set of dialogue to engage and establish itself with such frameworks in which both sides </w:t>
      </w:r>
      <w:r>
        <w:lastRenderedPageBreak/>
        <w:t>of concerns and interests get expressed openly. It further also uses the factor of actively listening and understanding those techniques which is related to the factors of priorities and motivations (</w:t>
      </w:r>
      <w:r>
        <w:rPr>
          <w:color w:val="222222"/>
          <w:highlight w:val="white"/>
        </w:rPr>
        <w:t>Ng and Sears, 2020</w:t>
      </w:r>
      <w:r>
        <w:t xml:space="preserve">). However, it also helps in generating various types of options under which the process of managing monetary compensation along with training opportunities, performance bonuses and improved benefits gets formed. Also, the exploration of various phases and increases in wage gets formed and linked to economic indicators and future performances. By focusing on the process of selecting and evaluating solutions, the assessment of the proposed set of solutions and criteria is related to the impact on morale, </w:t>
      </w:r>
      <w:proofErr w:type="gramStart"/>
      <w:r>
        <w:t>cost-effectiveness</w:t>
      </w:r>
      <w:proofErr w:type="gramEnd"/>
      <w:r>
        <w:t xml:space="preserve"> and other factors of long-term sustainability (</w:t>
      </w:r>
      <w:r>
        <w:rPr>
          <w:color w:val="222222"/>
          <w:highlight w:val="white"/>
        </w:rPr>
        <w:t xml:space="preserve">Ford </w:t>
      </w:r>
      <w:r>
        <w:rPr>
          <w:i/>
          <w:color w:val="222222"/>
          <w:highlight w:val="white"/>
        </w:rPr>
        <w:t>et al</w:t>
      </w:r>
      <w:r>
        <w:rPr>
          <w:color w:val="222222"/>
          <w:highlight w:val="white"/>
        </w:rPr>
        <w:t>., 2021</w:t>
      </w:r>
      <w:r>
        <w:t>). It further aims to develop mutual forms of benefits and agreements which help in addressing and building out immediate concerns for future negotiations and beliefs. Moreover, the monitoring and implementation of documentation projects agreed upon in various terms in which the factors of avoiding misunderstandings and other clear terms functioned. </w:t>
      </w:r>
    </w:p>
    <w:p w14:paraId="00000023" w14:textId="77777777" w:rsidR="00D21A30" w:rsidRDefault="00000000">
      <w:r>
        <w:t>It relates to the establishment of mechanisms under an ongoing set of feedback and communication to address the emergent need of issues promptly. In conclusion, the effective set of resolutions gets related and formed with the strike of the post office in which the scenario gets related and requires a collaborative sense of approach which also helps in balancing out the level of assertiveness with the help of cooperation. It includes the process of an open set of dialogue which focuses on generating a creative set of solutions along with fostering such a spirit in which both employees and management work towards building resolution. It further not only focuses on addressing the immediate range of grievances but also focuses on strengthening the performance and organisational relationships (</w:t>
      </w:r>
      <w:r>
        <w:rPr>
          <w:color w:val="222222"/>
          <w:highlight w:val="white"/>
        </w:rPr>
        <w:t xml:space="preserve">Cardiff </w:t>
      </w:r>
      <w:r>
        <w:rPr>
          <w:i/>
          <w:color w:val="222222"/>
          <w:highlight w:val="white"/>
        </w:rPr>
        <w:t>et al</w:t>
      </w:r>
      <w:r>
        <w:rPr>
          <w:color w:val="222222"/>
          <w:highlight w:val="white"/>
        </w:rPr>
        <w:t>., 2020</w:t>
      </w:r>
      <w:r>
        <w:t>). With the help of implementing such sorts of approaches, it is, therefore, more likely possible to gain benefits and sustainable solutions from the involved stakeholders for mitigating the factors of risks. It will eventually help in fostering and managing future conflicts to develop a harmonious set of working environments. </w:t>
      </w:r>
    </w:p>
    <w:p w14:paraId="00000024" w14:textId="77777777" w:rsidR="00D21A30" w:rsidRDefault="00000000">
      <w:r>
        <w:t>This report therefore helps in highlighting the importance of reflecting and including the right style and set of conflict systems (</w:t>
      </w:r>
      <w:r>
        <w:rPr>
          <w:color w:val="222222"/>
          <w:highlight w:val="white"/>
        </w:rPr>
        <w:t xml:space="preserve">Bartram </w:t>
      </w:r>
      <w:r>
        <w:rPr>
          <w:i/>
          <w:color w:val="222222"/>
          <w:highlight w:val="white"/>
        </w:rPr>
        <w:t>et al</w:t>
      </w:r>
      <w:r>
        <w:rPr>
          <w:color w:val="222222"/>
          <w:highlight w:val="white"/>
        </w:rPr>
        <w:t>., 2020</w:t>
      </w:r>
      <w:r>
        <w:t>). It further gets related to a specific set of circumstances which relates to conflict management along with ensuring an effective set of approaches and strategies to manage the organisational disputes in business. Certainly, by ensuring that it includes an ensured set of agreements and terms, it focuses on communicating and documenting both of its parties. This therefore helps in avoiding various types of misunderstanding along with developing transparency throughout its process of development (</w:t>
      </w:r>
      <w:r>
        <w:rPr>
          <w:color w:val="222222"/>
          <w:highlight w:val="white"/>
        </w:rPr>
        <w:t xml:space="preserve">Rogers </w:t>
      </w:r>
      <w:r>
        <w:rPr>
          <w:i/>
          <w:color w:val="222222"/>
          <w:highlight w:val="white"/>
        </w:rPr>
        <w:t>et al</w:t>
      </w:r>
      <w:r>
        <w:rPr>
          <w:color w:val="222222"/>
          <w:highlight w:val="white"/>
        </w:rPr>
        <w:t>., 2020</w:t>
      </w:r>
      <w:r>
        <w:t xml:space="preserve">). By establishing an effective set of mechanisms, the ongoing evaluation </w:t>
      </w:r>
      <w:r>
        <w:lastRenderedPageBreak/>
        <w:t>and feedback of implementing various solutions gets formed. It helps it to allow and adjust necessary types for addressing the factor of emerging issues promptly. Also, by tracking the performance of the agreed solutions, it would be able to increase its wages along with bringing an additional set of benefits which helps in accessing the effectiveness for meeting the intended set of goals. This data-driven factor therefore helps in forming such an approach in which future decisions and negotiations get formed. To resolve the issue of conflict management, it will also be leading to provide training to both its employees and management to effectively manage the techniques of conflict resolution. It further relates to the skill of investing and developing under the factors of empowerment in which it gets to handle future disputes constructively. </w:t>
      </w:r>
    </w:p>
    <w:p w14:paraId="00000025" w14:textId="77777777" w:rsidR="00D21A30" w:rsidRDefault="00000000">
      <w:r>
        <w:t>Through the help of fostering an effective organisational culture, it would be able to develop the value of collaboration and trust (</w:t>
      </w:r>
      <w:proofErr w:type="spellStart"/>
      <w:r>
        <w:rPr>
          <w:color w:val="222222"/>
          <w:highlight w:val="white"/>
        </w:rPr>
        <w:t>Errida</w:t>
      </w:r>
      <w:proofErr w:type="spellEnd"/>
      <w:r>
        <w:rPr>
          <w:color w:val="222222"/>
          <w:highlight w:val="white"/>
        </w:rPr>
        <w:t xml:space="preserve"> and Lotfi, 2021</w:t>
      </w:r>
      <w:r>
        <w:t xml:space="preserve">). By encouraging a regular set of communication </w:t>
      </w:r>
      <w:proofErr w:type="gramStart"/>
      <w:r>
        <w:t>channels</w:t>
      </w:r>
      <w:proofErr w:type="gramEnd"/>
      <w:r>
        <w:t xml:space="preserve"> it would also be forming forums and concerns which get raised and addressed promptly. The recognition of rewards and other efforts gets further made under both the parties forming the research in resolution. It further focuses on acknowledging the demonstrating of appreciation and contribution to appreciate its ability to develop motivation and morale within its workforce. Further, by adopting a collaborative set of conflict resolution, it gets very appropriate to manage the essentiality by forming a post office scenario related to its strike. By prioritising open sets of dialogue, mutual </w:t>
      </w:r>
      <w:proofErr w:type="gramStart"/>
      <w:r>
        <w:t>respect</w:t>
      </w:r>
      <w:proofErr w:type="gramEnd"/>
      <w:r>
        <w:t xml:space="preserve"> and creative methods of problem-solving, the employees get to work with one another along with finding solutions which address immediate concerns while laying on groundwork to manage a sustainable range of relationships. This approach further helped to outline the importance and emphasising factors in terms of ongoing evaluation, clear </w:t>
      </w:r>
      <w:proofErr w:type="gramStart"/>
      <w:r>
        <w:t>communication</w:t>
      </w:r>
      <w:proofErr w:type="gramEnd"/>
      <w:r>
        <w:t xml:space="preserve"> and engagement (</w:t>
      </w:r>
      <w:r>
        <w:rPr>
          <w:color w:val="222222"/>
          <w:highlight w:val="white"/>
        </w:rPr>
        <w:t>Hauser, 2020</w:t>
      </w:r>
      <w:r>
        <w:t>). By embracing these principles, it easily navigates various conflicts with cohesion and other ultimate and long-term success of business.</w:t>
      </w:r>
    </w:p>
    <w:p w14:paraId="00000026" w14:textId="77777777" w:rsidR="00D21A30" w:rsidRDefault="00000000">
      <w:pPr>
        <w:pStyle w:val="Heading1"/>
        <w:rPr>
          <w:sz w:val="24"/>
          <w:szCs w:val="24"/>
        </w:rPr>
      </w:pPr>
      <w:bookmarkStart w:id="4" w:name="_heading=h.2et92p0" w:colFirst="0" w:colLast="0"/>
      <w:bookmarkEnd w:id="4"/>
      <w:r>
        <w:t>Based on your evidence in 1 and 2, critically discuss ways to reach a ‘win-win’ solution among the stakeholders</w:t>
      </w:r>
    </w:p>
    <w:p w14:paraId="00000027" w14:textId="77777777" w:rsidR="00D21A30" w:rsidRDefault="00000000">
      <w:r>
        <w:t xml:space="preserve">To reach a win-win solution related to the case of a post office strike, the involvement of addressing various concerns for both employees and management gets effectively done. It further also relates to the factor of discussing various ways for achieving a high level of understanding of stakeholder concerns which relate to the employee perspective of developing fair compensation by getting concerned with mindset and stagnant wages. It also provides the eroding power of purchasing quality over the power of life by seeking assurance related to job </w:t>
      </w:r>
      <w:r>
        <w:lastRenderedPageBreak/>
        <w:t>stability and other prospects of the future within its business organisation (</w:t>
      </w:r>
      <w:r>
        <w:rPr>
          <w:color w:val="222222"/>
          <w:highlight w:val="white"/>
        </w:rPr>
        <w:t>Lee, 2021</w:t>
      </w:r>
      <w:r>
        <w:t>). The employees therefore feel recognised and valued for managing contributions by going beyond the level of financial compensation along with improving career development opportunities and improved working conditions. Further, the perspective of management is aimed effectively at balancing and resolving the demand of employees in terms of managing sustainability and organisational health and finance. This further helps in prioritising and maintaining customer service amidst factors and maintaining smooth operations which are caused by disruption and other sorts of strikes. Moreover, management also focuses on seeking and establishing such a framework in which the promotion of stability and future negotiations gets predictably formed in terms of labour relations in business (</w:t>
      </w:r>
      <w:r>
        <w:rPr>
          <w:color w:val="222222"/>
          <w:highlight w:val="white"/>
        </w:rPr>
        <w:t>Scott, 2020</w:t>
      </w:r>
      <w:r>
        <w:t xml:space="preserve">). However, there are also various types of strategies which help the environment in fostering and openly discussing the priorities, </w:t>
      </w:r>
      <w:proofErr w:type="gramStart"/>
      <w:r>
        <w:t>concerns</w:t>
      </w:r>
      <w:proofErr w:type="gramEnd"/>
      <w:r>
        <w:t xml:space="preserve"> and constraints of using accessible and clear sets of communication channels. It further focuses on ensuring and using various types of channels which get related to voice and other process of negotiations in a collaborative manner. Further, by encouraging collaborative sets of brainstorming sessions, the representation of both sides of creative solutions and addressing of underlying issues gets formed. It helps in exploring the options beyond the level of flexible work arrangements along with performance-based initiatives and additional benefits. Moreover, stakeholders also get encouraged related with the factors of articulating underlying assets of interests which helps in changing the rigid sense of positions (</w:t>
      </w:r>
      <w:r>
        <w:rPr>
          <w:color w:val="222222"/>
          <w:highlight w:val="white"/>
        </w:rPr>
        <w:t>Yoder-Wise and Sportsman, 2022</w:t>
      </w:r>
      <w:r>
        <w:t>). It further helps in finding and developing a common set of goals along with exploring the mutual benefits and solutions to prioritise its financial security and another cost of focusing on managing through operational efficiency and effectiveness. It makes both of its parties willing to make concessions related to the necessary and achieved set of outcomes for balancing the agreement of business. By exploring various phases and an increased set of wages, the linking of organisational performance metrics along with various economic indicators gets formed for addressing an immediate set of concerns along with sustainability. Through the factor of considering various types of incentives, the process of agreement which benefits both parties’ gets formed which also includes bonuses tied to productivity along with operational efficiencies (</w:t>
      </w:r>
      <w:r>
        <w:rPr>
          <w:color w:val="222222"/>
          <w:highlight w:val="white"/>
        </w:rPr>
        <w:t xml:space="preserve">Islam </w:t>
      </w:r>
      <w:r>
        <w:rPr>
          <w:i/>
          <w:color w:val="222222"/>
          <w:highlight w:val="white"/>
        </w:rPr>
        <w:t>et al</w:t>
      </w:r>
      <w:r>
        <w:rPr>
          <w:color w:val="222222"/>
          <w:highlight w:val="white"/>
        </w:rPr>
        <w:t>., 2020</w:t>
      </w:r>
      <w:r>
        <w:t>). Moreover, by investing in strengthening and building trust, the relationship between employees and management gets beyond the limit of bringing negotiation and immediate process. Lastly, the development of mechanisms with the help of ongoing feedback and dialogues gets formed under addressing of emergency issues and other factors of getting prevented with managing conflicts.</w:t>
      </w:r>
    </w:p>
    <w:p w14:paraId="00000028" w14:textId="77777777" w:rsidR="00D21A30" w:rsidRDefault="00000000">
      <w:pPr>
        <w:pStyle w:val="Heading1"/>
        <w:rPr>
          <w:sz w:val="24"/>
          <w:szCs w:val="24"/>
        </w:rPr>
      </w:pPr>
      <w:bookmarkStart w:id="5" w:name="_heading=h.tyjcwt" w:colFirst="0" w:colLast="0"/>
      <w:bookmarkEnd w:id="5"/>
      <w:r>
        <w:lastRenderedPageBreak/>
        <w:t>Based on your experience with this module, how has your understanding of conflict resolution and stakeholder theory prepared you for the workplace?</w:t>
      </w:r>
    </w:p>
    <w:p w14:paraId="00000029" w14:textId="77777777" w:rsidR="00D21A30" w:rsidRDefault="00000000">
      <w:r>
        <w:t xml:space="preserve">As per the module, the discussion of conflict resolution along with the discussion of stakeholder theory gets provided with various sets of comprehensive frameworks which significantly develop the factors of preparedness. It particularly relates the real-world challenges under the context of post office strikes of case study for understanding a diverse range of approaches related to conflict management. This helped in outlining various types of styles such as collaborating, competing, avoiding, </w:t>
      </w:r>
      <w:proofErr w:type="gramStart"/>
      <w:r>
        <w:t>comprising</w:t>
      </w:r>
      <w:proofErr w:type="gramEnd"/>
      <w:r>
        <w:t xml:space="preserve"> and accumulating. Each of its styles further helped in discussing various terms of cooperativeness, </w:t>
      </w:r>
      <w:proofErr w:type="gramStart"/>
      <w:r>
        <w:t>assertiveness</w:t>
      </w:r>
      <w:proofErr w:type="gramEnd"/>
      <w:r>
        <w:t xml:space="preserve"> and other factors of suitability to help it in differing solutions. This understanding further is also known to be one of the most crucial aspects for managing a case study context in which the conflict between post office workers related to the strike gets overheated (</w:t>
      </w:r>
      <w:r>
        <w:rPr>
          <w:color w:val="222222"/>
          <w:highlight w:val="white"/>
        </w:rPr>
        <w:t xml:space="preserve">Wallo </w:t>
      </w:r>
      <w:r>
        <w:rPr>
          <w:i/>
          <w:color w:val="222222"/>
          <w:highlight w:val="white"/>
        </w:rPr>
        <w:t>et al</w:t>
      </w:r>
      <w:r>
        <w:rPr>
          <w:color w:val="222222"/>
          <w:highlight w:val="white"/>
        </w:rPr>
        <w:t>., 2022</w:t>
      </w:r>
      <w:r>
        <w:t>). It further focuses on increasing the rate of inflation which also requires a nuanced set of approaches for balancing corporations and assertiveness. Further, the emphasis on managing problem-solving skills focuses on resonating deeply with the case study of post office strikes under which the involvement of high assertiveness and cooperation made it way more suitable for managing situations along with maintaining such relationships in which the creative set of solutions gets fully essential under creative solutions. Moreover, the encouragement of problem-solving and open dialogue of stakeholders engaged with one another under high terms of factors and solutions in which both the immediate needs of long-term goals and needs of wages get increased as per sustainable labour relationships (</w:t>
      </w:r>
      <w:r>
        <w:rPr>
          <w:color w:val="222222"/>
          <w:highlight w:val="white"/>
        </w:rPr>
        <w:t xml:space="preserve">Farahnak </w:t>
      </w:r>
      <w:r>
        <w:rPr>
          <w:i/>
          <w:color w:val="222222"/>
          <w:highlight w:val="white"/>
        </w:rPr>
        <w:t>et al</w:t>
      </w:r>
      <w:r>
        <w:rPr>
          <w:color w:val="222222"/>
          <w:highlight w:val="white"/>
        </w:rPr>
        <w:t>., 2020</w:t>
      </w:r>
      <w:r>
        <w:t>). The discussion of modules further helped me in compromising and developing those highlights in which the importance of finding concessions and making middle ground development gets done in necessary manners. As per the case study, the phase of increasing wages and other bonuses related to performance-based factors gets compromised with financial concerns and other alignments for managing the needs and fiscal policy of the business. In this case study, the stakeholder theory was effectively emphasised in which the importance of prioritising and understanding the interests and needs of all parties got involved effectively. It included the factors of stakeholders in which the broader range of the public got affected by service disruptions which is also one of the factors for recognising stakeholders who comprise diverse sets of interests and operational efficiency (</w:t>
      </w:r>
      <w:r>
        <w:rPr>
          <w:color w:val="222222"/>
          <w:highlight w:val="white"/>
        </w:rPr>
        <w:t xml:space="preserve">Fox </w:t>
      </w:r>
      <w:r>
        <w:rPr>
          <w:i/>
          <w:color w:val="222222"/>
          <w:highlight w:val="white"/>
        </w:rPr>
        <w:t>et al</w:t>
      </w:r>
      <w:r>
        <w:rPr>
          <w:color w:val="222222"/>
          <w:highlight w:val="white"/>
        </w:rPr>
        <w:t>., 2022</w:t>
      </w:r>
      <w:r>
        <w:t xml:space="preserve">). It is also therefore known to be </w:t>
      </w:r>
      <w:r>
        <w:lastRenderedPageBreak/>
        <w:t>crucial for managing sustainable business solutions along with developing an inclusive set of business environments. In conclusion, the module helped me enhance my skills of readiness to get engaged under the scenarios of the real world which relates to the stroking causes of case study. By integrating these all factors, the conflicts and strategies of resolutions get managed with the principles of stakeholder theory. This discussion further also helped me to develop my capabilities of professional contribution which contributed to a complex and positive set of impacts related to the organisational environment and factors (</w:t>
      </w:r>
      <w:r>
        <w:rPr>
          <w:color w:val="222222"/>
          <w:highlight w:val="white"/>
        </w:rPr>
        <w:t>Vlachopoulos, 2021</w:t>
      </w:r>
      <w:r>
        <w:t>). Applying these factors, helped me to effectively develop the factors of problem-solving along with balancing interest along promoting sustainable outcomes.</w:t>
      </w:r>
    </w:p>
    <w:p w14:paraId="0000002A" w14:textId="77777777" w:rsidR="00D21A30" w:rsidRDefault="00000000">
      <w:pPr>
        <w:jc w:val="left"/>
        <w:rPr>
          <w:b/>
          <w:color w:val="000000"/>
          <w:sz w:val="32"/>
          <w:szCs w:val="32"/>
        </w:rPr>
      </w:pPr>
      <w:r>
        <w:br w:type="page"/>
      </w:r>
    </w:p>
    <w:p w14:paraId="0000002B" w14:textId="77777777" w:rsidR="00D21A30" w:rsidRDefault="00000000">
      <w:pPr>
        <w:pStyle w:val="Heading1"/>
        <w:rPr>
          <w:sz w:val="48"/>
        </w:rPr>
      </w:pPr>
      <w:bookmarkStart w:id="6" w:name="_heading=h.3dy6vkm" w:colFirst="0" w:colLast="0"/>
      <w:bookmarkEnd w:id="6"/>
      <w:r>
        <w:lastRenderedPageBreak/>
        <w:t>Conclusion</w:t>
      </w:r>
    </w:p>
    <w:p w14:paraId="0000002C" w14:textId="77777777" w:rsidR="00D21A30" w:rsidRDefault="00000000">
      <w:r>
        <w:t>In conclusion to the context above, the report has briefly discussed the factors of leading and implementing the changes in the workplace. It has briefly discussed the case study of post office strikes along with the causes and impact behind that stroke. This case study therefore also evaluated those factors related to the issues getting formed due to the case study along with the managing factors which have been implemented by it to manage and recommend improvements as per its needs. Further, the issues which have been faced by the workers have been analysed with the help of stakeholder theory and various factors of conflict resolution which helped in managing the overall cost-effectiveness of the business. Moreover, the formulation of the discussion and overall report has analysed the factors and areas of bringing improvement in which the workplace issues and other factors of monitoring its areas of improvement and other strategies get aligned with one another.</w:t>
      </w:r>
    </w:p>
    <w:p w14:paraId="0000002D" w14:textId="77777777" w:rsidR="00D21A30" w:rsidRDefault="00000000">
      <w:pPr>
        <w:jc w:val="left"/>
        <w:rPr>
          <w:b/>
          <w:color w:val="000000"/>
          <w:sz w:val="32"/>
          <w:szCs w:val="32"/>
        </w:rPr>
      </w:pPr>
      <w:r>
        <w:br w:type="page"/>
      </w:r>
    </w:p>
    <w:p w14:paraId="0000002E" w14:textId="77777777" w:rsidR="00D21A30" w:rsidRDefault="00000000">
      <w:pPr>
        <w:pStyle w:val="Heading1"/>
        <w:rPr>
          <w:sz w:val="48"/>
        </w:rPr>
      </w:pPr>
      <w:bookmarkStart w:id="7" w:name="_heading=h.1t3h5sf" w:colFirst="0" w:colLast="0"/>
      <w:bookmarkEnd w:id="7"/>
      <w:r>
        <w:lastRenderedPageBreak/>
        <w:t>Recommendation</w:t>
      </w:r>
    </w:p>
    <w:p w14:paraId="0000002F" w14:textId="77777777" w:rsidR="00D21A30" w:rsidRDefault="00000000">
      <w:r>
        <w:t>To effectively address the issue of the overall module discussed above it first needs to enhance and develop its robust channels of communication. It will focus on facilitating a transparent range of dialogue between its employees and management which will help it to bring a regular set of updates which will help it to manage and make decisions (</w:t>
      </w:r>
      <w:proofErr w:type="spellStart"/>
      <w:r>
        <w:rPr>
          <w:color w:val="222222"/>
          <w:highlight w:val="white"/>
        </w:rPr>
        <w:t>Onyeneke</w:t>
      </w:r>
      <w:proofErr w:type="spellEnd"/>
      <w:r>
        <w:rPr>
          <w:color w:val="222222"/>
          <w:highlight w:val="white"/>
        </w:rPr>
        <w:t xml:space="preserve"> and Abe, 2021</w:t>
      </w:r>
      <w:r>
        <w:t>). Regularly negotiating and updating will help the work in minimising misunderstandings along with briefly managing its level of expectations. The consideration of flexible business compensation models would be therefore including the performance and wages related to economic indicators and performance metrics. By this approach, the addressing of various immediate factors along with the rate of inflation gets highly ensured with one another to fulfil its financial sustainability (</w:t>
      </w:r>
      <w:r>
        <w:rPr>
          <w:color w:val="222222"/>
          <w:highlight w:val="white"/>
        </w:rPr>
        <w:t>Hayes, 2022</w:t>
      </w:r>
      <w:r>
        <w:t>). Further, by providing training sessions to both its employees and management the techniques of conflict management get done. It helps in managing the disputes and skills to manage the organisational resilience and future conflicts in business. Moreover, by fostering a culture of collaboration and mutual respect, the organisation would be able to encourage its initiatives along with recognising its employees to contribute and build trust between its staff and management.  </w:t>
      </w:r>
    </w:p>
    <w:p w14:paraId="00000030" w14:textId="77777777" w:rsidR="00D21A30" w:rsidRDefault="00000000">
      <w:pPr>
        <w:jc w:val="left"/>
        <w:rPr>
          <w:b/>
          <w:color w:val="000000"/>
          <w:sz w:val="32"/>
          <w:szCs w:val="32"/>
        </w:rPr>
      </w:pPr>
      <w:r>
        <w:br w:type="page"/>
      </w:r>
    </w:p>
    <w:p w14:paraId="00000031" w14:textId="77777777" w:rsidR="00D21A30" w:rsidRDefault="00000000">
      <w:pPr>
        <w:pStyle w:val="Heading1"/>
        <w:rPr>
          <w:sz w:val="24"/>
          <w:szCs w:val="24"/>
        </w:rPr>
      </w:pPr>
      <w:bookmarkStart w:id="8" w:name="_heading=h.4d34og8" w:colFirst="0" w:colLast="0"/>
      <w:bookmarkEnd w:id="8"/>
      <w:r>
        <w:lastRenderedPageBreak/>
        <w:t>References</w:t>
      </w:r>
    </w:p>
    <w:p w14:paraId="00000032" w14:textId="77777777" w:rsidR="00D21A30" w:rsidRDefault="00000000">
      <w:r>
        <w:rPr>
          <w:highlight w:val="white"/>
        </w:rPr>
        <w:t xml:space="preserve">Bartram, T., Stanton, P., Bamber, G.J., Leggat, S.G., </w:t>
      </w:r>
      <w:proofErr w:type="spellStart"/>
      <w:r>
        <w:rPr>
          <w:highlight w:val="white"/>
        </w:rPr>
        <w:t>Ballardie</w:t>
      </w:r>
      <w:proofErr w:type="spellEnd"/>
      <w:r>
        <w:rPr>
          <w:highlight w:val="white"/>
        </w:rPr>
        <w:t xml:space="preserve">, R. and Gough, R., (2020). Engaging professionals in sustainable workplace innovation: medical doctors and institutional work. </w:t>
      </w:r>
      <w:r>
        <w:rPr>
          <w:i/>
          <w:highlight w:val="white"/>
        </w:rPr>
        <w:t>British Journal of Management</w:t>
      </w:r>
      <w:r>
        <w:rPr>
          <w:highlight w:val="white"/>
        </w:rPr>
        <w:t xml:space="preserve">, </w:t>
      </w:r>
      <w:r>
        <w:rPr>
          <w:i/>
          <w:highlight w:val="white"/>
        </w:rPr>
        <w:t>31</w:t>
      </w:r>
      <w:r>
        <w:rPr>
          <w:highlight w:val="white"/>
        </w:rPr>
        <w:t>(1), pp.42-55.</w:t>
      </w:r>
    </w:p>
    <w:p w14:paraId="00000033" w14:textId="77777777" w:rsidR="00D21A30" w:rsidRDefault="00000000">
      <w:r>
        <w:rPr>
          <w:highlight w:val="white"/>
        </w:rPr>
        <w:t xml:space="preserve">Biancone, P.P., </w:t>
      </w:r>
      <w:proofErr w:type="spellStart"/>
      <w:r>
        <w:rPr>
          <w:highlight w:val="white"/>
        </w:rPr>
        <w:t>Secinaro</w:t>
      </w:r>
      <w:proofErr w:type="spellEnd"/>
      <w:r>
        <w:rPr>
          <w:highlight w:val="white"/>
        </w:rPr>
        <w:t xml:space="preserve">, S., Brescia, V. and Calandra, D., (2024). Which direction for stakeholder capitalism? Approaches and reporting towards POP accounting. </w:t>
      </w:r>
      <w:r>
        <w:rPr>
          <w:i/>
          <w:highlight w:val="white"/>
        </w:rPr>
        <w:t>Sustainable Development</w:t>
      </w:r>
      <w:r>
        <w:rPr>
          <w:highlight w:val="white"/>
        </w:rPr>
        <w:t>.</w:t>
      </w:r>
    </w:p>
    <w:p w14:paraId="00000034" w14:textId="77777777" w:rsidR="00D21A30" w:rsidRDefault="00000000">
      <w:r>
        <w:rPr>
          <w:highlight w:val="white"/>
        </w:rPr>
        <w:t xml:space="preserve">Bonilla, G.J., </w:t>
      </w:r>
      <w:proofErr w:type="spellStart"/>
      <w:r>
        <w:rPr>
          <w:highlight w:val="white"/>
        </w:rPr>
        <w:t>Dietlmeier</w:t>
      </w:r>
      <w:proofErr w:type="spellEnd"/>
      <w:r>
        <w:rPr>
          <w:highlight w:val="white"/>
        </w:rPr>
        <w:t xml:space="preserve">, S.F. and </w:t>
      </w:r>
      <w:proofErr w:type="spellStart"/>
      <w:r>
        <w:rPr>
          <w:highlight w:val="white"/>
        </w:rPr>
        <w:t>Urmetzer</w:t>
      </w:r>
      <w:proofErr w:type="spellEnd"/>
      <w:r>
        <w:rPr>
          <w:highlight w:val="white"/>
        </w:rPr>
        <w:t>, F., (2023). Multi-Stakeholder Ecosystem for Standardization of AI in Industry.</w:t>
      </w:r>
    </w:p>
    <w:p w14:paraId="00000035" w14:textId="77777777" w:rsidR="00D21A30" w:rsidRDefault="00000000">
      <w:r>
        <w:rPr>
          <w:highlight w:val="white"/>
        </w:rPr>
        <w:t xml:space="preserve">Cardiff, S., Sanders, K., Webster, J. and Manley, K., (2020). Guiding lights for effective workplace cultures that are also good places to work. </w:t>
      </w:r>
      <w:r>
        <w:rPr>
          <w:i/>
          <w:highlight w:val="white"/>
        </w:rPr>
        <w:t>International Practice Development Journal</w:t>
      </w:r>
      <w:r>
        <w:rPr>
          <w:highlight w:val="white"/>
        </w:rPr>
        <w:t xml:space="preserve">, </w:t>
      </w:r>
      <w:r>
        <w:rPr>
          <w:i/>
          <w:highlight w:val="white"/>
        </w:rPr>
        <w:t>10</w:t>
      </w:r>
      <w:r>
        <w:rPr>
          <w:highlight w:val="white"/>
        </w:rPr>
        <w:t>(2).</w:t>
      </w:r>
    </w:p>
    <w:p w14:paraId="00000036" w14:textId="77777777" w:rsidR="00D21A30" w:rsidRDefault="00000000">
      <w:r>
        <w:rPr>
          <w:highlight w:val="white"/>
        </w:rPr>
        <w:t xml:space="preserve">Dang, D., </w:t>
      </w:r>
      <w:proofErr w:type="spellStart"/>
      <w:r>
        <w:rPr>
          <w:highlight w:val="white"/>
        </w:rPr>
        <w:t>Dearholt</w:t>
      </w:r>
      <w:proofErr w:type="spellEnd"/>
      <w:r>
        <w:rPr>
          <w:highlight w:val="white"/>
        </w:rPr>
        <w:t xml:space="preserve">, S.L., Bissett, K., Ascenzi, J. and Whalen, M., (2021). </w:t>
      </w:r>
      <w:r>
        <w:rPr>
          <w:i/>
          <w:highlight w:val="white"/>
        </w:rPr>
        <w:t>Johns Hopkins evidence-based practice for nurses and healthcare professionals: Model and guidelines</w:t>
      </w:r>
      <w:r>
        <w:rPr>
          <w:highlight w:val="white"/>
        </w:rPr>
        <w:t>. Sigma Theta Tau.</w:t>
      </w:r>
    </w:p>
    <w:p w14:paraId="00000037" w14:textId="77777777" w:rsidR="00D21A30" w:rsidRDefault="00000000">
      <w:r>
        <w:rPr>
          <w:highlight w:val="white"/>
        </w:rPr>
        <w:t xml:space="preserve">Daniels, K., Watson, D., Nayani, R., Tregaskis, O., Hogg, M., </w:t>
      </w:r>
      <w:proofErr w:type="spellStart"/>
      <w:r>
        <w:rPr>
          <w:highlight w:val="white"/>
        </w:rPr>
        <w:t>Etuknwa</w:t>
      </w:r>
      <w:proofErr w:type="spellEnd"/>
      <w:r>
        <w:rPr>
          <w:highlight w:val="white"/>
        </w:rPr>
        <w:t xml:space="preserve">, A. and </w:t>
      </w:r>
      <w:proofErr w:type="spellStart"/>
      <w:r>
        <w:rPr>
          <w:highlight w:val="white"/>
        </w:rPr>
        <w:t>Semkina</w:t>
      </w:r>
      <w:proofErr w:type="spellEnd"/>
      <w:r>
        <w:rPr>
          <w:highlight w:val="white"/>
        </w:rPr>
        <w:t xml:space="preserve">, A., (2021). Implementing practices focused on workplace health and psychological wellbeing: A systematic review. </w:t>
      </w:r>
      <w:r>
        <w:rPr>
          <w:i/>
          <w:highlight w:val="white"/>
        </w:rPr>
        <w:t>Social Science &amp; Medicine</w:t>
      </w:r>
      <w:r>
        <w:rPr>
          <w:highlight w:val="white"/>
        </w:rPr>
        <w:t xml:space="preserve">, </w:t>
      </w:r>
      <w:r>
        <w:rPr>
          <w:i/>
          <w:highlight w:val="white"/>
        </w:rPr>
        <w:t>277</w:t>
      </w:r>
      <w:r>
        <w:rPr>
          <w:highlight w:val="white"/>
        </w:rPr>
        <w:t>, p.113888.</w:t>
      </w:r>
    </w:p>
    <w:p w14:paraId="00000038" w14:textId="77777777" w:rsidR="00D21A30" w:rsidRDefault="00000000">
      <w:r>
        <w:rPr>
          <w:highlight w:val="white"/>
        </w:rPr>
        <w:t xml:space="preserve">Dimitrovski, D., Lemmetyinen, A., Nieminen, L. and Pohjola, T., (2021). Understanding coastal and marine tourism sustainability-A multi-stakeholder analysis. </w:t>
      </w:r>
      <w:r>
        <w:rPr>
          <w:i/>
          <w:highlight w:val="white"/>
        </w:rPr>
        <w:t>Journal of Destination Marketing &amp; Management</w:t>
      </w:r>
      <w:r>
        <w:rPr>
          <w:highlight w:val="white"/>
        </w:rPr>
        <w:t xml:space="preserve">, </w:t>
      </w:r>
      <w:r>
        <w:rPr>
          <w:i/>
          <w:highlight w:val="white"/>
        </w:rPr>
        <w:t>19</w:t>
      </w:r>
      <w:r>
        <w:rPr>
          <w:highlight w:val="white"/>
        </w:rPr>
        <w:t>, p.100554.</w:t>
      </w:r>
    </w:p>
    <w:p w14:paraId="00000039" w14:textId="77777777" w:rsidR="00D21A30" w:rsidRDefault="00000000">
      <w:proofErr w:type="spellStart"/>
      <w:r>
        <w:rPr>
          <w:highlight w:val="white"/>
        </w:rPr>
        <w:t>Errida</w:t>
      </w:r>
      <w:proofErr w:type="spellEnd"/>
      <w:r>
        <w:rPr>
          <w:highlight w:val="white"/>
        </w:rPr>
        <w:t xml:space="preserve">, A. and Lotfi, B., (2021). The determinants of organisational change management success: Literature review and case study. </w:t>
      </w:r>
      <w:r>
        <w:rPr>
          <w:i/>
          <w:highlight w:val="white"/>
        </w:rPr>
        <w:t>International Journal of Engineering Business Management</w:t>
      </w:r>
      <w:r>
        <w:rPr>
          <w:highlight w:val="white"/>
        </w:rPr>
        <w:t xml:space="preserve">, </w:t>
      </w:r>
      <w:r>
        <w:rPr>
          <w:i/>
          <w:highlight w:val="white"/>
        </w:rPr>
        <w:t>13</w:t>
      </w:r>
      <w:r>
        <w:rPr>
          <w:highlight w:val="white"/>
        </w:rPr>
        <w:t>, p.18479790211016273.</w:t>
      </w:r>
    </w:p>
    <w:p w14:paraId="0000003A" w14:textId="77777777" w:rsidR="00D21A30" w:rsidRDefault="00000000">
      <w:r>
        <w:rPr>
          <w:highlight w:val="white"/>
        </w:rPr>
        <w:t xml:space="preserve">Eskerod, P., (2020). A stakeholder perspective: Origins and core concepts. In </w:t>
      </w:r>
      <w:r>
        <w:rPr>
          <w:i/>
          <w:highlight w:val="white"/>
        </w:rPr>
        <w:t xml:space="preserve">Oxford Research </w:t>
      </w:r>
      <w:proofErr w:type="spellStart"/>
      <w:r>
        <w:rPr>
          <w:i/>
          <w:highlight w:val="white"/>
        </w:rPr>
        <w:t>Encyclopedia</w:t>
      </w:r>
      <w:proofErr w:type="spellEnd"/>
      <w:r>
        <w:rPr>
          <w:i/>
          <w:highlight w:val="white"/>
        </w:rPr>
        <w:t xml:space="preserve"> of Business and Management</w:t>
      </w:r>
      <w:r>
        <w:rPr>
          <w:highlight w:val="white"/>
        </w:rPr>
        <w:t>.</w:t>
      </w:r>
    </w:p>
    <w:p w14:paraId="0000003B" w14:textId="77777777" w:rsidR="00D21A30" w:rsidRDefault="00000000">
      <w:r>
        <w:rPr>
          <w:highlight w:val="white"/>
        </w:rPr>
        <w:t xml:space="preserve">Farahnak, L.R., Ehrhart, M.G., Torres, E.M. and Aarons, G.A., (2020). The influence of transformational leadership and leader attitudes on subordinate attitudes and implementation success. </w:t>
      </w:r>
      <w:r>
        <w:rPr>
          <w:i/>
          <w:highlight w:val="white"/>
        </w:rPr>
        <w:t>Journal of Leadership &amp; Organisational Studies</w:t>
      </w:r>
      <w:r>
        <w:rPr>
          <w:highlight w:val="white"/>
        </w:rPr>
        <w:t xml:space="preserve">, </w:t>
      </w:r>
      <w:r>
        <w:rPr>
          <w:i/>
          <w:highlight w:val="white"/>
        </w:rPr>
        <w:t>27</w:t>
      </w:r>
      <w:r>
        <w:rPr>
          <w:highlight w:val="white"/>
        </w:rPr>
        <w:t>(1), pp.98-111.</w:t>
      </w:r>
    </w:p>
    <w:p w14:paraId="0000003C" w14:textId="77777777" w:rsidR="00D21A30" w:rsidRDefault="00000000">
      <w:r>
        <w:rPr>
          <w:highlight w:val="white"/>
        </w:rPr>
        <w:t xml:space="preserve">Ford, J., Ford, L. and Polin, B., (2021). Leadership in the implementation of change: Functions, sources, and requisite variety. </w:t>
      </w:r>
      <w:r>
        <w:rPr>
          <w:i/>
          <w:highlight w:val="white"/>
        </w:rPr>
        <w:t>Journal of Change Management</w:t>
      </w:r>
      <w:r>
        <w:rPr>
          <w:highlight w:val="white"/>
        </w:rPr>
        <w:t xml:space="preserve">, </w:t>
      </w:r>
      <w:r>
        <w:rPr>
          <w:i/>
          <w:highlight w:val="white"/>
        </w:rPr>
        <w:t>21</w:t>
      </w:r>
      <w:r>
        <w:rPr>
          <w:highlight w:val="white"/>
        </w:rPr>
        <w:t>(1), pp.87-119.</w:t>
      </w:r>
    </w:p>
    <w:p w14:paraId="0000003D" w14:textId="77777777" w:rsidR="00D21A30" w:rsidRDefault="00000000">
      <w:r>
        <w:rPr>
          <w:highlight w:val="white"/>
        </w:rPr>
        <w:lastRenderedPageBreak/>
        <w:t xml:space="preserve">Fox, K.E., Johnson, S.T., Berkman, L.F., </w:t>
      </w:r>
      <w:proofErr w:type="spellStart"/>
      <w:r>
        <w:rPr>
          <w:highlight w:val="white"/>
        </w:rPr>
        <w:t>Sianoja</w:t>
      </w:r>
      <w:proofErr w:type="spellEnd"/>
      <w:r>
        <w:rPr>
          <w:highlight w:val="white"/>
        </w:rPr>
        <w:t xml:space="preserve">, M., Soh, Y., </w:t>
      </w:r>
      <w:proofErr w:type="spellStart"/>
      <w:r>
        <w:rPr>
          <w:highlight w:val="white"/>
        </w:rPr>
        <w:t>Kubzansky</w:t>
      </w:r>
      <w:proofErr w:type="spellEnd"/>
      <w:r>
        <w:rPr>
          <w:highlight w:val="white"/>
        </w:rPr>
        <w:t xml:space="preserve">, L.D. and Kelly, E.L., (2022). Organisational-and group-level workplace interventions and their effect on multiple domains of worker well-being: A systematic review. </w:t>
      </w:r>
      <w:r>
        <w:rPr>
          <w:i/>
          <w:highlight w:val="white"/>
        </w:rPr>
        <w:t>Work &amp; Stress</w:t>
      </w:r>
      <w:r>
        <w:rPr>
          <w:highlight w:val="white"/>
        </w:rPr>
        <w:t xml:space="preserve">, </w:t>
      </w:r>
      <w:r>
        <w:rPr>
          <w:i/>
          <w:highlight w:val="white"/>
        </w:rPr>
        <w:t>36</w:t>
      </w:r>
      <w:r>
        <w:rPr>
          <w:highlight w:val="white"/>
        </w:rPr>
        <w:t>(1), pp.30-59.</w:t>
      </w:r>
    </w:p>
    <w:p w14:paraId="0000003E" w14:textId="77777777" w:rsidR="00D21A30" w:rsidRDefault="00000000">
      <w:proofErr w:type="spellStart"/>
      <w:r>
        <w:rPr>
          <w:highlight w:val="white"/>
        </w:rPr>
        <w:t>Freudenreich</w:t>
      </w:r>
      <w:proofErr w:type="spellEnd"/>
      <w:r>
        <w:rPr>
          <w:highlight w:val="white"/>
        </w:rPr>
        <w:t xml:space="preserve">, B., </w:t>
      </w:r>
      <w:proofErr w:type="spellStart"/>
      <w:r>
        <w:rPr>
          <w:highlight w:val="white"/>
        </w:rPr>
        <w:t>Lüdeke</w:t>
      </w:r>
      <w:proofErr w:type="spellEnd"/>
      <w:r>
        <w:rPr>
          <w:highlight w:val="white"/>
        </w:rPr>
        <w:t xml:space="preserve">-Freund, F. and </w:t>
      </w:r>
      <w:proofErr w:type="spellStart"/>
      <w:r>
        <w:rPr>
          <w:highlight w:val="white"/>
        </w:rPr>
        <w:t>Schaltegger</w:t>
      </w:r>
      <w:proofErr w:type="spellEnd"/>
      <w:r>
        <w:rPr>
          <w:highlight w:val="white"/>
        </w:rPr>
        <w:t xml:space="preserve">, S., (2020). A stakeholder theory perspective on business models: Value creation for sustainability. </w:t>
      </w:r>
      <w:r>
        <w:rPr>
          <w:i/>
          <w:highlight w:val="white"/>
        </w:rPr>
        <w:t>Journal of business ethics</w:t>
      </w:r>
      <w:r>
        <w:rPr>
          <w:highlight w:val="white"/>
        </w:rPr>
        <w:t xml:space="preserve">, </w:t>
      </w:r>
      <w:r>
        <w:rPr>
          <w:i/>
          <w:highlight w:val="white"/>
        </w:rPr>
        <w:t>166</w:t>
      </w:r>
      <w:r>
        <w:rPr>
          <w:highlight w:val="white"/>
        </w:rPr>
        <w:t>(1), pp.3-18.</w:t>
      </w:r>
    </w:p>
    <w:p w14:paraId="0000003F" w14:textId="77777777" w:rsidR="00D21A30" w:rsidRDefault="00000000">
      <w:r>
        <w:rPr>
          <w:highlight w:val="white"/>
        </w:rPr>
        <w:t xml:space="preserve">Giorgi, S., </w:t>
      </w:r>
      <w:proofErr w:type="spellStart"/>
      <w:r>
        <w:rPr>
          <w:highlight w:val="white"/>
        </w:rPr>
        <w:t>Lavagna</w:t>
      </w:r>
      <w:proofErr w:type="spellEnd"/>
      <w:r>
        <w:rPr>
          <w:highlight w:val="white"/>
        </w:rPr>
        <w:t xml:space="preserve">, M., Wang, K., Osmani, M., Liu, G. and </w:t>
      </w:r>
      <w:proofErr w:type="spellStart"/>
      <w:r>
        <w:rPr>
          <w:highlight w:val="white"/>
        </w:rPr>
        <w:t>Campioli</w:t>
      </w:r>
      <w:proofErr w:type="spellEnd"/>
      <w:r>
        <w:rPr>
          <w:highlight w:val="white"/>
        </w:rPr>
        <w:t xml:space="preserve">, A., (2022). Drivers and barriers towards circular economy in the building sector: Stakeholder interviews and analysis of five European countries policies and practices. </w:t>
      </w:r>
      <w:r>
        <w:rPr>
          <w:i/>
          <w:highlight w:val="white"/>
        </w:rPr>
        <w:t>Journal of cleaner production</w:t>
      </w:r>
      <w:r>
        <w:rPr>
          <w:highlight w:val="white"/>
        </w:rPr>
        <w:t xml:space="preserve">, </w:t>
      </w:r>
      <w:r>
        <w:rPr>
          <w:i/>
          <w:highlight w:val="white"/>
        </w:rPr>
        <w:t>336</w:t>
      </w:r>
      <w:r>
        <w:rPr>
          <w:highlight w:val="white"/>
        </w:rPr>
        <w:t>, p.130395.</w:t>
      </w:r>
    </w:p>
    <w:p w14:paraId="00000040" w14:textId="77777777" w:rsidR="00D21A30" w:rsidRDefault="00000000">
      <w:r>
        <w:rPr>
          <w:highlight w:val="white"/>
        </w:rPr>
        <w:t xml:space="preserve">Hamam, M., Chinnici, G., Di Vita, G., Pappalardo, G., Pecorino, B., </w:t>
      </w:r>
      <w:proofErr w:type="spellStart"/>
      <w:r>
        <w:rPr>
          <w:highlight w:val="white"/>
        </w:rPr>
        <w:t>Maesano</w:t>
      </w:r>
      <w:proofErr w:type="spellEnd"/>
      <w:r>
        <w:rPr>
          <w:highlight w:val="white"/>
        </w:rPr>
        <w:t xml:space="preserve">, G. and D’Amico, M., (2021). Circular economy models in </w:t>
      </w:r>
      <w:proofErr w:type="spellStart"/>
      <w:r>
        <w:rPr>
          <w:highlight w:val="white"/>
        </w:rPr>
        <w:t>agro</w:t>
      </w:r>
      <w:proofErr w:type="spellEnd"/>
      <w:r>
        <w:rPr>
          <w:highlight w:val="white"/>
        </w:rPr>
        <w:t xml:space="preserve">-food systems: A review. </w:t>
      </w:r>
      <w:r>
        <w:rPr>
          <w:i/>
          <w:highlight w:val="white"/>
        </w:rPr>
        <w:t>Sustainability</w:t>
      </w:r>
      <w:r>
        <w:rPr>
          <w:highlight w:val="white"/>
        </w:rPr>
        <w:t xml:space="preserve">, </w:t>
      </w:r>
      <w:r>
        <w:rPr>
          <w:i/>
          <w:highlight w:val="white"/>
        </w:rPr>
        <w:t>13</w:t>
      </w:r>
      <w:r>
        <w:rPr>
          <w:highlight w:val="white"/>
        </w:rPr>
        <w:t>(6), p.3453.</w:t>
      </w:r>
    </w:p>
    <w:p w14:paraId="00000041" w14:textId="77777777" w:rsidR="00D21A30" w:rsidRDefault="00000000">
      <w:r>
        <w:rPr>
          <w:highlight w:val="white"/>
        </w:rPr>
        <w:t xml:space="preserve">Hauser, C., (2020). From preaching to behavioural change: Fostering ethics and compliance learning in the workplace. </w:t>
      </w:r>
      <w:r>
        <w:rPr>
          <w:i/>
          <w:highlight w:val="white"/>
        </w:rPr>
        <w:t>Journal of Business Ethics</w:t>
      </w:r>
      <w:r>
        <w:rPr>
          <w:highlight w:val="white"/>
        </w:rPr>
        <w:t xml:space="preserve">, </w:t>
      </w:r>
      <w:r>
        <w:rPr>
          <w:i/>
          <w:highlight w:val="white"/>
        </w:rPr>
        <w:t>162</w:t>
      </w:r>
      <w:r>
        <w:rPr>
          <w:highlight w:val="white"/>
        </w:rPr>
        <w:t>(4), pp.835-855.</w:t>
      </w:r>
    </w:p>
    <w:p w14:paraId="00000042" w14:textId="77777777" w:rsidR="00D21A30" w:rsidRDefault="00000000">
      <w:r>
        <w:rPr>
          <w:highlight w:val="white"/>
        </w:rPr>
        <w:t xml:space="preserve">Hayes, J., (2022). </w:t>
      </w:r>
      <w:r>
        <w:rPr>
          <w:i/>
          <w:highlight w:val="white"/>
        </w:rPr>
        <w:t>The theory and practice of change management</w:t>
      </w:r>
      <w:r>
        <w:rPr>
          <w:highlight w:val="white"/>
        </w:rPr>
        <w:t>. Bloomsbury Publishing.</w:t>
      </w:r>
    </w:p>
    <w:p w14:paraId="00000043" w14:textId="77777777" w:rsidR="00D21A30" w:rsidRDefault="00000000">
      <w:r>
        <w:rPr>
          <w:highlight w:val="white"/>
        </w:rPr>
        <w:t xml:space="preserve">Irawan, N.C. and </w:t>
      </w:r>
      <w:proofErr w:type="spellStart"/>
      <w:r>
        <w:rPr>
          <w:highlight w:val="white"/>
        </w:rPr>
        <w:t>Hartoyo</w:t>
      </w:r>
      <w:proofErr w:type="spellEnd"/>
      <w:r>
        <w:rPr>
          <w:highlight w:val="white"/>
        </w:rPr>
        <w:t xml:space="preserve">, E., (2022). November. Environmental management and stakeholder roles in sustainable tourism development: a feasibility study. In </w:t>
      </w:r>
      <w:r>
        <w:rPr>
          <w:i/>
          <w:highlight w:val="white"/>
        </w:rPr>
        <w:t>IOP Conference Series: Earth and Environmental Science</w:t>
      </w:r>
      <w:r>
        <w:rPr>
          <w:highlight w:val="white"/>
        </w:rPr>
        <w:t xml:space="preserve"> (Vol. 1108, No. 1, p. 012068). IOP Publishing.</w:t>
      </w:r>
    </w:p>
    <w:p w14:paraId="00000044" w14:textId="77777777" w:rsidR="00D21A30" w:rsidRDefault="00000000">
      <w:r>
        <w:rPr>
          <w:highlight w:val="white"/>
        </w:rPr>
        <w:t xml:space="preserve">Islam, M.N., Furuoka, F. and Idris, A., (2020). Employee championing behaviour in the context of organisational change: a proposed framework for the business organisations in Bangladesh. </w:t>
      </w:r>
      <w:r>
        <w:rPr>
          <w:i/>
          <w:highlight w:val="white"/>
        </w:rPr>
        <w:t>Journal of Asia Business Studies</w:t>
      </w:r>
      <w:r>
        <w:rPr>
          <w:highlight w:val="white"/>
        </w:rPr>
        <w:t xml:space="preserve">, </w:t>
      </w:r>
      <w:r>
        <w:rPr>
          <w:i/>
          <w:highlight w:val="white"/>
        </w:rPr>
        <w:t>14</w:t>
      </w:r>
      <w:r>
        <w:rPr>
          <w:highlight w:val="white"/>
        </w:rPr>
        <w:t>(5), pp.735-757.</w:t>
      </w:r>
    </w:p>
    <w:p w14:paraId="00000045" w14:textId="77777777" w:rsidR="00D21A30" w:rsidRDefault="00000000">
      <w:r>
        <w:rPr>
          <w:highlight w:val="white"/>
        </w:rPr>
        <w:t xml:space="preserve">Kremmel, B. and Harding, L., (2020). Towards a comprehensive, empirical model of language assessment literacy across stakeholder groups: Developing the language assessment literacy survey. </w:t>
      </w:r>
      <w:r>
        <w:rPr>
          <w:i/>
          <w:highlight w:val="white"/>
        </w:rPr>
        <w:t>Language Assessment Quarterly</w:t>
      </w:r>
      <w:r>
        <w:rPr>
          <w:highlight w:val="white"/>
        </w:rPr>
        <w:t xml:space="preserve">, </w:t>
      </w:r>
      <w:r>
        <w:rPr>
          <w:i/>
          <w:highlight w:val="white"/>
        </w:rPr>
        <w:t>17</w:t>
      </w:r>
      <w:r>
        <w:rPr>
          <w:highlight w:val="white"/>
        </w:rPr>
        <w:t>(1), pp.100-120.</w:t>
      </w:r>
    </w:p>
    <w:p w14:paraId="00000046" w14:textId="77777777" w:rsidR="00D21A30" w:rsidRDefault="00000000">
      <w:r>
        <w:rPr>
          <w:highlight w:val="white"/>
        </w:rPr>
        <w:t xml:space="preserve">Lee, H., (2021). Changes in workplace practices during the COVID-19 pandemic: the roles of emotion, psychological </w:t>
      </w:r>
      <w:proofErr w:type="gramStart"/>
      <w:r>
        <w:rPr>
          <w:highlight w:val="white"/>
        </w:rPr>
        <w:t>safety</w:t>
      </w:r>
      <w:proofErr w:type="gramEnd"/>
      <w:r>
        <w:rPr>
          <w:highlight w:val="white"/>
        </w:rPr>
        <w:t xml:space="preserve"> and organisation support. </w:t>
      </w:r>
      <w:r>
        <w:rPr>
          <w:i/>
          <w:highlight w:val="white"/>
        </w:rPr>
        <w:t>Journal of Organisational Effectiveness: People and Performance</w:t>
      </w:r>
      <w:r>
        <w:rPr>
          <w:highlight w:val="white"/>
        </w:rPr>
        <w:t xml:space="preserve">, </w:t>
      </w:r>
      <w:r>
        <w:rPr>
          <w:i/>
          <w:highlight w:val="white"/>
        </w:rPr>
        <w:t>8</w:t>
      </w:r>
      <w:r>
        <w:rPr>
          <w:highlight w:val="white"/>
        </w:rPr>
        <w:t>(1), pp.97-128.</w:t>
      </w:r>
    </w:p>
    <w:p w14:paraId="00000047" w14:textId="77777777" w:rsidR="00D21A30" w:rsidRDefault="00000000">
      <w:r>
        <w:rPr>
          <w:highlight w:val="white"/>
        </w:rPr>
        <w:t xml:space="preserve">Lehtinen, J. and Aaltonen, K., (2020). Organising external stakeholder engagement in inter-organizational projects: Opening the black box. </w:t>
      </w:r>
      <w:r>
        <w:rPr>
          <w:i/>
          <w:highlight w:val="white"/>
        </w:rPr>
        <w:t>International Journal of Project Management</w:t>
      </w:r>
      <w:r>
        <w:rPr>
          <w:highlight w:val="white"/>
        </w:rPr>
        <w:t xml:space="preserve">, </w:t>
      </w:r>
      <w:r>
        <w:rPr>
          <w:i/>
          <w:highlight w:val="white"/>
        </w:rPr>
        <w:t>38</w:t>
      </w:r>
      <w:r>
        <w:rPr>
          <w:highlight w:val="white"/>
        </w:rPr>
        <w:t>(2), pp.85-98.</w:t>
      </w:r>
    </w:p>
    <w:p w14:paraId="00000048" w14:textId="77777777" w:rsidR="00D21A30" w:rsidRDefault="00000000">
      <w:r>
        <w:rPr>
          <w:highlight w:val="white"/>
        </w:rPr>
        <w:t xml:space="preserve">Malhotra, N., </w:t>
      </w:r>
      <w:proofErr w:type="spellStart"/>
      <w:r>
        <w:rPr>
          <w:highlight w:val="white"/>
        </w:rPr>
        <w:t>Zietsma</w:t>
      </w:r>
      <w:proofErr w:type="spellEnd"/>
      <w:r>
        <w:rPr>
          <w:highlight w:val="white"/>
        </w:rPr>
        <w:t xml:space="preserve">, C., Morris, T. and Smets, M., (2021). Handling resistance to change when societal and workplace logics conflict. </w:t>
      </w:r>
      <w:r>
        <w:rPr>
          <w:i/>
          <w:highlight w:val="white"/>
        </w:rPr>
        <w:t>Administrative Science Quarterly</w:t>
      </w:r>
      <w:r>
        <w:rPr>
          <w:highlight w:val="white"/>
        </w:rPr>
        <w:t xml:space="preserve">, </w:t>
      </w:r>
      <w:r>
        <w:rPr>
          <w:i/>
          <w:highlight w:val="white"/>
        </w:rPr>
        <w:t>66</w:t>
      </w:r>
      <w:r>
        <w:rPr>
          <w:highlight w:val="white"/>
        </w:rPr>
        <w:t>(2), pp.475-520.</w:t>
      </w:r>
    </w:p>
    <w:p w14:paraId="00000049" w14:textId="77777777" w:rsidR="00D21A30" w:rsidRDefault="00000000">
      <w:r>
        <w:rPr>
          <w:highlight w:val="white"/>
        </w:rPr>
        <w:lastRenderedPageBreak/>
        <w:t xml:space="preserve">Newman, </w:t>
      </w:r>
      <w:proofErr w:type="gramStart"/>
      <w:r>
        <w:rPr>
          <w:highlight w:val="white"/>
        </w:rPr>
        <w:t>S.A.</w:t>
      </w:r>
      <w:proofErr w:type="gramEnd"/>
      <w:r>
        <w:rPr>
          <w:highlight w:val="white"/>
        </w:rPr>
        <w:t xml:space="preserve"> and Ford, R.C., (2021). Five steps to leading your team in the virtual COVID-19 workplace. </w:t>
      </w:r>
      <w:r>
        <w:rPr>
          <w:i/>
          <w:highlight w:val="white"/>
        </w:rPr>
        <w:t>Organisational Dynamics</w:t>
      </w:r>
      <w:r>
        <w:rPr>
          <w:highlight w:val="white"/>
        </w:rPr>
        <w:t xml:space="preserve">, </w:t>
      </w:r>
      <w:r>
        <w:rPr>
          <w:i/>
          <w:highlight w:val="white"/>
        </w:rPr>
        <w:t>50</w:t>
      </w:r>
      <w:r>
        <w:rPr>
          <w:highlight w:val="white"/>
        </w:rPr>
        <w:t>(1), p.100802.</w:t>
      </w:r>
    </w:p>
    <w:p w14:paraId="0000004A" w14:textId="77777777" w:rsidR="00D21A30" w:rsidRDefault="00000000">
      <w:r>
        <w:rPr>
          <w:highlight w:val="white"/>
        </w:rPr>
        <w:t xml:space="preserve">Ng, E.S. and Sears, G.J., (2020). Walking the talk on diversity: CEO beliefs, moral values, and the implementation of workplace diversity practices. </w:t>
      </w:r>
      <w:r>
        <w:rPr>
          <w:i/>
          <w:highlight w:val="white"/>
        </w:rPr>
        <w:t>Journal of Business Ethics</w:t>
      </w:r>
      <w:r>
        <w:rPr>
          <w:highlight w:val="white"/>
        </w:rPr>
        <w:t xml:space="preserve">, </w:t>
      </w:r>
      <w:r>
        <w:rPr>
          <w:i/>
          <w:highlight w:val="white"/>
        </w:rPr>
        <w:t>164</w:t>
      </w:r>
      <w:r>
        <w:rPr>
          <w:highlight w:val="white"/>
        </w:rPr>
        <w:t>(3), pp.437-450.</w:t>
      </w:r>
    </w:p>
    <w:p w14:paraId="0000004B" w14:textId="77777777" w:rsidR="00D21A30" w:rsidRDefault="00000000">
      <w:proofErr w:type="spellStart"/>
      <w:r>
        <w:rPr>
          <w:highlight w:val="white"/>
        </w:rPr>
        <w:t>Onyeneke</w:t>
      </w:r>
      <w:proofErr w:type="spellEnd"/>
      <w:r>
        <w:rPr>
          <w:highlight w:val="white"/>
        </w:rPr>
        <w:t xml:space="preserve">, G.B. and Abe, T., (2021). The effect of change leadership on employee attitudinal support for planned organisational change. </w:t>
      </w:r>
      <w:r>
        <w:rPr>
          <w:i/>
          <w:highlight w:val="white"/>
        </w:rPr>
        <w:t>Journal of Organisational Change Management</w:t>
      </w:r>
      <w:r>
        <w:rPr>
          <w:highlight w:val="white"/>
        </w:rPr>
        <w:t xml:space="preserve">, </w:t>
      </w:r>
      <w:r>
        <w:rPr>
          <w:i/>
          <w:highlight w:val="white"/>
        </w:rPr>
        <w:t>34</w:t>
      </w:r>
      <w:r>
        <w:rPr>
          <w:highlight w:val="white"/>
        </w:rPr>
        <w:t>(2), pp.403-415.</w:t>
      </w:r>
    </w:p>
    <w:p w14:paraId="0000004C" w14:textId="77777777" w:rsidR="00D21A30" w:rsidRDefault="00000000">
      <w:r>
        <w:rPr>
          <w:highlight w:val="white"/>
        </w:rPr>
        <w:t xml:space="preserve">Rogers, L., De Brún, A., Birken, S.A., Davies, C. and McAuliffe, E., (2020). The micropolitics of implementation; a qualitative study exploring the impact of power, authority, and influence when implementing change in healthcare teams. </w:t>
      </w:r>
      <w:r>
        <w:rPr>
          <w:i/>
          <w:highlight w:val="white"/>
        </w:rPr>
        <w:t>BMC Health Services Research</w:t>
      </w:r>
      <w:r>
        <w:rPr>
          <w:highlight w:val="white"/>
        </w:rPr>
        <w:t xml:space="preserve">, </w:t>
      </w:r>
      <w:r>
        <w:rPr>
          <w:i/>
          <w:highlight w:val="white"/>
        </w:rPr>
        <w:t>20</w:t>
      </w:r>
      <w:r>
        <w:rPr>
          <w:highlight w:val="white"/>
        </w:rPr>
        <w:t>, pp.1-13.</w:t>
      </w:r>
    </w:p>
    <w:p w14:paraId="0000004D" w14:textId="77777777" w:rsidR="00D21A30" w:rsidRDefault="00000000">
      <w:r>
        <w:rPr>
          <w:highlight w:val="white"/>
        </w:rPr>
        <w:t xml:space="preserve">Schiavone, F., Mancini, D., Leone, D. and Lavorato, D., (2021). Digital business models and ridesharing for value co-creation in healthcare: A multi-stakeholder ecosystem analysis. </w:t>
      </w:r>
      <w:r>
        <w:rPr>
          <w:i/>
          <w:highlight w:val="white"/>
        </w:rPr>
        <w:t>Technological Forecasting and Social Change</w:t>
      </w:r>
      <w:r>
        <w:rPr>
          <w:highlight w:val="white"/>
        </w:rPr>
        <w:t xml:space="preserve">, </w:t>
      </w:r>
      <w:r>
        <w:rPr>
          <w:i/>
          <w:highlight w:val="white"/>
        </w:rPr>
        <w:t>166</w:t>
      </w:r>
      <w:r>
        <w:rPr>
          <w:highlight w:val="white"/>
        </w:rPr>
        <w:t>, p.120647.</w:t>
      </w:r>
    </w:p>
    <w:p w14:paraId="0000004E" w14:textId="77777777" w:rsidR="00D21A30" w:rsidRDefault="00000000">
      <w:r>
        <w:rPr>
          <w:highlight w:val="white"/>
        </w:rPr>
        <w:t xml:space="preserve">Scott, G., (2020). </w:t>
      </w:r>
      <w:r>
        <w:rPr>
          <w:i/>
          <w:highlight w:val="white"/>
        </w:rPr>
        <w:t>Change matters: Making a difference in education and training</w:t>
      </w:r>
      <w:r>
        <w:rPr>
          <w:highlight w:val="white"/>
        </w:rPr>
        <w:t>. Routledge.</w:t>
      </w:r>
    </w:p>
    <w:p w14:paraId="0000004F" w14:textId="77777777" w:rsidR="00D21A30" w:rsidRDefault="00000000">
      <w:r>
        <w:rPr>
          <w:highlight w:val="white"/>
        </w:rPr>
        <w:t xml:space="preserve">Stocker, F., de Arruda, M.P., de </w:t>
      </w:r>
      <w:proofErr w:type="spellStart"/>
      <w:r>
        <w:rPr>
          <w:highlight w:val="white"/>
        </w:rPr>
        <w:t>Mascena</w:t>
      </w:r>
      <w:proofErr w:type="spellEnd"/>
      <w:r>
        <w:rPr>
          <w:highlight w:val="white"/>
        </w:rPr>
        <w:t xml:space="preserve">, K.M. and Boaventura, J.M., (2020). Stakeholder engagement in sustainability reporting: A classification model. </w:t>
      </w:r>
      <w:r>
        <w:rPr>
          <w:i/>
          <w:highlight w:val="white"/>
        </w:rPr>
        <w:t>Corporate Social Responsibility and Environmental Management</w:t>
      </w:r>
      <w:r>
        <w:rPr>
          <w:highlight w:val="white"/>
        </w:rPr>
        <w:t xml:space="preserve">, </w:t>
      </w:r>
      <w:r>
        <w:rPr>
          <w:i/>
          <w:highlight w:val="white"/>
        </w:rPr>
        <w:t>27</w:t>
      </w:r>
      <w:r>
        <w:rPr>
          <w:highlight w:val="white"/>
        </w:rPr>
        <w:t>(5), pp.2071-2080.</w:t>
      </w:r>
    </w:p>
    <w:p w14:paraId="00000050" w14:textId="77777777" w:rsidR="00D21A30" w:rsidRDefault="00000000">
      <w:r>
        <w:rPr>
          <w:highlight w:val="white"/>
        </w:rPr>
        <w:t xml:space="preserve">Vallo Hult, H. and Byström, K., (2022). Challenges to learning and leading the digital workplace. </w:t>
      </w:r>
      <w:r>
        <w:rPr>
          <w:i/>
          <w:highlight w:val="white"/>
        </w:rPr>
        <w:t>Studies in Continuing Education</w:t>
      </w:r>
      <w:r>
        <w:rPr>
          <w:highlight w:val="white"/>
        </w:rPr>
        <w:t xml:space="preserve">, </w:t>
      </w:r>
      <w:r>
        <w:rPr>
          <w:i/>
          <w:highlight w:val="white"/>
        </w:rPr>
        <w:t>44</w:t>
      </w:r>
      <w:r>
        <w:rPr>
          <w:highlight w:val="white"/>
        </w:rPr>
        <w:t>(3), pp.460-474.</w:t>
      </w:r>
    </w:p>
    <w:p w14:paraId="00000051" w14:textId="77777777" w:rsidR="00D21A30" w:rsidRDefault="00000000">
      <w:r>
        <w:rPr>
          <w:highlight w:val="white"/>
        </w:rPr>
        <w:t xml:space="preserve">Velter, M.G., Bitzer, V., </w:t>
      </w:r>
      <w:proofErr w:type="spellStart"/>
      <w:r>
        <w:rPr>
          <w:highlight w:val="white"/>
        </w:rPr>
        <w:t>Bocken</w:t>
      </w:r>
      <w:proofErr w:type="spellEnd"/>
      <w:r>
        <w:rPr>
          <w:highlight w:val="white"/>
        </w:rPr>
        <w:t xml:space="preserve">, N.M. and Kemp, R., (2020). Sustainable business model innovation: The role of boundary work for multi-stakeholder alignment. </w:t>
      </w:r>
      <w:r>
        <w:rPr>
          <w:i/>
          <w:highlight w:val="white"/>
        </w:rPr>
        <w:t>Journal of Cleaner Production</w:t>
      </w:r>
      <w:r>
        <w:rPr>
          <w:highlight w:val="white"/>
        </w:rPr>
        <w:t xml:space="preserve">, </w:t>
      </w:r>
      <w:r>
        <w:rPr>
          <w:i/>
          <w:highlight w:val="white"/>
        </w:rPr>
        <w:t>247</w:t>
      </w:r>
      <w:r>
        <w:rPr>
          <w:highlight w:val="white"/>
        </w:rPr>
        <w:t>, p.119497.</w:t>
      </w:r>
    </w:p>
    <w:p w14:paraId="00000052" w14:textId="77777777" w:rsidR="00D21A30" w:rsidRDefault="00000000">
      <w:r>
        <w:rPr>
          <w:highlight w:val="white"/>
        </w:rPr>
        <w:t xml:space="preserve">Vlachopoulos, D., (2021). Organisational change management in higher education through the lens of executive coaches. </w:t>
      </w:r>
      <w:r>
        <w:rPr>
          <w:i/>
          <w:highlight w:val="white"/>
        </w:rPr>
        <w:t>Education Sciences</w:t>
      </w:r>
      <w:r>
        <w:rPr>
          <w:highlight w:val="white"/>
        </w:rPr>
        <w:t xml:space="preserve">, </w:t>
      </w:r>
      <w:r>
        <w:rPr>
          <w:i/>
          <w:highlight w:val="white"/>
        </w:rPr>
        <w:t>11</w:t>
      </w:r>
      <w:r>
        <w:rPr>
          <w:highlight w:val="white"/>
        </w:rPr>
        <w:t>(6), p.269.</w:t>
      </w:r>
    </w:p>
    <w:p w14:paraId="00000053" w14:textId="77777777" w:rsidR="00D21A30" w:rsidRDefault="00000000">
      <w:r>
        <w:rPr>
          <w:highlight w:val="white"/>
        </w:rPr>
        <w:t xml:space="preserve">Wallo, A., Kock, H., </w:t>
      </w:r>
      <w:proofErr w:type="spellStart"/>
      <w:r>
        <w:rPr>
          <w:highlight w:val="white"/>
        </w:rPr>
        <w:t>Reineholm</w:t>
      </w:r>
      <w:proofErr w:type="spellEnd"/>
      <w:r>
        <w:rPr>
          <w:highlight w:val="white"/>
        </w:rPr>
        <w:t xml:space="preserve">, C. and </w:t>
      </w:r>
      <w:proofErr w:type="spellStart"/>
      <w:r>
        <w:rPr>
          <w:highlight w:val="white"/>
        </w:rPr>
        <w:t>Ellström</w:t>
      </w:r>
      <w:proofErr w:type="spellEnd"/>
      <w:r>
        <w:rPr>
          <w:highlight w:val="white"/>
        </w:rPr>
        <w:t xml:space="preserve">, P.E., (2022). How do managers promote workplace learning? Learning-oriented leadership in daily work. </w:t>
      </w:r>
      <w:r>
        <w:rPr>
          <w:i/>
          <w:highlight w:val="white"/>
        </w:rPr>
        <w:t>Journal of Workplace Learning</w:t>
      </w:r>
      <w:r>
        <w:rPr>
          <w:highlight w:val="white"/>
        </w:rPr>
        <w:t xml:space="preserve">, </w:t>
      </w:r>
      <w:r>
        <w:rPr>
          <w:i/>
          <w:highlight w:val="white"/>
        </w:rPr>
        <w:t>34</w:t>
      </w:r>
      <w:r>
        <w:rPr>
          <w:highlight w:val="white"/>
        </w:rPr>
        <w:t>(1), pp.58-73.</w:t>
      </w:r>
    </w:p>
    <w:p w14:paraId="00000054" w14:textId="77777777" w:rsidR="00D21A30" w:rsidRDefault="00000000">
      <w:r>
        <w:rPr>
          <w:highlight w:val="white"/>
        </w:rPr>
        <w:t xml:space="preserve">Wen, S. and Qiang, G., (2022). Managing stakeholder concerns in green building projects with a view towards achieving social sustainability: A Bayesian-network model. </w:t>
      </w:r>
      <w:r>
        <w:rPr>
          <w:i/>
          <w:highlight w:val="white"/>
        </w:rPr>
        <w:t>Frontiers in Environmental Science</w:t>
      </w:r>
      <w:r>
        <w:rPr>
          <w:highlight w:val="white"/>
        </w:rPr>
        <w:t xml:space="preserve">, </w:t>
      </w:r>
      <w:r>
        <w:rPr>
          <w:i/>
          <w:highlight w:val="white"/>
        </w:rPr>
        <w:t>10</w:t>
      </w:r>
      <w:r>
        <w:rPr>
          <w:highlight w:val="white"/>
        </w:rPr>
        <w:t>, p.874367.</w:t>
      </w:r>
    </w:p>
    <w:p w14:paraId="00000055" w14:textId="77777777" w:rsidR="00D21A30" w:rsidRDefault="00000000">
      <w:r>
        <w:rPr>
          <w:highlight w:val="white"/>
        </w:rPr>
        <w:t xml:space="preserve">Wood, D.J., Mitchell, R.K., Agle, B.R. and Bryan, L.M., (2021). Stakeholder identification and salience after 20 years: Progress, problems, and prospects. </w:t>
      </w:r>
      <w:r>
        <w:rPr>
          <w:i/>
          <w:highlight w:val="white"/>
        </w:rPr>
        <w:t>Business &amp; Society</w:t>
      </w:r>
      <w:r>
        <w:rPr>
          <w:highlight w:val="white"/>
        </w:rPr>
        <w:t xml:space="preserve">, </w:t>
      </w:r>
      <w:r>
        <w:rPr>
          <w:i/>
          <w:highlight w:val="white"/>
        </w:rPr>
        <w:t>60</w:t>
      </w:r>
      <w:r>
        <w:rPr>
          <w:highlight w:val="white"/>
        </w:rPr>
        <w:t>(1), pp.196-245.</w:t>
      </w:r>
    </w:p>
    <w:p w14:paraId="00000056" w14:textId="77777777" w:rsidR="00D21A30" w:rsidRDefault="00000000">
      <w:r>
        <w:rPr>
          <w:highlight w:val="white"/>
        </w:rPr>
        <w:lastRenderedPageBreak/>
        <w:t xml:space="preserve">Yang, J. and Basile, K., (2021). Communicating corporate social responsibility: External stakeholder involvement, </w:t>
      </w:r>
      <w:proofErr w:type="gramStart"/>
      <w:r>
        <w:rPr>
          <w:highlight w:val="white"/>
        </w:rPr>
        <w:t>productivity</w:t>
      </w:r>
      <w:proofErr w:type="gramEnd"/>
      <w:r>
        <w:rPr>
          <w:highlight w:val="white"/>
        </w:rPr>
        <w:t xml:space="preserve"> and firm performance. </w:t>
      </w:r>
      <w:r>
        <w:rPr>
          <w:i/>
          <w:highlight w:val="white"/>
        </w:rPr>
        <w:t>Journal of Business Ethics</w:t>
      </w:r>
      <w:r>
        <w:rPr>
          <w:highlight w:val="white"/>
        </w:rPr>
        <w:t>, pp.1-17.</w:t>
      </w:r>
    </w:p>
    <w:p w14:paraId="00000057" w14:textId="77777777" w:rsidR="00D21A30" w:rsidRDefault="00000000">
      <w:r>
        <w:rPr>
          <w:highlight w:val="white"/>
        </w:rPr>
        <w:t xml:space="preserve">Yoder-Wise, P.S. and Sportsman, S., (2022). </w:t>
      </w:r>
      <w:r>
        <w:rPr>
          <w:i/>
          <w:highlight w:val="white"/>
        </w:rPr>
        <w:t>Leading and Managing in Nursing E-Book: Leading and Managing in Nursing E-Book</w:t>
      </w:r>
      <w:r>
        <w:rPr>
          <w:highlight w:val="white"/>
        </w:rPr>
        <w:t>. Elsevier Health Sciences.</w:t>
      </w:r>
    </w:p>
    <w:sectPr w:rsidR="00D21A30">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FF4985" w14:textId="77777777" w:rsidR="00D558E0" w:rsidRDefault="00D558E0">
      <w:pPr>
        <w:spacing w:line="240" w:lineRule="auto"/>
      </w:pPr>
      <w:r>
        <w:separator/>
      </w:r>
    </w:p>
  </w:endnote>
  <w:endnote w:type="continuationSeparator" w:id="0">
    <w:p w14:paraId="262242AB" w14:textId="77777777" w:rsidR="00D558E0" w:rsidRDefault="00D558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8" w14:textId="6BDD3F02" w:rsidR="00D21A3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F1FFD">
      <w:rPr>
        <w:noProof/>
        <w:color w:val="000000"/>
      </w:rPr>
      <w:t>1</w:t>
    </w:r>
    <w:r>
      <w:rPr>
        <w:color w:val="000000"/>
      </w:rPr>
      <w:fldChar w:fldCharType="end"/>
    </w:r>
  </w:p>
  <w:p w14:paraId="00000059" w14:textId="77777777" w:rsidR="00D21A30" w:rsidRDefault="00D21A3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7EB09D" w14:textId="77777777" w:rsidR="00D558E0" w:rsidRDefault="00D558E0">
      <w:pPr>
        <w:spacing w:line="240" w:lineRule="auto"/>
      </w:pPr>
      <w:r>
        <w:separator/>
      </w:r>
    </w:p>
  </w:footnote>
  <w:footnote w:type="continuationSeparator" w:id="0">
    <w:p w14:paraId="5577A2C0" w14:textId="77777777" w:rsidR="00D558E0" w:rsidRDefault="00D558E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A30"/>
    <w:rsid w:val="008E466F"/>
    <w:rsid w:val="00D21A30"/>
    <w:rsid w:val="00D558E0"/>
    <w:rsid w:val="00FF1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AC147"/>
  <w15:docId w15:val="{B3F5A616-7F09-415D-B153-786847483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9A0"/>
  </w:style>
  <w:style w:type="paragraph" w:styleId="Heading1">
    <w:name w:val="heading 1"/>
    <w:basedOn w:val="Normal"/>
    <w:link w:val="Heading1Char"/>
    <w:uiPriority w:val="9"/>
    <w:qFormat/>
    <w:rsid w:val="005509A0"/>
    <w:pPr>
      <w:spacing w:beforeAutospacing="1" w:afterAutospacing="1"/>
      <w:outlineLvl w:val="0"/>
    </w:pPr>
    <w:rPr>
      <w:b/>
      <w:bCs/>
      <w:kern w:val="36"/>
      <w:sz w:val="32"/>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509A0"/>
    <w:rPr>
      <w:rFonts w:ascii="Times New Roman" w:eastAsia="Times New Roman" w:hAnsi="Times New Roman" w:cs="Times New Roman"/>
      <w:b/>
      <w:bCs/>
      <w:kern w:val="36"/>
      <w:sz w:val="32"/>
      <w:szCs w:val="48"/>
      <w:lang w:eastAsia="en-GB"/>
    </w:rPr>
  </w:style>
  <w:style w:type="paragraph" w:styleId="NormalWeb">
    <w:name w:val="Normal (Web)"/>
    <w:basedOn w:val="Normal"/>
    <w:uiPriority w:val="99"/>
    <w:semiHidden/>
    <w:unhideWhenUsed/>
    <w:rsid w:val="005509A0"/>
    <w:pPr>
      <w:spacing w:before="100" w:beforeAutospacing="1" w:after="100" w:afterAutospacing="1" w:line="240" w:lineRule="auto"/>
    </w:pPr>
  </w:style>
  <w:style w:type="paragraph" w:styleId="TOCHeading">
    <w:name w:val="TOC Heading"/>
    <w:basedOn w:val="Heading1"/>
    <w:next w:val="Normal"/>
    <w:uiPriority w:val="39"/>
    <w:semiHidden/>
    <w:unhideWhenUsed/>
    <w:qFormat/>
    <w:rsid w:val="005509A0"/>
    <w:pPr>
      <w:keepNext/>
      <w:keepLines/>
      <w:spacing w:before="480" w:beforeAutospacing="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5509A0"/>
    <w:pPr>
      <w:spacing w:after="100"/>
    </w:pPr>
  </w:style>
  <w:style w:type="character" w:styleId="Hyperlink">
    <w:name w:val="Hyperlink"/>
    <w:basedOn w:val="DefaultParagraphFont"/>
    <w:uiPriority w:val="99"/>
    <w:unhideWhenUsed/>
    <w:rsid w:val="005509A0"/>
    <w:rPr>
      <w:color w:val="0000FF" w:themeColor="hyperlink"/>
      <w:u w:val="single"/>
    </w:rPr>
  </w:style>
  <w:style w:type="paragraph" w:styleId="BalloonText">
    <w:name w:val="Balloon Text"/>
    <w:basedOn w:val="Normal"/>
    <w:link w:val="BalloonTextChar"/>
    <w:uiPriority w:val="99"/>
    <w:semiHidden/>
    <w:unhideWhenUsed/>
    <w:rsid w:val="005509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9A0"/>
    <w:rPr>
      <w:rFonts w:ascii="Tahoma" w:hAnsi="Tahoma" w:cs="Tahoma"/>
      <w:sz w:val="16"/>
      <w:szCs w:val="16"/>
    </w:rPr>
  </w:style>
  <w:style w:type="paragraph" w:styleId="Header">
    <w:name w:val="header"/>
    <w:basedOn w:val="Normal"/>
    <w:link w:val="HeaderChar"/>
    <w:uiPriority w:val="99"/>
    <w:unhideWhenUsed/>
    <w:rsid w:val="005509A0"/>
    <w:pPr>
      <w:tabs>
        <w:tab w:val="center" w:pos="4513"/>
        <w:tab w:val="right" w:pos="9026"/>
      </w:tabs>
      <w:spacing w:line="240" w:lineRule="auto"/>
    </w:pPr>
  </w:style>
  <w:style w:type="character" w:customStyle="1" w:styleId="HeaderChar">
    <w:name w:val="Header Char"/>
    <w:basedOn w:val="DefaultParagraphFont"/>
    <w:link w:val="Header"/>
    <w:uiPriority w:val="99"/>
    <w:rsid w:val="005509A0"/>
    <w:rPr>
      <w:rFonts w:ascii="Times New Roman" w:hAnsi="Times New Roman"/>
      <w:sz w:val="24"/>
    </w:rPr>
  </w:style>
  <w:style w:type="paragraph" w:styleId="Footer">
    <w:name w:val="footer"/>
    <w:basedOn w:val="Normal"/>
    <w:link w:val="FooterChar"/>
    <w:uiPriority w:val="99"/>
    <w:unhideWhenUsed/>
    <w:rsid w:val="005509A0"/>
    <w:pPr>
      <w:tabs>
        <w:tab w:val="center" w:pos="4513"/>
        <w:tab w:val="right" w:pos="9026"/>
      </w:tabs>
      <w:spacing w:line="240" w:lineRule="auto"/>
    </w:pPr>
  </w:style>
  <w:style w:type="character" w:customStyle="1" w:styleId="FooterChar">
    <w:name w:val="Footer Char"/>
    <w:basedOn w:val="DefaultParagraphFont"/>
    <w:link w:val="Footer"/>
    <w:uiPriority w:val="99"/>
    <w:rsid w:val="005509A0"/>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lZUOc/PpJbbeiRMLoVoMd15q6Q==">CgMxLjAyCGguZ2pkZ3hzMgloLjMwajB6bGwyCWguMWZvYjl0ZTIJaC4zem55c2g3MgloLjJldDkycDAyCGgudHlqY3d0MgloLjNkeTZ2a20yCWguMXQzaDVzZjIJaC40ZDM0b2c4OAByITFKbG1aVG4wcWJLNjVoRlFVMUh2M2NEYUwtLWg4S2QyRg==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6829</Words>
  <Characters>38929</Characters>
  <Application>Microsoft Office Word</Application>
  <DocSecurity>0</DocSecurity>
  <Lines>324</Lines>
  <Paragraphs>91</Paragraphs>
  <ScaleCrop>false</ScaleCrop>
  <Company/>
  <LinksUpToDate>false</LinksUpToDate>
  <CharactersWithSpaces>45667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2</cp:revision>
  <dcterms:created xsi:type="dcterms:W3CDTF">2024-06-29T06:26:00Z</dcterms:created>
  <dcterms:modified xsi:type="dcterms:W3CDTF">2024-07-07T13:06:00Z</dcterms:modified>
</cp:coreProperties>
</file>