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71785" w14:textId="77777777" w:rsidR="007B602B" w:rsidRDefault="007B602B"/>
    <w:p w14:paraId="4B524712" w14:textId="77777777" w:rsidR="007B602B" w:rsidRDefault="007B602B"/>
    <w:p w14:paraId="18492487" w14:textId="77777777" w:rsidR="007B602B" w:rsidRDefault="007B602B"/>
    <w:p w14:paraId="47275195" w14:textId="77777777" w:rsidR="007B602B" w:rsidRDefault="007B602B"/>
    <w:p w14:paraId="6A4B8F43" w14:textId="77777777"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 xml:space="preserve">                                                    University      Of        Wales </w:t>
      </w:r>
    </w:p>
    <w:p w14:paraId="6FC3F30D" w14:textId="77777777"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 xml:space="preserve">                                                    Trinity        Saint       David</w:t>
      </w:r>
    </w:p>
    <w:p w14:paraId="4B502146" w14:textId="77777777"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 xml:space="preserve">                                                     London.</w:t>
      </w:r>
    </w:p>
    <w:p w14:paraId="5C195577" w14:textId="77777777" w:rsidR="007B602B" w:rsidRPr="00DF662C" w:rsidRDefault="007B602B" w:rsidP="007B602B">
      <w:pPr>
        <w:spacing w:line="360" w:lineRule="auto"/>
        <w:rPr>
          <w:rFonts w:ascii="Arial" w:hAnsi="Arial" w:cs="Arial"/>
          <w:color w:val="000000" w:themeColor="text1"/>
        </w:rPr>
      </w:pPr>
    </w:p>
    <w:p w14:paraId="52F0AAAB" w14:textId="77777777" w:rsidR="007B602B" w:rsidRPr="00DF662C" w:rsidRDefault="007B602B" w:rsidP="007B602B">
      <w:pPr>
        <w:spacing w:line="360" w:lineRule="auto"/>
        <w:rPr>
          <w:rFonts w:ascii="Arial" w:hAnsi="Arial" w:cs="Arial"/>
          <w:color w:val="000000" w:themeColor="text1"/>
        </w:rPr>
      </w:pPr>
    </w:p>
    <w:p w14:paraId="75D0464C" w14:textId="77777777" w:rsidR="007B602B" w:rsidRPr="00DF662C" w:rsidRDefault="007B602B" w:rsidP="007B602B">
      <w:pPr>
        <w:spacing w:line="360" w:lineRule="auto"/>
        <w:rPr>
          <w:rFonts w:ascii="Arial" w:hAnsi="Arial" w:cs="Arial"/>
          <w:color w:val="000000" w:themeColor="text1"/>
        </w:rPr>
      </w:pPr>
    </w:p>
    <w:p w14:paraId="5225CC31" w14:textId="77777777" w:rsidR="007B602B" w:rsidRPr="00DF662C" w:rsidRDefault="007B602B" w:rsidP="007B602B">
      <w:pPr>
        <w:spacing w:line="360" w:lineRule="auto"/>
        <w:rPr>
          <w:rFonts w:ascii="Arial" w:hAnsi="Arial" w:cs="Arial"/>
          <w:color w:val="000000" w:themeColor="text1"/>
        </w:rPr>
      </w:pPr>
    </w:p>
    <w:p w14:paraId="0F1753F0" w14:textId="77777777"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 xml:space="preserve">                                         Joseph  Osayande  </w:t>
      </w:r>
      <w:proofErr w:type="spellStart"/>
      <w:r w:rsidRPr="00DF662C">
        <w:rPr>
          <w:rFonts w:ascii="Arial" w:hAnsi="Arial" w:cs="Arial"/>
          <w:color w:val="000000" w:themeColor="text1"/>
        </w:rPr>
        <w:t>Uhunmwangho</w:t>
      </w:r>
      <w:proofErr w:type="spellEnd"/>
    </w:p>
    <w:p w14:paraId="0CFBD364" w14:textId="77777777"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 xml:space="preserve">                                                            2030892</w:t>
      </w:r>
    </w:p>
    <w:p w14:paraId="33E95575" w14:textId="77777777" w:rsidR="007B602B" w:rsidRPr="00DF662C" w:rsidRDefault="007B602B" w:rsidP="007B602B">
      <w:pPr>
        <w:spacing w:line="360" w:lineRule="auto"/>
        <w:rPr>
          <w:rFonts w:ascii="Arial" w:hAnsi="Arial" w:cs="Arial"/>
          <w:color w:val="000000" w:themeColor="text1"/>
        </w:rPr>
      </w:pPr>
    </w:p>
    <w:p w14:paraId="198030D7" w14:textId="77777777" w:rsidR="007B602B" w:rsidRPr="00DF662C" w:rsidRDefault="007B602B" w:rsidP="007B602B">
      <w:pPr>
        <w:spacing w:line="360" w:lineRule="auto"/>
        <w:rPr>
          <w:rFonts w:ascii="Arial" w:hAnsi="Arial" w:cs="Arial"/>
          <w:color w:val="000000" w:themeColor="text1"/>
        </w:rPr>
      </w:pPr>
    </w:p>
    <w:p w14:paraId="65DE5895" w14:textId="77777777" w:rsidR="007B602B" w:rsidRPr="00DF662C" w:rsidRDefault="007B602B" w:rsidP="007B602B">
      <w:pPr>
        <w:spacing w:line="360" w:lineRule="auto"/>
        <w:rPr>
          <w:rFonts w:ascii="Arial" w:hAnsi="Arial" w:cs="Arial"/>
          <w:color w:val="000000" w:themeColor="text1"/>
        </w:rPr>
      </w:pPr>
    </w:p>
    <w:p w14:paraId="1DF939FA" w14:textId="77777777"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 xml:space="preserve">                                       Children, Young People and Families</w:t>
      </w:r>
    </w:p>
    <w:p w14:paraId="7D31EA3B" w14:textId="77777777"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 xml:space="preserve">                                               [ BMHP5004-LON.]</w:t>
      </w:r>
    </w:p>
    <w:p w14:paraId="7EF3E565" w14:textId="77777777" w:rsidR="007B602B" w:rsidRPr="00DF662C" w:rsidRDefault="007B602B" w:rsidP="007B602B">
      <w:pPr>
        <w:spacing w:line="360" w:lineRule="auto"/>
        <w:rPr>
          <w:rFonts w:ascii="Arial" w:hAnsi="Arial" w:cs="Arial"/>
          <w:color w:val="000000" w:themeColor="text1"/>
        </w:rPr>
      </w:pPr>
    </w:p>
    <w:p w14:paraId="6DB45F94" w14:textId="77777777"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Lecturer:                      DIOLA   BIJIHOUT</w:t>
      </w:r>
    </w:p>
    <w:p w14:paraId="3BC3B5C4" w14:textId="77777777" w:rsidR="007B602B" w:rsidRPr="00DF662C" w:rsidRDefault="007B602B" w:rsidP="007B602B">
      <w:pPr>
        <w:spacing w:line="360" w:lineRule="auto"/>
        <w:rPr>
          <w:rFonts w:ascii="Arial" w:hAnsi="Arial" w:cs="Arial"/>
          <w:color w:val="000000" w:themeColor="text1"/>
        </w:rPr>
      </w:pPr>
    </w:p>
    <w:p w14:paraId="5E20E390" w14:textId="77777777" w:rsidR="007B602B" w:rsidRPr="00DF662C" w:rsidRDefault="007B602B" w:rsidP="007B602B">
      <w:pPr>
        <w:spacing w:line="360" w:lineRule="auto"/>
        <w:rPr>
          <w:rFonts w:ascii="Arial" w:hAnsi="Arial" w:cs="Arial"/>
          <w:color w:val="000000" w:themeColor="text1"/>
        </w:rPr>
      </w:pPr>
    </w:p>
    <w:p w14:paraId="2EC6F078" w14:textId="77777777" w:rsidR="007B602B" w:rsidRPr="00DF662C" w:rsidRDefault="007B602B" w:rsidP="007B602B">
      <w:pPr>
        <w:spacing w:line="360" w:lineRule="auto"/>
        <w:rPr>
          <w:rFonts w:ascii="Arial" w:hAnsi="Arial" w:cs="Arial"/>
          <w:color w:val="000000" w:themeColor="text1"/>
        </w:rPr>
      </w:pPr>
    </w:p>
    <w:p w14:paraId="2103E750" w14:textId="77777777" w:rsidR="007B602B" w:rsidRPr="00DF662C" w:rsidRDefault="007B602B" w:rsidP="007B602B">
      <w:pPr>
        <w:spacing w:line="360" w:lineRule="auto"/>
        <w:rPr>
          <w:rFonts w:ascii="Arial" w:hAnsi="Arial" w:cs="Arial"/>
          <w:color w:val="000000" w:themeColor="text1"/>
        </w:rPr>
      </w:pPr>
    </w:p>
    <w:p w14:paraId="2DCDB8FD" w14:textId="77777777" w:rsidR="007B602B" w:rsidRPr="00DF662C" w:rsidRDefault="007B602B" w:rsidP="007B602B">
      <w:pPr>
        <w:spacing w:line="360" w:lineRule="auto"/>
        <w:rPr>
          <w:rFonts w:ascii="Arial" w:hAnsi="Arial" w:cs="Arial"/>
          <w:color w:val="000000" w:themeColor="text1"/>
        </w:rPr>
      </w:pPr>
    </w:p>
    <w:p w14:paraId="483E7BFB" w14:textId="77777777" w:rsidR="007B602B" w:rsidRPr="00DF662C" w:rsidRDefault="007B602B" w:rsidP="007B602B">
      <w:pPr>
        <w:spacing w:line="360" w:lineRule="auto"/>
        <w:rPr>
          <w:rFonts w:ascii="Arial" w:hAnsi="Arial" w:cs="Arial"/>
          <w:color w:val="000000" w:themeColor="text1"/>
        </w:rPr>
      </w:pPr>
    </w:p>
    <w:p w14:paraId="20271D42" w14:textId="77777777" w:rsidR="007B602B" w:rsidRPr="00DF662C" w:rsidRDefault="007B602B" w:rsidP="007B602B">
      <w:pPr>
        <w:spacing w:line="360" w:lineRule="auto"/>
        <w:rPr>
          <w:rFonts w:ascii="Arial" w:hAnsi="Arial" w:cs="Arial"/>
          <w:color w:val="000000" w:themeColor="text1"/>
        </w:rPr>
      </w:pPr>
    </w:p>
    <w:p w14:paraId="179A34FC" w14:textId="77777777" w:rsidR="007B602B" w:rsidRPr="00DF662C" w:rsidRDefault="007B602B" w:rsidP="007B602B">
      <w:pPr>
        <w:spacing w:line="360" w:lineRule="auto"/>
        <w:rPr>
          <w:rFonts w:ascii="Arial" w:hAnsi="Arial" w:cs="Arial"/>
          <w:color w:val="000000" w:themeColor="text1"/>
        </w:rPr>
      </w:pPr>
    </w:p>
    <w:p w14:paraId="11EF7061" w14:textId="77777777" w:rsidR="007B602B" w:rsidRPr="00DF662C" w:rsidRDefault="007B602B" w:rsidP="007B602B">
      <w:pPr>
        <w:spacing w:line="360" w:lineRule="auto"/>
        <w:rPr>
          <w:rFonts w:ascii="Arial" w:hAnsi="Arial" w:cs="Arial"/>
          <w:color w:val="000000" w:themeColor="text1"/>
        </w:rPr>
      </w:pPr>
    </w:p>
    <w:p w14:paraId="29B701FF" w14:textId="77777777" w:rsidR="007B602B" w:rsidRPr="00DF662C" w:rsidRDefault="007B602B" w:rsidP="007B602B">
      <w:pPr>
        <w:tabs>
          <w:tab w:val="left" w:pos="5739"/>
        </w:tabs>
        <w:spacing w:line="360" w:lineRule="auto"/>
        <w:rPr>
          <w:rFonts w:ascii="Arial" w:hAnsi="Arial" w:cs="Arial"/>
          <w:color w:val="000000" w:themeColor="text1"/>
        </w:rPr>
      </w:pPr>
    </w:p>
    <w:p w14:paraId="6CD4556C" w14:textId="77777777" w:rsidR="007B602B" w:rsidRPr="00DF662C" w:rsidRDefault="007B602B" w:rsidP="007B602B">
      <w:pPr>
        <w:spacing w:line="360" w:lineRule="auto"/>
        <w:rPr>
          <w:rFonts w:ascii="Arial" w:hAnsi="Arial" w:cs="Arial"/>
          <w:color w:val="000000" w:themeColor="text1"/>
        </w:rPr>
      </w:pPr>
    </w:p>
    <w:p w14:paraId="28DDFC82" w14:textId="77777777"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TABLE OF CONTENTS.</w:t>
      </w:r>
    </w:p>
    <w:p w14:paraId="672CCCD5" w14:textId="77777777"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 xml:space="preserve">Case study </w:t>
      </w:r>
      <w:r>
        <w:rPr>
          <w:rFonts w:ascii="Arial" w:hAnsi="Arial" w:cs="Arial"/>
          <w:color w:val="000000" w:themeColor="text1"/>
        </w:rPr>
        <w:t xml:space="preserve">                                                                                                          1</w:t>
      </w:r>
      <w:r w:rsidRPr="00DF662C">
        <w:rPr>
          <w:rFonts w:ascii="Arial" w:hAnsi="Arial" w:cs="Arial"/>
          <w:color w:val="000000" w:themeColor="text1"/>
        </w:rPr>
        <w:t xml:space="preserve">                                                                                                                                 </w:t>
      </w:r>
    </w:p>
    <w:p w14:paraId="3CBAFDC4" w14:textId="77777777"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 xml:space="preserve">Introduction                                                                                                          </w:t>
      </w:r>
      <w:r>
        <w:rPr>
          <w:rFonts w:ascii="Arial" w:hAnsi="Arial" w:cs="Arial"/>
          <w:color w:val="000000" w:themeColor="text1"/>
        </w:rPr>
        <w:t>2</w:t>
      </w:r>
      <w:r w:rsidRPr="00DF662C">
        <w:rPr>
          <w:rFonts w:ascii="Arial" w:hAnsi="Arial" w:cs="Arial"/>
          <w:color w:val="000000" w:themeColor="text1"/>
        </w:rPr>
        <w:t xml:space="preserve">                     </w:t>
      </w:r>
    </w:p>
    <w:p w14:paraId="6CA621BD" w14:textId="77777777"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 xml:space="preserve"> Neglect and Abuse the Child, young and family face in case study                    2                                                                                               </w:t>
      </w:r>
    </w:p>
    <w:p w14:paraId="3C695230" w14:textId="3B75EA37"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The intervention by relevant health and social care                                             2</w:t>
      </w:r>
    </w:p>
    <w:p w14:paraId="2F82BF19" w14:textId="35A703F1"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 xml:space="preserve">Relevant agencies for the case study.                                                           </w:t>
      </w:r>
      <w:r>
        <w:rPr>
          <w:rFonts w:ascii="Arial" w:hAnsi="Arial" w:cs="Arial"/>
          <w:color w:val="000000" w:themeColor="text1"/>
        </w:rPr>
        <w:t xml:space="preserve"> </w:t>
      </w:r>
      <w:r w:rsidRPr="00DF662C">
        <w:rPr>
          <w:rFonts w:ascii="Arial" w:hAnsi="Arial" w:cs="Arial"/>
          <w:color w:val="000000" w:themeColor="text1"/>
        </w:rPr>
        <w:t xml:space="preserve">     3</w:t>
      </w:r>
    </w:p>
    <w:p w14:paraId="45E9FCBF" w14:textId="634F04B9"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Actions of social services with the Family                                                            3</w:t>
      </w:r>
    </w:p>
    <w:p w14:paraId="3C91FCFC" w14:textId="697514AE"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 xml:space="preserve">Results and Outcomes    </w:t>
      </w:r>
      <w:r>
        <w:rPr>
          <w:rFonts w:ascii="Arial" w:hAnsi="Arial" w:cs="Arial"/>
          <w:color w:val="000000" w:themeColor="text1"/>
        </w:rPr>
        <w:t xml:space="preserve">                                                                                     3</w:t>
      </w:r>
      <w:r w:rsidRPr="00DF662C">
        <w:rPr>
          <w:rFonts w:ascii="Arial" w:hAnsi="Arial" w:cs="Arial"/>
          <w:color w:val="000000" w:themeColor="text1"/>
        </w:rPr>
        <w:t xml:space="preserve">                                                                                                        </w:t>
      </w:r>
    </w:p>
    <w:p w14:paraId="47A321F8" w14:textId="77777777"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Policy and Legislation related to safeguarding children and –</w:t>
      </w:r>
    </w:p>
    <w:p w14:paraId="585AF970" w14:textId="4BA7517E"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Young People</w:t>
      </w:r>
      <w:r>
        <w:rPr>
          <w:rFonts w:ascii="Arial" w:hAnsi="Arial" w:cs="Arial"/>
          <w:color w:val="000000" w:themeColor="text1"/>
        </w:rPr>
        <w:t xml:space="preserve">                                                                                                        3</w:t>
      </w:r>
      <w:r w:rsidRPr="00DF662C">
        <w:rPr>
          <w:rFonts w:ascii="Arial" w:hAnsi="Arial" w:cs="Arial"/>
          <w:color w:val="000000" w:themeColor="text1"/>
        </w:rPr>
        <w:t xml:space="preserve">.                                                                                                                             </w:t>
      </w:r>
    </w:p>
    <w:p w14:paraId="35202F6E" w14:textId="77777777"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 xml:space="preserve">Theories guiding interventions of social services in case of </w:t>
      </w:r>
    </w:p>
    <w:p w14:paraId="2EC85E76" w14:textId="5529DD67"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 xml:space="preserve">Safeguarding issues.     </w:t>
      </w:r>
      <w:r>
        <w:rPr>
          <w:rFonts w:ascii="Arial" w:hAnsi="Arial" w:cs="Arial"/>
          <w:color w:val="000000" w:themeColor="text1"/>
        </w:rPr>
        <w:t xml:space="preserve">                                                                                        4</w:t>
      </w:r>
      <w:r w:rsidRPr="00DF662C">
        <w:rPr>
          <w:rFonts w:ascii="Arial" w:hAnsi="Arial" w:cs="Arial"/>
          <w:color w:val="000000" w:themeColor="text1"/>
        </w:rPr>
        <w:t xml:space="preserve">                                                                                                             </w:t>
      </w:r>
    </w:p>
    <w:p w14:paraId="57DCA3FE" w14:textId="53AD37F2"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Recommendation and Conclusions                                                                       4</w:t>
      </w:r>
    </w:p>
    <w:p w14:paraId="468C19EB" w14:textId="63F8D523" w:rsidR="007B602B" w:rsidRPr="00DF662C" w:rsidRDefault="007B602B" w:rsidP="007B602B">
      <w:pPr>
        <w:spacing w:line="360" w:lineRule="auto"/>
        <w:rPr>
          <w:rFonts w:ascii="Arial" w:hAnsi="Arial" w:cs="Arial"/>
          <w:color w:val="000000" w:themeColor="text1"/>
        </w:rPr>
      </w:pPr>
      <w:r w:rsidRPr="00DF662C">
        <w:rPr>
          <w:rFonts w:ascii="Arial" w:hAnsi="Arial" w:cs="Arial"/>
          <w:color w:val="000000" w:themeColor="text1"/>
        </w:rPr>
        <w:t xml:space="preserve">References  </w:t>
      </w:r>
      <w:r>
        <w:rPr>
          <w:rFonts w:ascii="Arial" w:hAnsi="Arial" w:cs="Arial"/>
          <w:color w:val="000000" w:themeColor="text1"/>
        </w:rPr>
        <w:t xml:space="preserve">                                                                                                           5</w:t>
      </w:r>
      <w:r w:rsidRPr="00DF662C">
        <w:rPr>
          <w:rFonts w:ascii="Arial" w:hAnsi="Arial" w:cs="Arial"/>
          <w:color w:val="000000" w:themeColor="text1"/>
        </w:rPr>
        <w:t xml:space="preserve">                                                                                                                                </w:t>
      </w:r>
    </w:p>
    <w:p w14:paraId="07CB33A0" w14:textId="77777777" w:rsidR="007B602B" w:rsidRPr="00DF662C" w:rsidRDefault="007B602B" w:rsidP="007B602B">
      <w:pPr>
        <w:spacing w:line="360" w:lineRule="auto"/>
        <w:rPr>
          <w:rFonts w:ascii="Arial" w:hAnsi="Arial" w:cs="Arial"/>
          <w:color w:val="000000" w:themeColor="text1"/>
        </w:rPr>
      </w:pPr>
    </w:p>
    <w:p w14:paraId="19884024" w14:textId="77777777" w:rsidR="007B602B" w:rsidRPr="00DF662C" w:rsidRDefault="007B602B" w:rsidP="007B602B">
      <w:pPr>
        <w:spacing w:line="360" w:lineRule="auto"/>
        <w:rPr>
          <w:rFonts w:ascii="Arial" w:hAnsi="Arial" w:cs="Arial"/>
          <w:color w:val="000000" w:themeColor="text1"/>
        </w:rPr>
      </w:pPr>
    </w:p>
    <w:p w14:paraId="1B1175B4" w14:textId="77777777" w:rsidR="007B602B" w:rsidRPr="00DF662C" w:rsidRDefault="007B602B" w:rsidP="007B602B">
      <w:pPr>
        <w:spacing w:line="360" w:lineRule="auto"/>
        <w:rPr>
          <w:rFonts w:ascii="Arial" w:hAnsi="Arial" w:cs="Arial"/>
          <w:color w:val="000000" w:themeColor="text1"/>
        </w:rPr>
      </w:pPr>
    </w:p>
    <w:p w14:paraId="07DD3EF4" w14:textId="77777777" w:rsidR="007B602B" w:rsidRPr="00DF662C" w:rsidRDefault="007B602B" w:rsidP="007B602B">
      <w:pPr>
        <w:spacing w:line="360" w:lineRule="auto"/>
        <w:rPr>
          <w:rFonts w:ascii="Arial" w:hAnsi="Arial" w:cs="Arial"/>
          <w:color w:val="000000" w:themeColor="text1"/>
        </w:rPr>
      </w:pPr>
    </w:p>
    <w:p w14:paraId="4DC4D1D5" w14:textId="77777777" w:rsidR="007B602B" w:rsidRPr="00DF662C" w:rsidRDefault="007B602B" w:rsidP="007B602B">
      <w:pPr>
        <w:spacing w:line="360" w:lineRule="auto"/>
        <w:rPr>
          <w:rFonts w:ascii="Arial" w:hAnsi="Arial" w:cs="Arial"/>
          <w:color w:val="000000" w:themeColor="text1"/>
        </w:rPr>
      </w:pPr>
    </w:p>
    <w:p w14:paraId="12B2C541" w14:textId="77777777" w:rsidR="007B602B" w:rsidRPr="00DF662C" w:rsidRDefault="007B602B" w:rsidP="007B602B">
      <w:pPr>
        <w:spacing w:line="360" w:lineRule="auto"/>
        <w:rPr>
          <w:rFonts w:ascii="Arial" w:hAnsi="Arial" w:cs="Arial"/>
          <w:color w:val="000000" w:themeColor="text1"/>
        </w:rPr>
      </w:pPr>
    </w:p>
    <w:p w14:paraId="6F45FF2A" w14:textId="77777777" w:rsidR="007B602B" w:rsidRPr="00DF662C" w:rsidRDefault="007B602B" w:rsidP="007B602B">
      <w:pPr>
        <w:spacing w:line="360" w:lineRule="auto"/>
        <w:rPr>
          <w:rFonts w:ascii="Arial" w:hAnsi="Arial" w:cs="Arial"/>
          <w:color w:val="000000" w:themeColor="text1"/>
        </w:rPr>
      </w:pPr>
    </w:p>
    <w:p w14:paraId="6B5AE312" w14:textId="77777777" w:rsidR="007B602B" w:rsidRPr="00DF662C" w:rsidRDefault="007B602B" w:rsidP="007B602B">
      <w:pPr>
        <w:spacing w:line="360" w:lineRule="auto"/>
        <w:rPr>
          <w:rFonts w:ascii="Arial" w:hAnsi="Arial" w:cs="Arial"/>
          <w:color w:val="000000" w:themeColor="text1"/>
        </w:rPr>
      </w:pPr>
    </w:p>
    <w:p w14:paraId="2312EBB1" w14:textId="77777777"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lastRenderedPageBreak/>
        <w:t>Group 2.-CASE STUDY.</w:t>
      </w:r>
    </w:p>
    <w:p w14:paraId="27E8B5DA" w14:textId="77777777"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t>A Case study of a 12 years old Teenage of an Asian background who lived in Royal Greenwich Borough, London, with his grandfather for some years. The boy’s parents wanted him to receive an education in the UK. The grandfather is 78 years, suffering from Type-2 Diabetes, and 12 months ago, he had a hip replacement. The teenager and the grandfather live in an affluent City. The GP is concerned because the 12 years is caring for the grandfather, and at the same time, the boy seems to be neglected. His school attendance dropped, all ways wear dirty clothes when attending school and followed his grandfather to the clinic. The teenager seems to lack contact with his father and friends.</w:t>
      </w:r>
    </w:p>
    <w:p w14:paraId="259529CA" w14:textId="77777777" w:rsidR="00F159D6" w:rsidRPr="00DF662C" w:rsidRDefault="00F159D6" w:rsidP="00F159D6">
      <w:pPr>
        <w:spacing w:line="360" w:lineRule="auto"/>
        <w:rPr>
          <w:rFonts w:ascii="Arial" w:hAnsi="Arial" w:cs="Arial"/>
          <w:b/>
          <w:bCs/>
          <w:color w:val="000000" w:themeColor="text1"/>
        </w:rPr>
      </w:pPr>
      <w:r w:rsidRPr="00DF662C">
        <w:rPr>
          <w:rFonts w:ascii="Arial" w:hAnsi="Arial" w:cs="Arial"/>
          <w:b/>
          <w:bCs/>
          <w:color w:val="000000" w:themeColor="text1"/>
        </w:rPr>
        <w:t xml:space="preserve">INTRODUCTION                                                                                            </w:t>
      </w:r>
    </w:p>
    <w:p w14:paraId="6670E9B2"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 xml:space="preserve">This write-up aims </w:t>
      </w:r>
      <w:proofErr w:type="gramStart"/>
      <w:r w:rsidRPr="00DF662C">
        <w:rPr>
          <w:rFonts w:ascii="Arial" w:hAnsi="Arial" w:cs="Arial"/>
          <w:color w:val="000000" w:themeColor="text1"/>
          <w:sz w:val="22"/>
          <w:szCs w:val="22"/>
        </w:rPr>
        <w:t>is</w:t>
      </w:r>
      <w:proofErr w:type="gramEnd"/>
      <w:r w:rsidRPr="00DF662C">
        <w:rPr>
          <w:rFonts w:ascii="Arial" w:hAnsi="Arial" w:cs="Arial"/>
          <w:color w:val="000000" w:themeColor="text1"/>
          <w:sz w:val="22"/>
          <w:szCs w:val="22"/>
        </w:rPr>
        <w:t xml:space="preserve"> to analyse and evaluate the case study above as it affects the right of the vulnerable child. The 12years Asia teenage boy was too young to have been under the custody of his ground father, whose health well–being is questionable to look after the boy, the boy was Neglected and Abused against the child Act of 1998.</w:t>
      </w:r>
    </w:p>
    <w:p w14:paraId="14C23E2A" w14:textId="77777777" w:rsidR="00F159D6" w:rsidRPr="00DF662C" w:rsidRDefault="00F159D6" w:rsidP="00F159D6">
      <w:pPr>
        <w:pStyle w:val="NormalWeb"/>
        <w:spacing w:line="360" w:lineRule="auto"/>
        <w:rPr>
          <w:rFonts w:ascii="Arial" w:hAnsi="Arial" w:cs="Arial"/>
          <w:b/>
          <w:bCs/>
          <w:color w:val="000000" w:themeColor="text1"/>
          <w:sz w:val="22"/>
          <w:szCs w:val="22"/>
        </w:rPr>
      </w:pPr>
      <w:r w:rsidRPr="00DF662C">
        <w:rPr>
          <w:rFonts w:ascii="Arial" w:hAnsi="Arial" w:cs="Arial"/>
          <w:b/>
          <w:bCs/>
          <w:color w:val="000000" w:themeColor="text1"/>
          <w:sz w:val="22"/>
          <w:szCs w:val="22"/>
        </w:rPr>
        <w:t>Factors of Vulnerability the Children, Young, and Families face within the case study.</w:t>
      </w:r>
    </w:p>
    <w:p w14:paraId="7AD78554"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In the case study, the 12 years old boy was subjected to hardship ,Neglect, and abuse which is against the policies and Legislation regarding Safeguarding of Children, young and families.</w:t>
      </w:r>
    </w:p>
    <w:p w14:paraId="3922F0EF" w14:textId="77777777" w:rsidR="00F159D6" w:rsidRPr="00DF662C" w:rsidRDefault="00F159D6" w:rsidP="00F159D6">
      <w:pPr>
        <w:spacing w:line="360" w:lineRule="auto"/>
        <w:rPr>
          <w:rFonts w:ascii="Arial" w:eastAsia="Times New Roman" w:hAnsi="Arial" w:cs="Arial"/>
          <w:color w:val="000000" w:themeColor="text1"/>
          <w:kern w:val="0"/>
          <w:lang w:eastAsia="en-GB"/>
          <w14:ligatures w14:val="none"/>
        </w:rPr>
      </w:pPr>
      <w:r w:rsidRPr="00DF662C">
        <w:rPr>
          <w:rFonts w:ascii="Arial" w:eastAsia="Times New Roman" w:hAnsi="Arial" w:cs="Arial"/>
          <w:color w:val="000000" w:themeColor="text1"/>
          <w:kern w:val="0"/>
          <w:lang w:eastAsia="en-GB"/>
          <w14:ligatures w14:val="none"/>
        </w:rPr>
        <w:t>It is imperative, that all people caring for children, young and families are protected by the safeguarding policies that will enhance their security and safeness. In accordance with the Child Art of 1989.</w:t>
      </w:r>
    </w:p>
    <w:p w14:paraId="0C81DFC3" w14:textId="77777777" w:rsidR="00F159D6" w:rsidRDefault="00F159D6" w:rsidP="00F159D6">
      <w:pPr>
        <w:spacing w:line="360" w:lineRule="auto"/>
        <w:rPr>
          <w:rFonts w:ascii="Arial" w:hAnsi="Arial" w:cs="Arial"/>
          <w:color w:val="000000" w:themeColor="text1"/>
        </w:rPr>
      </w:pPr>
      <w:r w:rsidRPr="00DF662C">
        <w:rPr>
          <w:rFonts w:ascii="Arial" w:hAnsi="Arial" w:cs="Arial"/>
          <w:color w:val="000000" w:themeColor="text1"/>
        </w:rPr>
        <w:t xml:space="preserve">Factors: lack of education, this was because of his father disability (physical) of his </w:t>
      </w:r>
      <w:proofErr w:type="spellStart"/>
      <w:r w:rsidRPr="00DF662C">
        <w:rPr>
          <w:rFonts w:ascii="Arial" w:hAnsi="Arial" w:cs="Arial"/>
          <w:color w:val="000000" w:themeColor="text1"/>
        </w:rPr>
        <w:t>carer</w:t>
      </w:r>
      <w:proofErr w:type="spellEnd"/>
      <w:r w:rsidRPr="00DF662C">
        <w:rPr>
          <w:rFonts w:ascii="Arial" w:hAnsi="Arial" w:cs="Arial"/>
          <w:color w:val="000000" w:themeColor="text1"/>
        </w:rPr>
        <w:t xml:space="preserve"> grandfather, the boy seems to take care of the grandfather. I The boy always accompany his grandfather to see his GP, and this affecting his regular attendance in school.</w:t>
      </w:r>
    </w:p>
    <w:p w14:paraId="6D71F4A2" w14:textId="77777777" w:rsidR="00F159D6" w:rsidRPr="00DF662C" w:rsidRDefault="00F159D6" w:rsidP="00F159D6">
      <w:pPr>
        <w:spacing w:line="360" w:lineRule="auto"/>
        <w:rPr>
          <w:rFonts w:ascii="Arial" w:eastAsia="Times New Roman" w:hAnsi="Arial" w:cs="Arial"/>
          <w:color w:val="000000" w:themeColor="text1"/>
          <w:kern w:val="0"/>
          <w:lang w:eastAsia="en-GB"/>
          <w14:ligatures w14:val="none"/>
        </w:rPr>
      </w:pPr>
    </w:p>
    <w:p w14:paraId="47C2DEEA" w14:textId="77777777" w:rsidR="00F159D6" w:rsidRPr="00DF662C" w:rsidRDefault="00F159D6" w:rsidP="00F159D6">
      <w:pPr>
        <w:pStyle w:val="NormalWeb"/>
        <w:spacing w:line="360" w:lineRule="auto"/>
        <w:rPr>
          <w:rFonts w:ascii="Arial" w:hAnsi="Arial" w:cs="Arial"/>
          <w:b/>
          <w:bCs/>
          <w:color w:val="000000" w:themeColor="text1"/>
          <w:sz w:val="22"/>
          <w:szCs w:val="22"/>
        </w:rPr>
      </w:pPr>
      <w:r w:rsidRPr="00DF662C">
        <w:rPr>
          <w:rFonts w:ascii="Arial" w:hAnsi="Arial" w:cs="Arial"/>
          <w:b/>
          <w:bCs/>
          <w:color w:val="000000" w:themeColor="text1"/>
          <w:sz w:val="22"/>
          <w:szCs w:val="22"/>
        </w:rPr>
        <w:t>The Impact of these factors on children and young people.</w:t>
      </w:r>
    </w:p>
    <w:p w14:paraId="19EE9EC9"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 xml:space="preserve">The impact of no proper education for the boy has a very negative impact on the present and the future of the boy because the right for proper education has been denied, </w:t>
      </w:r>
    </w:p>
    <w:p w14:paraId="724E4E72"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 xml:space="preserve">The boy might become nuisance, drug  </w:t>
      </w:r>
      <w:proofErr w:type="spellStart"/>
      <w:r w:rsidRPr="00DF662C">
        <w:rPr>
          <w:rFonts w:ascii="Arial" w:hAnsi="Arial" w:cs="Arial"/>
          <w:color w:val="000000" w:themeColor="text1"/>
          <w:sz w:val="22"/>
          <w:szCs w:val="22"/>
        </w:rPr>
        <w:t>addict’s</w:t>
      </w:r>
      <w:proofErr w:type="spellEnd"/>
      <w:r w:rsidRPr="00DF662C">
        <w:rPr>
          <w:rFonts w:ascii="Arial" w:hAnsi="Arial" w:cs="Arial"/>
          <w:color w:val="000000" w:themeColor="text1"/>
          <w:sz w:val="22"/>
          <w:szCs w:val="22"/>
        </w:rPr>
        <w:t xml:space="preserve"> and arm robber through influence of  money.</w:t>
      </w:r>
    </w:p>
    <w:p w14:paraId="41246BEB"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lastRenderedPageBreak/>
        <w:t>The impact of having a disability (physical) of his career grandfather is a total abuse and neglect because the boy was underage and well-being of the grandfather is questionable, in accordance with safeguarding Arts of 1998.</w:t>
      </w:r>
    </w:p>
    <w:p w14:paraId="2D4CDDA1" w14:textId="77777777" w:rsidR="00F159D6" w:rsidRPr="00DF662C" w:rsidRDefault="00F159D6" w:rsidP="00F159D6">
      <w:pPr>
        <w:pStyle w:val="NormalWeb"/>
        <w:spacing w:line="360" w:lineRule="auto"/>
        <w:rPr>
          <w:rFonts w:ascii="Arial" w:hAnsi="Arial" w:cs="Arial"/>
          <w:b/>
          <w:bCs/>
          <w:color w:val="000000" w:themeColor="text1"/>
          <w:sz w:val="22"/>
          <w:szCs w:val="22"/>
        </w:rPr>
      </w:pPr>
      <w:r w:rsidRPr="00DF662C">
        <w:rPr>
          <w:rFonts w:ascii="Arial" w:hAnsi="Arial" w:cs="Arial"/>
          <w:b/>
          <w:bCs/>
          <w:color w:val="000000" w:themeColor="text1"/>
          <w:sz w:val="22"/>
          <w:szCs w:val="22"/>
        </w:rPr>
        <w:t>The intervention process by relevant health and social care agencies with the case study.</w:t>
      </w:r>
    </w:p>
    <w:p w14:paraId="78DF395C"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The social services, health and social care and other relevant agencies ensure the necessary policies are lettered.</w:t>
      </w:r>
    </w:p>
    <w:p w14:paraId="26A87064" w14:textId="77777777" w:rsidR="00F159D6" w:rsidRPr="00DF662C" w:rsidRDefault="00F159D6" w:rsidP="00F159D6">
      <w:pPr>
        <w:spacing w:line="360" w:lineRule="auto"/>
        <w:rPr>
          <w:rFonts w:ascii="Arial" w:eastAsia="Times New Roman" w:hAnsi="Arial" w:cs="Arial"/>
          <w:color w:val="000000" w:themeColor="text1"/>
          <w:kern w:val="0"/>
          <w:lang w:eastAsia="en-GB"/>
          <w14:ligatures w14:val="none"/>
        </w:rPr>
      </w:pPr>
      <w:r w:rsidRPr="00DF662C">
        <w:rPr>
          <w:rFonts w:ascii="Arial" w:hAnsi="Arial" w:cs="Arial"/>
          <w:color w:val="000000" w:themeColor="text1"/>
        </w:rPr>
        <w:t>This policy provides a framework for all when dealing with the vulnerable, these are essential, and it is the responsibility of everyone to adhere to the policies and Legislative Acts to avoid Neglect and abuse. Some of the policies are:</w:t>
      </w:r>
    </w:p>
    <w:p w14:paraId="26EC6A72" w14:textId="77777777"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t xml:space="preserve">• Keeping Children Safe in Education (DfE, September 2016) </w:t>
      </w:r>
    </w:p>
    <w:p w14:paraId="56BC6124" w14:textId="77777777"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t>• The Care and Support Statutory Guidance (August 2017</w:t>
      </w:r>
    </w:p>
    <w:p w14:paraId="13E79818"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The kind of interventions provided by the agencies are needed:</w:t>
      </w:r>
    </w:p>
    <w:p w14:paraId="36C2876B"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I. Welfare. The health and social care provide necessary assistance to enable the boy fill comfortable and be happy.</w:t>
      </w:r>
    </w:p>
    <w:p w14:paraId="5FD1DE46"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II. The royal Greenwich Borough ,London ,Educational agency ensure the needs for his education are provided to enable him concentrate for his studies.</w:t>
      </w:r>
    </w:p>
    <w:p w14:paraId="11490B6F"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III. The duration of these promises by various agencies are for long time till he become  adult’s to be able to sustain his self.</w:t>
      </w:r>
    </w:p>
    <w:p w14:paraId="3A48594C" w14:textId="77777777" w:rsidR="00F159D6" w:rsidRPr="00957F4F" w:rsidRDefault="00F159D6" w:rsidP="00F159D6">
      <w:pPr>
        <w:pStyle w:val="NormalWeb"/>
        <w:spacing w:line="360" w:lineRule="auto"/>
        <w:rPr>
          <w:rFonts w:ascii="Arial" w:hAnsi="Arial" w:cs="Arial"/>
          <w:b/>
          <w:bCs/>
          <w:color w:val="000000" w:themeColor="text1"/>
          <w:sz w:val="22"/>
          <w:szCs w:val="22"/>
        </w:rPr>
      </w:pPr>
      <w:r w:rsidRPr="00957F4F">
        <w:rPr>
          <w:rFonts w:ascii="Arial" w:hAnsi="Arial" w:cs="Arial"/>
          <w:b/>
          <w:bCs/>
          <w:color w:val="000000" w:themeColor="text1"/>
          <w:sz w:val="22"/>
          <w:szCs w:val="22"/>
        </w:rPr>
        <w:t>ACTION OF SOCIAL SERVICES WITH THE FAMILY.</w:t>
      </w:r>
    </w:p>
    <w:p w14:paraId="04968664"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From the case study analysis as stated above, the 12 years old teenager is underage by law and ought to be cared for, instead caring for himself and his grandfather, who is 76 years old, a diabetic and recently had a hip replacement.</w:t>
      </w:r>
    </w:p>
    <w:p w14:paraId="1DAE4C46" w14:textId="31E1520C"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t xml:space="preserve">The boy always looks depressed, always wearing dirty clothes whenever he accomplishes the grandfather to the clinic. He only occasionally attends </w:t>
      </w:r>
      <w:r>
        <w:rPr>
          <w:rFonts w:ascii="Arial" w:hAnsi="Arial" w:cs="Arial"/>
          <w:color w:val="000000" w:themeColor="text1"/>
        </w:rPr>
        <w:t>C</w:t>
      </w:r>
      <w:r w:rsidRPr="00DF662C">
        <w:rPr>
          <w:rFonts w:ascii="Arial" w:hAnsi="Arial" w:cs="Arial"/>
          <w:color w:val="000000" w:themeColor="text1"/>
        </w:rPr>
        <w:t>lasses.</w:t>
      </w:r>
    </w:p>
    <w:p w14:paraId="42B0D7C5" w14:textId="77777777"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t xml:space="preserve"> The GP informed the charity organisation about the teenager’s predicament. They responded by providing a carer for the grandfather and the teenager.</w:t>
      </w:r>
    </w:p>
    <w:p w14:paraId="15527F34" w14:textId="1F8F3D28"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lastRenderedPageBreak/>
        <w:t>The carer responsible for careering for both the boy and his grandfather, to ensure their needs are provided including advocacy services to the</w:t>
      </w:r>
      <w:r w:rsidR="00D773EF">
        <w:rPr>
          <w:rFonts w:ascii="Arial" w:hAnsi="Arial" w:cs="Arial"/>
          <w:color w:val="000000" w:themeColor="text1"/>
        </w:rPr>
        <w:t>m</w:t>
      </w:r>
      <w:r w:rsidR="00CE60C6">
        <w:rPr>
          <w:rFonts w:ascii="Arial" w:hAnsi="Arial" w:cs="Arial"/>
          <w:color w:val="000000" w:themeColor="text1"/>
        </w:rPr>
        <w:t>.</w:t>
      </w:r>
    </w:p>
    <w:p w14:paraId="18E6B12E" w14:textId="5ABEBA3A"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t>The intervention of the social and other health agencies in collaboration with the Royal Greenwich Borough provides the necessary solution by law to protect the boy against  Neglect and abuse.</w:t>
      </w:r>
    </w:p>
    <w:p w14:paraId="6527E988"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b/>
          <w:bCs/>
          <w:color w:val="000000" w:themeColor="text1"/>
          <w:sz w:val="22"/>
          <w:szCs w:val="22"/>
        </w:rPr>
        <w:t>RESULT AND OUTCOME</w:t>
      </w:r>
      <w:r w:rsidRPr="00DF662C">
        <w:rPr>
          <w:rFonts w:ascii="Arial" w:hAnsi="Arial" w:cs="Arial"/>
          <w:color w:val="000000" w:themeColor="text1"/>
          <w:sz w:val="22"/>
          <w:szCs w:val="22"/>
        </w:rPr>
        <w:t>.</w:t>
      </w:r>
    </w:p>
    <w:p w14:paraId="4736EC9C" w14:textId="29354AE3"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 xml:space="preserve">The intervention of the social and other health agencies in collaboration with the Royal Greenwich Borough provides the necessary solution </w:t>
      </w:r>
      <w:r>
        <w:rPr>
          <w:rFonts w:ascii="Arial" w:hAnsi="Arial" w:cs="Arial"/>
          <w:color w:val="000000" w:themeColor="text1"/>
          <w:sz w:val="22"/>
          <w:szCs w:val="22"/>
        </w:rPr>
        <w:t>:</w:t>
      </w:r>
    </w:p>
    <w:p w14:paraId="211FED39"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 xml:space="preserve">Child is in </w:t>
      </w:r>
      <w:r>
        <w:rPr>
          <w:rFonts w:ascii="Arial" w:hAnsi="Arial" w:cs="Arial"/>
          <w:color w:val="000000" w:themeColor="text1"/>
          <w:sz w:val="22"/>
          <w:szCs w:val="22"/>
        </w:rPr>
        <w:t>E</w:t>
      </w:r>
      <w:r w:rsidRPr="00DF662C">
        <w:rPr>
          <w:rFonts w:ascii="Arial" w:hAnsi="Arial" w:cs="Arial"/>
          <w:color w:val="000000" w:themeColor="text1"/>
          <w:sz w:val="22"/>
          <w:szCs w:val="22"/>
        </w:rPr>
        <w:t>ducation.</w:t>
      </w:r>
    </w:p>
    <w:p w14:paraId="60DC614C" w14:textId="77777777" w:rsidR="00F159D6" w:rsidRDefault="00F159D6" w:rsidP="00F159D6">
      <w:pPr>
        <w:spacing w:line="360" w:lineRule="auto"/>
        <w:rPr>
          <w:rFonts w:ascii="Arial" w:hAnsi="Arial" w:cs="Arial"/>
          <w:color w:val="000000" w:themeColor="text1"/>
        </w:rPr>
      </w:pPr>
      <w:r>
        <w:rPr>
          <w:rFonts w:ascii="Arial" w:hAnsi="Arial" w:cs="Arial"/>
          <w:color w:val="000000" w:themeColor="text1"/>
        </w:rPr>
        <w:t>Child having a good Health.</w:t>
      </w:r>
    </w:p>
    <w:p w14:paraId="018D864B" w14:textId="77777777" w:rsidR="00F159D6" w:rsidRPr="00DF662C" w:rsidRDefault="00F159D6" w:rsidP="00F159D6">
      <w:pPr>
        <w:spacing w:line="360" w:lineRule="auto"/>
        <w:rPr>
          <w:rFonts w:ascii="Arial" w:hAnsi="Arial" w:cs="Arial"/>
          <w:color w:val="000000" w:themeColor="text1"/>
        </w:rPr>
      </w:pPr>
      <w:r>
        <w:rPr>
          <w:rFonts w:ascii="Arial" w:hAnsi="Arial" w:cs="Arial"/>
          <w:color w:val="000000" w:themeColor="text1"/>
        </w:rPr>
        <w:t>Child in a good custody of a carer</w:t>
      </w:r>
    </w:p>
    <w:p w14:paraId="2D658B04" w14:textId="77777777" w:rsidR="00F159D6" w:rsidRPr="00DF662C" w:rsidRDefault="00F159D6" w:rsidP="00F159D6">
      <w:pPr>
        <w:spacing w:line="360" w:lineRule="auto"/>
        <w:rPr>
          <w:rFonts w:ascii="Arial" w:hAnsi="Arial" w:cs="Arial"/>
          <w:color w:val="000000" w:themeColor="text1"/>
        </w:rPr>
      </w:pPr>
    </w:p>
    <w:p w14:paraId="2B92F2E5" w14:textId="77777777" w:rsidR="00F159D6" w:rsidRPr="00DF662C" w:rsidRDefault="00F159D6" w:rsidP="00F159D6">
      <w:pPr>
        <w:spacing w:line="360" w:lineRule="auto"/>
        <w:rPr>
          <w:rFonts w:ascii="Arial" w:hAnsi="Arial" w:cs="Arial"/>
          <w:b/>
          <w:bCs/>
          <w:color w:val="000000" w:themeColor="text1"/>
        </w:rPr>
      </w:pPr>
      <w:r w:rsidRPr="00DF662C">
        <w:rPr>
          <w:rFonts w:ascii="Arial" w:hAnsi="Arial" w:cs="Arial"/>
          <w:b/>
          <w:bCs/>
          <w:color w:val="000000" w:themeColor="text1"/>
        </w:rPr>
        <w:t xml:space="preserve">Policy and Legislation related to safeguarding children and young people in Royal Greenwich Borough, London, in the UK. </w:t>
      </w:r>
    </w:p>
    <w:p w14:paraId="3F7D0363" w14:textId="77777777"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t>Any person under 18 years is regarded as vulnerable in society.</w:t>
      </w:r>
    </w:p>
    <w:p w14:paraId="39F7B409" w14:textId="77777777"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t>In Greenwich Borough, safeguarding the vulnerable is very paramount, before anyone can have direct contact with the vulnerable, he or she must go through Criminal Bureau Check[CRB], to ensure the children under their c</w:t>
      </w:r>
      <w:r>
        <w:rPr>
          <w:rFonts w:ascii="Arial" w:hAnsi="Arial" w:cs="Arial"/>
          <w:color w:val="000000" w:themeColor="text1"/>
        </w:rPr>
        <w:t>ustody</w:t>
      </w:r>
      <w:r w:rsidRPr="00DF662C">
        <w:rPr>
          <w:rFonts w:ascii="Arial" w:hAnsi="Arial" w:cs="Arial"/>
          <w:color w:val="000000" w:themeColor="text1"/>
        </w:rPr>
        <w:t xml:space="preserve"> are in safe hands.</w:t>
      </w:r>
    </w:p>
    <w:p w14:paraId="6EC28EF0" w14:textId="77777777"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t>The Children and Families Act 2014 empower carers to physical assessment the Vulnerable and provide for their daily needs….  Johnson,[2019]</w:t>
      </w:r>
    </w:p>
    <w:p w14:paraId="38F28CF1"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The Legislation is imperative for all people caring for children and young people. Some of the affected policies and Legislation that protect the rights of children and young people are:</w:t>
      </w:r>
    </w:p>
    <w:p w14:paraId="4C15C7DA"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The United Nations Convention on the Rights of the Child 1992.</w:t>
      </w:r>
    </w:p>
    <w:p w14:paraId="7AA0C8EA"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 The Care Act 2014)</w:t>
      </w:r>
    </w:p>
    <w:p w14:paraId="0548A73B"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 Keeping Children Safe in Education (DfE, September 2016)</w:t>
      </w:r>
    </w:p>
    <w:p w14:paraId="4F443D67"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color w:val="000000" w:themeColor="text1"/>
          <w:sz w:val="22"/>
          <w:szCs w:val="22"/>
        </w:rPr>
        <w:t>• The Care and Support Statutory Guidance (August 2017</w:t>
      </w:r>
    </w:p>
    <w:p w14:paraId="07F47063" w14:textId="77777777" w:rsidR="00F159D6" w:rsidRPr="00DF662C" w:rsidRDefault="00F159D6" w:rsidP="00F159D6">
      <w:pPr>
        <w:pStyle w:val="NormalWeb"/>
        <w:spacing w:line="360" w:lineRule="auto"/>
        <w:rPr>
          <w:rFonts w:ascii="Arial" w:hAnsi="Arial" w:cs="Arial"/>
          <w:color w:val="000000" w:themeColor="text1"/>
          <w:sz w:val="22"/>
          <w:szCs w:val="22"/>
        </w:rPr>
      </w:pPr>
    </w:p>
    <w:p w14:paraId="478842E2" w14:textId="77777777" w:rsidR="00F159D6" w:rsidRPr="00DF662C" w:rsidRDefault="00F159D6" w:rsidP="00F159D6">
      <w:pPr>
        <w:pStyle w:val="NormalWeb"/>
        <w:spacing w:line="360" w:lineRule="auto"/>
        <w:rPr>
          <w:rFonts w:ascii="Arial" w:hAnsi="Arial" w:cs="Arial"/>
          <w:color w:val="000000" w:themeColor="text1"/>
          <w:sz w:val="22"/>
          <w:szCs w:val="22"/>
        </w:rPr>
      </w:pPr>
      <w:r w:rsidRPr="00DF662C">
        <w:rPr>
          <w:rFonts w:ascii="Arial" w:hAnsi="Arial" w:cs="Arial"/>
          <w:b/>
          <w:bCs/>
          <w:color w:val="000000" w:themeColor="text1"/>
          <w:sz w:val="22"/>
          <w:szCs w:val="22"/>
        </w:rPr>
        <w:t>RECOMMENDATION/ CONCLUSION</w:t>
      </w:r>
      <w:r w:rsidRPr="00DF662C">
        <w:rPr>
          <w:rFonts w:ascii="Arial" w:hAnsi="Arial" w:cs="Arial"/>
          <w:color w:val="000000" w:themeColor="text1"/>
          <w:sz w:val="22"/>
          <w:szCs w:val="22"/>
        </w:rPr>
        <w:t xml:space="preserve">. </w:t>
      </w:r>
    </w:p>
    <w:p w14:paraId="517AA56D" w14:textId="77777777"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t>Children, young and families must be safeguards against abuse and Neglect.</w:t>
      </w:r>
    </w:p>
    <w:p w14:paraId="692931D1" w14:textId="77777777"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t>All the necessary policies and Legislation are relevant to safeguarding, caring and others. It needs to be protected.</w:t>
      </w:r>
    </w:p>
    <w:p w14:paraId="6C691C5A" w14:textId="77777777"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t>Anyone working with vulnerable children, young and families must undergo criminal checks before being allowed to assess them.</w:t>
      </w:r>
    </w:p>
    <w:p w14:paraId="1771AB73" w14:textId="77777777"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t xml:space="preserve"> Every person should be a  monitoring agent and report any maltreatment of vulnerable children, young and families must inform the health and social worker in Royal Greenwich Borough, London.</w:t>
      </w:r>
    </w:p>
    <w:p w14:paraId="7ECB0CE7" w14:textId="77777777"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t xml:space="preserve"> </w:t>
      </w:r>
    </w:p>
    <w:p w14:paraId="4EBAE79D" w14:textId="77777777" w:rsidR="00F159D6" w:rsidRPr="00DF662C" w:rsidRDefault="00F159D6" w:rsidP="00F159D6">
      <w:pPr>
        <w:spacing w:line="360" w:lineRule="auto"/>
        <w:rPr>
          <w:rFonts w:ascii="Arial" w:hAnsi="Arial" w:cs="Arial"/>
          <w:color w:val="000000" w:themeColor="text1"/>
        </w:rPr>
      </w:pPr>
      <w:r w:rsidRPr="00DF662C">
        <w:rPr>
          <w:rFonts w:ascii="Arial" w:hAnsi="Arial" w:cs="Arial"/>
          <w:b/>
          <w:bCs/>
          <w:color w:val="000000" w:themeColor="text1"/>
        </w:rPr>
        <w:t>Conclusion</w:t>
      </w:r>
      <w:r w:rsidRPr="00DF662C">
        <w:rPr>
          <w:rFonts w:ascii="Arial" w:hAnsi="Arial" w:cs="Arial"/>
          <w:color w:val="000000" w:themeColor="text1"/>
        </w:rPr>
        <w:t xml:space="preserve">: </w:t>
      </w:r>
    </w:p>
    <w:p w14:paraId="735448E0" w14:textId="77777777"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t xml:space="preserve">Those responsible for Safeguarding children must ensure their welfare is strictly protected and the policies that guilds them are followed and implemented.                                    </w:t>
      </w:r>
    </w:p>
    <w:p w14:paraId="037CA739" w14:textId="77777777" w:rsidR="00F159D6" w:rsidRPr="00DF662C" w:rsidRDefault="00F159D6" w:rsidP="00F159D6">
      <w:pPr>
        <w:spacing w:line="360" w:lineRule="auto"/>
        <w:rPr>
          <w:rFonts w:ascii="Arial" w:hAnsi="Arial" w:cs="Arial"/>
          <w:color w:val="000000" w:themeColor="text1"/>
        </w:rPr>
      </w:pPr>
      <w:r w:rsidRPr="00DF662C">
        <w:rPr>
          <w:rFonts w:ascii="Arial" w:hAnsi="Arial" w:cs="Arial"/>
          <w:color w:val="000000" w:themeColor="text1"/>
        </w:rPr>
        <w:t xml:space="preserve">                                    </w:t>
      </w:r>
    </w:p>
    <w:p w14:paraId="6FCE62AE" w14:textId="77777777" w:rsidR="00F50DFC" w:rsidRPr="00DF662C" w:rsidRDefault="00F50DFC" w:rsidP="00F50DFC">
      <w:pPr>
        <w:spacing w:line="360" w:lineRule="auto"/>
        <w:rPr>
          <w:rFonts w:ascii="Arial" w:hAnsi="Arial" w:cs="Arial"/>
          <w:color w:val="000000" w:themeColor="text1"/>
        </w:rPr>
      </w:pPr>
      <w:r w:rsidRPr="00DF662C">
        <w:rPr>
          <w:rFonts w:ascii="Arial" w:hAnsi="Arial" w:cs="Arial"/>
          <w:color w:val="000000" w:themeColor="text1"/>
        </w:rPr>
        <w:t>REFERENCES:</w:t>
      </w:r>
    </w:p>
    <w:p w14:paraId="5BACAFF6" w14:textId="77777777" w:rsidR="00F50DFC" w:rsidRPr="00DF662C" w:rsidRDefault="00F50DFC" w:rsidP="00F50DFC">
      <w:pPr>
        <w:spacing w:line="360" w:lineRule="auto"/>
        <w:rPr>
          <w:rFonts w:ascii="Arial" w:hAnsi="Arial" w:cs="Arial"/>
          <w:color w:val="000000" w:themeColor="text1"/>
        </w:rPr>
      </w:pPr>
      <w:r w:rsidRPr="00DF662C">
        <w:rPr>
          <w:rFonts w:ascii="Arial" w:hAnsi="Arial" w:cs="Arial"/>
          <w:color w:val="000000" w:themeColor="text1"/>
        </w:rPr>
        <w:t>Bandele, F. (2009). ‘The contribution of schools to safeguarding children.’ In: Hughes, L. and Owen, H. (Eds) Good Practice in Safeguarding Children: Working Effectively in Child Protection. London: Jessica Kingsley Publishers.</w:t>
      </w:r>
    </w:p>
    <w:p w14:paraId="0AE748DC" w14:textId="77777777" w:rsidR="00F50DFC" w:rsidRPr="00DF662C" w:rsidRDefault="00F50DFC" w:rsidP="00F50DFC">
      <w:pPr>
        <w:spacing w:line="360" w:lineRule="auto"/>
        <w:rPr>
          <w:rFonts w:ascii="Arial" w:hAnsi="Arial" w:cs="Arial"/>
          <w:color w:val="000000" w:themeColor="text1"/>
        </w:rPr>
      </w:pPr>
      <w:r w:rsidRPr="00DF662C">
        <w:rPr>
          <w:rFonts w:ascii="Arial" w:hAnsi="Arial" w:cs="Arial"/>
          <w:color w:val="000000" w:themeColor="text1"/>
        </w:rPr>
        <w:t>Barlow, J. and Scott, J. (2010). Safeguarding in the 21st Century – Where to Now? Darington: Research in Practice.</w:t>
      </w:r>
    </w:p>
    <w:p w14:paraId="65E2E740" w14:textId="77777777" w:rsidR="00F50DFC" w:rsidRPr="00DF662C" w:rsidRDefault="00F50DFC" w:rsidP="00F50DFC">
      <w:pPr>
        <w:spacing w:line="360" w:lineRule="auto"/>
        <w:rPr>
          <w:rFonts w:ascii="Arial" w:hAnsi="Arial" w:cs="Arial"/>
          <w:color w:val="000000" w:themeColor="text1"/>
        </w:rPr>
      </w:pPr>
      <w:r w:rsidRPr="00DF662C">
        <w:rPr>
          <w:rFonts w:ascii="Arial" w:hAnsi="Arial" w:cs="Arial"/>
          <w:color w:val="000000" w:themeColor="text1"/>
        </w:rPr>
        <w:t xml:space="preserve">Care Quality Commission (2009). Safeguarding Children: </w:t>
      </w:r>
      <w:proofErr w:type="gramStart"/>
      <w:r w:rsidRPr="00DF662C">
        <w:rPr>
          <w:rFonts w:ascii="Arial" w:hAnsi="Arial" w:cs="Arial"/>
          <w:color w:val="000000" w:themeColor="text1"/>
        </w:rPr>
        <w:t>a</w:t>
      </w:r>
      <w:proofErr w:type="gramEnd"/>
      <w:r w:rsidRPr="00DF662C">
        <w:rPr>
          <w:rFonts w:ascii="Arial" w:hAnsi="Arial" w:cs="Arial"/>
          <w:color w:val="000000" w:themeColor="text1"/>
        </w:rPr>
        <w:t xml:space="preserve"> Review of Arrangements in the NHS for Safeguarding Children. London: CQC [online]. Available: http://www.cqc.org.uk/_db/_documents/Safeguarding_Children_ 200907153039.pdf [accessed 8 September 2010].</w:t>
      </w:r>
    </w:p>
    <w:p w14:paraId="4CCE7F74" w14:textId="77777777" w:rsidR="00F50DFC" w:rsidRPr="00DF662C" w:rsidRDefault="00F50DFC" w:rsidP="00F50DFC">
      <w:pPr>
        <w:spacing w:line="360" w:lineRule="auto"/>
        <w:rPr>
          <w:rFonts w:ascii="Arial" w:eastAsia="Times New Roman" w:hAnsi="Arial" w:cs="Arial"/>
          <w:color w:val="000000" w:themeColor="text1"/>
          <w:kern w:val="36"/>
          <w:lang w:eastAsia="en-GB"/>
          <w14:ligatures w14:val="none"/>
        </w:rPr>
      </w:pPr>
      <w:r w:rsidRPr="00DF662C">
        <w:rPr>
          <w:rFonts w:ascii="Arial" w:eastAsia="Times New Roman" w:hAnsi="Arial" w:cs="Arial"/>
          <w:color w:val="000000" w:themeColor="text1"/>
          <w:kern w:val="0"/>
          <w:bdr w:val="none" w:sz="0" w:space="0" w:color="auto" w:frame="1"/>
          <w:lang w:eastAsia="en-GB"/>
          <w14:ligatures w14:val="none"/>
        </w:rPr>
        <w:t xml:space="preserve">Eve Johnson[2019], </w:t>
      </w:r>
      <w:r w:rsidRPr="00DF662C">
        <w:rPr>
          <w:rFonts w:ascii="Arial" w:eastAsia="Times New Roman" w:hAnsi="Arial" w:cs="Arial"/>
          <w:color w:val="000000" w:themeColor="text1"/>
          <w:kern w:val="36"/>
          <w:lang w:eastAsia="en-GB"/>
          <w14:ligatures w14:val="none"/>
        </w:rPr>
        <w:t>Legislation and policies that surround safeguarding children.</w:t>
      </w:r>
    </w:p>
    <w:p w14:paraId="28FC72FD" w14:textId="77777777" w:rsidR="00F50DFC" w:rsidRPr="00DF662C" w:rsidRDefault="00F50DFC" w:rsidP="00F50DFC">
      <w:pPr>
        <w:spacing w:line="360" w:lineRule="auto"/>
        <w:rPr>
          <w:rFonts w:ascii="Arial" w:hAnsi="Arial" w:cs="Arial"/>
          <w:color w:val="000000" w:themeColor="text1"/>
        </w:rPr>
      </w:pPr>
      <w:r w:rsidRPr="00DF662C">
        <w:rPr>
          <w:rFonts w:ascii="Arial" w:hAnsi="Arial" w:cs="Arial"/>
          <w:color w:val="000000" w:themeColor="text1"/>
        </w:rPr>
        <w:t>Forge, J. (2010). ‘Safeguarding children by means of information sharing.’ Community Practitioner, 83 (1),16–19.</w:t>
      </w:r>
    </w:p>
    <w:p w14:paraId="77D41253" w14:textId="77777777" w:rsidR="00F50DFC" w:rsidRPr="00DF662C" w:rsidRDefault="00F50DFC" w:rsidP="00F50DFC">
      <w:pPr>
        <w:spacing w:line="360" w:lineRule="auto"/>
        <w:rPr>
          <w:rFonts w:ascii="Arial" w:eastAsia="Times New Roman" w:hAnsi="Arial" w:cs="Arial"/>
          <w:color w:val="000000" w:themeColor="text1"/>
          <w:kern w:val="36"/>
          <w:lang w:eastAsia="en-GB"/>
          <w14:ligatures w14:val="none"/>
        </w:rPr>
      </w:pPr>
      <w:r w:rsidRPr="00DF662C">
        <w:rPr>
          <w:rFonts w:ascii="Arial" w:eastAsia="Times New Roman" w:hAnsi="Arial" w:cs="Arial"/>
          <w:color w:val="000000" w:themeColor="text1"/>
          <w:kern w:val="36"/>
          <w:lang w:eastAsia="en-GB"/>
          <w14:ligatures w14:val="none"/>
        </w:rPr>
        <w:t>TRP- Safeguarding-policy Children – Young -people, Oct.2018</w:t>
      </w:r>
    </w:p>
    <w:p w14:paraId="1DCFDFC2" w14:textId="77777777" w:rsidR="00F50DFC" w:rsidRPr="00DF662C" w:rsidRDefault="00F50DFC" w:rsidP="00F50DFC">
      <w:pPr>
        <w:spacing w:line="360" w:lineRule="auto"/>
        <w:rPr>
          <w:rFonts w:ascii="Arial" w:eastAsia="Times New Roman" w:hAnsi="Arial" w:cs="Arial"/>
          <w:color w:val="000000" w:themeColor="text1"/>
          <w:kern w:val="36"/>
          <w:lang w:eastAsia="en-GB"/>
          <w14:ligatures w14:val="none"/>
        </w:rPr>
      </w:pPr>
      <w:r w:rsidRPr="00DF662C">
        <w:rPr>
          <w:rFonts w:ascii="Arial" w:eastAsia="Times New Roman" w:hAnsi="Arial" w:cs="Arial"/>
          <w:color w:val="000000" w:themeColor="text1"/>
          <w:kern w:val="36"/>
          <w:lang w:eastAsia="en-GB"/>
          <w14:ligatures w14:val="none"/>
        </w:rPr>
        <w:lastRenderedPageBreak/>
        <w:t>https://www.thesafeguardingcompany.com/safeguarding/faqs/?msclkid=</w:t>
      </w:r>
      <w:r w:rsidRPr="00DF662C">
        <w:rPr>
          <w:rFonts w:ascii="Arial" w:hAnsi="Arial" w:cs="Arial"/>
          <w:color w:val="000000" w:themeColor="text1"/>
          <w:shd w:val="clear" w:color="auto" w:fill="323639"/>
        </w:rPr>
        <w:t xml:space="preserve"> </w:t>
      </w:r>
    </w:p>
    <w:p w14:paraId="4AC7D4A4" w14:textId="77777777" w:rsidR="00F50DFC" w:rsidRPr="00DF662C" w:rsidRDefault="00F50DFC" w:rsidP="00F50DFC">
      <w:pPr>
        <w:spacing w:line="360" w:lineRule="auto"/>
        <w:rPr>
          <w:rFonts w:ascii="Arial" w:eastAsia="Times New Roman" w:hAnsi="Arial" w:cs="Arial"/>
          <w:b/>
          <w:bCs/>
          <w:color w:val="000000" w:themeColor="text1"/>
          <w:kern w:val="36"/>
          <w:lang w:eastAsia="en-GB"/>
          <w14:ligatures w14:val="none"/>
        </w:rPr>
      </w:pPr>
      <w:r w:rsidRPr="00DF662C">
        <w:rPr>
          <w:rFonts w:ascii="Arial" w:hAnsi="Arial" w:cs="Arial"/>
          <w:color w:val="000000" w:themeColor="text1"/>
        </w:rPr>
        <w:t>https://cpdonline.co.uk/knowledge-base/safeguarding/legislation-safeguarding-children</w:t>
      </w:r>
    </w:p>
    <w:p w14:paraId="6F357623" w14:textId="77777777" w:rsidR="00F50DFC" w:rsidRPr="00DF662C" w:rsidRDefault="00F50DFC" w:rsidP="00F50DFC">
      <w:pPr>
        <w:spacing w:line="360" w:lineRule="auto"/>
        <w:rPr>
          <w:rFonts w:ascii="Arial" w:eastAsia="Times New Roman" w:hAnsi="Arial" w:cs="Arial"/>
          <w:color w:val="000000" w:themeColor="text1"/>
          <w:kern w:val="0"/>
          <w:lang w:eastAsia="en-GB"/>
          <w14:ligatures w14:val="none"/>
        </w:rPr>
      </w:pPr>
      <w:r w:rsidRPr="00DF662C">
        <w:rPr>
          <w:rFonts w:ascii="Arial" w:eastAsia="Times New Roman" w:hAnsi="Arial" w:cs="Arial"/>
          <w:color w:val="000000" w:themeColor="text1"/>
          <w:kern w:val="0"/>
          <w:lang w:eastAsia="en-GB"/>
          <w14:ligatures w14:val="none"/>
        </w:rPr>
        <w:t>(Walker, S, &amp; Thurston, C. (2006) Safeguarding Children and Young People- a</w:t>
      </w:r>
    </w:p>
    <w:p w14:paraId="7101FF65" w14:textId="77777777" w:rsidR="00F50DFC" w:rsidRDefault="00F50DFC" w:rsidP="00F50DFC">
      <w:pPr>
        <w:spacing w:line="360" w:lineRule="auto"/>
        <w:rPr>
          <w:rFonts w:ascii="Arial" w:eastAsia="Times New Roman" w:hAnsi="Arial" w:cs="Arial"/>
          <w:color w:val="000000" w:themeColor="text1"/>
          <w:kern w:val="0"/>
          <w:lang w:eastAsia="en-GB"/>
          <w14:ligatures w14:val="none"/>
        </w:rPr>
      </w:pPr>
      <w:r w:rsidRPr="00DF662C">
        <w:rPr>
          <w:rFonts w:ascii="Arial" w:eastAsia="Times New Roman" w:hAnsi="Arial" w:cs="Arial"/>
          <w:color w:val="000000" w:themeColor="text1"/>
          <w:kern w:val="0"/>
          <w:lang w:eastAsia="en-GB"/>
          <w14:ligatures w14:val="none"/>
        </w:rPr>
        <w:t>guide to integrated practice, Lyme Regis, Russell House Publishers.</w:t>
      </w:r>
    </w:p>
    <w:p w14:paraId="19A78AC3" w14:textId="77777777" w:rsidR="00A347F1" w:rsidRDefault="00A347F1" w:rsidP="00F50DFC">
      <w:pPr>
        <w:spacing w:line="360" w:lineRule="auto"/>
        <w:rPr>
          <w:rFonts w:ascii="Arial" w:eastAsia="Times New Roman" w:hAnsi="Arial" w:cs="Arial"/>
          <w:color w:val="000000" w:themeColor="text1"/>
          <w:kern w:val="0"/>
          <w:lang w:eastAsia="en-GB"/>
          <w14:ligatures w14:val="none"/>
        </w:rPr>
      </w:pPr>
    </w:p>
    <w:p w14:paraId="00ABC9DD" w14:textId="77777777" w:rsidR="00A347F1" w:rsidRPr="00DF662C" w:rsidRDefault="00A347F1" w:rsidP="00F50DFC">
      <w:pPr>
        <w:spacing w:line="360" w:lineRule="auto"/>
        <w:rPr>
          <w:rFonts w:ascii="Arial" w:eastAsia="Times New Roman" w:hAnsi="Arial" w:cs="Arial"/>
          <w:color w:val="000000" w:themeColor="text1"/>
          <w:kern w:val="0"/>
          <w:lang w:eastAsia="en-GB"/>
          <w14:ligatures w14:val="none"/>
        </w:rPr>
      </w:pPr>
    </w:p>
    <w:p w14:paraId="6F2EE294" w14:textId="77777777" w:rsidR="00C57F37" w:rsidRPr="00DF662C" w:rsidRDefault="00C57F37" w:rsidP="00C57F37">
      <w:pPr>
        <w:tabs>
          <w:tab w:val="left" w:pos="5334"/>
        </w:tabs>
        <w:spacing w:line="360" w:lineRule="auto"/>
        <w:rPr>
          <w:rFonts w:ascii="Arial" w:hAnsi="Arial" w:cs="Arial"/>
          <w:color w:val="000000" w:themeColor="text1"/>
        </w:rPr>
      </w:pPr>
    </w:p>
    <w:p w14:paraId="47762C8E" w14:textId="389A0371" w:rsidR="002C1E07" w:rsidRPr="002D00A2" w:rsidRDefault="002C1E07" w:rsidP="002C1E07">
      <w:pPr>
        <w:spacing w:line="360" w:lineRule="auto"/>
        <w:rPr>
          <w:rFonts w:ascii="Arial" w:eastAsia="Times New Roman" w:hAnsi="Arial" w:cs="Arial"/>
          <w:b/>
          <w:bCs/>
          <w:color w:val="000000" w:themeColor="text1"/>
          <w:kern w:val="0"/>
          <w:sz w:val="40"/>
          <w:szCs w:val="40"/>
          <w:lang w:eastAsia="en-GB"/>
          <w14:ligatures w14:val="none"/>
        </w:rPr>
      </w:pPr>
      <w:r w:rsidRPr="002D00A2">
        <w:rPr>
          <w:rFonts w:ascii="Arial" w:eastAsia="Times New Roman" w:hAnsi="Arial" w:cs="Arial"/>
          <w:b/>
          <w:bCs/>
          <w:color w:val="000000" w:themeColor="text1"/>
          <w:kern w:val="0"/>
          <w:sz w:val="40"/>
          <w:szCs w:val="40"/>
          <w:lang w:eastAsia="en-GB"/>
          <w14:ligatures w14:val="none"/>
        </w:rPr>
        <w:t xml:space="preserve">                      APPENDIX.</w:t>
      </w:r>
    </w:p>
    <w:p w14:paraId="1B981569" w14:textId="77777777" w:rsidR="002C1E07" w:rsidRPr="002D00A2" w:rsidRDefault="002C1E07" w:rsidP="002C1E07">
      <w:pPr>
        <w:spacing w:line="360" w:lineRule="auto"/>
        <w:rPr>
          <w:rFonts w:ascii="Arial" w:eastAsia="Times New Roman" w:hAnsi="Arial" w:cs="Arial"/>
          <w:color w:val="000000" w:themeColor="text1"/>
          <w:kern w:val="0"/>
          <w:sz w:val="40"/>
          <w:szCs w:val="40"/>
          <w:lang w:eastAsia="en-GB"/>
          <w14:ligatures w14:val="none"/>
        </w:rPr>
      </w:pPr>
      <w:r w:rsidRPr="002D00A2">
        <w:rPr>
          <w:rFonts w:ascii="Arial" w:eastAsia="Times New Roman" w:hAnsi="Arial" w:cs="Arial"/>
          <w:b/>
          <w:bCs/>
          <w:color w:val="000000" w:themeColor="text1"/>
          <w:kern w:val="0"/>
          <w:sz w:val="40"/>
          <w:szCs w:val="40"/>
          <w:lang w:eastAsia="en-GB"/>
          <w14:ligatures w14:val="none"/>
        </w:rPr>
        <w:t>POWERPOINT.</w:t>
      </w:r>
    </w:p>
    <w:p w14:paraId="347A1E1C" w14:textId="77777777" w:rsidR="002C1E07" w:rsidRDefault="002C1E07" w:rsidP="002C1E07">
      <w:r>
        <w:rPr>
          <w:noProof/>
        </w:rPr>
        <w:drawing>
          <wp:anchor distT="0" distB="0" distL="114300" distR="114300" simplePos="0" relativeHeight="251659264" behindDoc="0" locked="0" layoutInCell="1" allowOverlap="1" wp14:anchorId="4BE1DE28" wp14:editId="33147109">
            <wp:simplePos x="0" y="0"/>
            <wp:positionH relativeFrom="margin">
              <wp:align>right</wp:align>
            </wp:positionH>
            <wp:positionV relativeFrom="paragraph">
              <wp:posOffset>396572</wp:posOffset>
            </wp:positionV>
            <wp:extent cx="5731510" cy="3223895"/>
            <wp:effectExtent l="0" t="0" r="2540" b="0"/>
            <wp:wrapSquare wrapText="bothSides"/>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 uri="{96DAC541-7B7A-43D3-8B79-37D633B846F1}">
                          <asvg:svgBlip xmlns:asvg="http://schemas.microsoft.com/office/drawing/2016/SVG/main" r:embed="rId5"/>
                        </a:ext>
                      </a:extLst>
                    </a:blip>
                    <a:stretch>
                      <a:fillRect/>
                    </a:stretch>
                  </pic:blipFill>
                  <pic:spPr>
                    <a:xfrm>
                      <a:off x="0" y="0"/>
                      <a:ext cx="5731510" cy="3223895"/>
                    </a:xfrm>
                    <a:prstGeom prst="rect">
                      <a:avLst/>
                    </a:prstGeom>
                  </pic:spPr>
                </pic:pic>
              </a:graphicData>
            </a:graphic>
          </wp:anchor>
        </w:drawing>
      </w:r>
    </w:p>
    <w:p w14:paraId="057BBED9" w14:textId="77777777" w:rsidR="007B602B" w:rsidRPr="00DF662C" w:rsidRDefault="007B602B" w:rsidP="007B602B">
      <w:pPr>
        <w:spacing w:line="360" w:lineRule="auto"/>
        <w:rPr>
          <w:rFonts w:ascii="Arial" w:hAnsi="Arial" w:cs="Arial"/>
          <w:color w:val="000000" w:themeColor="text1"/>
        </w:rPr>
      </w:pPr>
    </w:p>
    <w:p w14:paraId="7755510A" w14:textId="77777777" w:rsidR="007B602B" w:rsidRPr="00DF662C" w:rsidRDefault="007B602B" w:rsidP="007B602B">
      <w:pPr>
        <w:spacing w:line="360" w:lineRule="auto"/>
        <w:rPr>
          <w:rFonts w:ascii="Arial" w:hAnsi="Arial" w:cs="Arial"/>
          <w:color w:val="000000" w:themeColor="text1"/>
        </w:rPr>
      </w:pPr>
    </w:p>
    <w:p w14:paraId="035B8D62" w14:textId="4C8F9FF1" w:rsidR="007B602B" w:rsidRDefault="003934E8" w:rsidP="007B602B">
      <w:r>
        <w:rPr>
          <w:noProof/>
        </w:rPr>
        <w:lastRenderedPageBreak/>
        <w:drawing>
          <wp:inline distT="0" distB="0" distL="0" distR="0" wp14:anchorId="3CF7C8B4" wp14:editId="631265D1">
            <wp:extent cx="5731510" cy="29610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961005"/>
                    </a:xfrm>
                    <a:prstGeom prst="rect">
                      <a:avLst/>
                    </a:prstGeom>
                  </pic:spPr>
                </pic:pic>
              </a:graphicData>
            </a:graphic>
          </wp:inline>
        </w:drawing>
      </w:r>
    </w:p>
    <w:p w14:paraId="6ADB1206" w14:textId="77777777" w:rsidR="0079612E" w:rsidRDefault="0079612E" w:rsidP="007B602B"/>
    <w:p w14:paraId="0C725590" w14:textId="77777777" w:rsidR="0079612E" w:rsidRDefault="0079612E" w:rsidP="007B602B"/>
    <w:p w14:paraId="281E8E81" w14:textId="77777777" w:rsidR="0079612E" w:rsidRDefault="0079612E" w:rsidP="007B602B"/>
    <w:p w14:paraId="391EF180" w14:textId="77777777" w:rsidR="0079612E" w:rsidRDefault="0079612E" w:rsidP="007B602B"/>
    <w:p w14:paraId="3678840A" w14:textId="77777777" w:rsidR="0079612E" w:rsidRDefault="0079612E" w:rsidP="007B602B"/>
    <w:p w14:paraId="476311E0" w14:textId="37C084F0" w:rsidR="0079612E" w:rsidRDefault="0079612E" w:rsidP="007B602B">
      <w:r>
        <w:rPr>
          <w:noProof/>
        </w:rPr>
        <w:drawing>
          <wp:inline distT="0" distB="0" distL="0" distR="0" wp14:anchorId="6FB8B76D" wp14:editId="61B0F4C5">
            <wp:extent cx="5731510" cy="29641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964180"/>
                    </a:xfrm>
                    <a:prstGeom prst="rect">
                      <a:avLst/>
                    </a:prstGeom>
                  </pic:spPr>
                </pic:pic>
              </a:graphicData>
            </a:graphic>
          </wp:inline>
        </w:drawing>
      </w:r>
    </w:p>
    <w:sectPr w:rsidR="007961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02B"/>
    <w:rsid w:val="002C1E07"/>
    <w:rsid w:val="002D00A2"/>
    <w:rsid w:val="003934E8"/>
    <w:rsid w:val="0042071F"/>
    <w:rsid w:val="00695C03"/>
    <w:rsid w:val="0079612E"/>
    <w:rsid w:val="007B602B"/>
    <w:rsid w:val="00A347F1"/>
    <w:rsid w:val="00C57F37"/>
    <w:rsid w:val="00CE60C6"/>
    <w:rsid w:val="00D773EF"/>
    <w:rsid w:val="00DB1A28"/>
    <w:rsid w:val="00F159D6"/>
    <w:rsid w:val="00F50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8EDB0"/>
  <w15:chartTrackingRefBased/>
  <w15:docId w15:val="{DD14AB0F-569E-4BAE-A281-3FC506270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02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159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sv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8</Pages>
  <Words>1528</Words>
  <Characters>8712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 Ezeigbe Okunbor (1807133)</dc:creator>
  <cp:keywords/>
  <dc:description/>
  <cp:lastModifiedBy>Marice Ezeigbe Okunbor (1807133)</cp:lastModifiedBy>
  <cp:revision>14</cp:revision>
  <dcterms:created xsi:type="dcterms:W3CDTF">2023-04-24T02:39:00Z</dcterms:created>
  <dcterms:modified xsi:type="dcterms:W3CDTF">2023-04-24T20:12:00Z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faf15bff-b59b-4d45-a664-f65590129b57</vt:lpwstr>
  </property>
</Properties>
</file>