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F">
      <w:pPr>
        <w:pStyle w:val="Heading1"/>
        <w:jc w:val="center"/>
        <w:rPr>
          <w:b w:val="0"/>
          <w:sz w:val="36"/>
          <w:szCs w:val="36"/>
          <w:u w:val="single"/>
        </w:rPr>
      </w:pPr>
      <w:bookmarkStart w:colFirst="0" w:colLast="0" w:name="_heading=h.gjdgxs" w:id="0"/>
      <w:bookmarkEnd w:id="0"/>
      <w:r w:rsidDel="00000000" w:rsidR="00000000" w:rsidRPr="00000000">
        <w:rPr>
          <w:sz w:val="36"/>
          <w:szCs w:val="36"/>
          <w:u w:val="single"/>
          <w:rtl w:val="0"/>
        </w:rPr>
        <w:t xml:space="preserve">Academic and Employability Skills</w:t>
      </w:r>
      <w:r w:rsidDel="00000000" w:rsidR="00000000" w:rsidRPr="00000000">
        <w:rPr>
          <w:rtl w:val="0"/>
        </w:rPr>
      </w:r>
    </w:p>
    <w:p w:rsidR="00000000" w:rsidDel="00000000" w:rsidP="00000000" w:rsidRDefault="00000000" w:rsidRPr="00000000" w14:paraId="00000010">
      <w:pPr>
        <w:pStyle w:val="Heading1"/>
        <w:jc w:val="center"/>
        <w:rPr>
          <w:sz w:val="36"/>
          <w:szCs w:val="36"/>
        </w:rPr>
      </w:pPr>
      <w:r w:rsidDel="00000000" w:rsidR="00000000" w:rsidRPr="00000000">
        <w:rPr>
          <w:sz w:val="36"/>
          <w:szCs w:val="36"/>
          <w:rtl w:val="0"/>
        </w:rPr>
        <w:t xml:space="preserve">Report on Employability Skills (Component-2)</w:t>
      </w:r>
    </w:p>
    <w:p w:rsidR="00000000" w:rsidDel="00000000" w:rsidP="00000000" w:rsidRDefault="00000000" w:rsidRPr="00000000" w14:paraId="00000011">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name: Dragos Axente</w:t>
      </w:r>
    </w:p>
    <w:p w:rsidR="00000000" w:rsidDel="00000000" w:rsidP="00000000" w:rsidRDefault="00000000" w:rsidRPr="00000000" w14:paraId="00000013">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ID: 2127563</w:t>
      </w:r>
    </w:p>
    <w:p w:rsidR="00000000" w:rsidDel="00000000" w:rsidP="00000000" w:rsidRDefault="00000000" w:rsidRPr="00000000" w14:paraId="00000014">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Course name: BMSW4001</w:t>
      </w:r>
    </w:p>
    <w:p w:rsidR="00000000" w:rsidDel="00000000" w:rsidP="00000000" w:rsidRDefault="00000000" w:rsidRPr="00000000" w14:paraId="00000015">
      <w:pPr>
        <w:spacing w:line="360" w:lineRule="auto"/>
        <w:jc w:val="center"/>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i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Executive summary </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Employability skills within the modern workplace scenario are considered the effective transferable skills that help the individual worker secure his job position. The report however demonstrated the different employability skills and based on these mentioned employability skills, the report also elaborated on the relevance and applicability of these skills within the current organisational scenario. In addition to that, the report also identified the major changes that are linked to employability skills and demonstrated the market demand in terms of getting the desired employees for the business. </w:t>
      </w:r>
    </w:p>
    <w:p w:rsidR="00000000" w:rsidDel="00000000" w:rsidP="00000000" w:rsidRDefault="00000000" w:rsidRPr="00000000" w14:paraId="00000019">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 </w:t>
      </w:r>
    </w:p>
    <w:p w:rsidR="00000000" w:rsidDel="00000000" w:rsidP="00000000" w:rsidRDefault="00000000" w:rsidRPr="00000000" w14:paraId="0000001A">
      <w:pPr>
        <w:spacing w:line="360" w:lineRule="auto"/>
        <w:jc w:val="center"/>
        <w:rPr>
          <w:rFonts w:ascii="Times New Roman" w:cs="Times New Roman" w:eastAsia="Times New Roman" w:hAnsi="Times New Roman"/>
          <w:b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employability skills</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Offering examples of the following resilience, digital competence, and emotional intelligence</w:t>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Changes regarding the employability skills</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360" w:lineRule="auto"/>
        <w:jc w:val="both"/>
        <w:rPr>
          <w:rFonts w:ascii="Times New Roman" w:cs="Times New Roman" w:eastAsia="Times New Roman" w:hAnsi="Times New Roman"/>
          <w:b w:val="1"/>
          <w:sz w:val="24"/>
          <w:szCs w:val="24"/>
          <w:u w:val="single"/>
        </w:rPr>
      </w:pPr>
      <w:bookmarkStart w:colFirst="0" w:colLast="0" w:name="_heading=h.30j0zll" w:id="1"/>
      <w:bookmarkEnd w:id="1"/>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heading=h.1fob9te" w:id="2"/>
      <w:bookmarkEnd w:id="2"/>
      <w:r w:rsidDel="00000000" w:rsidR="00000000" w:rsidRPr="00000000">
        <w:rPr>
          <w:rtl w:val="0"/>
        </w:rPr>
        <w:t xml:space="preserve">Introduction </w:t>
      </w:r>
    </w:p>
    <w:p w:rsidR="00000000" w:rsidDel="00000000" w:rsidP="00000000" w:rsidRDefault="00000000" w:rsidRPr="00000000" w14:paraId="0000002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As per the opinion of </w:t>
      </w:r>
      <w:r w:rsidDel="00000000" w:rsidR="00000000" w:rsidRPr="00000000">
        <w:rPr>
          <w:rFonts w:ascii="Times New Roman" w:cs="Times New Roman" w:eastAsia="Times New Roman" w:hAnsi="Times New Roman"/>
          <w:color w:val="222222"/>
          <w:sz w:val="24"/>
          <w:szCs w:val="24"/>
          <w:highlight w:val="white"/>
          <w:rtl w:val="0"/>
        </w:rPr>
        <w:t xml:space="preserve">Lisá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p. 80) employability skills are considered as the transferable skills that are required by an individual to make them employable. On the other hand, through employability skills, the individual could develop a set of skills and behavioural perspectives that are highly required to get the desired job opportunity. Employability skills permit the individual in terms of communicates with other co-workers and it also strengthens teamwork and workplace collaboration. However, in this report, the research associate would focus on several employability skills such as emotional intelligence, resilience, and digital competence. </w:t>
      </w:r>
      <w:r w:rsidDel="00000000" w:rsidR="00000000" w:rsidRPr="00000000">
        <w:rPr>
          <w:rtl w:val="0"/>
        </w:rPr>
      </w:r>
    </w:p>
    <w:p w:rsidR="00000000" w:rsidDel="00000000" w:rsidP="00000000" w:rsidRDefault="00000000" w:rsidRPr="00000000" w14:paraId="00000029">
      <w:pPr>
        <w:pStyle w:val="Heading1"/>
        <w:rPr/>
      </w:pPr>
      <w:bookmarkStart w:colFirst="0" w:colLast="0" w:name="_heading=h.3znysh7" w:id="3"/>
      <w:bookmarkEnd w:id="3"/>
      <w:r w:rsidDel="00000000" w:rsidR="00000000" w:rsidRPr="00000000">
        <w:rPr>
          <w:rtl w:val="0"/>
        </w:rPr>
        <w:t xml:space="preserve">The employability skills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opined by </w:t>
      </w:r>
      <w:r w:rsidDel="00000000" w:rsidR="00000000" w:rsidRPr="00000000">
        <w:rPr>
          <w:rFonts w:ascii="Times New Roman" w:cs="Times New Roman" w:eastAsia="Times New Roman" w:hAnsi="Times New Roman"/>
          <w:color w:val="222222"/>
          <w:sz w:val="24"/>
          <w:szCs w:val="24"/>
          <w:highlight w:val="white"/>
          <w:rtl w:val="0"/>
        </w:rPr>
        <w:t xml:space="preserve">Jackson, (2018</w:t>
      </w:r>
      <w:r w:rsidDel="00000000" w:rsidR="00000000" w:rsidRPr="00000000">
        <w:rPr>
          <w:rFonts w:ascii="Times New Roman" w:cs="Times New Roman" w:eastAsia="Times New Roman" w:hAnsi="Times New Roman"/>
          <w:sz w:val="24"/>
          <w:szCs w:val="24"/>
          <w:rtl w:val="0"/>
        </w:rPr>
        <w:t xml:space="preserve">, p. 30) employability skills are certain kinds of skills that the individual learner develops to get the desired job and to increase the overall value as a competent worker. Employees with effective employability skills can efficiently operate within the challenging workplace situation and can achieve their long-term career objectives. Based on the current workforce, general employability skills are highly important to find a suitable and suitable job as the labour market is highly competitive. Additionally, to measure the social and personal dimensions of employability, the current workforce is extensively adopted “</w:t>
      </w:r>
      <w:r w:rsidDel="00000000" w:rsidR="00000000" w:rsidRPr="00000000">
        <w:rPr>
          <w:rFonts w:ascii="Times New Roman" w:cs="Times New Roman" w:eastAsia="Times New Roman" w:hAnsi="Times New Roman"/>
          <w:i w:val="1"/>
          <w:sz w:val="24"/>
          <w:szCs w:val="24"/>
          <w:rtl w:val="0"/>
        </w:rPr>
        <w:t xml:space="preserve">the Employability Appraisal Scale</w:t>
      </w:r>
      <w:r w:rsidDel="00000000" w:rsidR="00000000" w:rsidRPr="00000000">
        <w:rPr>
          <w:rFonts w:ascii="Times New Roman" w:cs="Times New Roman" w:eastAsia="Times New Roman" w:hAnsi="Times New Roman"/>
          <w:sz w:val="24"/>
          <w:szCs w:val="24"/>
          <w:rtl w:val="0"/>
        </w:rPr>
        <w:t xml:space="preserve">”, and to upgrade the employability skills, the employee is highly focused on three major components such as technical skills, workplace strategies, and finally the transferable skills. In addition to that, as a part of the employability skills, the workers are highly committed in terms of understanding the numerous aspects of networking skills, which ensures commercial success within the current professional field.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opinion of </w:t>
      </w:r>
      <w:r w:rsidDel="00000000" w:rsidR="00000000" w:rsidRPr="00000000">
        <w:rPr>
          <w:rFonts w:ascii="Times New Roman" w:cs="Times New Roman" w:eastAsia="Times New Roman" w:hAnsi="Times New Roman"/>
          <w:color w:val="222222"/>
          <w:sz w:val="24"/>
          <w:szCs w:val="24"/>
          <w:highlight w:val="white"/>
          <w:rtl w:val="0"/>
        </w:rPr>
        <w:t xml:space="preserve">Smith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the term “employability” skills are considered as the multidimensional constellation of individual characteristics that predispose the worker in terms of actively adapting to the carrier environment and their operational activities. </w:t>
      </w:r>
    </w:p>
    <w:p w:rsidR="00000000" w:rsidDel="00000000" w:rsidP="00000000" w:rsidRDefault="00000000" w:rsidRPr="00000000" w14:paraId="0000002C">
      <w:pPr>
        <w:pStyle w:val="Heading1"/>
        <w:rPr/>
      </w:pPr>
      <w:bookmarkStart w:colFirst="0" w:colLast="0" w:name="_heading=h.2et92p0" w:id="4"/>
      <w:bookmarkEnd w:id="4"/>
      <w:r w:rsidDel="00000000" w:rsidR="00000000" w:rsidRPr="00000000">
        <w:rPr>
          <w:rtl w:val="0"/>
        </w:rPr>
        <w:t xml:space="preserve">Offering examples of the following resilience, digital competence, and emotional intelligence </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stated by </w:t>
      </w:r>
      <w:r w:rsidDel="00000000" w:rsidR="00000000" w:rsidRPr="00000000">
        <w:rPr>
          <w:rFonts w:ascii="Times New Roman" w:cs="Times New Roman" w:eastAsia="Times New Roman" w:hAnsi="Times New Roman"/>
          <w:color w:val="222222"/>
          <w:sz w:val="24"/>
          <w:szCs w:val="24"/>
          <w:highlight w:val="white"/>
          <w:rtl w:val="0"/>
        </w:rPr>
        <w:t xml:space="preserve">Ajjawi</w:t>
      </w:r>
      <w:r w:rsidDel="00000000" w:rsidR="00000000" w:rsidRPr="00000000">
        <w:rPr>
          <w:rFonts w:ascii="Times New Roman" w:cs="Times New Roman" w:eastAsia="Times New Roman" w:hAnsi="Times New Roman"/>
          <w:i w:val="1"/>
          <w:color w:val="222222"/>
          <w:sz w:val="24"/>
          <w:szCs w:val="24"/>
          <w:highlight w:val="white"/>
          <w:rtl w:val="0"/>
        </w:rPr>
        <w:t xml:space="preserve"> et al.</w:t>
      </w:r>
      <w:r w:rsidDel="00000000" w:rsidR="00000000" w:rsidRPr="00000000">
        <w:rPr>
          <w:rFonts w:ascii="Times New Roman" w:cs="Times New Roman" w:eastAsia="Times New Roman" w:hAnsi="Times New Roman"/>
          <w:color w:val="222222"/>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p. 310) employability skills can be defined by personal attitudes and a set of major transferable skills which are essential to becoming a desirable worker within the existing workforce. In simple words, the employability skills could be diversified into three categories such as teamwork, problem-solving, and finally communication. As per the above-mentioned skills, the term “</w:t>
      </w:r>
      <w:r w:rsidDel="00000000" w:rsidR="00000000" w:rsidRPr="00000000">
        <w:rPr>
          <w:rFonts w:ascii="Times New Roman" w:cs="Times New Roman" w:eastAsia="Times New Roman" w:hAnsi="Times New Roman"/>
          <w:i w:val="1"/>
          <w:sz w:val="24"/>
          <w:szCs w:val="24"/>
          <w:rtl w:val="0"/>
        </w:rPr>
        <w:t xml:space="preserve">resilience</w:t>
      </w:r>
      <w:r w:rsidDel="00000000" w:rsidR="00000000" w:rsidRPr="00000000">
        <w:rPr>
          <w:rFonts w:ascii="Times New Roman" w:cs="Times New Roman" w:eastAsia="Times New Roman" w:hAnsi="Times New Roman"/>
          <w:sz w:val="24"/>
          <w:szCs w:val="24"/>
          <w:rtl w:val="0"/>
        </w:rPr>
        <w:t xml:space="preserve">” illustrates several components such as self-confidence, flexibility, responsibility, patience, teamwork, communication, problem-solving, and finally self-awareness of the existing workforce. As opined by </w:t>
      </w:r>
      <w:r w:rsidDel="00000000" w:rsidR="00000000" w:rsidRPr="00000000">
        <w:rPr>
          <w:rFonts w:ascii="Times New Roman" w:cs="Times New Roman" w:eastAsia="Times New Roman" w:hAnsi="Times New Roman"/>
          <w:color w:val="222222"/>
          <w:sz w:val="24"/>
          <w:szCs w:val="24"/>
          <w:highlight w:val="white"/>
          <w:rtl w:val="0"/>
        </w:rPr>
        <w:t xml:space="preserve">McGunagle and Zizka, (2020)</w:t>
      </w:r>
      <w:r w:rsidDel="00000000" w:rsidR="00000000" w:rsidRPr="00000000">
        <w:rPr>
          <w:rFonts w:ascii="Times New Roman" w:cs="Times New Roman" w:eastAsia="Times New Roman" w:hAnsi="Times New Roman"/>
          <w:sz w:val="24"/>
          <w:szCs w:val="24"/>
          <w:rtl w:val="0"/>
        </w:rPr>
        <w:t xml:space="preserve">, by focusing on resilience skills, the individual worker could get the major opportunity to increase job satisfaction, organisational competence, employee engagement, and most importantly work happiness. As a part of the resilience skills, the employee could focus on four types of resilience such as physical resilience, mental resilience, social, and emotional resilience. In addition to that, by focusing on resilience skills, the employees could also enhance their </w:t>
      </w:r>
      <w:r w:rsidDel="00000000" w:rsidR="00000000" w:rsidRPr="00000000">
        <w:rPr>
          <w:rFonts w:ascii="Times New Roman" w:cs="Times New Roman" w:eastAsia="Times New Roman" w:hAnsi="Times New Roman"/>
          <w:i w:val="1"/>
          <w:sz w:val="24"/>
          <w:szCs w:val="24"/>
          <w:rtl w:val="0"/>
        </w:rPr>
        <w:t xml:space="preserve">understanding skills</w:t>
      </w:r>
      <w:r w:rsidDel="00000000" w:rsidR="00000000" w:rsidRPr="00000000">
        <w:rPr>
          <w:rFonts w:ascii="Times New Roman" w:cs="Times New Roman" w:eastAsia="Times New Roman" w:hAnsi="Times New Roman"/>
          <w:sz w:val="24"/>
          <w:szCs w:val="24"/>
          <w:rtl w:val="0"/>
        </w:rPr>
        <w:t xml:space="preserve">, where the workers can strategically align with their co-operators and could promote collaborative skills.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instance, by focusing on resilience skills, the employee could adjust to challenging work and could grow even within the adverse working environment. In addition to that, focusing on resilience skills can also help the individual worker to promote operational flexibility, and to build up a high level of self-awareness.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employability skills, emotional intelligence in the workplace can be consists of several components such as self-regulation, self-awareness, motivation, empathy, and finally social skills. As per the opinion of </w:t>
      </w:r>
      <w:r w:rsidDel="00000000" w:rsidR="00000000" w:rsidRPr="00000000">
        <w:rPr>
          <w:rFonts w:ascii="Times New Roman" w:cs="Times New Roman" w:eastAsia="Times New Roman" w:hAnsi="Times New Roman"/>
          <w:color w:val="222222"/>
          <w:sz w:val="24"/>
          <w:szCs w:val="24"/>
          <w:highlight w:val="white"/>
          <w:rtl w:val="0"/>
        </w:rPr>
        <w:t xml:space="preserve">Jackson and Bridgstock, (2021)</w:t>
      </w:r>
      <w:r w:rsidDel="00000000" w:rsidR="00000000" w:rsidRPr="00000000">
        <w:rPr>
          <w:rFonts w:ascii="Times New Roman" w:cs="Times New Roman" w:eastAsia="Times New Roman" w:hAnsi="Times New Roman"/>
          <w:sz w:val="24"/>
          <w:szCs w:val="24"/>
          <w:rtl w:val="0"/>
        </w:rPr>
        <w:t xml:space="preserve"> having a high level of emotional intelligence benefit the individual employee to create a positive approach within the operational spectrum. As a part of the emotional intelligence skills, it is very important for the workers to balance both social, and self-awareness. Through social skills, the individual employee could manage the co-worker's emotions and to interact with other workers in an effective manner. The entire success within the modern workplace is highly dependent on teamwork activities, and collaboration strategies. Through developing social awareness, the individual worker could professionally collaborate with other workers. As per the perspective of self-awareness, the individual worker could develop the coaching culture and could learn from the previous experience. As opined by </w:t>
      </w:r>
      <w:r w:rsidDel="00000000" w:rsidR="00000000" w:rsidRPr="00000000">
        <w:rPr>
          <w:rFonts w:ascii="Times New Roman" w:cs="Times New Roman" w:eastAsia="Times New Roman" w:hAnsi="Times New Roman"/>
          <w:color w:val="222222"/>
          <w:sz w:val="24"/>
          <w:szCs w:val="24"/>
          <w:highlight w:val="white"/>
          <w:rtl w:val="0"/>
        </w:rPr>
        <w:t xml:space="preserve">Di Gregorio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p.250) there are four keys to self-awareness such as being intentional, thinking differently, developing skills, and altering the context.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specifically within the self-awareness strategy, the individual employee could practise self-discipline and could know his/her emotional triggers, which are essential for long-term operational success. As per the current operational scenario, by focusing on self-awareness, the employees could also develop and strengthen their leadership skills, as self-awareness is one of the integral parts of an effective leader. Within the professional spectrum, emotional intelligence also helps the individual worker in terms of adapting, coordinating, building up and finally maintaining an effective team. As stated by </w:t>
      </w:r>
      <w:r w:rsidDel="00000000" w:rsidR="00000000" w:rsidRPr="00000000">
        <w:rPr>
          <w:rFonts w:ascii="Times New Roman" w:cs="Times New Roman" w:eastAsia="Times New Roman" w:hAnsi="Times New Roman"/>
          <w:color w:val="222222"/>
          <w:sz w:val="24"/>
          <w:szCs w:val="24"/>
          <w:highlight w:val="white"/>
          <w:rtl w:val="0"/>
        </w:rPr>
        <w:t xml:space="preserve">Abelha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self-awareness of the employees is directly linked to team performance, and it can also support the worker within effective leadership and career success.  In addition to that, by focusing on emotional intelligence, the individual employee could also develop interpersonal relationships, and it can also support the worker to maintain a sustainable approach to the adverse situation. </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opinion of </w:t>
      </w:r>
      <w:r w:rsidDel="00000000" w:rsidR="00000000" w:rsidRPr="00000000">
        <w:rPr>
          <w:rFonts w:ascii="Times New Roman" w:cs="Times New Roman" w:eastAsia="Times New Roman" w:hAnsi="Times New Roman"/>
          <w:color w:val="222222"/>
          <w:sz w:val="24"/>
          <w:szCs w:val="24"/>
          <w:highlight w:val="white"/>
          <w:rtl w:val="0"/>
        </w:rPr>
        <w:t xml:space="preserve">Winberg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within emotional intelligence, the individual employee could opt for the three key functional areas of development such as confidence, communication, and finally knowledge. As stated by </w:t>
      </w:r>
      <w:r w:rsidDel="00000000" w:rsidR="00000000" w:rsidRPr="00000000">
        <w:rPr>
          <w:rFonts w:ascii="Times New Roman" w:cs="Times New Roman" w:eastAsia="Times New Roman" w:hAnsi="Times New Roman"/>
          <w:color w:val="222222"/>
          <w:sz w:val="24"/>
          <w:szCs w:val="24"/>
          <w:highlight w:val="white"/>
          <w:rtl w:val="0"/>
        </w:rPr>
        <w:t xml:space="preserve">Scott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 p.702)</w:t>
      </w:r>
      <w:r w:rsidDel="00000000" w:rsidR="00000000" w:rsidRPr="00000000">
        <w:rPr>
          <w:rFonts w:ascii="Times New Roman" w:cs="Times New Roman" w:eastAsia="Times New Roman" w:hAnsi="Times New Roman"/>
          <w:sz w:val="24"/>
          <w:szCs w:val="24"/>
          <w:rtl w:val="0"/>
        </w:rPr>
        <w:t xml:space="preserve"> building digital resilience ensures operational continuity during the crisis period, and it can also help the workplace to look beyond its traditional operational approach and foster the innovation capacities of the working unit. In addition to that, within the current workplace, the digital resilience of the workers is highly essential for business security, and it also helps the existing workforce to develop an innovative approach within the mainstream operational activities. For instance, every working unit is highly dominated by digital components, and understanding digital resilience might support its existing workers to enhance their operational capability. </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develop the overall perspective of digital resilience, the employee could opt for the ICT training, and within the ICT training, the workers could also enhance the applicability of the digital components, and could understand the changes regarding the digital transformation, could understand the dominating digital trends. As per the requirement of digital resilience, it can be said that every operational spectrum might opt for digital transformation, and by focusing on digital resilience, the employees could maintain transparency within the operational spectrum, and within the business communication activities. In addition to that, workers within the current operational spectrum to develop digital resilience could increase their online presence and could also opt for professional digital training. Apart from that, by gaining an adequate amount of knowledge regarding ICT skills, the workers could maintain their sustainability within the changing environment. </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instance, within the medium and small-scale industries, digital transformation is considered the major challenge and in the age of digital changes, the employees are required to be highly open-minded regarding digital alteration, and most vitally, develop the overall skills of resilience. As per the perspective of employees, during the digital resilience stage, to avoid the unfavourable situation regarding the digital transformation, the workers could opt for stability and flexibility. To elaborate on the applicability of digital resilience within the current workforce, there are several hazardous situations that the employees faced within the recent operational spectrum to go through the digital transformation. However, in this spectrum, the workers need to increase their adaptability powers that can support them to understand the major workplace changes. For instance, within </w:t>
      </w:r>
      <w:r w:rsidDel="00000000" w:rsidR="00000000" w:rsidRPr="00000000">
        <w:rPr>
          <w:rFonts w:ascii="Times New Roman" w:cs="Times New Roman" w:eastAsia="Times New Roman" w:hAnsi="Times New Roman"/>
          <w:i w:val="1"/>
          <w:sz w:val="24"/>
          <w:szCs w:val="24"/>
          <w:rtl w:val="0"/>
        </w:rPr>
        <w:t xml:space="preserve">Amazon</w:t>
      </w:r>
      <w:r w:rsidDel="00000000" w:rsidR="00000000" w:rsidRPr="00000000">
        <w:rPr>
          <w:rFonts w:ascii="Times New Roman" w:cs="Times New Roman" w:eastAsia="Times New Roman" w:hAnsi="Times New Roman"/>
          <w:sz w:val="24"/>
          <w:szCs w:val="24"/>
          <w:rtl w:val="0"/>
        </w:rPr>
        <w:t xml:space="preserve">, to develop the existing capacity of the employees within the digital resilience, the management team could opt for strategic training, and maintain the technical visibility within the existing workforce.  On the other hand, to develop digital resilience employability skills, the management team could also opt for the “</w:t>
      </w:r>
      <w:r w:rsidDel="00000000" w:rsidR="00000000" w:rsidRPr="00000000">
        <w:rPr>
          <w:rFonts w:ascii="Times New Roman" w:cs="Times New Roman" w:eastAsia="Times New Roman" w:hAnsi="Times New Roman"/>
          <w:i w:val="1"/>
          <w:sz w:val="24"/>
          <w:szCs w:val="24"/>
          <w:rtl w:val="0"/>
        </w:rPr>
        <w:t xml:space="preserve">employee empowerment program</w:t>
      </w:r>
      <w:r w:rsidDel="00000000" w:rsidR="00000000" w:rsidRPr="00000000">
        <w:rPr>
          <w:rFonts w:ascii="Times New Roman" w:cs="Times New Roman" w:eastAsia="Times New Roman" w:hAnsi="Times New Roman"/>
          <w:sz w:val="24"/>
          <w:szCs w:val="24"/>
          <w:rtl w:val="0"/>
        </w:rPr>
        <w:t xml:space="preserve">” and through the adoption of the “</w:t>
      </w:r>
      <w:r w:rsidDel="00000000" w:rsidR="00000000" w:rsidRPr="00000000">
        <w:rPr>
          <w:rFonts w:ascii="Times New Roman" w:cs="Times New Roman" w:eastAsia="Times New Roman" w:hAnsi="Times New Roman"/>
          <w:i w:val="1"/>
          <w:sz w:val="24"/>
          <w:szCs w:val="24"/>
          <w:rtl w:val="0"/>
        </w:rPr>
        <w:t xml:space="preserve">employee empowerment program</w:t>
      </w:r>
      <w:r w:rsidDel="00000000" w:rsidR="00000000" w:rsidRPr="00000000">
        <w:rPr>
          <w:rFonts w:ascii="Times New Roman" w:cs="Times New Roman" w:eastAsia="Times New Roman" w:hAnsi="Times New Roman"/>
          <w:sz w:val="24"/>
          <w:szCs w:val="24"/>
          <w:rtl w:val="0"/>
        </w:rPr>
        <w:t xml:space="preserve">”, the organisational management team could strengthen the digital resilience skills of their existing workforce. </w:t>
      </w:r>
    </w:p>
    <w:p w:rsidR="00000000" w:rsidDel="00000000" w:rsidP="00000000" w:rsidRDefault="00000000" w:rsidRPr="00000000" w14:paraId="00000034">
      <w:pPr>
        <w:pStyle w:val="Heading1"/>
        <w:rPr/>
      </w:pPr>
      <w:bookmarkStart w:colFirst="0" w:colLast="0" w:name="_heading=h.tyjcwt" w:id="5"/>
      <w:bookmarkEnd w:id="5"/>
      <w:r w:rsidDel="00000000" w:rsidR="00000000" w:rsidRPr="00000000">
        <w:rPr>
          <w:rtl w:val="0"/>
        </w:rPr>
        <w:t xml:space="preserve">Changes regarding the employability skills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above illustration, different employability skills are considered as per the current market demand, and requirements, and in this segment, the changes within the employability skills are being demonstrated. Problem-solving skills are integral parts of employability skills, and within problem-solving skills, the recent workforce highly demands the worker's innovation capacity and critical thinking abilities. Within the critical thinking skills, the employees are asked to develop and engage in different self-awareness activities. In addition to that, to develop problem-solving skills, the employees could also develop logical thought, and in this way, the employee could provide the best solution to these uncertain operational hazards. To elaborate on the changes regarding employability skills, the employees could strengthen their collaborating activities, and within the digital collaborating activities, the employees are encouraged to take strategic training regarding the different digital collaboration tools such as Microsoft Team, Skype, and others. Based on the current work scenario, the entire workplace is driven by the flexible operational approach, and to maintain sustainability within the flexible working scenario, collaborative tools play the most important role. </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enhance the collaboration activities, the workers could strategically increase their understanding abilities. To enhance the understanding abilities, the existing workforce needs to strengthen their communication abilities. In addition to that, understanding abilities, the employees could also enhance their strategic coordination with other workers, and the workers could also opt for alternative solutions and recommendations that could reduce workplace conflicts. In addition to that, as per the changes in employability skills, it's very important for the workers to develop adaptability skills, and to strengthen the adaptability skills, the employees could focus on two factors such as flexibility and understand ability. To develop flexibility, the workplace management needs to create a diverse business environment, and within the diverse business environment, it is the prime responsibility of the workers to increase the communication levels amongst them. Apart from that, to elaborate the changes of the employability skills, the workers within the recent workplace are also encouraged to strengthen their technical skills, and to increase their technical powers, employees are also encouraged to participate in different professional training. By participating in the different professional training, the existing workforce not only could develop their technical abilities, but it can also add employability value. </w:t>
      </w:r>
    </w:p>
    <w:p w:rsidR="00000000" w:rsidDel="00000000" w:rsidP="00000000" w:rsidRDefault="00000000" w:rsidRPr="00000000" w14:paraId="00000037">
      <w:pPr>
        <w:pStyle w:val="Heading1"/>
        <w:rPr/>
      </w:pPr>
      <w:bookmarkStart w:colFirst="0" w:colLast="0" w:name="_heading=h.3dy6vkm" w:id="6"/>
      <w:bookmarkEnd w:id="6"/>
      <w:r w:rsidDel="00000000" w:rsidR="00000000" w:rsidRPr="00000000">
        <w:rPr>
          <w:rtl w:val="0"/>
        </w:rPr>
        <w:t xml:space="preserve">Conclusion </w:t>
      </w:r>
    </w:p>
    <w:p w:rsidR="00000000" w:rsidDel="00000000" w:rsidP="00000000" w:rsidRDefault="00000000" w:rsidRPr="00000000" w14:paraId="00000038">
      <w:pPr>
        <w:pStyle w:val="Heading1"/>
        <w:rPr/>
      </w:pPr>
      <w:bookmarkStart w:colFirst="0" w:colLast="0" w:name="_heading=h.1t3h5sf" w:id="7"/>
      <w:bookmarkEnd w:id="7"/>
      <w:r w:rsidDel="00000000" w:rsidR="00000000" w:rsidRPr="00000000">
        <w:rPr>
          <w:b w:val="0"/>
          <w:rtl w:val="0"/>
        </w:rPr>
        <w:t xml:space="preserve">From the above discussion, it can be concluded that employability skills are one of the essential parts of the workforce to get the desired position within the professional field. However, in this study, the researcher elaborated on certain professional skills which are highly essential to maintain a sustainable position within the highly competitive workforce. Apart from that, the report also elaborated on the major changes that are linked to employability skills and it also demonstrated the applicability and relevance of these employability skills. </w:t>
      </w: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heading=h.4d34og8" w:id="8"/>
      <w:bookmarkEnd w:id="8"/>
      <w:r w:rsidDel="00000000" w:rsidR="00000000" w:rsidRPr="00000000">
        <w:rPr>
          <w:rtl w:val="0"/>
        </w:rPr>
        <w:t xml:space="preserve">References </w:t>
      </w:r>
    </w:p>
    <w:p w:rsidR="00000000" w:rsidDel="00000000" w:rsidP="00000000" w:rsidRDefault="00000000" w:rsidRPr="00000000" w14:paraId="0000003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Abelha, M., Fernandes, S., (2020) Graduate employability and competence development in higher education—A systematic literature review using PRISMA.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(15), p.5900.</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https://www.mdpi.com/2071-1050/12/15/5900/pdf</w:t>
        </w:r>
      </w:hyperlink>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Ajjawi, R., Tai, J., Huu Nghia, (2020)Aligning assessment with the needs of work-integrated learning: The challenges of authentic assessment in a complex context. </w:t>
      </w:r>
      <w:r w:rsidDel="00000000" w:rsidR="00000000" w:rsidRPr="00000000">
        <w:rPr>
          <w:rFonts w:ascii="Times New Roman" w:cs="Times New Roman" w:eastAsia="Times New Roman" w:hAnsi="Times New Roman"/>
          <w:i w:val="1"/>
          <w:color w:val="222222"/>
          <w:sz w:val="24"/>
          <w:szCs w:val="24"/>
          <w:highlight w:val="white"/>
          <w:rtl w:val="0"/>
        </w:rPr>
        <w:t xml:space="preserve">Assessment &amp; Evaluation in Higher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45</w:t>
      </w:r>
      <w:r w:rsidDel="00000000" w:rsidR="00000000" w:rsidRPr="00000000">
        <w:rPr>
          <w:rFonts w:ascii="Times New Roman" w:cs="Times New Roman" w:eastAsia="Times New Roman" w:hAnsi="Times New Roman"/>
          <w:color w:val="222222"/>
          <w:sz w:val="24"/>
          <w:szCs w:val="24"/>
          <w:highlight w:val="white"/>
          <w:rtl w:val="0"/>
        </w:rPr>
        <w:t xml:space="preserve">(2), pp.304-316.</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https://www.tandfonline.com/doi/pdf/10.1080/02602938.2019.1639613</w:t>
        </w:r>
      </w:hyperlink>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Di Gregorio, A., Maggioni, I., (2019), Employability skills for future marketing professionals. </w:t>
      </w:r>
      <w:r w:rsidDel="00000000" w:rsidR="00000000" w:rsidRPr="00000000">
        <w:rPr>
          <w:rFonts w:ascii="Times New Roman" w:cs="Times New Roman" w:eastAsia="Times New Roman" w:hAnsi="Times New Roman"/>
          <w:i w:val="1"/>
          <w:color w:val="222222"/>
          <w:sz w:val="24"/>
          <w:szCs w:val="24"/>
          <w:highlight w:val="white"/>
          <w:rtl w:val="0"/>
        </w:rPr>
        <w:t xml:space="preserve">European management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37</w:t>
      </w:r>
      <w:r w:rsidDel="00000000" w:rsidR="00000000" w:rsidRPr="00000000">
        <w:rPr>
          <w:rFonts w:ascii="Times New Roman" w:cs="Times New Roman" w:eastAsia="Times New Roman" w:hAnsi="Times New Roman"/>
          <w:color w:val="222222"/>
          <w:sz w:val="24"/>
          <w:szCs w:val="24"/>
          <w:highlight w:val="white"/>
          <w:rtl w:val="0"/>
        </w:rPr>
        <w:t xml:space="preserve">(3), pp.251-258.</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http://salonedellostudente.s3.amazonaws.com/app/uploads/2020/06/19124937/3_EMJ_Employability-skills-for-future-marketing-professionals.pdf</w:t>
        </w:r>
      </w:hyperlink>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Jackson, D. and Bridgstock, R., 2021. What works to enhance graduate employability? The relative value of curricular, co-curricular, and extra-curricular learning and paid work. </w:t>
      </w:r>
      <w:r w:rsidDel="00000000" w:rsidR="00000000" w:rsidRPr="00000000">
        <w:rPr>
          <w:rFonts w:ascii="Times New Roman" w:cs="Times New Roman" w:eastAsia="Times New Roman" w:hAnsi="Times New Roman"/>
          <w:i w:val="1"/>
          <w:color w:val="222222"/>
          <w:sz w:val="24"/>
          <w:szCs w:val="24"/>
          <w:highlight w:val="white"/>
          <w:rtl w:val="0"/>
        </w:rPr>
        <w:t xml:space="preserve">Higher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81</w:t>
      </w:r>
      <w:r w:rsidDel="00000000" w:rsidR="00000000" w:rsidRPr="00000000">
        <w:rPr>
          <w:rFonts w:ascii="Times New Roman" w:cs="Times New Roman" w:eastAsia="Times New Roman" w:hAnsi="Times New Roman"/>
          <w:color w:val="222222"/>
          <w:sz w:val="24"/>
          <w:szCs w:val="24"/>
          <w:highlight w:val="white"/>
          <w:rtl w:val="0"/>
        </w:rPr>
        <w:t xml:space="preserve">(4), pp.723-739.</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https://eprints.qut.edu.au/202223/1/Relative_value_of_learning_activities.pdf</w:t>
        </w:r>
      </w:hyperlink>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Jackson, D., 2018. Developing graduate career readiness in Australia: shifting from extra-curricular internships to work-integrated learning.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Work-Integrated Learning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19</w:t>
      </w:r>
      <w:r w:rsidDel="00000000" w:rsidR="00000000" w:rsidRPr="00000000">
        <w:rPr>
          <w:rFonts w:ascii="Times New Roman" w:cs="Times New Roman" w:eastAsia="Times New Roman" w:hAnsi="Times New Roman"/>
          <w:color w:val="222222"/>
          <w:sz w:val="24"/>
          <w:szCs w:val="24"/>
          <w:highlight w:val="white"/>
          <w:rtl w:val="0"/>
        </w:rPr>
        <w:t xml:space="preserve">(1), pp.23-35.</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https://files.eric.ed.gov/fulltext/EJ1179832.pdf</w:t>
        </w:r>
      </w:hyperlink>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Lisá, E., Hennelová, K. and Newman, D., (2019) Comparison between Employers' and Students' Expectations in Respect of Employability Skills of University Graduates.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Work-Integrated Learning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(1), pp.71-82.</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https://files.eric.ed.gov/fulltext/EJ1214585.pdf</w:t>
        </w:r>
      </w:hyperlink>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McGunagle, D. and Zizka, L., 2020. Employability skills for 21st-century STEM students: the employers' perspective. </w:t>
      </w:r>
      <w:r w:rsidDel="00000000" w:rsidR="00000000" w:rsidRPr="00000000">
        <w:rPr>
          <w:rFonts w:ascii="Times New Roman" w:cs="Times New Roman" w:eastAsia="Times New Roman" w:hAnsi="Times New Roman"/>
          <w:i w:val="1"/>
          <w:color w:val="222222"/>
          <w:sz w:val="24"/>
          <w:szCs w:val="24"/>
          <w:highlight w:val="white"/>
          <w:rtl w:val="0"/>
        </w:rPr>
        <w:t xml:space="preserve">Higher education, skills and work-based learning</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https://commons.erau.edu/cgi/viewcontent.cgi?article=2500&amp;context=publication</w:t>
        </w:r>
      </w:hyperlink>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Scott, F.J., Connell, P., ( 2019) Empowering students by enhancing their employability skills. </w:t>
      </w:r>
      <w:r w:rsidDel="00000000" w:rsidR="00000000" w:rsidRPr="00000000">
        <w:rPr>
          <w:rFonts w:ascii="Times New Roman" w:cs="Times New Roman" w:eastAsia="Times New Roman" w:hAnsi="Times New Roman"/>
          <w:i w:val="1"/>
          <w:color w:val="222222"/>
          <w:sz w:val="24"/>
          <w:szCs w:val="24"/>
          <w:highlight w:val="white"/>
          <w:rtl w:val="0"/>
        </w:rPr>
        <w:t xml:space="preserve">Journal of Further and Higher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43</w:t>
      </w:r>
      <w:r w:rsidDel="00000000" w:rsidR="00000000" w:rsidRPr="00000000">
        <w:rPr>
          <w:rFonts w:ascii="Times New Roman" w:cs="Times New Roman" w:eastAsia="Times New Roman" w:hAnsi="Times New Roman"/>
          <w:color w:val="222222"/>
          <w:sz w:val="24"/>
          <w:szCs w:val="24"/>
          <w:highlight w:val="white"/>
          <w:rtl w:val="0"/>
        </w:rPr>
        <w:t xml:space="preserve">(5), pp.692-707.</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http://eprints.hud.ac.uk/33961/1/Empowering.pdf</w:t>
        </w:r>
      </w:hyperlink>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Smith, M., Bell, K., Bennett, D. and McAlpine, A., (2018) Employability in a global context: Evolving policy and practice in employability, work integrated learning, and career development learning.</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https://ro.uow.edu.au/cgi/viewcontent.cgi?article=5517&amp;context=sspapers</w:t>
        </w:r>
      </w:hyperlink>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Winberg, C., Bramhall, M., Wolff, K., (2020) Developing employability in engineering education: a systematic review of the literature. </w:t>
      </w:r>
      <w:r w:rsidDel="00000000" w:rsidR="00000000" w:rsidRPr="00000000">
        <w:rPr>
          <w:rFonts w:ascii="Times New Roman" w:cs="Times New Roman" w:eastAsia="Times New Roman" w:hAnsi="Times New Roman"/>
          <w:i w:val="1"/>
          <w:color w:val="222222"/>
          <w:sz w:val="24"/>
          <w:szCs w:val="24"/>
          <w:highlight w:val="white"/>
          <w:rtl w:val="0"/>
        </w:rPr>
        <w:t xml:space="preserve">European Journal of Engineering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45</w:t>
      </w:r>
      <w:r w:rsidDel="00000000" w:rsidR="00000000" w:rsidRPr="00000000">
        <w:rPr>
          <w:rFonts w:ascii="Times New Roman" w:cs="Times New Roman" w:eastAsia="Times New Roman" w:hAnsi="Times New Roman"/>
          <w:color w:val="222222"/>
          <w:sz w:val="24"/>
          <w:szCs w:val="24"/>
          <w:highlight w:val="white"/>
          <w:rtl w:val="0"/>
        </w:rPr>
        <w:t xml:space="preserve">(2), pp.165-180.</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http://shura.shu.ac.uk/22820/1/Winberg%20et%20al.%20Engineering%20Employability%20%2828%20Sept%202018%29.pdf</w:t>
        </w:r>
      </w:hyperlink>
      <w:r w:rsidDel="00000000" w:rsidR="00000000" w:rsidRPr="00000000">
        <w:rPr>
          <w:rtl w:val="0"/>
        </w:rPr>
      </w:r>
    </w:p>
    <w:sectPr>
      <w:foot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1C4B8C"/>
  </w:style>
  <w:style w:type="paragraph" w:styleId="Heading1">
    <w:name w:val="heading 1"/>
    <w:basedOn w:val="Normal"/>
    <w:next w:val="Normal"/>
    <w:rsid w:val="001C4B8C"/>
    <w:pPr>
      <w:keepNext w:val="1"/>
      <w:keepLines w:val="1"/>
      <w:spacing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
    <w:next w:val="Normal"/>
    <w:rsid w:val="001C4B8C"/>
    <w:pPr>
      <w:keepNext w:val="1"/>
      <w:keepLines w:val="1"/>
      <w:spacing w:after="120" w:before="360"/>
      <w:outlineLvl w:val="1"/>
    </w:pPr>
    <w:rPr>
      <w:sz w:val="32"/>
      <w:szCs w:val="32"/>
    </w:rPr>
  </w:style>
  <w:style w:type="paragraph" w:styleId="Heading3">
    <w:name w:val="heading 3"/>
    <w:basedOn w:val="Normal"/>
    <w:next w:val="Normal"/>
    <w:rsid w:val="001C4B8C"/>
    <w:pPr>
      <w:keepNext w:val="1"/>
      <w:keepLines w:val="1"/>
      <w:spacing w:after="80" w:before="320"/>
      <w:outlineLvl w:val="2"/>
    </w:pPr>
    <w:rPr>
      <w:color w:val="434343"/>
      <w:sz w:val="28"/>
      <w:szCs w:val="28"/>
    </w:rPr>
  </w:style>
  <w:style w:type="paragraph" w:styleId="Heading4">
    <w:name w:val="heading 4"/>
    <w:basedOn w:val="Normal"/>
    <w:next w:val="Normal"/>
    <w:rsid w:val="001C4B8C"/>
    <w:pPr>
      <w:keepNext w:val="1"/>
      <w:keepLines w:val="1"/>
      <w:spacing w:after="80" w:before="280"/>
      <w:outlineLvl w:val="3"/>
    </w:pPr>
    <w:rPr>
      <w:color w:val="666666"/>
      <w:sz w:val="24"/>
      <w:szCs w:val="24"/>
    </w:rPr>
  </w:style>
  <w:style w:type="paragraph" w:styleId="Heading5">
    <w:name w:val="heading 5"/>
    <w:basedOn w:val="Normal"/>
    <w:next w:val="Normal"/>
    <w:rsid w:val="001C4B8C"/>
    <w:pPr>
      <w:keepNext w:val="1"/>
      <w:keepLines w:val="1"/>
      <w:spacing w:after="80" w:before="240"/>
      <w:outlineLvl w:val="4"/>
    </w:pPr>
    <w:rPr>
      <w:color w:val="666666"/>
    </w:rPr>
  </w:style>
  <w:style w:type="paragraph" w:styleId="Heading6">
    <w:name w:val="heading 6"/>
    <w:basedOn w:val="Normal"/>
    <w:next w:val="Normal"/>
    <w:rsid w:val="001C4B8C"/>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1C4B8C"/>
    <w:pPr>
      <w:keepNext w:val="1"/>
      <w:keepLines w:val="1"/>
      <w:spacing w:after="60"/>
    </w:pPr>
    <w:rPr>
      <w:sz w:val="52"/>
      <w:szCs w:val="52"/>
    </w:rPr>
  </w:style>
  <w:style w:type="paragraph" w:styleId="Subtitle">
    <w:name w:val="Subtitle"/>
    <w:basedOn w:val="Normal"/>
    <w:next w:val="Normal"/>
    <w:rsid w:val="001C4B8C"/>
    <w:pPr>
      <w:keepNext w:val="1"/>
      <w:keepLines w:val="1"/>
      <w:spacing w:after="320"/>
    </w:pPr>
    <w:rPr>
      <w:color w:val="666666"/>
      <w:sz w:val="30"/>
      <w:szCs w:val="30"/>
    </w:rPr>
  </w:style>
  <w:style w:type="paragraph" w:styleId="Header">
    <w:name w:val="header"/>
    <w:basedOn w:val="Normal"/>
    <w:link w:val="HeaderChar"/>
    <w:uiPriority w:val="99"/>
    <w:semiHidden w:val="1"/>
    <w:unhideWhenUsed w:val="1"/>
    <w:rsid w:val="00597FD5"/>
    <w:pPr>
      <w:tabs>
        <w:tab w:val="center" w:pos="4513"/>
        <w:tab w:val="right" w:pos="9026"/>
      </w:tabs>
      <w:spacing w:line="240" w:lineRule="auto"/>
    </w:pPr>
  </w:style>
  <w:style w:type="character" w:styleId="HeaderChar" w:customStyle="1">
    <w:name w:val="Header Char"/>
    <w:basedOn w:val="DefaultParagraphFont"/>
    <w:link w:val="Header"/>
    <w:uiPriority w:val="99"/>
    <w:semiHidden w:val="1"/>
    <w:rsid w:val="00597FD5"/>
  </w:style>
  <w:style w:type="paragraph" w:styleId="Footer">
    <w:name w:val="footer"/>
    <w:basedOn w:val="Normal"/>
    <w:link w:val="FooterChar"/>
    <w:uiPriority w:val="99"/>
    <w:unhideWhenUsed w:val="1"/>
    <w:rsid w:val="00597FD5"/>
    <w:pPr>
      <w:tabs>
        <w:tab w:val="center" w:pos="4513"/>
        <w:tab w:val="right" w:pos="9026"/>
      </w:tabs>
      <w:spacing w:line="240" w:lineRule="auto"/>
    </w:pPr>
  </w:style>
  <w:style w:type="character" w:styleId="FooterChar" w:customStyle="1">
    <w:name w:val="Footer Char"/>
    <w:basedOn w:val="DefaultParagraphFont"/>
    <w:link w:val="Footer"/>
    <w:uiPriority w:val="99"/>
    <w:rsid w:val="00597FD5"/>
  </w:style>
  <w:style w:type="paragraph" w:styleId="TOCHeading">
    <w:name w:val="TOC Heading"/>
    <w:basedOn w:val="Heading1"/>
    <w:next w:val="Normal"/>
    <w:uiPriority w:val="39"/>
    <w:semiHidden w:val="1"/>
    <w:unhideWhenUsed w:val="1"/>
    <w:qFormat w:val="1"/>
    <w:rsid w:val="00597FD5"/>
    <w:pPr>
      <w:spacing w:before="480" w:line="276" w:lineRule="auto"/>
      <w:jc w:val="left"/>
      <w:outlineLvl w:val="9"/>
    </w:pPr>
    <w:rPr>
      <w:rFonts w:asciiTheme="majorHAnsi" w:cstheme="majorBidi" w:eastAsiaTheme="majorEastAsia" w:hAnsiTheme="majorHAnsi"/>
      <w:bCs w:val="1"/>
      <w:color w:val="365f91" w:themeColor="accent1" w:themeShade="0000BF"/>
      <w:sz w:val="28"/>
      <w:szCs w:val="28"/>
      <w:lang w:val="en-US"/>
    </w:rPr>
  </w:style>
  <w:style w:type="paragraph" w:styleId="TOC1">
    <w:name w:val="toc 1"/>
    <w:basedOn w:val="Normal"/>
    <w:next w:val="Normal"/>
    <w:autoRedefine w:val="1"/>
    <w:uiPriority w:val="39"/>
    <w:unhideWhenUsed w:val="1"/>
    <w:rsid w:val="00597FD5"/>
    <w:pPr>
      <w:spacing w:after="100"/>
    </w:pPr>
  </w:style>
  <w:style w:type="character" w:styleId="Hyperlink">
    <w:name w:val="Hyperlink"/>
    <w:basedOn w:val="DefaultParagraphFont"/>
    <w:uiPriority w:val="99"/>
    <w:unhideWhenUsed w:val="1"/>
    <w:rsid w:val="00597FD5"/>
    <w:rPr>
      <w:color w:val="0000ff" w:themeColor="hyperlink"/>
      <w:u w:val="single"/>
    </w:rPr>
  </w:style>
  <w:style w:type="paragraph" w:styleId="BalloonText">
    <w:name w:val="Balloon Text"/>
    <w:basedOn w:val="Normal"/>
    <w:link w:val="BalloonTextChar"/>
    <w:uiPriority w:val="99"/>
    <w:semiHidden w:val="1"/>
    <w:unhideWhenUsed w:val="1"/>
    <w:rsid w:val="00597FD5"/>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97FD5"/>
    <w:rPr>
      <w:rFonts w:ascii="Tahoma" w:cs="Tahoma" w:hAnsi="Tahoma"/>
      <w:sz w:val="16"/>
      <w:szCs w:val="16"/>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files.eric.ed.gov/fulltext/EJ1179832.pdf" TargetMode="External"/><Relationship Id="rId10" Type="http://schemas.openxmlformats.org/officeDocument/2006/relationships/hyperlink" Target="https://eprints.qut.edu.au/202223/1/Relative_value_of_learning_activities.pdf" TargetMode="External"/><Relationship Id="rId13" Type="http://schemas.openxmlformats.org/officeDocument/2006/relationships/hyperlink" Target="https://commons.erau.edu/cgi/viewcontent.cgi?article=2500&amp;context=publication" TargetMode="External"/><Relationship Id="rId12" Type="http://schemas.openxmlformats.org/officeDocument/2006/relationships/hyperlink" Target="https://files.eric.ed.gov/fulltext/EJ1214585.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lonedellostudente.s3.amazonaws.com/app/uploads/2020/06/19124937/3_EMJ_Employability-skills-for-future-marketing-professionals.pdf" TargetMode="External"/><Relationship Id="rId15" Type="http://schemas.openxmlformats.org/officeDocument/2006/relationships/hyperlink" Target="https://ro.uow.edu.au/cgi/viewcontent.cgi?article=5517&amp;context=sspapers" TargetMode="External"/><Relationship Id="rId14" Type="http://schemas.openxmlformats.org/officeDocument/2006/relationships/hyperlink" Target="http://eprints.hud.ac.uk/33961/1/Empowering.pdf" TargetMode="External"/><Relationship Id="rId17" Type="http://schemas.openxmlformats.org/officeDocument/2006/relationships/footer" Target="footer1.xml"/><Relationship Id="rId16" Type="http://schemas.openxmlformats.org/officeDocument/2006/relationships/hyperlink" Target="http://shura.shu.ac.uk/22820/1/Winberg%20et%20al.%20Engineering%20Employability%20%2828%20Sept%202018%29.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mdpi.com/2071-1050/12/15/5900/pdf" TargetMode="External"/><Relationship Id="rId8" Type="http://schemas.openxmlformats.org/officeDocument/2006/relationships/hyperlink" Target="https://www.tandfonline.com/doi/pdf/10.1080/02602938.2019.16396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lHY0v/aZ/Gjzub8yrSYRYQmSuw==">AMUW2mWgLkejdXB0i3nHx2E5rLIvOOm1H/D5vyHu+QOaDXl5YREwKBOGkxBVsjlgQ8hxBqUc1nU8geSCpoZXipIqr1sBZoERP39aqlCfaxWpZXqgOK0Xqadc7MuvAGpERilFBPfRpZbqvThjB4PJCe1XhINa8vjfV0E2KVG31eNaojYQTY41iBMw/Up8Kl8uHqoY9XcFvYwjE6IlED9kGC65zsIKJ4wKcskYNmRV48XK+pRx+QM9nU8=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2022-08-19T11:23:00Z</dcterms:created>
  <dc:creator>user</dc:creator>
</cp:coreProperties>
</file>