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20DF6" w14:textId="77777777" w:rsidR="00182BFF" w:rsidRDefault="00182BFF" w:rsidP="00182BFF">
      <w:pPr>
        <w:pStyle w:val="Title"/>
      </w:pPr>
    </w:p>
    <w:p w14:paraId="35DE6D49" w14:textId="74286614" w:rsidR="00EA67E7" w:rsidRDefault="00D627FC" w:rsidP="00182BFF">
      <w:pPr>
        <w:pStyle w:val="Title"/>
        <w:jc w:val="center"/>
      </w:pPr>
      <w:r>
        <w:t>Control System Design</w:t>
      </w:r>
    </w:p>
    <w:p w14:paraId="311357F8" w14:textId="77777777" w:rsidR="00182BFF" w:rsidRDefault="00182BFF" w:rsidP="00182BFF"/>
    <w:p w14:paraId="4E22A5C0" w14:textId="77777777" w:rsidR="00182BFF" w:rsidRDefault="00182BFF" w:rsidP="00182BFF"/>
    <w:p w14:paraId="223D9CBB" w14:textId="3FFEBD65" w:rsidR="00182BFF" w:rsidRDefault="00D627FC" w:rsidP="00182BFF">
      <w:pPr>
        <w:jc w:val="center"/>
      </w:pPr>
      <w:r>
        <w:t>Jordan Hayston</w:t>
      </w:r>
    </w:p>
    <w:p w14:paraId="30B26D94" w14:textId="77777777" w:rsidR="00182BFF" w:rsidRDefault="00182BFF" w:rsidP="00182BFF">
      <w:pPr>
        <w:jc w:val="center"/>
      </w:pPr>
    </w:p>
    <w:p w14:paraId="482290B8" w14:textId="77777777" w:rsidR="00182BFF" w:rsidRDefault="00182BFF" w:rsidP="00182BFF">
      <w:pPr>
        <w:jc w:val="center"/>
      </w:pPr>
    </w:p>
    <w:p w14:paraId="7116C765" w14:textId="5B461238" w:rsidR="00182BFF" w:rsidRDefault="00D627FC" w:rsidP="00182BFF">
      <w:pPr>
        <w:jc w:val="center"/>
      </w:pPr>
      <w:r>
        <w:t>Instrumentation and Control</w:t>
      </w:r>
    </w:p>
    <w:p w14:paraId="11EC64C1" w14:textId="77777777" w:rsidR="00182BFF" w:rsidRDefault="00182BFF" w:rsidP="00182BFF">
      <w:pPr>
        <w:jc w:val="center"/>
      </w:pPr>
    </w:p>
    <w:p w14:paraId="34E20BB8" w14:textId="77777777" w:rsidR="00182BFF" w:rsidRDefault="00182BFF" w:rsidP="00182BFF">
      <w:pPr>
        <w:jc w:val="center"/>
      </w:pPr>
    </w:p>
    <w:p w14:paraId="5EE84FE2" w14:textId="77777777" w:rsidR="00182BFF" w:rsidRDefault="00182BFF" w:rsidP="00182BFF">
      <w:pPr>
        <w:jc w:val="center"/>
      </w:pPr>
    </w:p>
    <w:p w14:paraId="114D7A3B" w14:textId="77777777" w:rsidR="00182BFF" w:rsidRDefault="00182BFF" w:rsidP="00182BFF">
      <w:pPr>
        <w:jc w:val="center"/>
      </w:pPr>
      <w:r>
        <w:t xml:space="preserve">Wales Institute for Science and Art </w:t>
      </w:r>
    </w:p>
    <w:p w14:paraId="6456D6D7" w14:textId="77777777" w:rsidR="00182BFF" w:rsidRDefault="00182BFF" w:rsidP="00182BFF">
      <w:pPr>
        <w:jc w:val="center"/>
      </w:pPr>
      <w:r>
        <w:t>University of Wales Trinity Saint David</w:t>
      </w:r>
    </w:p>
    <w:p w14:paraId="727CD2CA" w14:textId="77777777" w:rsidR="00182BFF" w:rsidRDefault="00182BFF" w:rsidP="00182BFF">
      <w:pPr>
        <w:jc w:val="center"/>
      </w:pPr>
    </w:p>
    <w:p w14:paraId="39AF83AC" w14:textId="77777777" w:rsidR="00182BFF" w:rsidRDefault="007A4460" w:rsidP="00182BFF">
      <w:pPr>
        <w:jc w:val="center"/>
      </w:pPr>
      <w:r>
        <w:rPr>
          <w:noProof/>
          <w:lang w:eastAsia="en-GB" w:bidi="ar-SA"/>
        </w:rPr>
        <w:drawing>
          <wp:inline distT="0" distB="0" distL="0" distR="0" wp14:anchorId="1F84B03A" wp14:editId="406967BA">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1D5B33BB" w14:textId="31E8B4EA" w:rsidR="00182BFF" w:rsidRDefault="00182BFF" w:rsidP="00C332F1">
      <w:pPr>
        <w:pStyle w:val="Heading1"/>
      </w:pPr>
      <w:r>
        <w:br w:type="page"/>
      </w:r>
      <w:bookmarkStart w:id="0" w:name="_Toc92214234"/>
      <w:r>
        <w:lastRenderedPageBreak/>
        <w:t>Abstract</w:t>
      </w:r>
      <w:bookmarkEnd w:id="0"/>
    </w:p>
    <w:p w14:paraId="477143E8" w14:textId="753F8C4C" w:rsidR="00F34C2A" w:rsidRDefault="00C332F1" w:rsidP="00C332F1">
      <w:pPr>
        <w:pStyle w:val="NoSpacing"/>
      </w:pPr>
      <w:r>
        <w:t xml:space="preserve">This report details the findings of a simulated control system for a Close in Weapon System using MATLAB and Simulink. Using a provided </w:t>
      </w:r>
      <w:r w:rsidR="00247F0E">
        <w:t xml:space="preserve">forward </w:t>
      </w:r>
      <w:r>
        <w:t xml:space="preserve">transfer function and a Proportional Integral Derivative (PID) controller, a closed loop </w:t>
      </w:r>
      <w:r w:rsidR="00B63996">
        <w:t xml:space="preserve">(using feedback) </w:t>
      </w:r>
      <w:r>
        <w:t>control system was built</w:t>
      </w:r>
      <w:r w:rsidR="00B63996">
        <w:t xml:space="preserve"> to manage the speed and accuracy of the rotation of the turret to a desired target. The data produced by this was used to calculate the</w:t>
      </w:r>
      <w:r w:rsidR="00247F0E">
        <w:t xml:space="preserve"> closed loop</w:t>
      </w:r>
      <w:r w:rsidR="00B63996">
        <w:t xml:space="preserve"> transfer function of the system as a whole</w:t>
      </w:r>
      <w:r w:rsidR="00247F0E">
        <w:t xml:space="preserve">, and results were compared to </w:t>
      </w:r>
      <w:r w:rsidR="00422ED7">
        <w:t xml:space="preserve">that of the initial simulation. </w:t>
      </w:r>
      <w:r w:rsidR="00E030E6">
        <w:t>An oscilloscope was used to measure the signal at various stages throughout the model</w:t>
      </w:r>
      <w:r w:rsidR="0024160B">
        <w:t>.</w:t>
      </w:r>
      <w:r w:rsidR="00E030E6">
        <w:t xml:space="preserve"> </w:t>
      </w:r>
      <w:r w:rsidR="0024160B">
        <w:t xml:space="preserve">A </w:t>
      </w:r>
      <w:r w:rsidR="00E030E6">
        <w:t>Nyquist</w:t>
      </w:r>
      <w:r w:rsidR="0024160B">
        <w:t xml:space="preserve"> plot is used to measure the stability</w:t>
      </w:r>
      <w:r w:rsidR="00E030E6">
        <w:t>,</w:t>
      </w:r>
      <w:r w:rsidR="00976D7F">
        <w:t xml:space="preserve"> showing phase and gain of the system.</w:t>
      </w:r>
      <w:r w:rsidR="00E030E6">
        <w:t xml:space="preserve"> </w:t>
      </w:r>
      <w:r w:rsidR="00976D7F">
        <w:t xml:space="preserve">A </w:t>
      </w:r>
      <w:r w:rsidR="00E030E6">
        <w:t>pole zero</w:t>
      </w:r>
      <w:r w:rsidR="00976D7F">
        <w:t xml:space="preserve"> plot of the closed loop transfer function was created to show where the transfer function tends to zero and infinity. Finally,</w:t>
      </w:r>
      <w:r w:rsidR="00E030E6">
        <w:t xml:space="preserve"> a pole location waveform w</w:t>
      </w:r>
      <w:r w:rsidR="00976D7F">
        <w:t>as</w:t>
      </w:r>
      <w:r w:rsidR="00E030E6">
        <w:t xml:space="preserve"> plotted </w:t>
      </w:r>
      <w:r w:rsidR="00976D7F">
        <w:t>using information from the pole zero plot to show the displacement of the turret against time</w:t>
      </w:r>
      <w:r w:rsidR="00E030E6">
        <w:t xml:space="preserve">. The results demonstrated that </w:t>
      </w:r>
      <w:r w:rsidR="00767EFE">
        <w:t xml:space="preserve">the </w:t>
      </w:r>
      <w:r w:rsidR="00AC6DDA">
        <w:t xml:space="preserve">control system operated within the specified requirements. </w:t>
      </w:r>
      <w:r w:rsidR="00F34C2A">
        <w:br w:type="page"/>
      </w:r>
    </w:p>
    <w:sdt>
      <w:sdtPr>
        <w:rPr>
          <w:b w:val="0"/>
          <w:bCs w:val="0"/>
          <w:i w:val="0"/>
          <w:iCs w:val="0"/>
          <w:sz w:val="24"/>
          <w:szCs w:val="22"/>
        </w:rPr>
        <w:id w:val="328806465"/>
        <w:docPartObj>
          <w:docPartGallery w:val="Table of Contents"/>
          <w:docPartUnique/>
        </w:docPartObj>
      </w:sdtPr>
      <w:sdtEndPr>
        <w:rPr>
          <w:noProof/>
        </w:rPr>
      </w:sdtEndPr>
      <w:sdtContent>
        <w:p w14:paraId="4CAA04A1" w14:textId="7BFFE830" w:rsidR="00F34C2A" w:rsidRDefault="00F34C2A">
          <w:pPr>
            <w:pStyle w:val="TOCHeading"/>
          </w:pPr>
          <w:r>
            <w:t>Contents</w:t>
          </w:r>
        </w:p>
        <w:p w14:paraId="7547941D" w14:textId="26206F8F" w:rsidR="0024160B" w:rsidRDefault="00F34C2A">
          <w:pPr>
            <w:pStyle w:val="TOC1"/>
            <w:rPr>
              <w:rFonts w:asciiTheme="minorHAnsi" w:eastAsiaTheme="minorEastAsia" w:hAnsiTheme="minorHAnsi" w:cstheme="minorBidi"/>
              <w:b w:val="0"/>
              <w:bCs w:val="0"/>
              <w:sz w:val="22"/>
              <w:szCs w:val="22"/>
              <w:lang w:eastAsia="en-GB" w:bidi="ar-SA"/>
            </w:rPr>
          </w:pPr>
          <w:r>
            <w:fldChar w:fldCharType="begin"/>
          </w:r>
          <w:r>
            <w:instrText xml:space="preserve"> TOC \o "1-3" \h \z \u </w:instrText>
          </w:r>
          <w:r>
            <w:fldChar w:fldCharType="separate"/>
          </w:r>
          <w:hyperlink w:anchor="_Toc92214234" w:history="1">
            <w:r w:rsidR="0024160B" w:rsidRPr="003354BA">
              <w:rPr>
                <w:rStyle w:val="Hyperlink"/>
              </w:rPr>
              <w:t>1</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Abstract</w:t>
            </w:r>
            <w:r w:rsidR="0024160B">
              <w:rPr>
                <w:webHidden/>
              </w:rPr>
              <w:tab/>
            </w:r>
            <w:r w:rsidR="0024160B">
              <w:rPr>
                <w:webHidden/>
              </w:rPr>
              <w:fldChar w:fldCharType="begin"/>
            </w:r>
            <w:r w:rsidR="0024160B">
              <w:rPr>
                <w:webHidden/>
              </w:rPr>
              <w:instrText xml:space="preserve"> PAGEREF _Toc92214234 \h </w:instrText>
            </w:r>
            <w:r w:rsidR="0024160B">
              <w:rPr>
                <w:webHidden/>
              </w:rPr>
            </w:r>
            <w:r w:rsidR="0024160B">
              <w:rPr>
                <w:webHidden/>
              </w:rPr>
              <w:fldChar w:fldCharType="separate"/>
            </w:r>
            <w:r w:rsidR="0024160B">
              <w:rPr>
                <w:webHidden/>
              </w:rPr>
              <w:t>2</w:t>
            </w:r>
            <w:r w:rsidR="0024160B">
              <w:rPr>
                <w:webHidden/>
              </w:rPr>
              <w:fldChar w:fldCharType="end"/>
            </w:r>
          </w:hyperlink>
        </w:p>
        <w:p w14:paraId="560A1ED6" w14:textId="255184F3" w:rsidR="0024160B" w:rsidRDefault="0015218F">
          <w:pPr>
            <w:pStyle w:val="TOC1"/>
            <w:rPr>
              <w:rFonts w:asciiTheme="minorHAnsi" w:eastAsiaTheme="minorEastAsia" w:hAnsiTheme="minorHAnsi" w:cstheme="minorBidi"/>
              <w:b w:val="0"/>
              <w:bCs w:val="0"/>
              <w:sz w:val="22"/>
              <w:szCs w:val="22"/>
              <w:lang w:eastAsia="en-GB" w:bidi="ar-SA"/>
            </w:rPr>
          </w:pPr>
          <w:hyperlink w:anchor="_Toc92214235" w:history="1">
            <w:r w:rsidR="0024160B" w:rsidRPr="003354BA">
              <w:rPr>
                <w:rStyle w:val="Hyperlink"/>
              </w:rPr>
              <w:t>2</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Introduction</w:t>
            </w:r>
            <w:r w:rsidR="0024160B">
              <w:rPr>
                <w:webHidden/>
              </w:rPr>
              <w:tab/>
            </w:r>
            <w:r w:rsidR="0024160B">
              <w:rPr>
                <w:webHidden/>
              </w:rPr>
              <w:fldChar w:fldCharType="begin"/>
            </w:r>
            <w:r w:rsidR="0024160B">
              <w:rPr>
                <w:webHidden/>
              </w:rPr>
              <w:instrText xml:space="preserve"> PAGEREF _Toc92214235 \h </w:instrText>
            </w:r>
            <w:r w:rsidR="0024160B">
              <w:rPr>
                <w:webHidden/>
              </w:rPr>
            </w:r>
            <w:r w:rsidR="0024160B">
              <w:rPr>
                <w:webHidden/>
              </w:rPr>
              <w:fldChar w:fldCharType="separate"/>
            </w:r>
            <w:r w:rsidR="0024160B">
              <w:rPr>
                <w:webHidden/>
              </w:rPr>
              <w:t>4</w:t>
            </w:r>
            <w:r w:rsidR="0024160B">
              <w:rPr>
                <w:webHidden/>
              </w:rPr>
              <w:fldChar w:fldCharType="end"/>
            </w:r>
          </w:hyperlink>
        </w:p>
        <w:p w14:paraId="5D4DCCC9" w14:textId="7AB0C1C8" w:rsidR="0024160B" w:rsidRDefault="0015218F">
          <w:pPr>
            <w:pStyle w:val="TOC1"/>
            <w:rPr>
              <w:rFonts w:asciiTheme="minorHAnsi" w:eastAsiaTheme="minorEastAsia" w:hAnsiTheme="minorHAnsi" w:cstheme="minorBidi"/>
              <w:b w:val="0"/>
              <w:bCs w:val="0"/>
              <w:sz w:val="22"/>
              <w:szCs w:val="22"/>
              <w:lang w:eastAsia="en-GB" w:bidi="ar-SA"/>
            </w:rPr>
          </w:pPr>
          <w:hyperlink w:anchor="_Toc92214236" w:history="1">
            <w:r w:rsidR="0024160B" w:rsidRPr="003354BA">
              <w:rPr>
                <w:rStyle w:val="Hyperlink"/>
              </w:rPr>
              <w:t>3</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Simulation Setup</w:t>
            </w:r>
            <w:r w:rsidR="0024160B">
              <w:rPr>
                <w:webHidden/>
              </w:rPr>
              <w:tab/>
            </w:r>
            <w:r w:rsidR="0024160B">
              <w:rPr>
                <w:webHidden/>
              </w:rPr>
              <w:fldChar w:fldCharType="begin"/>
            </w:r>
            <w:r w:rsidR="0024160B">
              <w:rPr>
                <w:webHidden/>
              </w:rPr>
              <w:instrText xml:space="preserve"> PAGEREF _Toc92214236 \h </w:instrText>
            </w:r>
            <w:r w:rsidR="0024160B">
              <w:rPr>
                <w:webHidden/>
              </w:rPr>
            </w:r>
            <w:r w:rsidR="0024160B">
              <w:rPr>
                <w:webHidden/>
              </w:rPr>
              <w:fldChar w:fldCharType="separate"/>
            </w:r>
            <w:r w:rsidR="0024160B">
              <w:rPr>
                <w:webHidden/>
              </w:rPr>
              <w:t>6</w:t>
            </w:r>
            <w:r w:rsidR="0024160B">
              <w:rPr>
                <w:webHidden/>
              </w:rPr>
              <w:fldChar w:fldCharType="end"/>
            </w:r>
          </w:hyperlink>
        </w:p>
        <w:p w14:paraId="0CB61B15" w14:textId="79D31E59" w:rsidR="0024160B" w:rsidRDefault="0015218F">
          <w:pPr>
            <w:pStyle w:val="TOC1"/>
            <w:rPr>
              <w:rFonts w:asciiTheme="minorHAnsi" w:eastAsiaTheme="minorEastAsia" w:hAnsiTheme="minorHAnsi" w:cstheme="minorBidi"/>
              <w:b w:val="0"/>
              <w:bCs w:val="0"/>
              <w:sz w:val="22"/>
              <w:szCs w:val="22"/>
              <w:lang w:eastAsia="en-GB" w:bidi="ar-SA"/>
            </w:rPr>
          </w:pPr>
          <w:hyperlink w:anchor="_Toc92214237" w:history="1">
            <w:r w:rsidR="0024160B" w:rsidRPr="003354BA">
              <w:rPr>
                <w:rStyle w:val="Hyperlink"/>
              </w:rPr>
              <w:t>4</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Results</w:t>
            </w:r>
            <w:r w:rsidR="0024160B">
              <w:rPr>
                <w:webHidden/>
              </w:rPr>
              <w:tab/>
            </w:r>
            <w:r w:rsidR="0024160B">
              <w:rPr>
                <w:webHidden/>
              </w:rPr>
              <w:fldChar w:fldCharType="begin"/>
            </w:r>
            <w:r w:rsidR="0024160B">
              <w:rPr>
                <w:webHidden/>
              </w:rPr>
              <w:instrText xml:space="preserve"> PAGEREF _Toc92214237 \h </w:instrText>
            </w:r>
            <w:r w:rsidR="0024160B">
              <w:rPr>
                <w:webHidden/>
              </w:rPr>
            </w:r>
            <w:r w:rsidR="0024160B">
              <w:rPr>
                <w:webHidden/>
              </w:rPr>
              <w:fldChar w:fldCharType="separate"/>
            </w:r>
            <w:r w:rsidR="0024160B">
              <w:rPr>
                <w:webHidden/>
              </w:rPr>
              <w:t>8</w:t>
            </w:r>
            <w:r w:rsidR="0024160B">
              <w:rPr>
                <w:webHidden/>
              </w:rPr>
              <w:fldChar w:fldCharType="end"/>
            </w:r>
          </w:hyperlink>
        </w:p>
        <w:p w14:paraId="4139A2DC" w14:textId="01EEC08E" w:rsidR="0024160B" w:rsidRDefault="0015218F">
          <w:pPr>
            <w:pStyle w:val="TOC1"/>
            <w:rPr>
              <w:rFonts w:asciiTheme="minorHAnsi" w:eastAsiaTheme="minorEastAsia" w:hAnsiTheme="minorHAnsi" w:cstheme="minorBidi"/>
              <w:b w:val="0"/>
              <w:bCs w:val="0"/>
              <w:sz w:val="22"/>
              <w:szCs w:val="22"/>
              <w:lang w:eastAsia="en-GB" w:bidi="ar-SA"/>
            </w:rPr>
          </w:pPr>
          <w:hyperlink w:anchor="_Toc92214238" w:history="1">
            <w:r w:rsidR="0024160B" w:rsidRPr="003354BA">
              <w:rPr>
                <w:rStyle w:val="Hyperlink"/>
              </w:rPr>
              <w:t>5</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Discussion</w:t>
            </w:r>
            <w:r w:rsidR="0024160B">
              <w:rPr>
                <w:webHidden/>
              </w:rPr>
              <w:tab/>
            </w:r>
            <w:r w:rsidR="0024160B">
              <w:rPr>
                <w:webHidden/>
              </w:rPr>
              <w:fldChar w:fldCharType="begin"/>
            </w:r>
            <w:r w:rsidR="0024160B">
              <w:rPr>
                <w:webHidden/>
              </w:rPr>
              <w:instrText xml:space="preserve"> PAGEREF _Toc92214238 \h </w:instrText>
            </w:r>
            <w:r w:rsidR="0024160B">
              <w:rPr>
                <w:webHidden/>
              </w:rPr>
            </w:r>
            <w:r w:rsidR="0024160B">
              <w:rPr>
                <w:webHidden/>
              </w:rPr>
              <w:fldChar w:fldCharType="separate"/>
            </w:r>
            <w:r w:rsidR="0024160B">
              <w:rPr>
                <w:webHidden/>
              </w:rPr>
              <w:t>12</w:t>
            </w:r>
            <w:r w:rsidR="0024160B">
              <w:rPr>
                <w:webHidden/>
              </w:rPr>
              <w:fldChar w:fldCharType="end"/>
            </w:r>
          </w:hyperlink>
        </w:p>
        <w:p w14:paraId="5B29AE88" w14:textId="7076C4F2" w:rsidR="0024160B" w:rsidRDefault="0015218F">
          <w:pPr>
            <w:pStyle w:val="TOC1"/>
            <w:rPr>
              <w:rFonts w:asciiTheme="minorHAnsi" w:eastAsiaTheme="minorEastAsia" w:hAnsiTheme="minorHAnsi" w:cstheme="minorBidi"/>
              <w:b w:val="0"/>
              <w:bCs w:val="0"/>
              <w:sz w:val="22"/>
              <w:szCs w:val="22"/>
              <w:lang w:eastAsia="en-GB" w:bidi="ar-SA"/>
            </w:rPr>
          </w:pPr>
          <w:hyperlink w:anchor="_Toc92214239" w:history="1">
            <w:r w:rsidR="0024160B" w:rsidRPr="003354BA">
              <w:rPr>
                <w:rStyle w:val="Hyperlink"/>
              </w:rPr>
              <w:t>6</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Conclusions</w:t>
            </w:r>
            <w:r w:rsidR="0024160B">
              <w:rPr>
                <w:webHidden/>
              </w:rPr>
              <w:tab/>
            </w:r>
            <w:r w:rsidR="0024160B">
              <w:rPr>
                <w:webHidden/>
              </w:rPr>
              <w:fldChar w:fldCharType="begin"/>
            </w:r>
            <w:r w:rsidR="0024160B">
              <w:rPr>
                <w:webHidden/>
              </w:rPr>
              <w:instrText xml:space="preserve"> PAGEREF _Toc92214239 \h </w:instrText>
            </w:r>
            <w:r w:rsidR="0024160B">
              <w:rPr>
                <w:webHidden/>
              </w:rPr>
            </w:r>
            <w:r w:rsidR="0024160B">
              <w:rPr>
                <w:webHidden/>
              </w:rPr>
              <w:fldChar w:fldCharType="separate"/>
            </w:r>
            <w:r w:rsidR="0024160B">
              <w:rPr>
                <w:webHidden/>
              </w:rPr>
              <w:t>13</w:t>
            </w:r>
            <w:r w:rsidR="0024160B">
              <w:rPr>
                <w:webHidden/>
              </w:rPr>
              <w:fldChar w:fldCharType="end"/>
            </w:r>
          </w:hyperlink>
        </w:p>
        <w:p w14:paraId="691984B9" w14:textId="1133E60A" w:rsidR="0024160B" w:rsidRDefault="0015218F">
          <w:pPr>
            <w:pStyle w:val="TOC1"/>
            <w:rPr>
              <w:rFonts w:asciiTheme="minorHAnsi" w:eastAsiaTheme="minorEastAsia" w:hAnsiTheme="minorHAnsi" w:cstheme="minorBidi"/>
              <w:b w:val="0"/>
              <w:bCs w:val="0"/>
              <w:sz w:val="22"/>
              <w:szCs w:val="22"/>
              <w:lang w:eastAsia="en-GB" w:bidi="ar-SA"/>
            </w:rPr>
          </w:pPr>
          <w:hyperlink w:anchor="_Toc92214240" w:history="1">
            <w:r w:rsidR="0024160B" w:rsidRPr="003354BA">
              <w:rPr>
                <w:rStyle w:val="Hyperlink"/>
              </w:rPr>
              <w:t>7</w:t>
            </w:r>
            <w:r w:rsidR="0024160B">
              <w:rPr>
                <w:rFonts w:asciiTheme="minorHAnsi" w:eastAsiaTheme="minorEastAsia" w:hAnsiTheme="minorHAnsi" w:cstheme="minorBidi"/>
                <w:b w:val="0"/>
                <w:bCs w:val="0"/>
                <w:sz w:val="22"/>
                <w:szCs w:val="22"/>
                <w:lang w:eastAsia="en-GB" w:bidi="ar-SA"/>
              </w:rPr>
              <w:tab/>
            </w:r>
            <w:r w:rsidR="0024160B" w:rsidRPr="003354BA">
              <w:rPr>
                <w:rStyle w:val="Hyperlink"/>
              </w:rPr>
              <w:t>References</w:t>
            </w:r>
            <w:r w:rsidR="0024160B">
              <w:rPr>
                <w:webHidden/>
              </w:rPr>
              <w:tab/>
            </w:r>
            <w:r w:rsidR="0024160B">
              <w:rPr>
                <w:webHidden/>
              </w:rPr>
              <w:fldChar w:fldCharType="begin"/>
            </w:r>
            <w:r w:rsidR="0024160B">
              <w:rPr>
                <w:webHidden/>
              </w:rPr>
              <w:instrText xml:space="preserve"> PAGEREF _Toc92214240 \h </w:instrText>
            </w:r>
            <w:r w:rsidR="0024160B">
              <w:rPr>
                <w:webHidden/>
              </w:rPr>
            </w:r>
            <w:r w:rsidR="0024160B">
              <w:rPr>
                <w:webHidden/>
              </w:rPr>
              <w:fldChar w:fldCharType="separate"/>
            </w:r>
            <w:r w:rsidR="0024160B">
              <w:rPr>
                <w:webHidden/>
              </w:rPr>
              <w:t>14</w:t>
            </w:r>
            <w:r w:rsidR="0024160B">
              <w:rPr>
                <w:webHidden/>
              </w:rPr>
              <w:fldChar w:fldCharType="end"/>
            </w:r>
          </w:hyperlink>
        </w:p>
        <w:p w14:paraId="31806505" w14:textId="1305ADF0" w:rsidR="00F34C2A" w:rsidRDefault="00F34C2A">
          <w:r>
            <w:rPr>
              <w:b/>
              <w:bCs/>
              <w:noProof/>
            </w:rPr>
            <w:fldChar w:fldCharType="end"/>
          </w:r>
        </w:p>
      </w:sdtContent>
    </w:sdt>
    <w:p w14:paraId="31DC5924" w14:textId="6D5479FD" w:rsidR="00F34C2A" w:rsidRPr="00F34C2A" w:rsidRDefault="00F34C2A" w:rsidP="00F34C2A">
      <w:pPr>
        <w:spacing w:after="0" w:line="240" w:lineRule="auto"/>
        <w:ind w:firstLine="0"/>
        <w:contextualSpacing w:val="0"/>
        <w:jc w:val="left"/>
      </w:pPr>
      <w:r>
        <w:br w:type="page"/>
      </w:r>
    </w:p>
    <w:p w14:paraId="7304694A" w14:textId="374E9777" w:rsidR="00182BFF" w:rsidRDefault="00182BFF" w:rsidP="00182BFF">
      <w:pPr>
        <w:pStyle w:val="Heading1"/>
      </w:pPr>
      <w:bookmarkStart w:id="1" w:name="_Toc92214235"/>
      <w:r>
        <w:lastRenderedPageBreak/>
        <w:t>Introduction</w:t>
      </w:r>
      <w:bookmarkEnd w:id="1"/>
    </w:p>
    <w:p w14:paraId="27044639" w14:textId="7C8EEDAD" w:rsidR="004B195D" w:rsidRDefault="004A6CE9" w:rsidP="000E4E18">
      <w:pPr>
        <w:pStyle w:val="NoSpacing"/>
      </w:pPr>
      <w:r>
        <w:t xml:space="preserve">A </w:t>
      </w:r>
      <w:r w:rsidR="00287DE6">
        <w:t xml:space="preserve">CIWS (close in weapon system) is typically a turret mounted on a swivelling base. Models like the Phalanx </w:t>
      </w:r>
      <w:r w:rsidR="00996C36">
        <w:t>(pictured below</w:t>
      </w:r>
      <w:r w:rsidR="00A76EB4">
        <w:t xml:space="preserve"> in </w:t>
      </w:r>
      <w:r w:rsidR="00A76EB4">
        <w:rPr>
          <w:i/>
          <w:iCs/>
        </w:rPr>
        <w:t>Figure 1</w:t>
      </w:r>
      <w:r w:rsidR="00996C36">
        <w:t xml:space="preserve">) </w:t>
      </w:r>
      <w:r w:rsidR="00287DE6">
        <w:t xml:space="preserve">are commonly used by the United States Navy on almost </w:t>
      </w:r>
      <w:r w:rsidR="00287DE6" w:rsidRPr="00287DE6">
        <w:t>every class of surface combat ship</w:t>
      </w:r>
      <w:r w:rsidR="00287DE6">
        <w:t>.</w:t>
      </w:r>
      <w:r w:rsidR="00996C36">
        <w:t xml:space="preserve"> The Phalanx is computer-controlled and radar-guided. The control system allows for fast and accurate movement of the rotating base, </w:t>
      </w:r>
      <w:r w:rsidR="006973A2">
        <w:t xml:space="preserve">and precise aiming of the turret. </w:t>
      </w:r>
      <w:sdt>
        <w:sdtPr>
          <w:id w:val="-736859372"/>
          <w:citation/>
        </w:sdtPr>
        <w:sdtEndPr/>
        <w:sdtContent>
          <w:r w:rsidR="00A76EB4">
            <w:fldChar w:fldCharType="begin"/>
          </w:r>
          <w:r w:rsidR="00A76EB4">
            <w:instrText xml:space="preserve"> CITATION Ray20 \l 2057 </w:instrText>
          </w:r>
          <w:r w:rsidR="00A76EB4">
            <w:fldChar w:fldCharType="separate"/>
          </w:r>
          <w:r w:rsidR="0030459F">
            <w:rPr>
              <w:noProof/>
            </w:rPr>
            <w:t>[1]</w:t>
          </w:r>
          <w:r w:rsidR="00A76EB4">
            <w:fldChar w:fldCharType="end"/>
          </w:r>
        </w:sdtContent>
      </w:sdt>
    </w:p>
    <w:p w14:paraId="0CA34A68" w14:textId="6F6A1DB1" w:rsidR="00A76EB4" w:rsidRDefault="00A76EB4" w:rsidP="000E4E18">
      <w:pPr>
        <w:pStyle w:val="NoSpacing"/>
      </w:pPr>
    </w:p>
    <w:p w14:paraId="484736E9" w14:textId="77777777" w:rsidR="00A76EB4" w:rsidRDefault="00A76EB4" w:rsidP="00A76EB4">
      <w:pPr>
        <w:pStyle w:val="NoSpacing"/>
        <w:keepNext/>
        <w:jc w:val="center"/>
      </w:pPr>
      <w:r>
        <w:rPr>
          <w:noProof/>
        </w:rPr>
        <w:drawing>
          <wp:inline distT="0" distB="0" distL="0" distR="0" wp14:anchorId="7CE928AA" wp14:editId="08541251">
            <wp:extent cx="3787140" cy="2526708"/>
            <wp:effectExtent l="0" t="0" r="3810" b="6985"/>
            <wp:docPr id="16" name="Picture 16" descr="A picture containing outdoor, water, boat, sh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water, boat, ship&#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95490" cy="2532279"/>
                    </a:xfrm>
                    <a:prstGeom prst="rect">
                      <a:avLst/>
                    </a:prstGeom>
                    <a:noFill/>
                    <a:ln>
                      <a:noFill/>
                    </a:ln>
                  </pic:spPr>
                </pic:pic>
              </a:graphicData>
            </a:graphic>
          </wp:inline>
        </w:drawing>
      </w:r>
    </w:p>
    <w:p w14:paraId="55020C0E" w14:textId="41A51ADD" w:rsidR="00A76EB4" w:rsidRDefault="00A76EB4" w:rsidP="00A76EB4">
      <w:pPr>
        <w:pStyle w:val="Caption"/>
      </w:pPr>
      <w:r>
        <w:t xml:space="preserve">Figure </w:t>
      </w:r>
      <w:r w:rsidR="0015218F">
        <w:fldChar w:fldCharType="begin"/>
      </w:r>
      <w:r w:rsidR="0015218F">
        <w:instrText xml:space="preserve"> SEQ Figure \* ARABIC </w:instrText>
      </w:r>
      <w:r w:rsidR="0015218F">
        <w:fldChar w:fldCharType="separate"/>
      </w:r>
      <w:r w:rsidR="00E97959">
        <w:rPr>
          <w:noProof/>
        </w:rPr>
        <w:t>1</w:t>
      </w:r>
      <w:r w:rsidR="0015218F">
        <w:rPr>
          <w:noProof/>
        </w:rPr>
        <w:fldChar w:fldCharType="end"/>
      </w:r>
      <w:r>
        <w:t>, Phalanx CIWS turret</w:t>
      </w:r>
    </w:p>
    <w:p w14:paraId="1F0521DC" w14:textId="77777777" w:rsidR="004B195D" w:rsidRDefault="004B195D" w:rsidP="000E4E18">
      <w:pPr>
        <w:pStyle w:val="NoSpacing"/>
      </w:pPr>
    </w:p>
    <w:p w14:paraId="1AF9E868" w14:textId="66165E96" w:rsidR="000B005C" w:rsidRDefault="000E4E18" w:rsidP="000E4E18">
      <w:pPr>
        <w:pStyle w:val="NoSpacing"/>
      </w:pPr>
      <w:r>
        <w:t xml:space="preserve">In simple terms, a control system </w:t>
      </w:r>
      <w:r w:rsidR="006D0E4B">
        <w:t>m</w:t>
      </w:r>
      <w:r>
        <w:t xml:space="preserve">anages, </w:t>
      </w:r>
      <w:r w:rsidR="000B005C">
        <w:t>regulates,</w:t>
      </w:r>
      <w:r>
        <w:t xml:space="preserve"> and commands other devices</w:t>
      </w:r>
      <w:r w:rsidR="006D0E4B">
        <w:t>; it is a system which controls other systems</w:t>
      </w:r>
      <w:r w:rsidR="00861DB1">
        <w:t xml:space="preserve"> using control loops to maintain </w:t>
      </w:r>
      <w:r w:rsidR="006947A9">
        <w:t>process variables.</w:t>
      </w:r>
      <w:r w:rsidR="004C0A58">
        <w:t xml:space="preserve"> </w:t>
      </w:r>
      <w:r w:rsidR="000B005C">
        <w:t>Control systems are becoming more and more sought after as the demand for automation increases.</w:t>
      </w:r>
      <w:r w:rsidR="00040A3B">
        <w:t xml:space="preserve"> </w:t>
      </w:r>
      <w:r w:rsidR="004C0A58">
        <w:t>Control systems can be categorised into open loop and closed loop</w:t>
      </w:r>
      <w:r w:rsidR="002C41B0">
        <w:t>. The sole difference is that an open loop system has no feedback element whereas a closed loop system does</w:t>
      </w:r>
      <w:r w:rsidR="0061013C">
        <w:t xml:space="preserve">. The feedback loop in a closed system </w:t>
      </w:r>
      <w:r w:rsidR="009B2AE5">
        <w:t>allows for accurate control of the output;</w:t>
      </w:r>
      <w:r w:rsidR="002C41B0">
        <w:t xml:space="preserve"> both </w:t>
      </w:r>
      <w:r w:rsidR="009B2AE5">
        <w:t xml:space="preserve">systems </w:t>
      </w:r>
      <w:r w:rsidR="002C41B0">
        <w:t xml:space="preserve">can be seen below in </w:t>
      </w:r>
      <w:r w:rsidR="002C41B0" w:rsidRPr="002C41B0">
        <w:rPr>
          <w:i/>
          <w:iCs/>
        </w:rPr>
        <w:t>Figure 1</w:t>
      </w:r>
      <w:r w:rsidR="002C41B0">
        <w:t xml:space="preserve"> and </w:t>
      </w:r>
      <w:r w:rsidR="002C41B0" w:rsidRPr="002C41B0">
        <w:rPr>
          <w:i/>
          <w:iCs/>
        </w:rPr>
        <w:t>Figure 2</w:t>
      </w:r>
      <w:r w:rsidR="002C41B0">
        <w:t xml:space="preserve">. </w:t>
      </w:r>
      <w:sdt>
        <w:sdtPr>
          <w:id w:val="60913994"/>
          <w:citation/>
        </w:sdtPr>
        <w:sdtEndPr/>
        <w:sdtContent>
          <w:r w:rsidR="00564D8B">
            <w:fldChar w:fldCharType="begin"/>
          </w:r>
          <w:r w:rsidR="00564D8B">
            <w:instrText xml:space="preserve"> CITATION Nis14 \l 2057 </w:instrText>
          </w:r>
          <w:r w:rsidR="00564D8B">
            <w:fldChar w:fldCharType="separate"/>
          </w:r>
          <w:r w:rsidR="0030459F">
            <w:rPr>
              <w:noProof/>
            </w:rPr>
            <w:t>[2]</w:t>
          </w:r>
          <w:r w:rsidR="00564D8B">
            <w:fldChar w:fldCharType="end"/>
          </w:r>
        </w:sdtContent>
      </w:sdt>
    </w:p>
    <w:p w14:paraId="62056E3A" w14:textId="77777777" w:rsidR="00356A7A" w:rsidRDefault="00356A7A" w:rsidP="000B005C">
      <w:pPr>
        <w:spacing w:after="0" w:line="240" w:lineRule="auto"/>
        <w:ind w:firstLine="0"/>
        <w:contextualSpacing w:val="0"/>
        <w:jc w:val="left"/>
      </w:pPr>
    </w:p>
    <w:p w14:paraId="774F396E" w14:textId="77777777" w:rsidR="00A90E47" w:rsidRDefault="00A90E47" w:rsidP="00A90E47">
      <w:pPr>
        <w:keepNext/>
        <w:spacing w:after="0" w:line="240" w:lineRule="auto"/>
        <w:ind w:firstLine="0"/>
        <w:contextualSpacing w:val="0"/>
        <w:jc w:val="left"/>
      </w:pPr>
      <w:r>
        <w:rPr>
          <w:noProof/>
        </w:rPr>
        <w:drawing>
          <wp:inline distT="0" distB="0" distL="0" distR="0" wp14:anchorId="144A010C" wp14:editId="52E0817E">
            <wp:extent cx="5067300" cy="875926"/>
            <wp:effectExtent l="0" t="0" r="0" b="63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stretch>
                      <a:fillRect/>
                    </a:stretch>
                  </pic:blipFill>
                  <pic:spPr>
                    <a:xfrm>
                      <a:off x="0" y="0"/>
                      <a:ext cx="5086512" cy="879247"/>
                    </a:xfrm>
                    <a:prstGeom prst="rect">
                      <a:avLst/>
                    </a:prstGeom>
                  </pic:spPr>
                </pic:pic>
              </a:graphicData>
            </a:graphic>
          </wp:inline>
        </w:drawing>
      </w:r>
    </w:p>
    <w:p w14:paraId="355B1E95" w14:textId="4064D4DC" w:rsidR="00A90E47" w:rsidRDefault="0061013C" w:rsidP="0061013C">
      <w:pPr>
        <w:pStyle w:val="Caption"/>
        <w:ind w:left="1020" w:firstLine="510"/>
        <w:jc w:val="both"/>
      </w:pPr>
      <w:r>
        <w:t xml:space="preserve">      </w:t>
      </w:r>
      <w:r w:rsidR="00A90E47">
        <w:t xml:space="preserve">Figure </w:t>
      </w:r>
      <w:r w:rsidR="0015218F">
        <w:fldChar w:fldCharType="begin"/>
      </w:r>
      <w:r w:rsidR="0015218F">
        <w:instrText xml:space="preserve"> SEQ Figure \* ARABIC </w:instrText>
      </w:r>
      <w:r w:rsidR="0015218F">
        <w:fldChar w:fldCharType="separate"/>
      </w:r>
      <w:r w:rsidR="00E97959">
        <w:rPr>
          <w:noProof/>
        </w:rPr>
        <w:t>2</w:t>
      </w:r>
      <w:r w:rsidR="0015218F">
        <w:rPr>
          <w:noProof/>
        </w:rPr>
        <w:fldChar w:fldCharType="end"/>
      </w:r>
      <w:r w:rsidR="00A90E47">
        <w:t>, block diagram of an open loop</w:t>
      </w:r>
      <w:r>
        <w:t xml:space="preserve"> control</w:t>
      </w:r>
      <w:r w:rsidR="00A90E47">
        <w:t xml:space="preserve"> system</w:t>
      </w:r>
      <w:r>
        <w:t xml:space="preserve"> </w:t>
      </w:r>
      <w:sdt>
        <w:sdtPr>
          <w:id w:val="-1808312096"/>
          <w:citation/>
        </w:sdtPr>
        <w:sdtEndPr/>
        <w:sdtContent>
          <w:r w:rsidR="009B2AE5">
            <w:fldChar w:fldCharType="begin"/>
          </w:r>
          <w:r w:rsidR="009B2AE5">
            <w:instrText xml:space="preserve"> CITATION Rav21 \l 2057 </w:instrText>
          </w:r>
          <w:r w:rsidR="009B2AE5">
            <w:fldChar w:fldCharType="separate"/>
          </w:r>
          <w:r w:rsidR="0030459F">
            <w:rPr>
              <w:noProof/>
            </w:rPr>
            <w:t>[3]</w:t>
          </w:r>
          <w:r w:rsidR="009B2AE5">
            <w:fldChar w:fldCharType="end"/>
          </w:r>
        </w:sdtContent>
      </w:sdt>
    </w:p>
    <w:p w14:paraId="4158B994" w14:textId="77777777" w:rsidR="00A90E47" w:rsidRDefault="00A90E47" w:rsidP="00A90E47">
      <w:pPr>
        <w:keepNext/>
        <w:jc w:val="left"/>
      </w:pPr>
      <w:r>
        <w:rPr>
          <w:noProof/>
        </w:rPr>
        <w:lastRenderedPageBreak/>
        <w:drawing>
          <wp:inline distT="0" distB="0" distL="0" distR="0" wp14:anchorId="4FAD4457" wp14:editId="403E5401">
            <wp:extent cx="4335780" cy="1002317"/>
            <wp:effectExtent l="0" t="0" r="7620" b="762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stretch>
                      <a:fillRect/>
                    </a:stretch>
                  </pic:blipFill>
                  <pic:spPr>
                    <a:xfrm>
                      <a:off x="0" y="0"/>
                      <a:ext cx="4366826" cy="1009494"/>
                    </a:xfrm>
                    <a:prstGeom prst="rect">
                      <a:avLst/>
                    </a:prstGeom>
                  </pic:spPr>
                </pic:pic>
              </a:graphicData>
            </a:graphic>
          </wp:inline>
        </w:drawing>
      </w:r>
    </w:p>
    <w:p w14:paraId="28E51B08" w14:textId="7195ADC2" w:rsidR="00A90E47" w:rsidRPr="00A90E47" w:rsidRDefault="0061013C" w:rsidP="0061013C">
      <w:pPr>
        <w:pStyle w:val="Caption"/>
        <w:ind w:left="1530"/>
        <w:jc w:val="left"/>
      </w:pPr>
      <w:r>
        <w:t xml:space="preserve">     </w:t>
      </w:r>
      <w:r w:rsidR="00A90E47">
        <w:t xml:space="preserve">Figure </w:t>
      </w:r>
      <w:r w:rsidR="0015218F">
        <w:fldChar w:fldCharType="begin"/>
      </w:r>
      <w:r w:rsidR="0015218F">
        <w:instrText xml:space="preserve"> SEQ Figure \* ARABIC </w:instrText>
      </w:r>
      <w:r w:rsidR="0015218F">
        <w:fldChar w:fldCharType="separate"/>
      </w:r>
      <w:r w:rsidR="00E97959">
        <w:rPr>
          <w:noProof/>
        </w:rPr>
        <w:t>3</w:t>
      </w:r>
      <w:r w:rsidR="0015218F">
        <w:rPr>
          <w:noProof/>
        </w:rPr>
        <w:fldChar w:fldCharType="end"/>
      </w:r>
      <w:r w:rsidR="00A90E47">
        <w:t>, block diagram of a closed loop control system</w:t>
      </w:r>
      <w:r w:rsidR="000E7EF7">
        <w:t xml:space="preserve"> </w:t>
      </w:r>
      <w:sdt>
        <w:sdtPr>
          <w:id w:val="1959140899"/>
          <w:citation/>
        </w:sdtPr>
        <w:sdtEndPr/>
        <w:sdtContent>
          <w:r w:rsidR="000E7EF7">
            <w:fldChar w:fldCharType="begin"/>
          </w:r>
          <w:r w:rsidR="000E7EF7">
            <w:instrText xml:space="preserve"> CITATION Adm15 \l 2057 </w:instrText>
          </w:r>
          <w:r w:rsidR="000E7EF7">
            <w:fldChar w:fldCharType="separate"/>
          </w:r>
          <w:r w:rsidR="0030459F">
            <w:rPr>
              <w:noProof/>
            </w:rPr>
            <w:t>[4]</w:t>
          </w:r>
          <w:r w:rsidR="000E7EF7">
            <w:fldChar w:fldCharType="end"/>
          </w:r>
        </w:sdtContent>
      </w:sdt>
    </w:p>
    <w:p w14:paraId="02D19419" w14:textId="3F1203D1" w:rsidR="00A90E47" w:rsidRPr="00A90E47" w:rsidRDefault="00512369" w:rsidP="00512369">
      <w:pPr>
        <w:pStyle w:val="NoSpacing"/>
      </w:pPr>
      <w:r>
        <w:t>The control</w:t>
      </w:r>
      <w:r w:rsidR="00DE7B96">
        <w:t xml:space="preserve"> system</w:t>
      </w:r>
      <w:r>
        <w:t xml:space="preserve"> used in this simulation setup is a </w:t>
      </w:r>
      <w:r w:rsidR="005B7813">
        <w:t>P</w:t>
      </w:r>
      <w:r>
        <w:t>roportional</w:t>
      </w:r>
      <w:r w:rsidR="005B7813">
        <w:t xml:space="preserve"> I</w:t>
      </w:r>
      <w:r>
        <w:t>ntegral</w:t>
      </w:r>
      <w:r w:rsidR="005B7813">
        <w:t xml:space="preserve"> D</w:t>
      </w:r>
      <w:r>
        <w:t>erivative (PID) controller, which is effective for continuous processes</w:t>
      </w:r>
      <w:r w:rsidR="00DE7B96">
        <w:t xml:space="preserve"> unlike PLCs (programmable logic controllers). </w:t>
      </w:r>
      <w:r w:rsidR="00F10C90">
        <w:t xml:space="preserve"> The proportional control corrects the deviation of a process back towards a set point; the correction is proportional to the amount of error. </w:t>
      </w:r>
      <w:r w:rsidR="00BD3167">
        <w:t xml:space="preserve">The integral control is also known as the reset control as it returns the flow to the original set point. Derivative control </w:t>
      </w:r>
      <w:r w:rsidR="00B80450">
        <w:t xml:space="preserve">manages the correction rate of the proportional-integral system by </w:t>
      </w:r>
      <w:r w:rsidR="005B7813">
        <w:t xml:space="preserve">producing a corrective signal. </w:t>
      </w:r>
      <w:sdt>
        <w:sdtPr>
          <w:id w:val="-355118967"/>
          <w:citation/>
        </w:sdtPr>
        <w:sdtEndPr/>
        <w:sdtContent>
          <w:r w:rsidR="00834199">
            <w:fldChar w:fldCharType="begin"/>
          </w:r>
          <w:r w:rsidR="00834199">
            <w:instrText xml:space="preserve"> CITATION Web06 \l 2057 </w:instrText>
          </w:r>
          <w:r w:rsidR="00834199">
            <w:fldChar w:fldCharType="separate"/>
          </w:r>
          <w:r w:rsidR="0030459F">
            <w:rPr>
              <w:noProof/>
            </w:rPr>
            <w:t>[5]</w:t>
          </w:r>
          <w:r w:rsidR="00834199">
            <w:fldChar w:fldCharType="end"/>
          </w:r>
        </w:sdtContent>
      </w:sdt>
    </w:p>
    <w:p w14:paraId="7214916A" w14:textId="77777777" w:rsidR="007B024C" w:rsidRDefault="007B024C" w:rsidP="007B024C">
      <w:pPr>
        <w:spacing w:after="0" w:line="240" w:lineRule="auto"/>
        <w:ind w:firstLine="0"/>
        <w:contextualSpacing w:val="0"/>
      </w:pPr>
    </w:p>
    <w:p w14:paraId="292DA4F6" w14:textId="15B2A440" w:rsidR="00001945" w:rsidRDefault="007B024C" w:rsidP="007B024C">
      <w:pPr>
        <w:spacing w:after="0" w:line="240" w:lineRule="auto"/>
        <w:ind w:firstLine="0"/>
        <w:contextualSpacing w:val="0"/>
      </w:pPr>
      <w:r>
        <w:t>The PID controller has to manage the output of the provided</w:t>
      </w:r>
      <w:r w:rsidR="00247F0E">
        <w:t xml:space="preserve"> forward</w:t>
      </w:r>
      <w:r>
        <w:t xml:space="preserve"> transfer function</w:t>
      </w:r>
      <w:r w:rsidR="00247F0E">
        <w:t>,</w:t>
      </w:r>
      <w:r>
        <w:t xml:space="preserve"> G(s). A transfer function is a mathematical representation of the relationship between the </w:t>
      </w:r>
      <w:r w:rsidR="00247F0E">
        <w:t>input</w:t>
      </w:r>
      <w:r>
        <w:t xml:space="preserve"> and output of a control system.</w:t>
      </w:r>
      <w:r w:rsidR="00247F0E">
        <w:t xml:space="preserve"> In this report, a closed loop transfer function is calculated using the provided forward transfer function and the function of the PID controller. </w:t>
      </w:r>
      <w:sdt>
        <w:sdtPr>
          <w:id w:val="-1504272898"/>
          <w:citation/>
        </w:sdtPr>
        <w:sdtEndPr/>
        <w:sdtContent>
          <w:r w:rsidR="00422ED7">
            <w:fldChar w:fldCharType="begin"/>
          </w:r>
          <w:r w:rsidR="00422ED7">
            <w:instrText xml:space="preserve"> CITATION Ele201 \l 2057 </w:instrText>
          </w:r>
          <w:r w:rsidR="00422ED7">
            <w:fldChar w:fldCharType="separate"/>
          </w:r>
          <w:r w:rsidR="0030459F">
            <w:rPr>
              <w:noProof/>
            </w:rPr>
            <w:t>[6]</w:t>
          </w:r>
          <w:r w:rsidR="00422ED7">
            <w:fldChar w:fldCharType="end"/>
          </w:r>
        </w:sdtContent>
      </w:sdt>
    </w:p>
    <w:p w14:paraId="3DF35C0D" w14:textId="77777777" w:rsidR="00001945" w:rsidRDefault="00001945" w:rsidP="007B024C">
      <w:pPr>
        <w:spacing w:after="0" w:line="240" w:lineRule="auto"/>
        <w:ind w:firstLine="0"/>
        <w:contextualSpacing w:val="0"/>
      </w:pPr>
    </w:p>
    <w:p w14:paraId="1A7A04A2" w14:textId="571E3C12" w:rsidR="000B005C" w:rsidRPr="000E4E18" w:rsidRDefault="000B005C" w:rsidP="007B024C">
      <w:pPr>
        <w:spacing w:after="0" w:line="240" w:lineRule="auto"/>
        <w:ind w:firstLine="0"/>
        <w:contextualSpacing w:val="0"/>
      </w:pPr>
      <w:r>
        <w:br w:type="page"/>
      </w:r>
    </w:p>
    <w:p w14:paraId="68C67CBF" w14:textId="5CF1E362" w:rsidR="00643F08" w:rsidRDefault="00F82C72" w:rsidP="00643F08">
      <w:pPr>
        <w:pStyle w:val="Heading1"/>
      </w:pPr>
      <w:bookmarkStart w:id="2" w:name="_Toc92214236"/>
      <w:r>
        <w:lastRenderedPageBreak/>
        <w:t>Simulation Setup</w:t>
      </w:r>
      <w:bookmarkEnd w:id="2"/>
      <w:r w:rsidR="00643F08">
        <w:t xml:space="preserve"> </w:t>
      </w:r>
    </w:p>
    <w:p w14:paraId="3F37FBD8" w14:textId="510C2C93" w:rsidR="00A24E27" w:rsidRDefault="005359F0" w:rsidP="00A24E27">
      <w:pPr>
        <w:pStyle w:val="NoSpacing"/>
      </w:pPr>
      <w:r>
        <w:t>The task was to design a closed loop control system capable of controlling the angular positioning system of an automatic CIWS turret.</w:t>
      </w:r>
      <w:r w:rsidR="00D3407F">
        <w:t xml:space="preserve"> The system must be able to bring the process under control within 2 seconds with less than a 5% overshoot.</w:t>
      </w:r>
      <w:r>
        <w:t xml:space="preserve"> </w:t>
      </w:r>
      <w:r w:rsidR="006154BC">
        <w:t xml:space="preserve">The transfer function G(s) below was provided with assigned values for a, b, and c. </w:t>
      </w:r>
    </w:p>
    <w:p w14:paraId="55F5C0B1" w14:textId="4FEE259C" w:rsidR="005359F0" w:rsidRDefault="005359F0" w:rsidP="00A24E27">
      <w:pPr>
        <w:pStyle w:val="NoSpacing"/>
      </w:pPr>
    </w:p>
    <w:tbl>
      <w:tblPr>
        <w:tblStyle w:val="TableGrid"/>
        <w:tblW w:w="0" w:type="auto"/>
        <w:tblLook w:val="04A0" w:firstRow="1" w:lastRow="0" w:firstColumn="1" w:lastColumn="0" w:noHBand="0" w:noVBand="1"/>
      </w:tblPr>
      <w:tblGrid>
        <w:gridCol w:w="4530"/>
        <w:gridCol w:w="4531"/>
      </w:tblGrid>
      <w:tr w:rsidR="00864227" w14:paraId="600BE07A" w14:textId="77777777" w:rsidTr="00864227">
        <w:tc>
          <w:tcPr>
            <w:tcW w:w="4530" w:type="dxa"/>
            <w:tcBorders>
              <w:top w:val="single" w:sz="4" w:space="0" w:color="FFFFFF"/>
              <w:left w:val="single" w:sz="4" w:space="0" w:color="FFFFFF"/>
              <w:bottom w:val="single" w:sz="4" w:space="0" w:color="FFFFFF"/>
              <w:right w:val="single" w:sz="4" w:space="0" w:color="FFFFFF"/>
            </w:tcBorders>
          </w:tcPr>
          <w:p w14:paraId="15BF97C6" w14:textId="77777777" w:rsidR="00864227" w:rsidRDefault="00864227" w:rsidP="00A24E27">
            <w:pPr>
              <w:pStyle w:val="NoSpacing"/>
              <w:rPr>
                <w:sz w:val="28"/>
                <w:szCs w:val="24"/>
              </w:rPr>
            </w:pPr>
          </w:p>
          <w:p w14:paraId="5F787325" w14:textId="25D2742D" w:rsidR="00864227" w:rsidRDefault="00864227" w:rsidP="00A24E27">
            <w:pPr>
              <w:pStyle w:val="NoSpacing"/>
            </w:pPr>
            <m:oMathPara>
              <m:oMath>
                <m:r>
                  <w:rPr>
                    <w:rFonts w:ascii="Cambria Math" w:hAnsi="Cambria Math"/>
                    <w:sz w:val="28"/>
                    <w:szCs w:val="24"/>
                  </w:rPr>
                  <m:t>G</m:t>
                </m:r>
                <m:d>
                  <m:dPr>
                    <m:ctrlPr>
                      <w:rPr>
                        <w:rFonts w:ascii="Cambria Math" w:hAnsi="Cambria Math"/>
                        <w:i/>
                        <w:sz w:val="28"/>
                        <w:szCs w:val="24"/>
                      </w:rPr>
                    </m:ctrlPr>
                  </m:dPr>
                  <m:e>
                    <m:r>
                      <w:rPr>
                        <w:rFonts w:ascii="Cambria Math" w:hAnsi="Cambria Math"/>
                        <w:sz w:val="28"/>
                        <w:szCs w:val="24"/>
                      </w:rPr>
                      <m:t>s</m:t>
                    </m:r>
                  </m:e>
                </m:d>
                <m:r>
                  <w:rPr>
                    <w:rFonts w:ascii="Cambria Math" w:hAnsi="Cambria Math"/>
                    <w:sz w:val="28"/>
                    <w:szCs w:val="24"/>
                  </w:rPr>
                  <m:t>=</m:t>
                </m:r>
                <m:f>
                  <m:fPr>
                    <m:ctrlPr>
                      <w:rPr>
                        <w:rFonts w:ascii="Cambria Math" w:hAnsi="Cambria Math"/>
                        <w:i/>
                        <w:sz w:val="28"/>
                        <w:szCs w:val="24"/>
                      </w:rPr>
                    </m:ctrlPr>
                  </m:fPr>
                  <m:num>
                    <m:r>
                      <w:rPr>
                        <w:rFonts w:ascii="Cambria Math" w:hAnsi="Cambria Math"/>
                        <w:sz w:val="28"/>
                        <w:szCs w:val="24"/>
                      </w:rPr>
                      <m:t>1</m:t>
                    </m:r>
                  </m:num>
                  <m:den>
                    <m:r>
                      <w:rPr>
                        <w:rFonts w:ascii="Cambria Math" w:hAnsi="Cambria Math"/>
                        <w:sz w:val="28"/>
                        <w:szCs w:val="24"/>
                      </w:rPr>
                      <m:t>a</m:t>
                    </m:r>
                    <m:sSup>
                      <m:sSupPr>
                        <m:ctrlPr>
                          <w:rPr>
                            <w:rFonts w:ascii="Cambria Math" w:hAnsi="Cambria Math"/>
                            <w:i/>
                            <w:sz w:val="28"/>
                            <w:szCs w:val="24"/>
                          </w:rPr>
                        </m:ctrlPr>
                      </m:sSupPr>
                      <m:e>
                        <m:r>
                          <w:rPr>
                            <w:rFonts w:ascii="Cambria Math" w:hAnsi="Cambria Math"/>
                            <w:sz w:val="28"/>
                            <w:szCs w:val="24"/>
                          </w:rPr>
                          <m:t>s</m:t>
                        </m:r>
                      </m:e>
                      <m:sup>
                        <m:r>
                          <w:rPr>
                            <w:rFonts w:ascii="Cambria Math" w:hAnsi="Cambria Math"/>
                            <w:sz w:val="28"/>
                            <w:szCs w:val="24"/>
                          </w:rPr>
                          <m:t>2</m:t>
                        </m:r>
                      </m:sup>
                    </m:sSup>
                    <m:r>
                      <w:rPr>
                        <w:rFonts w:ascii="Cambria Math" w:hAnsi="Cambria Math"/>
                        <w:sz w:val="28"/>
                        <w:szCs w:val="24"/>
                      </w:rPr>
                      <m:t>+bs+c</m:t>
                    </m:r>
                  </m:den>
                </m:f>
              </m:oMath>
            </m:oMathPara>
          </w:p>
        </w:tc>
        <w:tc>
          <w:tcPr>
            <w:tcW w:w="4531" w:type="dxa"/>
            <w:tcBorders>
              <w:top w:val="single" w:sz="4" w:space="0" w:color="FFFFFF"/>
              <w:left w:val="single" w:sz="4" w:space="0" w:color="FFFFFF"/>
              <w:bottom w:val="single" w:sz="4" w:space="0" w:color="FFFFFF"/>
              <w:right w:val="single" w:sz="4" w:space="0" w:color="FFFFFF"/>
            </w:tcBorders>
          </w:tcPr>
          <w:p w14:paraId="60BF922B" w14:textId="77777777" w:rsidR="00864227" w:rsidRPr="001D025E" w:rsidRDefault="00864227" w:rsidP="00864227">
            <w:pPr>
              <w:spacing w:after="0" w:line="240" w:lineRule="auto"/>
              <w:ind w:firstLine="0"/>
              <w:contextualSpacing w:val="0"/>
              <w:jc w:val="center"/>
              <w:rPr>
                <w:rFonts w:ascii="Cambria Math" w:hAnsi="Cambria Math"/>
                <w:sz w:val="28"/>
                <w:szCs w:val="24"/>
              </w:rPr>
            </w:pPr>
            <w:r w:rsidRPr="001D025E">
              <w:rPr>
                <w:rFonts w:ascii="Cambria Math" w:hAnsi="Cambria Math"/>
                <w:sz w:val="28"/>
                <w:szCs w:val="24"/>
              </w:rPr>
              <w:t>a = 4</w:t>
            </w:r>
          </w:p>
          <w:p w14:paraId="30576785" w14:textId="77777777" w:rsidR="00864227" w:rsidRPr="001D025E" w:rsidRDefault="00864227" w:rsidP="00864227">
            <w:pPr>
              <w:spacing w:after="0" w:line="240" w:lineRule="auto"/>
              <w:ind w:firstLine="0"/>
              <w:contextualSpacing w:val="0"/>
              <w:jc w:val="center"/>
              <w:rPr>
                <w:rFonts w:ascii="Cambria Math" w:hAnsi="Cambria Math"/>
                <w:sz w:val="28"/>
                <w:szCs w:val="24"/>
              </w:rPr>
            </w:pPr>
            <w:r w:rsidRPr="001D025E">
              <w:rPr>
                <w:rFonts w:ascii="Cambria Math" w:hAnsi="Cambria Math"/>
                <w:sz w:val="28"/>
                <w:szCs w:val="24"/>
              </w:rPr>
              <w:t xml:space="preserve">b = 2 </w:t>
            </w:r>
          </w:p>
          <w:p w14:paraId="242B2260" w14:textId="77777777" w:rsidR="00864227" w:rsidRDefault="00864227" w:rsidP="00864227">
            <w:pPr>
              <w:spacing w:after="0" w:line="240" w:lineRule="auto"/>
              <w:ind w:firstLine="0"/>
              <w:contextualSpacing w:val="0"/>
              <w:jc w:val="center"/>
              <w:rPr>
                <w:rFonts w:ascii="Cambria Math" w:hAnsi="Cambria Math"/>
                <w:sz w:val="28"/>
                <w:szCs w:val="24"/>
              </w:rPr>
            </w:pPr>
            <w:r w:rsidRPr="001D025E">
              <w:rPr>
                <w:rFonts w:ascii="Cambria Math" w:hAnsi="Cambria Math"/>
                <w:sz w:val="28"/>
                <w:szCs w:val="24"/>
              </w:rPr>
              <w:t xml:space="preserve">c = 2 </w:t>
            </w:r>
          </w:p>
          <w:p w14:paraId="2AE64C5A" w14:textId="77777777" w:rsidR="00864227" w:rsidRDefault="00864227" w:rsidP="00A24E27">
            <w:pPr>
              <w:pStyle w:val="NoSpacing"/>
            </w:pPr>
          </w:p>
        </w:tc>
      </w:tr>
    </w:tbl>
    <w:p w14:paraId="7974035C" w14:textId="77777777" w:rsidR="00A50FA7" w:rsidRDefault="00A50FA7" w:rsidP="00864227">
      <w:pPr>
        <w:spacing w:after="0" w:line="240" w:lineRule="auto"/>
        <w:ind w:firstLine="0"/>
        <w:contextualSpacing w:val="0"/>
        <w:rPr>
          <w:rFonts w:ascii="Cambria Math" w:hAnsi="Cambria Math"/>
          <w:sz w:val="28"/>
          <w:szCs w:val="24"/>
        </w:rPr>
      </w:pPr>
    </w:p>
    <w:p w14:paraId="1DDEA438" w14:textId="222E2D9A" w:rsidR="00D46AB9" w:rsidRDefault="00D46AB9" w:rsidP="001D025E">
      <w:pPr>
        <w:pStyle w:val="NoSpacing"/>
      </w:pPr>
      <w:r>
        <w:t xml:space="preserve">First a step input was created and setup to output a </w:t>
      </w:r>
      <w:r w:rsidR="00864227">
        <w:t>signal stepping</w:t>
      </w:r>
      <w:r>
        <w:t xml:space="preserve"> from 0 to 1.</w:t>
      </w:r>
    </w:p>
    <w:p w14:paraId="10F29BA1" w14:textId="46491DDE" w:rsidR="00D46AB9" w:rsidRDefault="00D46AB9" w:rsidP="001D025E">
      <w:pPr>
        <w:pStyle w:val="NoSpacing"/>
      </w:pPr>
    </w:p>
    <w:p w14:paraId="381941CD" w14:textId="77777777" w:rsidR="005500DE" w:rsidRDefault="005500DE" w:rsidP="00D46AB9">
      <w:pPr>
        <w:pStyle w:val="NoSpacing"/>
        <w:jc w:val="center"/>
        <w:rPr>
          <w:noProof/>
        </w:rPr>
      </w:pPr>
    </w:p>
    <w:tbl>
      <w:tblPr>
        <w:tblStyle w:val="TableGrid"/>
        <w:tblW w:w="0" w:type="auto"/>
        <w:tblLook w:val="04A0" w:firstRow="1" w:lastRow="0" w:firstColumn="1" w:lastColumn="0" w:noHBand="0" w:noVBand="1"/>
      </w:tblPr>
      <w:tblGrid>
        <w:gridCol w:w="4530"/>
        <w:gridCol w:w="4531"/>
      </w:tblGrid>
      <w:tr w:rsidR="005500DE" w14:paraId="17B85447" w14:textId="77777777" w:rsidTr="005500DE">
        <w:tc>
          <w:tcPr>
            <w:tcW w:w="4530" w:type="dxa"/>
            <w:tcBorders>
              <w:top w:val="single" w:sz="4" w:space="0" w:color="FFFFFF"/>
              <w:left w:val="single" w:sz="4" w:space="0" w:color="FFFFFF"/>
              <w:bottom w:val="single" w:sz="4" w:space="0" w:color="FFFFFF"/>
              <w:right w:val="single" w:sz="4" w:space="0" w:color="FFFFFF" w:themeColor="background1"/>
            </w:tcBorders>
          </w:tcPr>
          <w:p w14:paraId="3EA14A76" w14:textId="77777777" w:rsidR="005500DE" w:rsidRDefault="005500DE" w:rsidP="00D46AB9">
            <w:pPr>
              <w:pStyle w:val="NoSpacing"/>
              <w:jc w:val="center"/>
              <w:rPr>
                <w:noProof/>
              </w:rPr>
            </w:pPr>
          </w:p>
          <w:p w14:paraId="752A229C" w14:textId="77777777" w:rsidR="005500DE" w:rsidRDefault="005500DE" w:rsidP="00D46AB9">
            <w:pPr>
              <w:pStyle w:val="NoSpacing"/>
              <w:jc w:val="center"/>
              <w:rPr>
                <w:noProof/>
              </w:rPr>
            </w:pPr>
          </w:p>
          <w:p w14:paraId="54F67392" w14:textId="77777777" w:rsidR="005500DE" w:rsidRDefault="005500DE" w:rsidP="00D46AB9">
            <w:pPr>
              <w:pStyle w:val="NoSpacing"/>
              <w:jc w:val="center"/>
              <w:rPr>
                <w:noProof/>
              </w:rPr>
            </w:pPr>
          </w:p>
          <w:p w14:paraId="1322EE2C" w14:textId="77777777" w:rsidR="005500DE" w:rsidRDefault="005500DE" w:rsidP="00D46AB9">
            <w:pPr>
              <w:pStyle w:val="NoSpacing"/>
              <w:jc w:val="center"/>
              <w:rPr>
                <w:noProof/>
              </w:rPr>
            </w:pPr>
          </w:p>
          <w:p w14:paraId="32E3C0D4" w14:textId="77777777" w:rsidR="005500DE" w:rsidRDefault="005500DE" w:rsidP="00D46AB9">
            <w:pPr>
              <w:pStyle w:val="NoSpacing"/>
              <w:jc w:val="center"/>
              <w:rPr>
                <w:noProof/>
              </w:rPr>
            </w:pPr>
          </w:p>
          <w:p w14:paraId="391D9BAE" w14:textId="3E17D218" w:rsidR="005500DE" w:rsidRDefault="005500DE" w:rsidP="00D46AB9">
            <w:pPr>
              <w:pStyle w:val="NoSpacing"/>
              <w:jc w:val="center"/>
              <w:rPr>
                <w:noProof/>
              </w:rPr>
            </w:pPr>
            <w:r>
              <w:rPr>
                <w:noProof/>
              </w:rPr>
              <w:drawing>
                <wp:inline distT="0" distB="0" distL="0" distR="0" wp14:anchorId="148C5477" wp14:editId="669113AC">
                  <wp:extent cx="716280" cy="590341"/>
                  <wp:effectExtent l="0" t="0" r="7620" b="635"/>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2"/>
                          <a:stretch>
                            <a:fillRect/>
                          </a:stretch>
                        </pic:blipFill>
                        <pic:spPr>
                          <a:xfrm>
                            <a:off x="0" y="0"/>
                            <a:ext cx="719682" cy="593145"/>
                          </a:xfrm>
                          <a:prstGeom prst="rect">
                            <a:avLst/>
                          </a:prstGeom>
                        </pic:spPr>
                      </pic:pic>
                    </a:graphicData>
                  </a:graphic>
                </wp:inline>
              </w:drawing>
            </w:r>
          </w:p>
        </w:tc>
        <w:tc>
          <w:tcPr>
            <w:tcW w:w="4531" w:type="dxa"/>
            <w:tcBorders>
              <w:top w:val="single" w:sz="4" w:space="0" w:color="FFFFFF"/>
              <w:left w:val="single" w:sz="4" w:space="0" w:color="FFFFFF" w:themeColor="background1"/>
              <w:bottom w:val="single" w:sz="4" w:space="0" w:color="FFFFFF"/>
              <w:right w:val="single" w:sz="4" w:space="0" w:color="FFFFFF"/>
            </w:tcBorders>
          </w:tcPr>
          <w:p w14:paraId="3FEA39CD" w14:textId="77B5EADC" w:rsidR="005500DE" w:rsidRDefault="005500DE" w:rsidP="00D46AB9">
            <w:pPr>
              <w:pStyle w:val="NoSpacing"/>
              <w:jc w:val="center"/>
              <w:rPr>
                <w:noProof/>
              </w:rPr>
            </w:pPr>
            <w:r>
              <w:rPr>
                <w:noProof/>
              </w:rPr>
              <w:drawing>
                <wp:inline distT="0" distB="0" distL="0" distR="0" wp14:anchorId="18FFE167" wp14:editId="2B76DA0D">
                  <wp:extent cx="2400300" cy="2202380"/>
                  <wp:effectExtent l="0" t="0" r="0" b="762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3"/>
                          <a:stretch>
                            <a:fillRect/>
                          </a:stretch>
                        </pic:blipFill>
                        <pic:spPr>
                          <a:xfrm>
                            <a:off x="0" y="0"/>
                            <a:ext cx="2418751" cy="2219310"/>
                          </a:xfrm>
                          <a:prstGeom prst="rect">
                            <a:avLst/>
                          </a:prstGeom>
                        </pic:spPr>
                      </pic:pic>
                    </a:graphicData>
                  </a:graphic>
                </wp:inline>
              </w:drawing>
            </w:r>
          </w:p>
        </w:tc>
      </w:tr>
    </w:tbl>
    <w:p w14:paraId="56DC6121" w14:textId="57981269" w:rsidR="00D46AB9" w:rsidRDefault="00D46AB9" w:rsidP="005500DE">
      <w:pPr>
        <w:pStyle w:val="NoSpacing"/>
      </w:pPr>
    </w:p>
    <w:p w14:paraId="3040F16A" w14:textId="77777777" w:rsidR="00220200" w:rsidRDefault="00220200" w:rsidP="00D46AB9">
      <w:pPr>
        <w:pStyle w:val="NoSpacing"/>
        <w:jc w:val="center"/>
      </w:pPr>
    </w:p>
    <w:p w14:paraId="5736A7B1" w14:textId="688009DA" w:rsidR="0021065F" w:rsidRDefault="0021065F" w:rsidP="0021065F">
      <w:pPr>
        <w:pStyle w:val="NoSpacing"/>
        <w:jc w:val="left"/>
      </w:pPr>
      <w:r>
        <w:t>This s</w:t>
      </w:r>
      <w:r w:rsidR="00864227">
        <w:t>ignal</w:t>
      </w:r>
      <w:r>
        <w:t xml:space="preserve"> was then put through</w:t>
      </w:r>
      <w:r w:rsidR="00220200">
        <w:t xml:space="preserve"> a summing block w</w:t>
      </w:r>
      <w:r w:rsidR="00E2342D">
        <w:t>hich</w:t>
      </w:r>
      <w:r w:rsidR="00220200">
        <w:t xml:space="preserve"> </w:t>
      </w:r>
      <w:r w:rsidR="00E2342D">
        <w:t xml:space="preserve">subtracts </w:t>
      </w:r>
      <w:r w:rsidR="00220200">
        <w:t xml:space="preserve">the feedback </w:t>
      </w:r>
      <w:r w:rsidR="00E2342D">
        <w:t>value from the step input</w:t>
      </w:r>
      <w:r w:rsidR="00220200">
        <w:t xml:space="preserve">. </w:t>
      </w:r>
    </w:p>
    <w:p w14:paraId="3C5670DB" w14:textId="77777777" w:rsidR="00220200" w:rsidRDefault="00220200" w:rsidP="0021065F">
      <w:pPr>
        <w:pStyle w:val="NoSpacing"/>
        <w:jc w:val="left"/>
      </w:pPr>
    </w:p>
    <w:p w14:paraId="7B7FC90C" w14:textId="77777777" w:rsidR="0054099F" w:rsidRDefault="00A50FA7" w:rsidP="001D025E">
      <w:pPr>
        <w:pStyle w:val="NoSpacing"/>
      </w:pPr>
      <w:r>
        <w:t xml:space="preserve">Using a PID (Proportional Integral Derivative) controller, the system could then be tuned to achieve the performance requirements. </w:t>
      </w:r>
      <w:r w:rsidR="0054099F">
        <w:t xml:space="preserve">The output of the controller is defined as s. </w:t>
      </w:r>
    </w:p>
    <w:p w14:paraId="65C3E73B" w14:textId="7EA31744" w:rsidR="0054099F" w:rsidRDefault="00834199" w:rsidP="00834199">
      <w:pPr>
        <w:pStyle w:val="NoSpacing"/>
        <w:jc w:val="center"/>
      </w:pPr>
      <w:r>
        <w:rPr>
          <w:noProof/>
        </w:rPr>
        <w:drawing>
          <wp:inline distT="0" distB="0" distL="0" distR="0" wp14:anchorId="51C09139" wp14:editId="405ED5B7">
            <wp:extent cx="571500" cy="500063"/>
            <wp:effectExtent l="0" t="0" r="0" b="0"/>
            <wp:docPr id="15" name="Picture 15" descr="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Whiteboard&#10;&#10;Description automatically generated"/>
                    <pic:cNvPicPr/>
                  </pic:nvPicPr>
                  <pic:blipFill>
                    <a:blip r:embed="rId14"/>
                    <a:stretch>
                      <a:fillRect/>
                    </a:stretch>
                  </pic:blipFill>
                  <pic:spPr>
                    <a:xfrm>
                      <a:off x="0" y="0"/>
                      <a:ext cx="572869" cy="501261"/>
                    </a:xfrm>
                    <a:prstGeom prst="rect">
                      <a:avLst/>
                    </a:prstGeom>
                  </pic:spPr>
                </pic:pic>
              </a:graphicData>
            </a:graphic>
          </wp:inline>
        </w:drawing>
      </w:r>
    </w:p>
    <w:p w14:paraId="10F23D8C" w14:textId="77777777" w:rsidR="0054099F" w:rsidRDefault="0054099F" w:rsidP="001D025E">
      <w:pPr>
        <w:pStyle w:val="NoSpacing"/>
      </w:pPr>
    </w:p>
    <w:p w14:paraId="79A05A04" w14:textId="278ABFF1" w:rsidR="00D3407F" w:rsidRDefault="00864227" w:rsidP="001D025E">
      <w:pPr>
        <w:pStyle w:val="NoSpacing"/>
      </w:pPr>
      <w:r>
        <w:t xml:space="preserve">The PID uses the following function: </w:t>
      </w:r>
    </w:p>
    <w:p w14:paraId="68D62C01" w14:textId="7B6319CC" w:rsidR="00864227" w:rsidRDefault="00864227" w:rsidP="001D025E">
      <w:pPr>
        <w:pStyle w:val="NoSpacing"/>
      </w:pPr>
    </w:p>
    <w:p w14:paraId="23E1957B" w14:textId="7C8EBC0A" w:rsidR="00864227" w:rsidRDefault="00251969" w:rsidP="001D025E">
      <w:pPr>
        <w:pStyle w:val="NoSpacing"/>
      </w:pPr>
      <m:oMathPara>
        <m:oMath>
          <m:r>
            <w:rPr>
              <w:rFonts w:ascii="Cambria Math" w:hAnsi="Cambria Math"/>
              <w:sz w:val="28"/>
              <w:szCs w:val="24"/>
            </w:rPr>
            <m:t>C</m:t>
          </m:r>
          <m:d>
            <m:dPr>
              <m:ctrlPr>
                <w:rPr>
                  <w:rFonts w:ascii="Cambria Math" w:hAnsi="Cambria Math"/>
                  <w:i/>
                  <w:sz w:val="28"/>
                  <w:szCs w:val="24"/>
                </w:rPr>
              </m:ctrlPr>
            </m:dPr>
            <m:e>
              <m:r>
                <w:rPr>
                  <w:rFonts w:ascii="Cambria Math" w:hAnsi="Cambria Math"/>
                  <w:sz w:val="28"/>
                  <w:szCs w:val="24"/>
                </w:rPr>
                <m:t>s</m:t>
              </m:r>
            </m:e>
          </m:d>
          <m:r>
            <w:rPr>
              <w:rFonts w:ascii="Cambria Math" w:hAnsi="Cambria Math"/>
              <w:sz w:val="28"/>
              <w:szCs w:val="24"/>
            </w:rPr>
            <m:t>=Kp+Ki</m:t>
          </m:r>
          <m:f>
            <m:fPr>
              <m:ctrlPr>
                <w:rPr>
                  <w:rFonts w:ascii="Cambria Math" w:hAnsi="Cambria Math"/>
                  <w:i/>
                  <w:sz w:val="28"/>
                  <w:szCs w:val="24"/>
                </w:rPr>
              </m:ctrlPr>
            </m:fPr>
            <m:num>
              <m:r>
                <w:rPr>
                  <w:rFonts w:ascii="Cambria Math" w:hAnsi="Cambria Math"/>
                  <w:sz w:val="28"/>
                  <w:szCs w:val="24"/>
                </w:rPr>
                <m:t>1</m:t>
              </m:r>
            </m:num>
            <m:den>
              <m:r>
                <w:rPr>
                  <w:rFonts w:ascii="Cambria Math" w:hAnsi="Cambria Math"/>
                  <w:sz w:val="28"/>
                  <w:szCs w:val="24"/>
                </w:rPr>
                <m:t>s</m:t>
              </m:r>
            </m:den>
          </m:f>
          <m:r>
            <w:rPr>
              <w:rFonts w:ascii="Cambria Math" w:hAnsi="Cambria Math"/>
              <w:sz w:val="28"/>
              <w:szCs w:val="24"/>
            </w:rPr>
            <m:t>+Kd</m:t>
          </m:r>
          <m:f>
            <m:fPr>
              <m:ctrlPr>
                <w:rPr>
                  <w:rFonts w:ascii="Cambria Math" w:hAnsi="Cambria Math"/>
                  <w:i/>
                  <w:sz w:val="28"/>
                  <w:szCs w:val="24"/>
                </w:rPr>
              </m:ctrlPr>
            </m:fPr>
            <m:num>
              <m:r>
                <w:rPr>
                  <w:rFonts w:ascii="Cambria Math" w:hAnsi="Cambria Math"/>
                  <w:sz w:val="28"/>
                  <w:szCs w:val="24"/>
                </w:rPr>
                <m:t>s</m:t>
              </m:r>
            </m:num>
            <m:den>
              <m:f>
                <m:fPr>
                  <m:ctrlPr>
                    <w:rPr>
                      <w:rFonts w:ascii="Cambria Math" w:hAnsi="Cambria Math"/>
                      <w:i/>
                      <w:sz w:val="28"/>
                      <w:szCs w:val="24"/>
                    </w:rPr>
                  </m:ctrlPr>
                </m:fPr>
                <m:num>
                  <m:r>
                    <w:rPr>
                      <w:rFonts w:ascii="Cambria Math" w:hAnsi="Cambria Math"/>
                      <w:sz w:val="28"/>
                      <w:szCs w:val="24"/>
                    </w:rPr>
                    <m:t>1</m:t>
                  </m:r>
                </m:num>
                <m:den>
                  <m:r>
                    <w:rPr>
                      <w:rFonts w:ascii="Cambria Math" w:hAnsi="Cambria Math"/>
                      <w:sz w:val="28"/>
                      <w:szCs w:val="24"/>
                    </w:rPr>
                    <m:t>N</m:t>
                  </m:r>
                </m:den>
              </m:f>
              <m:r>
                <w:rPr>
                  <w:rFonts w:ascii="Cambria Math" w:hAnsi="Cambria Math"/>
                  <w:sz w:val="28"/>
                  <w:szCs w:val="24"/>
                </w:rPr>
                <m:t>s+1</m:t>
              </m:r>
            </m:den>
          </m:f>
        </m:oMath>
      </m:oMathPara>
    </w:p>
    <w:p w14:paraId="2F660088" w14:textId="772F30C1" w:rsidR="00E2342D" w:rsidRDefault="00E2342D" w:rsidP="001D025E">
      <w:pPr>
        <w:pStyle w:val="NoSpacing"/>
      </w:pPr>
    </w:p>
    <w:p w14:paraId="686E43A9" w14:textId="238BF786" w:rsidR="00E2342D" w:rsidRDefault="00E2342D" w:rsidP="001D025E">
      <w:pPr>
        <w:pStyle w:val="NoSpacing"/>
      </w:pPr>
      <w:r>
        <w:lastRenderedPageBreak/>
        <w:t xml:space="preserve">Following this, the values for a, b and c </w:t>
      </w:r>
      <w:r w:rsidR="005500DE">
        <w:t>were substituted into the transfer function, and then this was put</w:t>
      </w:r>
      <w:r>
        <w:t xml:space="preserve"> into a transfer function block</w:t>
      </w:r>
      <w:r w:rsidR="005500DE">
        <w:t xml:space="preserve"> which represents the turret’s angular positioning system.</w:t>
      </w:r>
    </w:p>
    <w:p w14:paraId="07A9C801" w14:textId="43263CDA" w:rsidR="004C1F14" w:rsidRDefault="005500DE" w:rsidP="004C1F14">
      <w:pPr>
        <w:pStyle w:val="NoSpacing"/>
        <w:jc w:val="center"/>
      </w:pPr>
      <w:r>
        <w:rPr>
          <w:noProof/>
        </w:rPr>
        <w:drawing>
          <wp:inline distT="0" distB="0" distL="0" distR="0" wp14:anchorId="338C3C17" wp14:editId="672D3DEF">
            <wp:extent cx="838199" cy="609600"/>
            <wp:effectExtent l="0" t="0" r="635"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5"/>
                    <a:srcRect l="47027" t="45725" r="37668" b="24535"/>
                    <a:stretch/>
                  </pic:blipFill>
                  <pic:spPr bwMode="auto">
                    <a:xfrm>
                      <a:off x="0" y="0"/>
                      <a:ext cx="839296" cy="610398"/>
                    </a:xfrm>
                    <a:prstGeom prst="rect">
                      <a:avLst/>
                    </a:prstGeom>
                    <a:ln>
                      <a:noFill/>
                    </a:ln>
                    <a:extLst>
                      <a:ext uri="{53640926-AAD7-44D8-BBD7-CCE9431645EC}">
                        <a14:shadowObscured xmlns:a14="http://schemas.microsoft.com/office/drawing/2010/main"/>
                      </a:ext>
                    </a:extLst>
                  </pic:spPr>
                </pic:pic>
              </a:graphicData>
            </a:graphic>
          </wp:inline>
        </w:drawing>
      </w:r>
      <w:r w:rsidR="00793DAB">
        <w:t>0.</w:t>
      </w:r>
    </w:p>
    <w:p w14:paraId="76B6089D" w14:textId="57A69963" w:rsidR="00B22E5F" w:rsidRDefault="00B22E5F" w:rsidP="00B22E5F">
      <w:pPr>
        <w:pStyle w:val="NoSpacing"/>
      </w:pPr>
      <w:r>
        <w:t xml:space="preserve">A scope was added to </w:t>
      </w:r>
      <w:r w:rsidR="004C1F14">
        <w:t>display the signal at various points of the control process.</w:t>
      </w:r>
    </w:p>
    <w:p w14:paraId="299D8776" w14:textId="0B48E09B" w:rsidR="00B22E5F" w:rsidRDefault="00B22E5F" w:rsidP="00B22E5F">
      <w:pPr>
        <w:pStyle w:val="NoSpacing"/>
        <w:jc w:val="left"/>
      </w:pPr>
    </w:p>
    <w:p w14:paraId="7F389A41" w14:textId="6B5689E9" w:rsidR="000F32CA" w:rsidRDefault="000F32CA" w:rsidP="000F32CA">
      <w:pPr>
        <w:pStyle w:val="NoSpacing"/>
        <w:rPr>
          <w:noProof/>
        </w:rPr>
      </w:pPr>
      <w:r>
        <w:rPr>
          <w:noProof/>
        </w:rPr>
        <w:t xml:space="preserve">The </w:t>
      </w:r>
      <w:r w:rsidR="00B22E5F">
        <w:rPr>
          <w:noProof/>
        </w:rPr>
        <w:t xml:space="preserve">closed loop control </w:t>
      </w:r>
      <w:r>
        <w:rPr>
          <w:noProof/>
        </w:rPr>
        <w:t>system represented in Simulink can be seen below.</w:t>
      </w:r>
    </w:p>
    <w:p w14:paraId="6A791FD4" w14:textId="6B600E26" w:rsidR="00B22E5F" w:rsidRDefault="00D3407F" w:rsidP="004C1F14">
      <w:pPr>
        <w:pStyle w:val="NoSpacing"/>
        <w:jc w:val="center"/>
      </w:pPr>
      <w:r>
        <w:rPr>
          <w:noProof/>
        </w:rPr>
        <w:drawing>
          <wp:inline distT="0" distB="0" distL="0" distR="0" wp14:anchorId="2B910B77" wp14:editId="33C9FC71">
            <wp:extent cx="5476875" cy="2049828"/>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5"/>
                    <a:stretch>
                      <a:fillRect/>
                    </a:stretch>
                  </pic:blipFill>
                  <pic:spPr>
                    <a:xfrm>
                      <a:off x="0" y="0"/>
                      <a:ext cx="5483916" cy="2052463"/>
                    </a:xfrm>
                    <a:prstGeom prst="rect">
                      <a:avLst/>
                    </a:prstGeom>
                  </pic:spPr>
                </pic:pic>
              </a:graphicData>
            </a:graphic>
          </wp:inline>
        </w:drawing>
      </w:r>
    </w:p>
    <w:p w14:paraId="7FA86B9E" w14:textId="5BF06B07" w:rsidR="00CD712F" w:rsidRDefault="000F32CA" w:rsidP="000F32CA">
      <w:pPr>
        <w:pStyle w:val="NoSpacing"/>
      </w:pPr>
      <w:r>
        <w:t xml:space="preserve">To find the transfer function of the entire closed loop system, G(s) and C(s) must be multiplied together. </w:t>
      </w:r>
    </w:p>
    <w:p w14:paraId="3146C2B0" w14:textId="02A796EF" w:rsidR="000F32CA" w:rsidRDefault="000F32CA" w:rsidP="000F32CA">
      <w:pPr>
        <w:pStyle w:val="NoSpacing"/>
      </w:pPr>
    </w:p>
    <w:p w14:paraId="7255FCC1" w14:textId="1887C49C" w:rsidR="000F32CA" w:rsidRDefault="00070146" w:rsidP="000F32CA">
      <w:pPr>
        <w:pStyle w:val="NoSpacing"/>
        <w:jc w:val="center"/>
      </w:pPr>
      <w:r>
        <w:t xml:space="preserve">Whole system transfer function = </w:t>
      </w:r>
      <w:r w:rsidR="000F32CA">
        <w:t>G(s) x C(s)</w:t>
      </w:r>
    </w:p>
    <w:p w14:paraId="2B8E4288" w14:textId="77777777" w:rsidR="00070146" w:rsidRDefault="00070146" w:rsidP="000F32CA">
      <w:pPr>
        <w:pStyle w:val="NoSpacing"/>
        <w:jc w:val="center"/>
      </w:pPr>
    </w:p>
    <w:p w14:paraId="2D370475" w14:textId="19500D83" w:rsidR="00070146" w:rsidRPr="003F019E" w:rsidRDefault="00070146" w:rsidP="00070146">
      <w:pPr>
        <w:pStyle w:val="NoSpacing"/>
        <w:jc w:val="center"/>
        <w:rPr>
          <w:rFonts w:ascii="Cambria Math" w:hAnsi="Cambria Math"/>
          <w:sz w:val="32"/>
          <w:szCs w:val="32"/>
        </w:rPr>
      </w:pPr>
      <w:r w:rsidRPr="003F019E">
        <w:rPr>
          <w:rFonts w:ascii="Cambria Math" w:hAnsi="Cambria Math"/>
          <w:sz w:val="32"/>
          <w:szCs w:val="32"/>
        </w:rPr>
        <w:t xml:space="preserve">= </w:t>
      </w:r>
      <w:r w:rsidR="00103C93">
        <w:rPr>
          <w:rFonts w:ascii="Cambria Math" w:hAnsi="Cambria Math"/>
          <w:sz w:val="32"/>
          <w:szCs w:val="32"/>
        </w:rPr>
        <w:t>(</w:t>
      </w:r>
      <m:oMath>
        <m:r>
          <w:rPr>
            <w:rFonts w:ascii="Cambria Math" w:hAnsi="Cambria Math"/>
            <w:sz w:val="32"/>
            <w:szCs w:val="32"/>
          </w:rPr>
          <m:t>Kp+Ki</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s</m:t>
            </m:r>
          </m:den>
        </m:f>
        <m:r>
          <w:rPr>
            <w:rFonts w:ascii="Cambria Math" w:hAnsi="Cambria Math"/>
            <w:sz w:val="32"/>
            <w:szCs w:val="32"/>
          </w:rPr>
          <m:t>+Kd</m:t>
        </m:r>
        <m:f>
          <m:fPr>
            <m:ctrlPr>
              <w:rPr>
                <w:rFonts w:ascii="Cambria Math" w:hAnsi="Cambria Math"/>
                <w:i/>
                <w:sz w:val="32"/>
                <w:szCs w:val="32"/>
              </w:rPr>
            </m:ctrlPr>
          </m:fPr>
          <m:num>
            <m:r>
              <w:rPr>
                <w:rFonts w:ascii="Cambria Math" w:hAnsi="Cambria Math"/>
                <w:sz w:val="32"/>
                <w:szCs w:val="32"/>
              </w:rPr>
              <m:t>s</m:t>
            </m:r>
          </m:num>
          <m:den>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N</m:t>
                </m:r>
              </m:den>
            </m:f>
            <m:r>
              <w:rPr>
                <w:rFonts w:ascii="Cambria Math" w:hAnsi="Cambria Math"/>
                <w:sz w:val="32"/>
                <w:szCs w:val="32"/>
              </w:rPr>
              <m:t>s+1</m:t>
            </m:r>
          </m:den>
        </m:f>
        <m:r>
          <w:rPr>
            <w:rFonts w:ascii="Cambria Math" w:hAnsi="Cambria Math"/>
            <w:sz w:val="32"/>
            <w:szCs w:val="32"/>
          </w:rPr>
          <m:t>)</m:t>
        </m:r>
      </m:oMath>
      <w:r w:rsidRPr="003F019E">
        <w:rPr>
          <w:rFonts w:ascii="Cambria Math" w:hAnsi="Cambria Math"/>
          <w:sz w:val="32"/>
          <w:szCs w:val="32"/>
        </w:rPr>
        <w:t xml:space="preserve"> x </w:t>
      </w:r>
      <m:oMath>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a</m:t>
            </m:r>
            <m:sSup>
              <m:sSupPr>
                <m:ctrlPr>
                  <w:rPr>
                    <w:rFonts w:ascii="Cambria Math" w:hAnsi="Cambria Math"/>
                    <w:i/>
                    <w:sz w:val="32"/>
                    <w:szCs w:val="32"/>
                  </w:rPr>
                </m:ctrlPr>
              </m:sSupPr>
              <m:e>
                <m:r>
                  <w:rPr>
                    <w:rFonts w:ascii="Cambria Math" w:hAnsi="Cambria Math"/>
                    <w:sz w:val="32"/>
                    <w:szCs w:val="32"/>
                  </w:rPr>
                  <m:t>s</m:t>
                </m:r>
              </m:e>
              <m:sup>
                <m:r>
                  <w:rPr>
                    <w:rFonts w:ascii="Cambria Math" w:hAnsi="Cambria Math"/>
                    <w:sz w:val="32"/>
                    <w:szCs w:val="32"/>
                  </w:rPr>
                  <m:t>2</m:t>
                </m:r>
              </m:sup>
            </m:sSup>
            <m:r>
              <w:rPr>
                <w:rFonts w:ascii="Cambria Math" w:hAnsi="Cambria Math"/>
                <w:sz w:val="32"/>
                <w:szCs w:val="32"/>
              </w:rPr>
              <m:t>+bs+c</m:t>
            </m:r>
          </m:den>
        </m:f>
        <m:r>
          <w:rPr>
            <w:rFonts w:ascii="Cambria Math" w:hAnsi="Cambria Math"/>
            <w:sz w:val="32"/>
            <w:szCs w:val="32"/>
          </w:rPr>
          <m:t>)</m:t>
        </m:r>
      </m:oMath>
    </w:p>
    <w:p w14:paraId="67BC9D79" w14:textId="77777777" w:rsidR="00070146" w:rsidRDefault="00070146" w:rsidP="00070146">
      <w:pPr>
        <w:pStyle w:val="NoSpacing"/>
        <w:jc w:val="center"/>
        <w:rPr>
          <w:sz w:val="28"/>
          <w:szCs w:val="24"/>
        </w:rPr>
      </w:pPr>
    </w:p>
    <w:p w14:paraId="240DF488" w14:textId="77777777" w:rsidR="00FE6A32" w:rsidRDefault="00070146" w:rsidP="00070146">
      <w:pPr>
        <w:pStyle w:val="NoSpacing"/>
        <w:jc w:val="center"/>
        <w:rPr>
          <w:rFonts w:ascii="Cambria Math" w:hAnsi="Cambria Math"/>
          <w:sz w:val="32"/>
          <w:szCs w:val="28"/>
        </w:rPr>
      </w:pPr>
      <w:r w:rsidRPr="003F019E">
        <w:rPr>
          <w:rFonts w:ascii="Cambria Math" w:hAnsi="Cambria Math"/>
          <w:sz w:val="32"/>
          <w:szCs w:val="28"/>
        </w:rPr>
        <w:t xml:space="preserve">= </w:t>
      </w:r>
      <m:oMath>
        <m:f>
          <m:fPr>
            <m:ctrlPr>
              <w:rPr>
                <w:rFonts w:ascii="Cambria Math" w:hAnsi="Cambria Math"/>
                <w:i/>
                <w:sz w:val="32"/>
                <w:szCs w:val="28"/>
              </w:rPr>
            </m:ctrlPr>
          </m:fPr>
          <m:num>
            <m:d>
              <m:dPr>
                <m:ctrlPr>
                  <w:rPr>
                    <w:rFonts w:ascii="Cambria Math" w:hAnsi="Cambria Math"/>
                    <w:i/>
                    <w:sz w:val="32"/>
                    <w:szCs w:val="28"/>
                  </w:rPr>
                </m:ctrlPr>
              </m:dPr>
              <m:e>
                <m:r>
                  <w:rPr>
                    <w:rFonts w:ascii="Cambria Math" w:hAnsi="Cambria Math"/>
                    <w:sz w:val="32"/>
                    <w:szCs w:val="28"/>
                  </w:rPr>
                  <m:t>Kp+NKd</m:t>
                </m:r>
              </m:e>
            </m:d>
            <m:sSup>
              <m:sSupPr>
                <m:ctrlPr>
                  <w:rPr>
                    <w:rFonts w:ascii="Cambria Math" w:hAnsi="Cambria Math"/>
                    <w:i/>
                    <w:sz w:val="32"/>
                    <w:szCs w:val="28"/>
                  </w:rPr>
                </m:ctrlPr>
              </m:sSupPr>
              <m:e>
                <m:r>
                  <w:rPr>
                    <w:rFonts w:ascii="Cambria Math" w:hAnsi="Cambria Math"/>
                    <w:sz w:val="32"/>
                    <w:szCs w:val="28"/>
                  </w:rPr>
                  <m:t>s</m:t>
                </m:r>
              </m:e>
              <m:sup>
                <m:r>
                  <w:rPr>
                    <w:rFonts w:ascii="Cambria Math" w:hAnsi="Cambria Math"/>
                    <w:sz w:val="32"/>
                    <w:szCs w:val="28"/>
                  </w:rPr>
                  <m:t>2</m:t>
                </m:r>
              </m:sup>
            </m:sSup>
            <m:r>
              <w:rPr>
                <w:rFonts w:ascii="Cambria Math" w:hAnsi="Cambria Math"/>
                <w:sz w:val="32"/>
                <w:szCs w:val="28"/>
              </w:rPr>
              <m:t>+</m:t>
            </m:r>
            <m:d>
              <m:dPr>
                <m:ctrlPr>
                  <w:rPr>
                    <w:rFonts w:ascii="Cambria Math" w:hAnsi="Cambria Math"/>
                    <w:i/>
                    <w:sz w:val="32"/>
                    <w:szCs w:val="28"/>
                  </w:rPr>
                </m:ctrlPr>
              </m:dPr>
              <m:e>
                <m:r>
                  <w:rPr>
                    <w:rFonts w:ascii="Cambria Math" w:hAnsi="Cambria Math"/>
                    <w:sz w:val="32"/>
                    <w:szCs w:val="28"/>
                  </w:rPr>
                  <m:t>NKp+Ki</m:t>
                </m:r>
              </m:e>
            </m:d>
            <m:r>
              <w:rPr>
                <w:rFonts w:ascii="Cambria Math" w:hAnsi="Cambria Math"/>
                <w:sz w:val="32"/>
                <w:szCs w:val="28"/>
              </w:rPr>
              <m:t xml:space="preserve">s+NKi </m:t>
            </m:r>
          </m:num>
          <m:den>
            <m:r>
              <w:rPr>
                <w:rFonts w:ascii="Cambria Math" w:hAnsi="Cambria Math"/>
                <w:sz w:val="32"/>
                <w:szCs w:val="28"/>
              </w:rPr>
              <m:t>a</m:t>
            </m:r>
            <m:sSup>
              <m:sSupPr>
                <m:ctrlPr>
                  <w:rPr>
                    <w:rFonts w:ascii="Cambria Math" w:hAnsi="Cambria Math"/>
                    <w:i/>
                    <w:sz w:val="32"/>
                    <w:szCs w:val="28"/>
                  </w:rPr>
                </m:ctrlPr>
              </m:sSupPr>
              <m:e>
                <m:r>
                  <w:rPr>
                    <w:rFonts w:ascii="Cambria Math" w:hAnsi="Cambria Math"/>
                    <w:sz w:val="32"/>
                    <w:szCs w:val="28"/>
                  </w:rPr>
                  <m:t>s</m:t>
                </m:r>
              </m:e>
              <m:sup>
                <m:r>
                  <w:rPr>
                    <w:rFonts w:ascii="Cambria Math" w:hAnsi="Cambria Math"/>
                    <w:sz w:val="32"/>
                    <w:szCs w:val="28"/>
                  </w:rPr>
                  <m:t>4</m:t>
                </m:r>
              </m:sup>
            </m:sSup>
            <m:r>
              <w:rPr>
                <w:rFonts w:ascii="Cambria Math" w:hAnsi="Cambria Math"/>
                <w:sz w:val="32"/>
                <w:szCs w:val="28"/>
              </w:rPr>
              <m:t>+</m:t>
            </m:r>
            <m:d>
              <m:dPr>
                <m:ctrlPr>
                  <w:rPr>
                    <w:rFonts w:ascii="Cambria Math" w:hAnsi="Cambria Math"/>
                    <w:i/>
                    <w:sz w:val="32"/>
                    <w:szCs w:val="28"/>
                  </w:rPr>
                </m:ctrlPr>
              </m:dPr>
              <m:e>
                <m:r>
                  <w:rPr>
                    <w:rFonts w:ascii="Cambria Math" w:hAnsi="Cambria Math"/>
                    <w:sz w:val="32"/>
                    <w:szCs w:val="28"/>
                  </w:rPr>
                  <m:t>aN+b</m:t>
                </m:r>
              </m:e>
            </m:d>
            <m:sSup>
              <m:sSupPr>
                <m:ctrlPr>
                  <w:rPr>
                    <w:rFonts w:ascii="Cambria Math" w:hAnsi="Cambria Math"/>
                    <w:i/>
                    <w:sz w:val="32"/>
                    <w:szCs w:val="28"/>
                  </w:rPr>
                </m:ctrlPr>
              </m:sSupPr>
              <m:e>
                <m:r>
                  <w:rPr>
                    <w:rFonts w:ascii="Cambria Math" w:hAnsi="Cambria Math"/>
                    <w:sz w:val="32"/>
                    <w:szCs w:val="28"/>
                  </w:rPr>
                  <m:t>s</m:t>
                </m:r>
              </m:e>
              <m:sup>
                <m:r>
                  <w:rPr>
                    <w:rFonts w:ascii="Cambria Math" w:hAnsi="Cambria Math"/>
                    <w:sz w:val="32"/>
                    <w:szCs w:val="28"/>
                  </w:rPr>
                  <m:t>3</m:t>
                </m:r>
              </m:sup>
            </m:sSup>
            <m:r>
              <w:rPr>
                <w:rFonts w:ascii="Cambria Math" w:hAnsi="Cambria Math"/>
                <w:sz w:val="32"/>
                <w:szCs w:val="28"/>
              </w:rPr>
              <m:t>+</m:t>
            </m:r>
            <m:d>
              <m:dPr>
                <m:ctrlPr>
                  <w:rPr>
                    <w:rFonts w:ascii="Cambria Math" w:hAnsi="Cambria Math"/>
                    <w:i/>
                    <w:sz w:val="32"/>
                    <w:szCs w:val="28"/>
                  </w:rPr>
                </m:ctrlPr>
              </m:dPr>
              <m:e>
                <m:r>
                  <w:rPr>
                    <w:rFonts w:ascii="Cambria Math" w:hAnsi="Cambria Math"/>
                    <w:sz w:val="32"/>
                    <w:szCs w:val="28"/>
                  </w:rPr>
                  <m:t>Kp+NKd+bN+c</m:t>
                </m:r>
              </m:e>
            </m:d>
            <m:sSup>
              <m:sSupPr>
                <m:ctrlPr>
                  <w:rPr>
                    <w:rFonts w:ascii="Cambria Math" w:hAnsi="Cambria Math"/>
                    <w:i/>
                    <w:sz w:val="32"/>
                    <w:szCs w:val="28"/>
                  </w:rPr>
                </m:ctrlPr>
              </m:sSupPr>
              <m:e>
                <m:r>
                  <w:rPr>
                    <w:rFonts w:ascii="Cambria Math" w:hAnsi="Cambria Math"/>
                    <w:sz w:val="32"/>
                    <w:szCs w:val="28"/>
                  </w:rPr>
                  <m:t>s</m:t>
                </m:r>
              </m:e>
              <m:sup>
                <m:r>
                  <w:rPr>
                    <w:rFonts w:ascii="Cambria Math" w:hAnsi="Cambria Math"/>
                    <w:sz w:val="32"/>
                    <w:szCs w:val="28"/>
                  </w:rPr>
                  <m:t>2</m:t>
                </m:r>
              </m:sup>
            </m:sSup>
            <m:r>
              <w:rPr>
                <w:rFonts w:ascii="Cambria Math" w:hAnsi="Cambria Math"/>
                <w:sz w:val="32"/>
                <w:szCs w:val="28"/>
              </w:rPr>
              <m:t>+</m:t>
            </m:r>
            <m:d>
              <m:dPr>
                <m:ctrlPr>
                  <w:rPr>
                    <w:rFonts w:ascii="Cambria Math" w:hAnsi="Cambria Math"/>
                    <w:i/>
                    <w:sz w:val="32"/>
                    <w:szCs w:val="28"/>
                  </w:rPr>
                </m:ctrlPr>
              </m:dPr>
              <m:e>
                <m:r>
                  <w:rPr>
                    <w:rFonts w:ascii="Cambria Math" w:hAnsi="Cambria Math"/>
                    <w:sz w:val="32"/>
                    <w:szCs w:val="28"/>
                  </w:rPr>
                  <m:t>NKp+Ki+cN</m:t>
                </m:r>
              </m:e>
            </m:d>
            <m:r>
              <w:rPr>
                <w:rFonts w:ascii="Cambria Math" w:hAnsi="Cambria Math"/>
                <w:sz w:val="32"/>
                <w:szCs w:val="28"/>
              </w:rPr>
              <m:t>s+NKi</m:t>
            </m:r>
          </m:den>
        </m:f>
      </m:oMath>
    </w:p>
    <w:p w14:paraId="2B42DD42" w14:textId="77777777" w:rsidR="00FE6A32" w:rsidRDefault="00FE6A32" w:rsidP="00070146">
      <w:pPr>
        <w:pStyle w:val="NoSpacing"/>
        <w:jc w:val="center"/>
        <w:rPr>
          <w:rFonts w:cs="Arial"/>
          <w:szCs w:val="24"/>
        </w:rPr>
      </w:pPr>
    </w:p>
    <w:p w14:paraId="22A4C4ED" w14:textId="5F2FB5BA" w:rsidR="00FE6A32" w:rsidRDefault="00FE6A32" w:rsidP="00FE6A32">
      <w:pPr>
        <w:pStyle w:val="NoSpacing"/>
        <w:jc w:val="left"/>
        <w:rPr>
          <w:rFonts w:cs="Arial"/>
          <w:szCs w:val="24"/>
        </w:rPr>
      </w:pPr>
      <w:r>
        <w:rPr>
          <w:rFonts w:cs="Arial"/>
          <w:szCs w:val="24"/>
        </w:rPr>
        <w:t xml:space="preserve">This is then simplified as follows using the MATLAB command log: </w:t>
      </w:r>
    </w:p>
    <w:p w14:paraId="445B81D4" w14:textId="77777777" w:rsidR="00543AC5" w:rsidRDefault="00543AC5" w:rsidP="00FE6A32">
      <w:pPr>
        <w:pStyle w:val="NoSpacing"/>
        <w:jc w:val="left"/>
        <w:rPr>
          <w:rFonts w:cs="Arial"/>
          <w:szCs w:val="24"/>
        </w:rPr>
      </w:pPr>
    </w:p>
    <w:tbl>
      <w:tblPr>
        <w:tblStyle w:val="TableGrid"/>
        <w:tblW w:w="0" w:type="auto"/>
        <w:tblLook w:val="04A0" w:firstRow="1" w:lastRow="0" w:firstColumn="1" w:lastColumn="0" w:noHBand="0" w:noVBand="1"/>
      </w:tblPr>
      <w:tblGrid>
        <w:gridCol w:w="4530"/>
        <w:gridCol w:w="4531"/>
      </w:tblGrid>
      <w:tr w:rsidR="00FE6A32" w14:paraId="7F9857B0" w14:textId="77777777" w:rsidTr="00543AC5">
        <w:tc>
          <w:tcPr>
            <w:tcW w:w="4530" w:type="dxa"/>
            <w:tcBorders>
              <w:top w:val="single" w:sz="4" w:space="0" w:color="FFFFFF"/>
              <w:left w:val="single" w:sz="4" w:space="0" w:color="FFFFFF"/>
              <w:bottom w:val="single" w:sz="4" w:space="0" w:color="FFFFFF"/>
              <w:right w:val="single" w:sz="4" w:space="0" w:color="FFFFFF"/>
            </w:tcBorders>
          </w:tcPr>
          <w:p w14:paraId="78774787" w14:textId="4FF99EE6" w:rsidR="00FE6A32" w:rsidRDefault="00543AC5" w:rsidP="00FE6A32">
            <w:pPr>
              <w:pStyle w:val="NoSpacing"/>
              <w:jc w:val="center"/>
            </w:pPr>
            <w:r>
              <w:rPr>
                <w:noProof/>
              </w:rPr>
              <w:drawing>
                <wp:inline distT="0" distB="0" distL="0" distR="0" wp14:anchorId="3651C9FA" wp14:editId="01BB3A15">
                  <wp:extent cx="1295401" cy="5562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01368" cy="558822"/>
                          </a:xfrm>
                          <a:prstGeom prst="rect">
                            <a:avLst/>
                          </a:prstGeom>
                        </pic:spPr>
                      </pic:pic>
                    </a:graphicData>
                  </a:graphic>
                </wp:inline>
              </w:drawing>
            </w:r>
          </w:p>
        </w:tc>
        <w:tc>
          <w:tcPr>
            <w:tcW w:w="4531" w:type="dxa"/>
            <w:tcBorders>
              <w:top w:val="single" w:sz="4" w:space="0" w:color="FFFFFF"/>
              <w:left w:val="single" w:sz="4" w:space="0" w:color="FFFFFF"/>
              <w:bottom w:val="single" w:sz="4" w:space="0" w:color="FFFFFF"/>
              <w:right w:val="single" w:sz="4" w:space="0" w:color="FFFFFF"/>
            </w:tcBorders>
          </w:tcPr>
          <w:p w14:paraId="12FFEF9F" w14:textId="4E39BB60" w:rsidR="00543AC5" w:rsidRDefault="00FE6A32" w:rsidP="00543AC5">
            <w:pPr>
              <w:pStyle w:val="NoSpacing"/>
              <w:jc w:val="center"/>
            </w:pPr>
            <w:r>
              <w:rPr>
                <w:noProof/>
              </w:rPr>
              <w:drawing>
                <wp:inline distT="0" distB="0" distL="0" distR="0" wp14:anchorId="29A3D099" wp14:editId="7D23FB7C">
                  <wp:extent cx="1653540" cy="998220"/>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58014" cy="1000921"/>
                          </a:xfrm>
                          <a:prstGeom prst="rect">
                            <a:avLst/>
                          </a:prstGeom>
                        </pic:spPr>
                      </pic:pic>
                    </a:graphicData>
                  </a:graphic>
                </wp:inline>
              </w:drawing>
            </w:r>
          </w:p>
        </w:tc>
      </w:tr>
    </w:tbl>
    <w:p w14:paraId="0870D8E4" w14:textId="0EFB4668" w:rsidR="00543AC5" w:rsidRDefault="00543AC5" w:rsidP="00543AC5">
      <w:pPr>
        <w:pStyle w:val="NoSpacing"/>
        <w:jc w:val="left"/>
      </w:pPr>
      <w:r>
        <w:t xml:space="preserve">Using these simplified values, the forward transfer function </w:t>
      </w:r>
      <w:r w:rsidR="00B22E5F">
        <w:t>was</w:t>
      </w:r>
      <w:r>
        <w:t xml:space="preserve"> implemented as the following: </w:t>
      </w:r>
    </w:p>
    <w:p w14:paraId="065E9472" w14:textId="7494A549" w:rsidR="00543AC5" w:rsidRDefault="00543AC5" w:rsidP="00543AC5">
      <w:pPr>
        <w:pStyle w:val="NoSpacing"/>
        <w:jc w:val="left"/>
      </w:pPr>
    </w:p>
    <w:p w14:paraId="7217258B" w14:textId="592DED43" w:rsidR="000B005C" w:rsidRDefault="0015218F" w:rsidP="00CD712F">
      <w:pPr>
        <w:pStyle w:val="NoSpacing"/>
        <w:jc w:val="left"/>
      </w:pPr>
      <m:oMathPara>
        <m:oMath>
          <m:f>
            <m:fPr>
              <m:ctrlPr>
                <w:rPr>
                  <w:rFonts w:ascii="Cambria Math" w:hAnsi="Cambria Math"/>
                  <w:i/>
                </w:rPr>
              </m:ctrlPr>
            </m:fPr>
            <m:num>
              <m:r>
                <w:rPr>
                  <w:rFonts w:ascii="Cambria Math" w:hAnsi="Cambria Math"/>
                </w:rPr>
                <m:t>N1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xml:space="preserve">+N2s+N3 </m:t>
              </m:r>
            </m:num>
            <m:den>
              <m:r>
                <w:rPr>
                  <w:rFonts w:ascii="Cambria Math" w:hAnsi="Cambria Math"/>
                </w:rPr>
                <m:t>D1</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+D2</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+D3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+D4s+D5</m:t>
              </m:r>
            </m:den>
          </m:f>
          <m:r>
            <m:rPr>
              <m:sty m:val="p"/>
            </m:rPr>
            <w:br/>
          </m:r>
        </m:oMath>
      </m:oMathPara>
      <w:r w:rsidR="00B22E5F">
        <w:t xml:space="preserve">The stepped signal was input into this transfer function, and the outgoing signal was added to the scope. </w:t>
      </w:r>
    </w:p>
    <w:p w14:paraId="51F40B1D" w14:textId="721DFEEA" w:rsidR="00001945" w:rsidRPr="000B005C" w:rsidRDefault="00001945" w:rsidP="00CD712F">
      <w:pPr>
        <w:pStyle w:val="NoSpacing"/>
        <w:jc w:val="left"/>
      </w:pPr>
      <w:r>
        <w:lastRenderedPageBreak/>
        <w:t>Utilizing the data gathered, the MATLAB command log was used to plot several graphs</w:t>
      </w:r>
      <w:r w:rsidR="001E01AB">
        <w:t xml:space="preserve">. The graphs and diagrams plotted were: Nyquist plot of the forward transfer function (turret tf), pole zero plot of closed loop transfer function (whole control system tf) and a pole location waveform of the signal’s displacement over time, which was plotted using the values from the pole furthest from the origin. </w:t>
      </w:r>
    </w:p>
    <w:p w14:paraId="12868155" w14:textId="7E124583" w:rsidR="00643F08" w:rsidRDefault="00643F08" w:rsidP="00643F08">
      <w:pPr>
        <w:pStyle w:val="Heading1"/>
      </w:pPr>
      <w:bookmarkStart w:id="3" w:name="_Toc92214237"/>
      <w:r>
        <w:t>Results</w:t>
      </w:r>
      <w:bookmarkEnd w:id="3"/>
    </w:p>
    <w:p w14:paraId="3FDA4CBF" w14:textId="77777777" w:rsidR="00B00458" w:rsidRDefault="00FC6FBB" w:rsidP="00B00458">
      <w:pPr>
        <w:keepNext/>
        <w:jc w:val="center"/>
      </w:pPr>
      <w:r>
        <w:rPr>
          <w:noProof/>
        </w:rPr>
        <w:drawing>
          <wp:inline distT="0" distB="0" distL="0" distR="0" wp14:anchorId="7A001126" wp14:editId="6F9EEA9E">
            <wp:extent cx="3854029" cy="3970020"/>
            <wp:effectExtent l="0" t="0" r="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8"/>
                    <a:stretch>
                      <a:fillRect/>
                    </a:stretch>
                  </pic:blipFill>
                  <pic:spPr>
                    <a:xfrm>
                      <a:off x="0" y="0"/>
                      <a:ext cx="3862940" cy="3979200"/>
                    </a:xfrm>
                    <a:prstGeom prst="rect">
                      <a:avLst/>
                    </a:prstGeom>
                  </pic:spPr>
                </pic:pic>
              </a:graphicData>
            </a:graphic>
          </wp:inline>
        </w:drawing>
      </w:r>
    </w:p>
    <w:p w14:paraId="0D1D2964" w14:textId="47E1ECDA" w:rsidR="005B7813" w:rsidRDefault="00B00458" w:rsidP="001B58D6">
      <w:pPr>
        <w:pStyle w:val="Caption"/>
      </w:pPr>
      <w:r>
        <w:t xml:space="preserve">Figure </w:t>
      </w:r>
      <w:fldSimple w:instr=" SEQ Figure \* ARABIC ">
        <w:r w:rsidR="00E97959">
          <w:rPr>
            <w:noProof/>
          </w:rPr>
          <w:t>4</w:t>
        </w:r>
      </w:fldSimple>
      <w:r>
        <w:t xml:space="preserve">, Scope of various signal stages </w:t>
      </w:r>
      <w:r w:rsidR="009B5765">
        <w:t>throughout</w:t>
      </w:r>
      <w:r>
        <w:t xml:space="preserve"> the system</w:t>
      </w:r>
    </w:p>
    <w:p w14:paraId="2F09F480" w14:textId="12A0D2C2" w:rsidR="006A1102" w:rsidRDefault="006A1102" w:rsidP="006A1102">
      <w:pPr>
        <w:keepNext/>
        <w:jc w:val="center"/>
      </w:pPr>
      <w:r>
        <w:rPr>
          <w:noProof/>
        </w:rPr>
        <w:lastRenderedPageBreak/>
        <w:drawing>
          <wp:inline distT="0" distB="0" distL="0" distR="0" wp14:anchorId="2A08CC6E" wp14:editId="6D3EEE8A">
            <wp:extent cx="1096693" cy="2834640"/>
            <wp:effectExtent l="0" t="0" r="8255" b="381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rotWithShape="1">
                    <a:blip r:embed="rId19"/>
                    <a:srcRect t="3159"/>
                    <a:stretch/>
                  </pic:blipFill>
                  <pic:spPr bwMode="auto">
                    <a:xfrm>
                      <a:off x="0" y="0"/>
                      <a:ext cx="1102374" cy="284932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EC21E6A" wp14:editId="38159C5A">
            <wp:extent cx="1074782" cy="2834640"/>
            <wp:effectExtent l="0" t="0" r="0" b="381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20"/>
                    <a:srcRect t="2758"/>
                    <a:stretch/>
                  </pic:blipFill>
                  <pic:spPr bwMode="auto">
                    <a:xfrm>
                      <a:off x="0" y="0"/>
                      <a:ext cx="1077413" cy="2841579"/>
                    </a:xfrm>
                    <a:prstGeom prst="rect">
                      <a:avLst/>
                    </a:prstGeom>
                    <a:ln>
                      <a:noFill/>
                    </a:ln>
                    <a:extLst>
                      <a:ext uri="{53640926-AAD7-44D8-BBD7-CCE9431645EC}">
                        <a14:shadowObscured xmlns:a14="http://schemas.microsoft.com/office/drawing/2010/main"/>
                      </a:ext>
                    </a:extLst>
                  </pic:spPr>
                </pic:pic>
              </a:graphicData>
            </a:graphic>
          </wp:inline>
        </w:drawing>
      </w:r>
    </w:p>
    <w:p w14:paraId="1E01A635" w14:textId="2F92D27E" w:rsidR="00996E5C" w:rsidRDefault="006A1102" w:rsidP="006A1102">
      <w:pPr>
        <w:pStyle w:val="Caption"/>
      </w:pPr>
      <w:r>
        <w:t xml:space="preserve">Figure </w:t>
      </w:r>
      <w:r w:rsidR="0015218F">
        <w:fldChar w:fldCharType="begin"/>
      </w:r>
      <w:r w:rsidR="0015218F">
        <w:instrText xml:space="preserve"> SEQ Figure \* ARABIC </w:instrText>
      </w:r>
      <w:r w:rsidR="0015218F">
        <w:fldChar w:fldCharType="separate"/>
      </w:r>
      <w:r w:rsidR="00E97959">
        <w:rPr>
          <w:noProof/>
        </w:rPr>
        <w:t>5</w:t>
      </w:r>
      <w:r w:rsidR="0015218F">
        <w:rPr>
          <w:noProof/>
        </w:rPr>
        <w:fldChar w:fldCharType="end"/>
      </w:r>
      <w:r>
        <w:t>, tuned parameters for PID controller</w:t>
      </w:r>
    </w:p>
    <w:p w14:paraId="459C0D6B" w14:textId="77777777" w:rsidR="00E97959" w:rsidRDefault="009D4595" w:rsidP="00E97959">
      <w:pPr>
        <w:keepNext/>
        <w:jc w:val="center"/>
      </w:pPr>
      <w:r>
        <w:rPr>
          <w:noProof/>
        </w:rPr>
        <w:drawing>
          <wp:inline distT="0" distB="0" distL="0" distR="0" wp14:anchorId="4B2F684F" wp14:editId="01FDF199">
            <wp:extent cx="5760085" cy="3051175"/>
            <wp:effectExtent l="0" t="0" r="0" b="0"/>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21"/>
                    <a:stretch>
                      <a:fillRect/>
                    </a:stretch>
                  </pic:blipFill>
                  <pic:spPr>
                    <a:xfrm>
                      <a:off x="0" y="0"/>
                      <a:ext cx="5760085" cy="3051175"/>
                    </a:xfrm>
                    <a:prstGeom prst="rect">
                      <a:avLst/>
                    </a:prstGeom>
                  </pic:spPr>
                </pic:pic>
              </a:graphicData>
            </a:graphic>
          </wp:inline>
        </w:drawing>
      </w:r>
    </w:p>
    <w:p w14:paraId="4B559222" w14:textId="5F895987" w:rsidR="009D4595" w:rsidRDefault="00E97959" w:rsidP="00E97959">
      <w:pPr>
        <w:pStyle w:val="Caption"/>
      </w:pPr>
      <w:r>
        <w:t xml:space="preserve">Figure </w:t>
      </w:r>
      <w:r w:rsidR="0015218F">
        <w:fldChar w:fldCharType="begin"/>
      </w:r>
      <w:r w:rsidR="0015218F">
        <w:instrText xml:space="preserve"> SEQ Figure</w:instrText>
      </w:r>
      <w:r w:rsidR="0015218F">
        <w:instrText xml:space="preserve"> \* ARABIC </w:instrText>
      </w:r>
      <w:r w:rsidR="0015218F">
        <w:fldChar w:fldCharType="separate"/>
      </w:r>
      <w:r>
        <w:rPr>
          <w:noProof/>
        </w:rPr>
        <w:t>6</w:t>
      </w:r>
      <w:r w:rsidR="0015218F">
        <w:rPr>
          <w:noProof/>
        </w:rPr>
        <w:fldChar w:fldCharType="end"/>
      </w:r>
      <w:r>
        <w:t>, Nyquist plot of the forward transfer function</w:t>
      </w:r>
    </w:p>
    <w:p w14:paraId="28C72E8F" w14:textId="77777777" w:rsidR="00E97959" w:rsidRDefault="009D4595" w:rsidP="00E97959">
      <w:pPr>
        <w:keepNext/>
        <w:jc w:val="center"/>
      </w:pPr>
      <w:r>
        <w:rPr>
          <w:noProof/>
        </w:rPr>
        <w:lastRenderedPageBreak/>
        <w:drawing>
          <wp:inline distT="0" distB="0" distL="0" distR="0" wp14:anchorId="7662A189" wp14:editId="592BFFAA">
            <wp:extent cx="4976949" cy="274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r="49536"/>
                    <a:stretch/>
                  </pic:blipFill>
                  <pic:spPr bwMode="auto">
                    <a:xfrm>
                      <a:off x="0" y="0"/>
                      <a:ext cx="4984243" cy="2747220"/>
                    </a:xfrm>
                    <a:prstGeom prst="rect">
                      <a:avLst/>
                    </a:prstGeom>
                    <a:noFill/>
                    <a:ln>
                      <a:noFill/>
                    </a:ln>
                    <a:extLst>
                      <a:ext uri="{53640926-AAD7-44D8-BBD7-CCE9431645EC}">
                        <a14:shadowObscured xmlns:a14="http://schemas.microsoft.com/office/drawing/2010/main"/>
                      </a:ext>
                    </a:extLst>
                  </pic:spPr>
                </pic:pic>
              </a:graphicData>
            </a:graphic>
          </wp:inline>
        </w:drawing>
      </w:r>
    </w:p>
    <w:p w14:paraId="191F1F2E" w14:textId="6AFC7132" w:rsidR="009D4595" w:rsidRDefault="00E97959" w:rsidP="00E97959">
      <w:pPr>
        <w:pStyle w:val="Caption"/>
      </w:pPr>
      <w:r>
        <w:t xml:space="preserve">Figure </w:t>
      </w:r>
      <w:r w:rsidR="0015218F">
        <w:fldChar w:fldCharType="begin"/>
      </w:r>
      <w:r w:rsidR="0015218F">
        <w:instrText xml:space="preserve"> SEQ Figure \* ARABIC </w:instrText>
      </w:r>
      <w:r w:rsidR="0015218F">
        <w:fldChar w:fldCharType="separate"/>
      </w:r>
      <w:r>
        <w:rPr>
          <w:noProof/>
        </w:rPr>
        <w:t>7</w:t>
      </w:r>
      <w:r w:rsidR="0015218F">
        <w:rPr>
          <w:noProof/>
        </w:rPr>
        <w:fldChar w:fldCharType="end"/>
      </w:r>
      <w:r>
        <w:t>, Nyquist plot of the forward transfer function zoomed with unit circle and phase margin annotation</w:t>
      </w:r>
    </w:p>
    <w:p w14:paraId="6892EDF2" w14:textId="77777777" w:rsidR="006A1102" w:rsidRDefault="00912EA1" w:rsidP="006A1102">
      <w:pPr>
        <w:keepNext/>
        <w:jc w:val="center"/>
      </w:pPr>
      <w:r>
        <w:rPr>
          <w:noProof/>
        </w:rPr>
        <w:drawing>
          <wp:inline distT="0" distB="0" distL="0" distR="0" wp14:anchorId="712B7CEA" wp14:editId="2281FCBE">
            <wp:extent cx="4335780" cy="250001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r="52387"/>
                    <a:stretch/>
                  </pic:blipFill>
                  <pic:spPr bwMode="auto">
                    <a:xfrm>
                      <a:off x="0" y="0"/>
                      <a:ext cx="4342294" cy="2503774"/>
                    </a:xfrm>
                    <a:prstGeom prst="rect">
                      <a:avLst/>
                    </a:prstGeom>
                    <a:noFill/>
                    <a:ln>
                      <a:noFill/>
                    </a:ln>
                    <a:extLst>
                      <a:ext uri="{53640926-AAD7-44D8-BBD7-CCE9431645EC}">
                        <a14:shadowObscured xmlns:a14="http://schemas.microsoft.com/office/drawing/2010/main"/>
                      </a:ext>
                    </a:extLst>
                  </pic:spPr>
                </pic:pic>
              </a:graphicData>
            </a:graphic>
          </wp:inline>
        </w:drawing>
      </w:r>
    </w:p>
    <w:p w14:paraId="3F45EDA4" w14:textId="3D09EA55" w:rsidR="00996E5C" w:rsidRPr="00996E5C" w:rsidRDefault="006A1102" w:rsidP="00E7786C">
      <w:pPr>
        <w:pStyle w:val="Caption"/>
      </w:pPr>
      <w:r>
        <w:t xml:space="preserve">Figure </w:t>
      </w:r>
      <w:r w:rsidR="0015218F">
        <w:fldChar w:fldCharType="begin"/>
      </w:r>
      <w:r w:rsidR="0015218F">
        <w:instrText xml:space="preserve"> SEQ Figure \* ARABIC </w:instrText>
      </w:r>
      <w:r w:rsidR="0015218F">
        <w:fldChar w:fldCharType="separate"/>
      </w:r>
      <w:r w:rsidR="00E97959">
        <w:rPr>
          <w:noProof/>
        </w:rPr>
        <w:t>8</w:t>
      </w:r>
      <w:r w:rsidR="0015218F">
        <w:rPr>
          <w:noProof/>
        </w:rPr>
        <w:fldChar w:fldCharType="end"/>
      </w:r>
      <w:r>
        <w:t>, Pole Zero plot of the closed loop transfer function</w:t>
      </w:r>
    </w:p>
    <w:p w14:paraId="3DFD037E" w14:textId="7D58B07B" w:rsidR="00550D43" w:rsidRDefault="00550D43" w:rsidP="000B005C">
      <w:pPr>
        <w:spacing w:after="0" w:line="240" w:lineRule="auto"/>
        <w:ind w:firstLine="0"/>
        <w:contextualSpacing w:val="0"/>
        <w:jc w:val="left"/>
      </w:pPr>
    </w:p>
    <w:p w14:paraId="5F06A5CF" w14:textId="77777777" w:rsidR="00550D43" w:rsidRDefault="00550D43" w:rsidP="000B005C">
      <w:pPr>
        <w:spacing w:after="0" w:line="240" w:lineRule="auto"/>
        <w:ind w:firstLine="0"/>
        <w:contextualSpacing w:val="0"/>
        <w:jc w:val="left"/>
      </w:pPr>
    </w:p>
    <w:p w14:paraId="0383D276" w14:textId="77777777" w:rsidR="00E7786C" w:rsidRDefault="007D5B04" w:rsidP="00E7786C">
      <w:pPr>
        <w:keepNext/>
        <w:spacing w:after="0" w:line="240" w:lineRule="auto"/>
        <w:ind w:firstLine="0"/>
        <w:contextualSpacing w:val="0"/>
        <w:jc w:val="left"/>
      </w:pPr>
      <w:r>
        <w:rPr>
          <w:noProof/>
        </w:rPr>
        <w:lastRenderedPageBreak/>
        <w:drawing>
          <wp:inline distT="0" distB="0" distL="0" distR="0" wp14:anchorId="1CD04CE5" wp14:editId="4CE5B47C">
            <wp:extent cx="5760085" cy="3393440"/>
            <wp:effectExtent l="0" t="0" r="12065" b="16510"/>
            <wp:docPr id="10" name="Chart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46F9B2" w14:textId="00A82EE4" w:rsidR="00CE0CC9" w:rsidRDefault="00E7786C" w:rsidP="00E7786C">
      <w:pPr>
        <w:pStyle w:val="Caption"/>
      </w:pPr>
      <w:r>
        <w:t xml:space="preserve">Graph </w:t>
      </w:r>
      <w:r w:rsidR="0015218F">
        <w:fldChar w:fldCharType="begin"/>
      </w:r>
      <w:r w:rsidR="0015218F">
        <w:instrText xml:space="preserve"> SEQ Graph \* ARABIC </w:instrText>
      </w:r>
      <w:r w:rsidR="0015218F">
        <w:fldChar w:fldCharType="separate"/>
      </w:r>
      <w:r>
        <w:rPr>
          <w:noProof/>
        </w:rPr>
        <w:t>1</w:t>
      </w:r>
      <w:r w:rsidR="0015218F">
        <w:rPr>
          <w:noProof/>
        </w:rPr>
        <w:fldChar w:fldCharType="end"/>
      </w:r>
      <w:r>
        <w:t>, a graph of the pole location waveform</w:t>
      </w:r>
      <w:r w:rsidR="00A760AC">
        <w:t xml:space="preserve"> showing the turret’s displacement against time</w:t>
      </w:r>
    </w:p>
    <w:p w14:paraId="65BAEEE2" w14:textId="6FC3A5E5" w:rsidR="00CE0CC9" w:rsidRDefault="00CE0CC9" w:rsidP="000B005C">
      <w:pPr>
        <w:spacing w:after="0" w:line="240" w:lineRule="auto"/>
        <w:ind w:firstLine="0"/>
        <w:contextualSpacing w:val="0"/>
        <w:jc w:val="left"/>
      </w:pPr>
    </w:p>
    <w:p w14:paraId="78A3C50A" w14:textId="27A9E020" w:rsidR="000B005C" w:rsidRPr="000B005C" w:rsidRDefault="000B005C" w:rsidP="000B005C">
      <w:pPr>
        <w:spacing w:after="0" w:line="240" w:lineRule="auto"/>
        <w:ind w:firstLine="0"/>
        <w:contextualSpacing w:val="0"/>
        <w:jc w:val="left"/>
      </w:pPr>
      <w:r>
        <w:br w:type="page"/>
      </w:r>
    </w:p>
    <w:p w14:paraId="51381495" w14:textId="5B158854" w:rsidR="00643F08" w:rsidRDefault="00643F08" w:rsidP="00643F08">
      <w:pPr>
        <w:pStyle w:val="Heading1"/>
      </w:pPr>
      <w:bookmarkStart w:id="4" w:name="_Toc92214238"/>
      <w:r>
        <w:lastRenderedPageBreak/>
        <w:t>Discussion</w:t>
      </w:r>
      <w:bookmarkEnd w:id="4"/>
    </w:p>
    <w:p w14:paraId="04288F89" w14:textId="566D8634" w:rsidR="00B00458" w:rsidRDefault="00B00458" w:rsidP="00400EB9">
      <w:pPr>
        <w:pStyle w:val="NoSpacing"/>
      </w:pPr>
      <w:r>
        <w:rPr>
          <w:i/>
          <w:iCs/>
        </w:rPr>
        <w:t xml:space="preserve">Figure </w:t>
      </w:r>
      <w:r w:rsidR="006A1102">
        <w:rPr>
          <w:i/>
          <w:iCs/>
        </w:rPr>
        <w:t>4</w:t>
      </w:r>
      <w:r>
        <w:rPr>
          <w:i/>
          <w:iCs/>
        </w:rPr>
        <w:t xml:space="preserve"> </w:t>
      </w:r>
      <w:r>
        <w:t>shows various stages of the signal throughout the control system. The first scope displays the step input going from a state of 0 to 1. The second scope</w:t>
      </w:r>
      <w:r w:rsidR="00FE622E">
        <w:t xml:space="preserve"> is taken from the after the summation block, where the feedback signal is subtracted from the step input. Following this, Scope 3 shows the signal after it has been </w:t>
      </w:r>
      <w:r w:rsidR="0054099F">
        <w:t>corrected</w:t>
      </w:r>
      <w:r w:rsidR="006104BD">
        <w:t xml:space="preserve"> </w:t>
      </w:r>
      <w:r w:rsidR="0054099F">
        <w:t>by</w:t>
      </w:r>
      <w:r w:rsidR="006104BD">
        <w:t xml:space="preserve"> PID controller. </w:t>
      </w:r>
      <w:r w:rsidR="0054099F">
        <w:t>The fourth scope is the final output of the control system after the signal (s) has been substituted into the transfer function G(s).</w:t>
      </w:r>
      <w:r w:rsidR="00400EB9">
        <w:t xml:space="preserve"> Scope 5 displays the signal output from the closed loop transfer function, which matches that of scope 4. </w:t>
      </w:r>
    </w:p>
    <w:p w14:paraId="79DF13B7" w14:textId="77777777" w:rsidR="009B5765" w:rsidRDefault="009B5765" w:rsidP="00B00458">
      <w:pPr>
        <w:pStyle w:val="NoSpacing"/>
      </w:pPr>
    </w:p>
    <w:p w14:paraId="2A6B770D" w14:textId="271C925A" w:rsidR="006F6D1F" w:rsidRDefault="00287E41" w:rsidP="00B00458">
      <w:pPr>
        <w:pStyle w:val="NoSpacing"/>
      </w:pPr>
      <w:r>
        <w:t>The pole zero plot</w:t>
      </w:r>
      <w:r w:rsidR="00E7786C">
        <w:t xml:space="preserve"> in </w:t>
      </w:r>
      <w:r w:rsidR="00E7786C">
        <w:rPr>
          <w:i/>
          <w:iCs/>
        </w:rPr>
        <w:t xml:space="preserve">Figure </w:t>
      </w:r>
      <w:r w:rsidR="00E97959">
        <w:rPr>
          <w:i/>
          <w:iCs/>
        </w:rPr>
        <w:t>8</w:t>
      </w:r>
      <w:r>
        <w:t xml:space="preserve"> presents multiple noughts and crosses</w:t>
      </w:r>
      <w:r w:rsidR="000C77BB">
        <w:t>, where the noughts represent a point at which the transfer function tends to zero and the crosses represent a point where it tends to infinity.</w:t>
      </w:r>
      <w:r w:rsidR="005E6CD4">
        <w:t xml:space="preserve"> </w:t>
      </w:r>
      <w:r w:rsidR="000C77BB">
        <w:t xml:space="preserve">The pole zero plot of the closed loop transfer function show that it is zero at locations s = -0.498 </w:t>
      </w:r>
      <w:r w:rsidR="000F453C">
        <w:t>and s = -</w:t>
      </w:r>
      <w:r w:rsidR="00971A43">
        <w:t>0.771</w:t>
      </w:r>
      <w:r w:rsidR="000F453C">
        <w:t>, whilst the pole</w:t>
      </w:r>
      <w:r w:rsidR="00971A43">
        <w:t xml:space="preserve"> locations are at s = -0.425</w:t>
      </w:r>
      <w:r w:rsidR="005E6CD4">
        <w:t xml:space="preserve"> and</w:t>
      </w:r>
      <w:r w:rsidR="00971A43">
        <w:t xml:space="preserve"> s = -1.02</w:t>
      </w:r>
      <w:r w:rsidR="005E6CD4">
        <w:t>. There is also a third pole which is significantly further away from the origin, at s = -916. This pole represents a</w:t>
      </w:r>
      <w:r w:rsidR="00D25C40">
        <w:t xml:space="preserve"> component that decays rapidly</w:t>
      </w:r>
      <w:r w:rsidR="006F6D1F">
        <w:t xml:space="preserve"> in the time domain</w:t>
      </w:r>
      <w:r w:rsidR="00D25C40">
        <w:t xml:space="preserve"> due to its distance from the origin, whilst the other two represent slow-decaying components as they are closer.</w:t>
      </w:r>
    </w:p>
    <w:p w14:paraId="0D990CEC" w14:textId="77777777" w:rsidR="006F6D1F" w:rsidRDefault="006F6D1F" w:rsidP="00B00458">
      <w:pPr>
        <w:pStyle w:val="NoSpacing"/>
      </w:pPr>
    </w:p>
    <w:p w14:paraId="64ADAE6F" w14:textId="77777777" w:rsidR="00A13E05" w:rsidRDefault="00CD721B" w:rsidP="00B00458">
      <w:pPr>
        <w:pStyle w:val="NoSpacing"/>
      </w:pPr>
      <w:r>
        <w:t>Using the pole with the fast</w:t>
      </w:r>
      <w:r w:rsidR="00C14A4D">
        <w:t>est time decay</w:t>
      </w:r>
      <w:r w:rsidR="006A1102">
        <w:t xml:space="preserve"> (</w:t>
      </w:r>
      <w:r w:rsidR="00A13E05">
        <w:t>real axis, sigma</w:t>
      </w:r>
      <w:r w:rsidR="006A1102">
        <w:t xml:space="preserve"> = -916,</w:t>
      </w:r>
      <w:r w:rsidR="00A13E05">
        <w:t xml:space="preserve"> imaginary axis, omega = 0)</w:t>
      </w:r>
      <w:r w:rsidR="00C14A4D">
        <w:t>, the pole location waveform was calculated</w:t>
      </w:r>
      <w:r w:rsidR="00A13E05">
        <w:t xml:space="preserve"> using the time domain response formula below</w:t>
      </w:r>
      <w:r w:rsidR="00C14A4D">
        <w:t>. The pole location waveform provides a visual interpretation of the system response time and overshoot.</w:t>
      </w:r>
    </w:p>
    <w:p w14:paraId="711B17DA" w14:textId="77777777" w:rsidR="00A13E05" w:rsidRDefault="00A13E05" w:rsidP="00B00458">
      <w:pPr>
        <w:pStyle w:val="NoSpacing"/>
      </w:pPr>
    </w:p>
    <w:p w14:paraId="38617C31" w14:textId="77777777" w:rsidR="00A13E05" w:rsidRDefault="0015218F" w:rsidP="00A13E05">
      <w:pPr>
        <w:pStyle w:val="NoSpacing"/>
        <w:jc w:val="center"/>
        <w:rPr>
          <w:iCs/>
        </w:rPr>
      </w:pPr>
      <m:oMathPara>
        <m:oMath>
          <m:sSub>
            <m:sSubPr>
              <m:ctrlPr>
                <w:rPr>
                  <w:rFonts w:ascii="Cambria Math" w:hAnsi="Cambria Math"/>
                  <w:i/>
                  <w:iCs/>
                </w:rPr>
              </m:ctrlPr>
            </m:sSubPr>
            <m:e>
              <m:r>
                <w:rPr>
                  <w:rFonts w:ascii="Cambria Math" w:hAnsi="Cambria Math"/>
                </w:rPr>
                <m:t>y</m:t>
              </m:r>
            </m:e>
            <m:sub>
              <m:r>
                <w:rPr>
                  <w:rFonts w:ascii="Cambria Math" w:hAnsi="Cambria Math"/>
                </w:rPr>
                <m:t>h</m:t>
              </m:r>
            </m:sub>
          </m:sSub>
          <m:d>
            <m:dPr>
              <m:ctrlPr>
                <w:rPr>
                  <w:rFonts w:ascii="Cambria Math" w:hAnsi="Cambria Math"/>
                  <w:i/>
                  <w:iCs/>
                </w:rPr>
              </m:ctrlPr>
            </m:dPr>
            <m:e>
              <m:r>
                <w:rPr>
                  <w:rFonts w:ascii="Cambria Math" w:hAnsi="Cambria Math"/>
                </w:rPr>
                <m:t>t</m:t>
              </m:r>
            </m:e>
          </m:d>
          <m:r>
            <w:rPr>
              <w:rFonts w:ascii="Cambria Math" w:hAnsi="Cambria Math"/>
            </w:rPr>
            <m:t>=</m:t>
          </m:r>
          <m:nary>
            <m:naryPr>
              <m:chr m:val="∑"/>
              <m:ctrlPr>
                <w:rPr>
                  <w:rFonts w:ascii="Cambria Math" w:hAnsi="Cambria Math"/>
                  <w:i/>
                  <w:iCs/>
                </w:rPr>
              </m:ctrlPr>
            </m:naryPr>
            <m:sub>
              <m:r>
                <w:rPr>
                  <w:rFonts w:ascii="Cambria Math" w:hAnsi="Cambria Math"/>
                </w:rPr>
                <m:t>i=1</m:t>
              </m:r>
            </m:sub>
            <m:sup>
              <m:r>
                <w:rPr>
                  <w:rFonts w:ascii="Cambria Math" w:hAnsi="Cambria Math"/>
                </w:rPr>
                <m:t>n</m:t>
              </m:r>
            </m:sup>
            <m:e>
              <m:sSub>
                <m:sSubPr>
                  <m:ctrlPr>
                    <w:rPr>
                      <w:rFonts w:ascii="Cambria Math" w:hAnsi="Cambria Math"/>
                      <w:i/>
                      <w:iCs/>
                    </w:rPr>
                  </m:ctrlPr>
                </m:sSubPr>
                <m:e>
                  <m:r>
                    <w:rPr>
                      <w:rFonts w:ascii="Cambria Math" w:hAnsi="Cambria Math"/>
                    </w:rPr>
                    <m:t>C</m:t>
                  </m:r>
                </m:e>
                <m:sub>
                  <m:r>
                    <w:rPr>
                      <w:rFonts w:ascii="Cambria Math" w:hAnsi="Cambria Math"/>
                    </w:rPr>
                    <m:t>i</m:t>
                  </m:r>
                </m:sub>
              </m:sSub>
              <m:sSup>
                <m:sSupPr>
                  <m:ctrlPr>
                    <w:rPr>
                      <w:rFonts w:ascii="Cambria Math" w:hAnsi="Cambria Math"/>
                      <w:i/>
                      <w:iCs/>
                    </w:rPr>
                  </m:ctrlPr>
                </m:sSupPr>
                <m:e>
                  <m:r>
                    <w:rPr>
                      <w:rFonts w:ascii="Cambria Math" w:hAnsi="Cambria Math"/>
                    </w:rPr>
                    <m:t>e</m:t>
                  </m:r>
                </m:e>
                <m:sup>
                  <m:sSub>
                    <m:sSubPr>
                      <m:ctrlPr>
                        <w:rPr>
                          <w:rFonts w:ascii="Cambria Math" w:hAnsi="Cambria Math"/>
                          <w:i/>
                          <w:iCs/>
                        </w:rPr>
                      </m:ctrlPr>
                    </m:sSubPr>
                    <m:e>
                      <m:r>
                        <w:rPr>
                          <w:rFonts w:ascii="Cambria Math" w:hAnsi="Cambria Math"/>
                        </w:rPr>
                        <m:t>P</m:t>
                      </m:r>
                    </m:e>
                    <m:sub>
                      <m:r>
                        <w:rPr>
                          <w:rFonts w:ascii="Cambria Math" w:hAnsi="Cambria Math"/>
                        </w:rPr>
                        <m:t>i</m:t>
                      </m:r>
                    </m:sub>
                  </m:sSub>
                  <m:r>
                    <w:rPr>
                      <w:rFonts w:ascii="Cambria Math" w:hAnsi="Cambria Math"/>
                    </w:rPr>
                    <m:t>t</m:t>
                  </m:r>
                </m:sup>
              </m:sSup>
            </m:e>
          </m:nary>
        </m:oMath>
      </m:oMathPara>
    </w:p>
    <w:p w14:paraId="53E9C634" w14:textId="77777777" w:rsidR="00A760AC" w:rsidRDefault="00A760AC" w:rsidP="00A760AC">
      <w:pPr>
        <w:pStyle w:val="NoSpacing"/>
      </w:pPr>
    </w:p>
    <w:p w14:paraId="416E8168" w14:textId="7E65CFA8" w:rsidR="0027257D" w:rsidRDefault="0027257D" w:rsidP="00A760AC">
      <w:pPr>
        <w:pStyle w:val="NoSpacing"/>
      </w:pPr>
      <w:r>
        <w:rPr>
          <w:i/>
          <w:iCs/>
        </w:rPr>
        <w:t xml:space="preserve">Figure 5 </w:t>
      </w:r>
      <w:r>
        <w:t xml:space="preserve">shows the values produced by the PID after tuning, including the proportional, </w:t>
      </w:r>
      <w:r w:rsidR="005E3F6E">
        <w:t>integral,</w:t>
      </w:r>
      <w:r>
        <w:t xml:space="preserve"> and derivative gain values. These are the values used to calculate the closed loop transfer function. </w:t>
      </w:r>
      <w:r w:rsidR="005E3F6E">
        <w:t>The results of the tuned PID controller show that the system settles at the desired point in 1.08 seconds with an overshoot of 4.72%.</w:t>
      </w:r>
    </w:p>
    <w:p w14:paraId="22DC5AB1" w14:textId="77777777" w:rsidR="005E3F6E" w:rsidRPr="0027257D" w:rsidRDefault="005E3F6E" w:rsidP="00A760AC">
      <w:pPr>
        <w:pStyle w:val="NoSpacing"/>
      </w:pPr>
    </w:p>
    <w:p w14:paraId="13766A12" w14:textId="77777777" w:rsidR="00E97959" w:rsidRDefault="00A760AC" w:rsidP="00A760AC">
      <w:pPr>
        <w:pStyle w:val="NoSpacing"/>
      </w:pPr>
      <w:r>
        <w:rPr>
          <w:i/>
          <w:iCs/>
        </w:rPr>
        <w:t xml:space="preserve">Graph 1 </w:t>
      </w:r>
      <w:r>
        <w:t xml:space="preserve">shows the displacement of s, produced by the closed loop transfer function, against time. It provides a visual interpretation of the system’s performance, showing that </w:t>
      </w:r>
      <w:r w:rsidR="0027257D">
        <w:t xml:space="preserve">it acts within the design specification; the overshoot is less than 5% and the settle time is within 2 seconds. </w:t>
      </w:r>
      <w:r w:rsidR="005E3F6E">
        <w:t xml:space="preserve">This information is secondary proof that the system works within the requirements. </w:t>
      </w:r>
    </w:p>
    <w:p w14:paraId="05325A0A" w14:textId="77777777" w:rsidR="00E97959" w:rsidRDefault="00E97959" w:rsidP="00A760AC">
      <w:pPr>
        <w:pStyle w:val="NoSpacing"/>
      </w:pPr>
    </w:p>
    <w:p w14:paraId="1760E36D" w14:textId="234D3DD1" w:rsidR="00F34C2A" w:rsidRPr="00F34C2A" w:rsidRDefault="00E97959" w:rsidP="00E030E6">
      <w:pPr>
        <w:pStyle w:val="NoSpacing"/>
      </w:pPr>
      <w:r>
        <w:rPr>
          <w:i/>
          <w:iCs/>
        </w:rPr>
        <w:t xml:space="preserve">Figure 6 </w:t>
      </w:r>
      <w:r>
        <w:t xml:space="preserve">shows the Nyquist plot of the forward transfer function. A Nyquist plot </w:t>
      </w:r>
      <w:r w:rsidR="00A219D0">
        <w:t xml:space="preserve">is a graphical representation of the stability of a system; it displays both frequency and phase response, where the frequency values are real, and the phase values are imaginary. </w:t>
      </w:r>
      <w:r w:rsidR="00A219D0">
        <w:rPr>
          <w:i/>
          <w:iCs/>
        </w:rPr>
        <w:t xml:space="preserve">Figure 7 </w:t>
      </w:r>
      <w:r w:rsidR="00A219D0">
        <w:t xml:space="preserve">is the same Nyquist plot zoomed in to where the graph meets the origin (0, 0). Using this, a unit circle of radius = 1 was plotted. </w:t>
      </w:r>
      <w:r w:rsidR="007D3B15">
        <w:t>To calculate the phase margin, a second annotation was made; a line was drawn from the origin to t</w:t>
      </w:r>
      <w:r w:rsidR="00A219D0">
        <w:t xml:space="preserve">he point at which the plot meets the </w:t>
      </w:r>
      <w:r w:rsidR="007D3B15">
        <w:t xml:space="preserve">unit circle in the negative real axis. The phase margin was the angle between this line and the real axis, which was measured at 84.1 deg.  </w:t>
      </w:r>
      <w:r w:rsidR="00E3548B">
        <w:t xml:space="preserve">Simulink also measures the gain margin from the Nyquist to be infinite (dB). As the </w:t>
      </w:r>
      <w:r w:rsidR="00E3548B">
        <w:lastRenderedPageBreak/>
        <w:t xml:space="preserve">gain margin is measured as infinite, this means that the system will never become </w:t>
      </w:r>
      <w:r w:rsidR="0030459F">
        <w:t>unstable; ‘t</w:t>
      </w:r>
      <w:r w:rsidR="0030459F" w:rsidRPr="0030459F">
        <w:t>he greater the gain margin, the more stable the system</w:t>
      </w:r>
      <w:r w:rsidR="0030459F">
        <w:t xml:space="preserve">’. </w:t>
      </w:r>
      <w:sdt>
        <w:sdtPr>
          <w:id w:val="-1429345846"/>
          <w:citation/>
        </w:sdtPr>
        <w:sdtEndPr/>
        <w:sdtContent>
          <w:r w:rsidR="0030459F">
            <w:fldChar w:fldCharType="begin"/>
          </w:r>
          <w:r w:rsidR="0030459F">
            <w:instrText xml:space="preserve"> CITATION Che11 \l 2057 </w:instrText>
          </w:r>
          <w:r w:rsidR="0030459F">
            <w:fldChar w:fldCharType="separate"/>
          </w:r>
          <w:r w:rsidR="0030459F">
            <w:rPr>
              <w:noProof/>
            </w:rPr>
            <w:t>[7]</w:t>
          </w:r>
          <w:r w:rsidR="0030459F">
            <w:fldChar w:fldCharType="end"/>
          </w:r>
        </w:sdtContent>
      </w:sdt>
    </w:p>
    <w:p w14:paraId="4B5E3BA1" w14:textId="1F93A64D" w:rsidR="00643F08" w:rsidRDefault="00643F08" w:rsidP="00643F08">
      <w:pPr>
        <w:pStyle w:val="Heading1"/>
      </w:pPr>
      <w:bookmarkStart w:id="5" w:name="_Toc92214239"/>
      <w:r>
        <w:t>Conclusions</w:t>
      </w:r>
      <w:bookmarkEnd w:id="5"/>
    </w:p>
    <w:p w14:paraId="5DA40305" w14:textId="77777777" w:rsidR="00C54555" w:rsidRDefault="00422ED7" w:rsidP="00422ED7">
      <w:pPr>
        <w:pStyle w:val="NoSpacing"/>
      </w:pPr>
      <w:r>
        <w:t xml:space="preserve">A specification was detailed for </w:t>
      </w:r>
      <w:r w:rsidR="009A3636">
        <w:t>a</w:t>
      </w:r>
      <w:r>
        <w:t xml:space="preserve"> </w:t>
      </w:r>
      <w:r w:rsidR="009A3636">
        <w:t xml:space="preserve">closed loop </w:t>
      </w:r>
      <w:r>
        <w:t>control system</w:t>
      </w:r>
      <w:r w:rsidR="009A3636">
        <w:t>, capable of controlling the process of a</w:t>
      </w:r>
      <w:r>
        <w:t xml:space="preserve"> Close in Weapon System</w:t>
      </w:r>
      <w:r w:rsidR="009A3636">
        <w:t xml:space="preserve"> (CIWS). The system was required to bring the process under control within 2 seconds and with less than a 5% overshoot on the rotation of the turret. </w:t>
      </w:r>
      <w:r w:rsidR="0000678B">
        <w:t>The system needed to manage the output of the process transfer function, which was provided as G(s).</w:t>
      </w:r>
    </w:p>
    <w:p w14:paraId="514D7AB7" w14:textId="77777777" w:rsidR="00C54555" w:rsidRDefault="00C54555" w:rsidP="00422ED7">
      <w:pPr>
        <w:pStyle w:val="NoSpacing"/>
      </w:pPr>
    </w:p>
    <w:p w14:paraId="7A5014FC" w14:textId="77777777" w:rsidR="00FA3191" w:rsidRDefault="00C54555" w:rsidP="00422ED7">
      <w:pPr>
        <w:pStyle w:val="NoSpacing"/>
      </w:pPr>
      <w:r>
        <w:t xml:space="preserve">A model was built in Simulink with a step input going from 0 to 1, which represented the turret moving from one position to another. This signal was put through a Proportional Integral Derivative (PID) controller followed by the transfer function of the process. The output signal from this process was then sent through a feedback loop, which subtracted the output form the stepped input and out the resulting signal back through the controller. The PID controller was then tuned to meet the specification. </w:t>
      </w:r>
      <w:r w:rsidR="00FA3191">
        <w:t xml:space="preserve">The results of the tuning showed that the position settled in 1.08 seconds with an overshoot of 4.72%. </w:t>
      </w:r>
    </w:p>
    <w:p w14:paraId="18D426A3" w14:textId="77777777" w:rsidR="00FA3191" w:rsidRDefault="00FA3191" w:rsidP="00422ED7">
      <w:pPr>
        <w:pStyle w:val="NoSpacing"/>
      </w:pPr>
    </w:p>
    <w:p w14:paraId="303FE3F5" w14:textId="77777777" w:rsidR="00045493" w:rsidRDefault="00FA3191" w:rsidP="00422ED7">
      <w:pPr>
        <w:pStyle w:val="NoSpacing"/>
      </w:pPr>
      <w:r>
        <w:t xml:space="preserve">Following this, the closed loop transfer function of the whole system was derived by multiplying G(s) by the function of the PID controller. The gain values of the proportional, integral, derivative and the filter coefficient (N) were substituted into the closed loop transfer function using the MATLAB command log, and the output wad measured in </w:t>
      </w:r>
      <w:r w:rsidR="00045493">
        <w:t xml:space="preserve">a scope along with other stages of the original simulation. The results of this showed that the new transfer function gave the same result as the first simulation. </w:t>
      </w:r>
    </w:p>
    <w:p w14:paraId="3D6F07C2" w14:textId="5AD28053" w:rsidR="00045493" w:rsidRDefault="00045493" w:rsidP="00422ED7">
      <w:pPr>
        <w:pStyle w:val="NoSpacing"/>
      </w:pPr>
    </w:p>
    <w:p w14:paraId="5891E291" w14:textId="7F052F79" w:rsidR="00AC6DDA" w:rsidRDefault="009C434C" w:rsidP="00422ED7">
      <w:pPr>
        <w:pStyle w:val="NoSpacing"/>
      </w:pPr>
      <w:r>
        <w:t>A pole location waveform was plotted using the time domain response formula which displayed the displacement of the signal against time. It showed the signal starting at 1 and</w:t>
      </w:r>
      <w:r w:rsidR="0034210E">
        <w:t xml:space="preserve"> rapidly decaying to settle at 0 in less than 2 seconds, overshooting by less than 5%. This proves that the system performs as it is required by the design specification.</w:t>
      </w:r>
    </w:p>
    <w:p w14:paraId="04FB25E1" w14:textId="31E8D206" w:rsidR="00147C1F" w:rsidRDefault="00147C1F" w:rsidP="00422ED7">
      <w:pPr>
        <w:pStyle w:val="NoSpacing"/>
      </w:pPr>
    </w:p>
    <w:p w14:paraId="4BCE0D3D" w14:textId="6B879575" w:rsidR="00147C1F" w:rsidRDefault="00147C1F" w:rsidP="00422ED7">
      <w:pPr>
        <w:pStyle w:val="NoSpacing"/>
      </w:pPr>
      <w:r>
        <w:t xml:space="preserve">Furthermore, a Nyquist plot was created which was used to calculate the phase and gain margin. The phase margin was calculated to be 84.1 degrees and the gain was infinite. The larger the gain measured from a Nyquist plot, the more stable the system is. Therefore, due to the gain being infinite, the system will never become unstable. </w:t>
      </w:r>
    </w:p>
    <w:p w14:paraId="7F15C05E" w14:textId="77777777" w:rsidR="00FD1147" w:rsidRDefault="00FD1147" w:rsidP="00422ED7">
      <w:pPr>
        <w:pStyle w:val="NoSpacing"/>
      </w:pPr>
    </w:p>
    <w:p w14:paraId="3B0F6C15" w14:textId="68E0D247" w:rsidR="00643F08" w:rsidRDefault="00FD1147" w:rsidP="00422ED7">
      <w:pPr>
        <w:pStyle w:val="NoSpacing"/>
      </w:pPr>
      <w:r>
        <w:t xml:space="preserve">If this task was to be carried out in the real world, other factors </w:t>
      </w:r>
      <w:r w:rsidR="0024160B">
        <w:t xml:space="preserve">and limitations </w:t>
      </w:r>
      <w:r>
        <w:t>would have to be considered</w:t>
      </w:r>
      <w:r w:rsidR="0024160B">
        <w:t>,</w:t>
      </w:r>
      <w:r>
        <w:t xml:space="preserve"> such as the mass of the turret</w:t>
      </w:r>
      <w:r w:rsidR="0024160B">
        <w:t xml:space="preserve"> and the operation of the components used to rotate it around its base. These could affect the speed and force at which the turret moves, making it more difficult for the control system to manage the settling time and the overshoot.</w:t>
      </w:r>
      <w:r w:rsidR="00C744A5">
        <w:t xml:space="preserve"> A better understanding of the turret would produce more accurate and reliable results. </w:t>
      </w:r>
      <w:r w:rsidR="00F34C2A">
        <w:br w:type="page"/>
      </w:r>
    </w:p>
    <w:bookmarkStart w:id="6" w:name="_Toc92214240" w:displacedByCustomXml="next"/>
    <w:sdt>
      <w:sdtPr>
        <w:rPr>
          <w:b w:val="0"/>
          <w:bCs w:val="0"/>
          <w:i w:val="0"/>
          <w:iCs w:val="0"/>
          <w:sz w:val="24"/>
          <w:szCs w:val="22"/>
        </w:rPr>
        <w:id w:val="1129058304"/>
        <w:docPartObj>
          <w:docPartGallery w:val="Bibliographies"/>
          <w:docPartUnique/>
        </w:docPartObj>
      </w:sdtPr>
      <w:sdtEndPr/>
      <w:sdtContent>
        <w:p w14:paraId="39D0EC69" w14:textId="4F7A4B45" w:rsidR="00356A7A" w:rsidRDefault="00356A7A">
          <w:pPr>
            <w:pStyle w:val="Heading1"/>
          </w:pPr>
          <w:r>
            <w:t>References</w:t>
          </w:r>
          <w:bookmarkEnd w:id="6"/>
        </w:p>
        <w:sdt>
          <w:sdtPr>
            <w:id w:val="-573587230"/>
            <w:bibliography/>
          </w:sdtPr>
          <w:sdtEndPr/>
          <w:sdtContent>
            <w:p w14:paraId="062B9A1C" w14:textId="77777777" w:rsidR="0030459F" w:rsidRDefault="00356A7A" w:rsidP="00B63996">
              <w:pPr>
                <w:pStyle w:val="NoSpacing"/>
                <w:rPr>
                  <w:rFonts w:ascii="Times New Roman" w:hAnsi="Times New Roman"/>
                  <w:noProof/>
                  <w:sz w:val="20"/>
                  <w:szCs w:val="20"/>
                  <w:lang w:eastAsia="en-GB"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729"/>
              </w:tblGrid>
              <w:tr w:rsidR="0030459F" w14:paraId="76FE4E13" w14:textId="77777777">
                <w:trPr>
                  <w:divId w:val="1855682733"/>
                  <w:tblCellSpacing w:w="15" w:type="dxa"/>
                </w:trPr>
                <w:tc>
                  <w:tcPr>
                    <w:tcW w:w="50" w:type="pct"/>
                    <w:hideMark/>
                  </w:tcPr>
                  <w:p w14:paraId="36A011AD" w14:textId="577387BF" w:rsidR="0030459F" w:rsidRDefault="0030459F" w:rsidP="0030459F">
                    <w:pPr>
                      <w:pStyle w:val="NoSpacing"/>
                      <w:rPr>
                        <w:noProof/>
                        <w:szCs w:val="24"/>
                      </w:rPr>
                    </w:pPr>
                    <w:r>
                      <w:rPr>
                        <w:noProof/>
                      </w:rPr>
                      <w:t xml:space="preserve">[1] </w:t>
                    </w:r>
                  </w:p>
                </w:tc>
                <w:tc>
                  <w:tcPr>
                    <w:tcW w:w="0" w:type="auto"/>
                    <w:hideMark/>
                  </w:tcPr>
                  <w:p w14:paraId="35D2E740" w14:textId="77777777" w:rsidR="0030459F" w:rsidRDefault="0030459F" w:rsidP="0030459F">
                    <w:pPr>
                      <w:pStyle w:val="NoSpacing"/>
                      <w:rPr>
                        <w:noProof/>
                      </w:rPr>
                    </w:pPr>
                    <w:r>
                      <w:rPr>
                        <w:noProof/>
                      </w:rPr>
                      <w:t>Raytheon Missiles and Defence, “Phalanx Weapon System,” Raytheon Missiles and Defence, 3 April 2020. [Online]. Available: https://www.raytheonmissilesanddefense.com/capabilities/products/phalanx-close-in-weapon-system. [Accessed 04 Jan 2022].</w:t>
                    </w:r>
                  </w:p>
                </w:tc>
              </w:tr>
              <w:tr w:rsidR="0030459F" w14:paraId="73504A00" w14:textId="77777777">
                <w:trPr>
                  <w:divId w:val="1855682733"/>
                  <w:tblCellSpacing w:w="15" w:type="dxa"/>
                </w:trPr>
                <w:tc>
                  <w:tcPr>
                    <w:tcW w:w="50" w:type="pct"/>
                    <w:hideMark/>
                  </w:tcPr>
                  <w:p w14:paraId="15062837" w14:textId="77777777" w:rsidR="0030459F" w:rsidRDefault="0030459F" w:rsidP="0030459F">
                    <w:pPr>
                      <w:pStyle w:val="NoSpacing"/>
                      <w:rPr>
                        <w:noProof/>
                      </w:rPr>
                    </w:pPr>
                    <w:r>
                      <w:rPr>
                        <w:noProof/>
                      </w:rPr>
                      <w:t xml:space="preserve">[2] </w:t>
                    </w:r>
                  </w:p>
                </w:tc>
                <w:tc>
                  <w:tcPr>
                    <w:tcW w:w="0" w:type="auto"/>
                    <w:hideMark/>
                  </w:tcPr>
                  <w:p w14:paraId="28417C75" w14:textId="77777777" w:rsidR="0030459F" w:rsidRDefault="0030459F" w:rsidP="0030459F">
                    <w:pPr>
                      <w:pStyle w:val="NoSpacing"/>
                      <w:rPr>
                        <w:noProof/>
                      </w:rPr>
                    </w:pPr>
                    <w:r>
                      <w:rPr>
                        <w:noProof/>
                      </w:rPr>
                      <w:t xml:space="preserve">N. S. Nise, Control Systems Engineering 7th Edition, Wiley, 2014. </w:t>
                    </w:r>
                  </w:p>
                </w:tc>
              </w:tr>
              <w:tr w:rsidR="0030459F" w14:paraId="3FEB10D9" w14:textId="77777777">
                <w:trPr>
                  <w:divId w:val="1855682733"/>
                  <w:tblCellSpacing w:w="15" w:type="dxa"/>
                </w:trPr>
                <w:tc>
                  <w:tcPr>
                    <w:tcW w:w="50" w:type="pct"/>
                    <w:hideMark/>
                  </w:tcPr>
                  <w:p w14:paraId="6A33D65D" w14:textId="77777777" w:rsidR="0030459F" w:rsidRDefault="0030459F" w:rsidP="0030459F">
                    <w:pPr>
                      <w:pStyle w:val="NoSpacing"/>
                      <w:rPr>
                        <w:noProof/>
                      </w:rPr>
                    </w:pPr>
                    <w:r>
                      <w:rPr>
                        <w:noProof/>
                      </w:rPr>
                      <w:t xml:space="preserve">[3] </w:t>
                    </w:r>
                  </w:p>
                </w:tc>
                <w:tc>
                  <w:tcPr>
                    <w:tcW w:w="0" w:type="auto"/>
                    <w:hideMark/>
                  </w:tcPr>
                  <w:p w14:paraId="61B38B12" w14:textId="77777777" w:rsidR="0030459F" w:rsidRDefault="0030459F" w:rsidP="0030459F">
                    <w:pPr>
                      <w:pStyle w:val="NoSpacing"/>
                      <w:rPr>
                        <w:noProof/>
                      </w:rPr>
                    </w:pPr>
                    <w:r>
                      <w:rPr>
                        <w:noProof/>
                      </w:rPr>
                      <w:t>R. Teja, “Open Loop System,” Electronics Hub, 23 April 2021. [Online]. Available: https://www.electronicshub.org/open-loop-system/. [Accessed 2 Jan 2022].</w:t>
                    </w:r>
                  </w:p>
                </w:tc>
              </w:tr>
              <w:tr w:rsidR="0030459F" w14:paraId="145E1B4D" w14:textId="77777777">
                <w:trPr>
                  <w:divId w:val="1855682733"/>
                  <w:tblCellSpacing w:w="15" w:type="dxa"/>
                </w:trPr>
                <w:tc>
                  <w:tcPr>
                    <w:tcW w:w="50" w:type="pct"/>
                    <w:hideMark/>
                  </w:tcPr>
                  <w:p w14:paraId="37F23078" w14:textId="77777777" w:rsidR="0030459F" w:rsidRDefault="0030459F" w:rsidP="0030459F">
                    <w:pPr>
                      <w:pStyle w:val="NoSpacing"/>
                      <w:rPr>
                        <w:noProof/>
                      </w:rPr>
                    </w:pPr>
                    <w:r>
                      <w:rPr>
                        <w:noProof/>
                      </w:rPr>
                      <w:t xml:space="preserve">[4] </w:t>
                    </w:r>
                  </w:p>
                </w:tc>
                <w:tc>
                  <w:tcPr>
                    <w:tcW w:w="0" w:type="auto"/>
                    <w:hideMark/>
                  </w:tcPr>
                  <w:p w14:paraId="613A4B0D" w14:textId="77777777" w:rsidR="0030459F" w:rsidRDefault="0030459F" w:rsidP="0030459F">
                    <w:pPr>
                      <w:pStyle w:val="NoSpacing"/>
                      <w:rPr>
                        <w:noProof/>
                      </w:rPr>
                    </w:pPr>
                    <w:r>
                      <w:rPr>
                        <w:noProof/>
                      </w:rPr>
                      <w:t>Administrator, “Closed Loop System,” Electronics Hub, 17 July 2015. [Online]. Available: https://www.electronicshub.org/closed-loop-system/. [Accessed 2 Jan 2022].</w:t>
                    </w:r>
                  </w:p>
                </w:tc>
              </w:tr>
              <w:tr w:rsidR="0030459F" w14:paraId="3155C012" w14:textId="77777777">
                <w:trPr>
                  <w:divId w:val="1855682733"/>
                  <w:tblCellSpacing w:w="15" w:type="dxa"/>
                </w:trPr>
                <w:tc>
                  <w:tcPr>
                    <w:tcW w:w="50" w:type="pct"/>
                    <w:hideMark/>
                  </w:tcPr>
                  <w:p w14:paraId="794A09D3" w14:textId="77777777" w:rsidR="0030459F" w:rsidRDefault="0030459F" w:rsidP="0030459F">
                    <w:pPr>
                      <w:pStyle w:val="NoSpacing"/>
                      <w:rPr>
                        <w:noProof/>
                      </w:rPr>
                    </w:pPr>
                    <w:r>
                      <w:rPr>
                        <w:noProof/>
                      </w:rPr>
                      <w:t xml:space="preserve">[5] </w:t>
                    </w:r>
                  </w:p>
                </w:tc>
                <w:tc>
                  <w:tcPr>
                    <w:tcW w:w="0" w:type="auto"/>
                    <w:hideMark/>
                  </w:tcPr>
                  <w:p w14:paraId="2867CDFA" w14:textId="77777777" w:rsidR="0030459F" w:rsidRDefault="0030459F" w:rsidP="0030459F">
                    <w:pPr>
                      <w:pStyle w:val="NoSpacing"/>
                      <w:rPr>
                        <w:noProof/>
                      </w:rPr>
                    </w:pPr>
                    <w:r>
                      <w:rPr>
                        <w:noProof/>
                      </w:rPr>
                      <w:t xml:space="preserve">J. W. Webb and R. A. Reis, “PID Control of Continuous Processes,” in </w:t>
                    </w:r>
                    <w:r>
                      <w:rPr>
                        <w:i/>
                        <w:iCs/>
                        <w:noProof/>
                      </w:rPr>
                      <w:t>Programmable Logic Controllers, Fourth Edition</w:t>
                    </w:r>
                    <w:r>
                      <w:rPr>
                        <w:noProof/>
                      </w:rPr>
                      <w:t xml:space="preserve">, National Instruments, 2006. </w:t>
                    </w:r>
                  </w:p>
                </w:tc>
              </w:tr>
              <w:tr w:rsidR="0030459F" w14:paraId="4E8919F2" w14:textId="77777777">
                <w:trPr>
                  <w:divId w:val="1855682733"/>
                  <w:tblCellSpacing w:w="15" w:type="dxa"/>
                </w:trPr>
                <w:tc>
                  <w:tcPr>
                    <w:tcW w:w="50" w:type="pct"/>
                    <w:hideMark/>
                  </w:tcPr>
                  <w:p w14:paraId="41B63A9F" w14:textId="77777777" w:rsidR="0030459F" w:rsidRDefault="0030459F" w:rsidP="0030459F">
                    <w:pPr>
                      <w:pStyle w:val="NoSpacing"/>
                      <w:rPr>
                        <w:noProof/>
                      </w:rPr>
                    </w:pPr>
                    <w:r>
                      <w:rPr>
                        <w:noProof/>
                      </w:rPr>
                      <w:t xml:space="preserve">[6] </w:t>
                    </w:r>
                  </w:p>
                </w:tc>
                <w:tc>
                  <w:tcPr>
                    <w:tcW w:w="0" w:type="auto"/>
                    <w:hideMark/>
                  </w:tcPr>
                  <w:p w14:paraId="06F3B590" w14:textId="77777777" w:rsidR="0030459F" w:rsidRDefault="0030459F" w:rsidP="0030459F">
                    <w:pPr>
                      <w:pStyle w:val="NoSpacing"/>
                      <w:rPr>
                        <w:noProof/>
                      </w:rPr>
                    </w:pPr>
                    <w:r>
                      <w:rPr>
                        <w:noProof/>
                      </w:rPr>
                      <w:t>Electrical 4 U, “Transfer Function of Control System,” Electrical 4 U, 22 October 2020. [Online]. Available: https://www.electrical4u.com/transfer-function/. [Accessed 04 Jan 2022].</w:t>
                    </w:r>
                  </w:p>
                </w:tc>
              </w:tr>
              <w:tr w:rsidR="0030459F" w14:paraId="1779F622" w14:textId="77777777">
                <w:trPr>
                  <w:divId w:val="1855682733"/>
                  <w:tblCellSpacing w:w="15" w:type="dxa"/>
                </w:trPr>
                <w:tc>
                  <w:tcPr>
                    <w:tcW w:w="50" w:type="pct"/>
                    <w:hideMark/>
                  </w:tcPr>
                  <w:p w14:paraId="7CB54170" w14:textId="77777777" w:rsidR="0030459F" w:rsidRDefault="0030459F" w:rsidP="0030459F">
                    <w:pPr>
                      <w:pStyle w:val="NoSpacing"/>
                      <w:rPr>
                        <w:noProof/>
                      </w:rPr>
                    </w:pPr>
                    <w:r>
                      <w:rPr>
                        <w:noProof/>
                      </w:rPr>
                      <w:t xml:space="preserve">[7] </w:t>
                    </w:r>
                  </w:p>
                </w:tc>
                <w:tc>
                  <w:tcPr>
                    <w:tcW w:w="0" w:type="auto"/>
                    <w:hideMark/>
                  </w:tcPr>
                  <w:p w14:paraId="509C4E70" w14:textId="77777777" w:rsidR="0030459F" w:rsidRDefault="0030459F" w:rsidP="0030459F">
                    <w:pPr>
                      <w:pStyle w:val="NoSpacing"/>
                      <w:rPr>
                        <w:noProof/>
                      </w:rPr>
                    </w:pPr>
                    <w:r>
                      <w:rPr>
                        <w:noProof/>
                      </w:rPr>
                      <w:t>E. Cheever , “Determining Stability using the Nyquist Plot,” Swarthmore College, 13 October 2011. [Online]. Available: https://lpsa.swarthmore.edu/Nyquist/NyquistStability.html. [Accessed 4 Jan 2022].</w:t>
                    </w:r>
                  </w:p>
                </w:tc>
              </w:tr>
            </w:tbl>
            <w:p w14:paraId="3CE428DB" w14:textId="77777777" w:rsidR="0030459F" w:rsidRDefault="0030459F">
              <w:pPr>
                <w:divId w:val="1855682733"/>
                <w:rPr>
                  <w:noProof/>
                </w:rPr>
              </w:pPr>
            </w:p>
            <w:p w14:paraId="1F0A48D8" w14:textId="797D1ACE" w:rsidR="00356A7A" w:rsidRDefault="00356A7A" w:rsidP="00B63996">
              <w:pPr>
                <w:pStyle w:val="NoSpacing"/>
              </w:pPr>
              <w:r>
                <w:rPr>
                  <w:b/>
                  <w:bCs/>
                  <w:noProof/>
                </w:rPr>
                <w:fldChar w:fldCharType="end"/>
              </w:r>
            </w:p>
          </w:sdtContent>
        </w:sdt>
      </w:sdtContent>
    </w:sdt>
    <w:p w14:paraId="07D7B1D2" w14:textId="353594AE" w:rsidR="00F34C2A" w:rsidRPr="00F34C2A" w:rsidRDefault="00F34C2A" w:rsidP="00B63996">
      <w:pPr>
        <w:spacing w:after="0" w:line="240" w:lineRule="auto"/>
        <w:ind w:firstLine="0"/>
        <w:contextualSpacing w:val="0"/>
        <w:jc w:val="left"/>
      </w:pPr>
    </w:p>
    <w:sectPr w:rsidR="00F34C2A" w:rsidRPr="00F34C2A" w:rsidSect="00F217DC">
      <w:footerReference w:type="default" r:id="rId25"/>
      <w:pgSz w:w="11906" w:h="16838" w:code="9"/>
      <w:pgMar w:top="1701" w:right="1134" w:bottom="1701" w:left="1701"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D9BA" w14:textId="77777777" w:rsidR="0015218F" w:rsidRDefault="0015218F" w:rsidP="004A1B70">
      <w:r>
        <w:separator/>
      </w:r>
    </w:p>
  </w:endnote>
  <w:endnote w:type="continuationSeparator" w:id="0">
    <w:p w14:paraId="63FB9E11" w14:textId="77777777" w:rsidR="0015218F" w:rsidRDefault="0015218F"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FC0F5" w14:textId="77777777" w:rsidR="008D54F8" w:rsidRDefault="009241AC">
    <w:pPr>
      <w:pStyle w:val="Footer"/>
      <w:jc w:val="right"/>
    </w:pPr>
    <w:r>
      <w:fldChar w:fldCharType="begin"/>
    </w:r>
    <w:r w:rsidR="008D54F8">
      <w:instrText xml:space="preserve"> PAGE   \* MERGEFORMAT </w:instrText>
    </w:r>
    <w:r>
      <w:fldChar w:fldCharType="separate"/>
    </w:r>
    <w:r w:rsidR="00EE340D">
      <w:rPr>
        <w:noProof/>
      </w:rPr>
      <w:t>2</w:t>
    </w:r>
    <w:r>
      <w:rPr>
        <w:noProof/>
      </w:rPr>
      <w:fldChar w:fldCharType="end"/>
    </w:r>
  </w:p>
  <w:p w14:paraId="158A7017" w14:textId="77777777" w:rsidR="008D54F8" w:rsidRDefault="008D54F8"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7949A" w14:textId="77777777" w:rsidR="0015218F" w:rsidRDefault="0015218F" w:rsidP="004A1B70">
      <w:r>
        <w:separator/>
      </w:r>
    </w:p>
  </w:footnote>
  <w:footnote w:type="continuationSeparator" w:id="0">
    <w:p w14:paraId="753ED3EF" w14:textId="77777777" w:rsidR="0015218F" w:rsidRDefault="0015218F" w:rsidP="004A1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1"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7"/>
  </w:num>
  <w:num w:numId="2">
    <w:abstractNumId w:val="4"/>
    <w:lvlOverride w:ilvl="0">
      <w:startOverride w:val="1"/>
    </w:lvlOverride>
  </w:num>
  <w:num w:numId="3">
    <w:abstractNumId w:val="5"/>
  </w:num>
  <w:num w:numId="4">
    <w:abstractNumId w:val="2"/>
  </w:num>
  <w:num w:numId="5">
    <w:abstractNumId w:val="10"/>
  </w:num>
  <w:num w:numId="6">
    <w:abstractNumId w:val="3"/>
  </w:num>
  <w:num w:numId="7">
    <w:abstractNumId w:val="9"/>
  </w:num>
  <w:num w:numId="8">
    <w:abstractNumId w:val="6"/>
  </w:num>
  <w:num w:numId="9">
    <w:abstractNumId w:val="12"/>
  </w:num>
  <w:num w:numId="10">
    <w:abstractNumId w:val="11"/>
  </w:num>
  <w:num w:numId="11">
    <w:abstractNumId w:val="1"/>
  </w:num>
  <w:num w:numId="12">
    <w:abstractNumId w:val="8"/>
  </w:num>
  <w:num w:numId="13">
    <w:abstractNumId w:val="0"/>
  </w:num>
  <w:num w:numId="1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1945"/>
    <w:rsid w:val="00002D7A"/>
    <w:rsid w:val="0000306F"/>
    <w:rsid w:val="0000326D"/>
    <w:rsid w:val="00005E61"/>
    <w:rsid w:val="00006327"/>
    <w:rsid w:val="0000678B"/>
    <w:rsid w:val="00006AFE"/>
    <w:rsid w:val="0000766E"/>
    <w:rsid w:val="000113C2"/>
    <w:rsid w:val="00011981"/>
    <w:rsid w:val="00012748"/>
    <w:rsid w:val="0001360D"/>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A3B"/>
    <w:rsid w:val="00040F9A"/>
    <w:rsid w:val="00041E25"/>
    <w:rsid w:val="00042C30"/>
    <w:rsid w:val="000438E6"/>
    <w:rsid w:val="00045493"/>
    <w:rsid w:val="00046CD4"/>
    <w:rsid w:val="00051DBC"/>
    <w:rsid w:val="000522FB"/>
    <w:rsid w:val="000535FB"/>
    <w:rsid w:val="00056019"/>
    <w:rsid w:val="0005618A"/>
    <w:rsid w:val="0005729F"/>
    <w:rsid w:val="00060FE5"/>
    <w:rsid w:val="0006235D"/>
    <w:rsid w:val="000634BD"/>
    <w:rsid w:val="00064E50"/>
    <w:rsid w:val="0006501D"/>
    <w:rsid w:val="00066AE7"/>
    <w:rsid w:val="000673ED"/>
    <w:rsid w:val="00067FB5"/>
    <w:rsid w:val="00070146"/>
    <w:rsid w:val="00072DA4"/>
    <w:rsid w:val="00074DA4"/>
    <w:rsid w:val="000750B7"/>
    <w:rsid w:val="00075CB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005C"/>
    <w:rsid w:val="000B113E"/>
    <w:rsid w:val="000B2D3E"/>
    <w:rsid w:val="000B3371"/>
    <w:rsid w:val="000B4606"/>
    <w:rsid w:val="000B552B"/>
    <w:rsid w:val="000B5D4D"/>
    <w:rsid w:val="000C0133"/>
    <w:rsid w:val="000C2611"/>
    <w:rsid w:val="000C26D8"/>
    <w:rsid w:val="000C3BD7"/>
    <w:rsid w:val="000C3DCE"/>
    <w:rsid w:val="000C4DB0"/>
    <w:rsid w:val="000C77BB"/>
    <w:rsid w:val="000C78F0"/>
    <w:rsid w:val="000D170D"/>
    <w:rsid w:val="000D22C0"/>
    <w:rsid w:val="000D49D6"/>
    <w:rsid w:val="000D5C38"/>
    <w:rsid w:val="000D7B15"/>
    <w:rsid w:val="000E0801"/>
    <w:rsid w:val="000E1D5E"/>
    <w:rsid w:val="000E2FFB"/>
    <w:rsid w:val="000E4065"/>
    <w:rsid w:val="000E4E18"/>
    <w:rsid w:val="000E5BB4"/>
    <w:rsid w:val="000E5DD7"/>
    <w:rsid w:val="000E6206"/>
    <w:rsid w:val="000E6CC7"/>
    <w:rsid w:val="000E6E96"/>
    <w:rsid w:val="000E74D7"/>
    <w:rsid w:val="000E7C5C"/>
    <w:rsid w:val="000E7EF7"/>
    <w:rsid w:val="000F1096"/>
    <w:rsid w:val="000F2E43"/>
    <w:rsid w:val="000F31AE"/>
    <w:rsid w:val="000F32CA"/>
    <w:rsid w:val="000F453C"/>
    <w:rsid w:val="000F4D0C"/>
    <w:rsid w:val="000F5835"/>
    <w:rsid w:val="000F6B28"/>
    <w:rsid w:val="001007A0"/>
    <w:rsid w:val="00101DE2"/>
    <w:rsid w:val="00102CAC"/>
    <w:rsid w:val="001038B2"/>
    <w:rsid w:val="00103C93"/>
    <w:rsid w:val="00103DD6"/>
    <w:rsid w:val="00105977"/>
    <w:rsid w:val="00106F7D"/>
    <w:rsid w:val="0010719A"/>
    <w:rsid w:val="00110A32"/>
    <w:rsid w:val="00110C0A"/>
    <w:rsid w:val="00110D42"/>
    <w:rsid w:val="00110FAB"/>
    <w:rsid w:val="00113140"/>
    <w:rsid w:val="0011613B"/>
    <w:rsid w:val="00116155"/>
    <w:rsid w:val="0011758E"/>
    <w:rsid w:val="001176F6"/>
    <w:rsid w:val="00120892"/>
    <w:rsid w:val="00121895"/>
    <w:rsid w:val="00122146"/>
    <w:rsid w:val="00125E49"/>
    <w:rsid w:val="00126259"/>
    <w:rsid w:val="001268D7"/>
    <w:rsid w:val="00127626"/>
    <w:rsid w:val="00127DA3"/>
    <w:rsid w:val="00133073"/>
    <w:rsid w:val="0013343E"/>
    <w:rsid w:val="00133625"/>
    <w:rsid w:val="00133770"/>
    <w:rsid w:val="00134790"/>
    <w:rsid w:val="00134D4D"/>
    <w:rsid w:val="001351CD"/>
    <w:rsid w:val="00135A8B"/>
    <w:rsid w:val="0014014C"/>
    <w:rsid w:val="00140D38"/>
    <w:rsid w:val="0014646F"/>
    <w:rsid w:val="0014715E"/>
    <w:rsid w:val="00147C1F"/>
    <w:rsid w:val="0015040A"/>
    <w:rsid w:val="001519A8"/>
    <w:rsid w:val="0015218F"/>
    <w:rsid w:val="00152A7C"/>
    <w:rsid w:val="00154007"/>
    <w:rsid w:val="001555BD"/>
    <w:rsid w:val="00155FA5"/>
    <w:rsid w:val="001564A7"/>
    <w:rsid w:val="00157221"/>
    <w:rsid w:val="00157AFE"/>
    <w:rsid w:val="0016148A"/>
    <w:rsid w:val="0016312D"/>
    <w:rsid w:val="001662AD"/>
    <w:rsid w:val="00166A88"/>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DC8"/>
    <w:rsid w:val="00183E0B"/>
    <w:rsid w:val="00184617"/>
    <w:rsid w:val="00184A8E"/>
    <w:rsid w:val="00187809"/>
    <w:rsid w:val="00187E47"/>
    <w:rsid w:val="0019292C"/>
    <w:rsid w:val="00192E77"/>
    <w:rsid w:val="00193439"/>
    <w:rsid w:val="00194ACF"/>
    <w:rsid w:val="00194BF5"/>
    <w:rsid w:val="00194D75"/>
    <w:rsid w:val="0019637D"/>
    <w:rsid w:val="001A0997"/>
    <w:rsid w:val="001A0BDA"/>
    <w:rsid w:val="001A1B6A"/>
    <w:rsid w:val="001A3488"/>
    <w:rsid w:val="001A3948"/>
    <w:rsid w:val="001A4DAE"/>
    <w:rsid w:val="001A5041"/>
    <w:rsid w:val="001B00E7"/>
    <w:rsid w:val="001B0403"/>
    <w:rsid w:val="001B0B5E"/>
    <w:rsid w:val="001B0CAC"/>
    <w:rsid w:val="001B328B"/>
    <w:rsid w:val="001B3669"/>
    <w:rsid w:val="001B3685"/>
    <w:rsid w:val="001B4CA0"/>
    <w:rsid w:val="001B5434"/>
    <w:rsid w:val="001B5662"/>
    <w:rsid w:val="001B58D6"/>
    <w:rsid w:val="001B61A8"/>
    <w:rsid w:val="001B6456"/>
    <w:rsid w:val="001B7598"/>
    <w:rsid w:val="001C0E8A"/>
    <w:rsid w:val="001C1CB2"/>
    <w:rsid w:val="001C3CA3"/>
    <w:rsid w:val="001C64F3"/>
    <w:rsid w:val="001D025E"/>
    <w:rsid w:val="001D0EFC"/>
    <w:rsid w:val="001D3336"/>
    <w:rsid w:val="001D333A"/>
    <w:rsid w:val="001D3A4F"/>
    <w:rsid w:val="001D46B8"/>
    <w:rsid w:val="001D4D62"/>
    <w:rsid w:val="001D741F"/>
    <w:rsid w:val="001D7FA3"/>
    <w:rsid w:val="001E01AB"/>
    <w:rsid w:val="001E0B13"/>
    <w:rsid w:val="001E0C58"/>
    <w:rsid w:val="001E145B"/>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065F"/>
    <w:rsid w:val="00211396"/>
    <w:rsid w:val="002113D3"/>
    <w:rsid w:val="00211476"/>
    <w:rsid w:val="00211E05"/>
    <w:rsid w:val="00211E2A"/>
    <w:rsid w:val="00211F77"/>
    <w:rsid w:val="00212021"/>
    <w:rsid w:val="0021214B"/>
    <w:rsid w:val="0021318E"/>
    <w:rsid w:val="002135FE"/>
    <w:rsid w:val="00213AE8"/>
    <w:rsid w:val="00213B50"/>
    <w:rsid w:val="00215DFB"/>
    <w:rsid w:val="0021608B"/>
    <w:rsid w:val="00216837"/>
    <w:rsid w:val="00220200"/>
    <w:rsid w:val="00220557"/>
    <w:rsid w:val="0022061F"/>
    <w:rsid w:val="00221AC7"/>
    <w:rsid w:val="00226CFF"/>
    <w:rsid w:val="002320FE"/>
    <w:rsid w:val="00233530"/>
    <w:rsid w:val="0023388C"/>
    <w:rsid w:val="00233CD5"/>
    <w:rsid w:val="00234A2D"/>
    <w:rsid w:val="00235AD0"/>
    <w:rsid w:val="002366AE"/>
    <w:rsid w:val="00236B57"/>
    <w:rsid w:val="00237340"/>
    <w:rsid w:val="00241552"/>
    <w:rsid w:val="0024160B"/>
    <w:rsid w:val="00243423"/>
    <w:rsid w:val="00243902"/>
    <w:rsid w:val="00243C03"/>
    <w:rsid w:val="002442D9"/>
    <w:rsid w:val="002464D1"/>
    <w:rsid w:val="002464FB"/>
    <w:rsid w:val="002470FE"/>
    <w:rsid w:val="00247292"/>
    <w:rsid w:val="00247F0E"/>
    <w:rsid w:val="00250877"/>
    <w:rsid w:val="00250FF2"/>
    <w:rsid w:val="00251969"/>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9FE"/>
    <w:rsid w:val="00271A13"/>
    <w:rsid w:val="0027257D"/>
    <w:rsid w:val="00272731"/>
    <w:rsid w:val="00272966"/>
    <w:rsid w:val="00273EC4"/>
    <w:rsid w:val="0027471B"/>
    <w:rsid w:val="00275577"/>
    <w:rsid w:val="00275C70"/>
    <w:rsid w:val="002777F2"/>
    <w:rsid w:val="002800A3"/>
    <w:rsid w:val="002806C2"/>
    <w:rsid w:val="00280FD2"/>
    <w:rsid w:val="00281558"/>
    <w:rsid w:val="00282A8E"/>
    <w:rsid w:val="00282F42"/>
    <w:rsid w:val="00284DD2"/>
    <w:rsid w:val="0028531D"/>
    <w:rsid w:val="0028580D"/>
    <w:rsid w:val="00287602"/>
    <w:rsid w:val="00287DE6"/>
    <w:rsid w:val="00287E41"/>
    <w:rsid w:val="00287E71"/>
    <w:rsid w:val="00287EE0"/>
    <w:rsid w:val="00291241"/>
    <w:rsid w:val="0029151E"/>
    <w:rsid w:val="002915B6"/>
    <w:rsid w:val="00291E0A"/>
    <w:rsid w:val="0029466C"/>
    <w:rsid w:val="002950AD"/>
    <w:rsid w:val="00296278"/>
    <w:rsid w:val="00297309"/>
    <w:rsid w:val="0029738E"/>
    <w:rsid w:val="00297589"/>
    <w:rsid w:val="002A62AD"/>
    <w:rsid w:val="002A63F9"/>
    <w:rsid w:val="002B0C57"/>
    <w:rsid w:val="002B24B2"/>
    <w:rsid w:val="002B2CEE"/>
    <w:rsid w:val="002B37F9"/>
    <w:rsid w:val="002B3E6E"/>
    <w:rsid w:val="002B48E4"/>
    <w:rsid w:val="002B4E1B"/>
    <w:rsid w:val="002B52E2"/>
    <w:rsid w:val="002B71ED"/>
    <w:rsid w:val="002C19FF"/>
    <w:rsid w:val="002C3B69"/>
    <w:rsid w:val="002C3E8A"/>
    <w:rsid w:val="002C41B0"/>
    <w:rsid w:val="002C69BE"/>
    <w:rsid w:val="002D062D"/>
    <w:rsid w:val="002D1B71"/>
    <w:rsid w:val="002D2782"/>
    <w:rsid w:val="002D2B74"/>
    <w:rsid w:val="002D650E"/>
    <w:rsid w:val="002D6E95"/>
    <w:rsid w:val="002D74B3"/>
    <w:rsid w:val="002E2618"/>
    <w:rsid w:val="002E27C3"/>
    <w:rsid w:val="002E3F92"/>
    <w:rsid w:val="002E5DD6"/>
    <w:rsid w:val="002E78EF"/>
    <w:rsid w:val="002E7EA0"/>
    <w:rsid w:val="002F3041"/>
    <w:rsid w:val="002F3575"/>
    <w:rsid w:val="002F61E9"/>
    <w:rsid w:val="002F6917"/>
    <w:rsid w:val="002F6BC0"/>
    <w:rsid w:val="003009E4"/>
    <w:rsid w:val="00303F20"/>
    <w:rsid w:val="00304545"/>
    <w:rsid w:val="0030459F"/>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707F"/>
    <w:rsid w:val="00327B07"/>
    <w:rsid w:val="003301B0"/>
    <w:rsid w:val="003327DA"/>
    <w:rsid w:val="0033442D"/>
    <w:rsid w:val="003347EB"/>
    <w:rsid w:val="00335557"/>
    <w:rsid w:val="00336920"/>
    <w:rsid w:val="00337E85"/>
    <w:rsid w:val="00340B59"/>
    <w:rsid w:val="00341B2E"/>
    <w:rsid w:val="00341C8E"/>
    <w:rsid w:val="0034210E"/>
    <w:rsid w:val="0034507F"/>
    <w:rsid w:val="0034660F"/>
    <w:rsid w:val="00347006"/>
    <w:rsid w:val="00351606"/>
    <w:rsid w:val="003542E9"/>
    <w:rsid w:val="003548D1"/>
    <w:rsid w:val="00355D4C"/>
    <w:rsid w:val="00356A7A"/>
    <w:rsid w:val="00357E8F"/>
    <w:rsid w:val="00360A85"/>
    <w:rsid w:val="00361606"/>
    <w:rsid w:val="003627E6"/>
    <w:rsid w:val="00362F23"/>
    <w:rsid w:val="00364980"/>
    <w:rsid w:val="00364F8A"/>
    <w:rsid w:val="00365111"/>
    <w:rsid w:val="00365500"/>
    <w:rsid w:val="00366753"/>
    <w:rsid w:val="003668EB"/>
    <w:rsid w:val="00366FDC"/>
    <w:rsid w:val="00370171"/>
    <w:rsid w:val="00372836"/>
    <w:rsid w:val="00377AFA"/>
    <w:rsid w:val="00382C53"/>
    <w:rsid w:val="00382E66"/>
    <w:rsid w:val="00384CC1"/>
    <w:rsid w:val="003853F3"/>
    <w:rsid w:val="003857FE"/>
    <w:rsid w:val="003910DC"/>
    <w:rsid w:val="00391446"/>
    <w:rsid w:val="00396DB9"/>
    <w:rsid w:val="00397D88"/>
    <w:rsid w:val="003A0C60"/>
    <w:rsid w:val="003A13FB"/>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19E"/>
    <w:rsid w:val="003F0D6D"/>
    <w:rsid w:val="003F1467"/>
    <w:rsid w:val="003F16AF"/>
    <w:rsid w:val="003F1854"/>
    <w:rsid w:val="003F18C7"/>
    <w:rsid w:val="003F3663"/>
    <w:rsid w:val="003F4A8C"/>
    <w:rsid w:val="00400EB9"/>
    <w:rsid w:val="00401023"/>
    <w:rsid w:val="004011EE"/>
    <w:rsid w:val="00401994"/>
    <w:rsid w:val="00402364"/>
    <w:rsid w:val="004038F9"/>
    <w:rsid w:val="004061D1"/>
    <w:rsid w:val="004067D0"/>
    <w:rsid w:val="0040796D"/>
    <w:rsid w:val="00410C9E"/>
    <w:rsid w:val="004111E2"/>
    <w:rsid w:val="00411FFD"/>
    <w:rsid w:val="00412ABD"/>
    <w:rsid w:val="00413814"/>
    <w:rsid w:val="004138AA"/>
    <w:rsid w:val="004153E2"/>
    <w:rsid w:val="004153FB"/>
    <w:rsid w:val="00415619"/>
    <w:rsid w:val="00415A66"/>
    <w:rsid w:val="004172C6"/>
    <w:rsid w:val="004178AF"/>
    <w:rsid w:val="00417A0F"/>
    <w:rsid w:val="00417E0E"/>
    <w:rsid w:val="00421367"/>
    <w:rsid w:val="00421510"/>
    <w:rsid w:val="00421A02"/>
    <w:rsid w:val="004223B3"/>
    <w:rsid w:val="00422ED7"/>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1135"/>
    <w:rsid w:val="00451204"/>
    <w:rsid w:val="0045190C"/>
    <w:rsid w:val="004524C7"/>
    <w:rsid w:val="00453A53"/>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A73"/>
    <w:rsid w:val="00483EB3"/>
    <w:rsid w:val="00484AE6"/>
    <w:rsid w:val="00484C31"/>
    <w:rsid w:val="004855B6"/>
    <w:rsid w:val="0048624C"/>
    <w:rsid w:val="00486381"/>
    <w:rsid w:val="004876D4"/>
    <w:rsid w:val="0049068F"/>
    <w:rsid w:val="00490DBA"/>
    <w:rsid w:val="00490DE1"/>
    <w:rsid w:val="00490FD8"/>
    <w:rsid w:val="004915FE"/>
    <w:rsid w:val="004919E0"/>
    <w:rsid w:val="00491B86"/>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B70"/>
    <w:rsid w:val="004A33ED"/>
    <w:rsid w:val="004A3A46"/>
    <w:rsid w:val="004A3A5B"/>
    <w:rsid w:val="004A3B79"/>
    <w:rsid w:val="004A57FB"/>
    <w:rsid w:val="004A6CE9"/>
    <w:rsid w:val="004A7773"/>
    <w:rsid w:val="004B0723"/>
    <w:rsid w:val="004B0C98"/>
    <w:rsid w:val="004B195D"/>
    <w:rsid w:val="004B2020"/>
    <w:rsid w:val="004B28BB"/>
    <w:rsid w:val="004B4E63"/>
    <w:rsid w:val="004C0983"/>
    <w:rsid w:val="004C0A58"/>
    <w:rsid w:val="004C1225"/>
    <w:rsid w:val="004C1399"/>
    <w:rsid w:val="004C1F14"/>
    <w:rsid w:val="004C320D"/>
    <w:rsid w:val="004C48CA"/>
    <w:rsid w:val="004D0CEA"/>
    <w:rsid w:val="004D2AB5"/>
    <w:rsid w:val="004D3B35"/>
    <w:rsid w:val="004D3E48"/>
    <w:rsid w:val="004D498C"/>
    <w:rsid w:val="004D4E0E"/>
    <w:rsid w:val="004D5736"/>
    <w:rsid w:val="004D593A"/>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49AD"/>
    <w:rsid w:val="004F4A56"/>
    <w:rsid w:val="004F5D39"/>
    <w:rsid w:val="004F5DB5"/>
    <w:rsid w:val="004F5F41"/>
    <w:rsid w:val="005002B2"/>
    <w:rsid w:val="005006EF"/>
    <w:rsid w:val="00501A94"/>
    <w:rsid w:val="00502C25"/>
    <w:rsid w:val="00502D1A"/>
    <w:rsid w:val="00503568"/>
    <w:rsid w:val="00505B7E"/>
    <w:rsid w:val="005077CB"/>
    <w:rsid w:val="005111D8"/>
    <w:rsid w:val="00511ADF"/>
    <w:rsid w:val="00512369"/>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359F0"/>
    <w:rsid w:val="00540222"/>
    <w:rsid w:val="00540492"/>
    <w:rsid w:val="0054099F"/>
    <w:rsid w:val="0054150E"/>
    <w:rsid w:val="005417B7"/>
    <w:rsid w:val="00543AC5"/>
    <w:rsid w:val="005443CA"/>
    <w:rsid w:val="00544601"/>
    <w:rsid w:val="00544ED1"/>
    <w:rsid w:val="00545B11"/>
    <w:rsid w:val="00546ECF"/>
    <w:rsid w:val="005500DE"/>
    <w:rsid w:val="005504E6"/>
    <w:rsid w:val="005505A9"/>
    <w:rsid w:val="00550D43"/>
    <w:rsid w:val="00551163"/>
    <w:rsid w:val="0055139A"/>
    <w:rsid w:val="005514FB"/>
    <w:rsid w:val="005542D8"/>
    <w:rsid w:val="00556AF7"/>
    <w:rsid w:val="00560AB4"/>
    <w:rsid w:val="00562C73"/>
    <w:rsid w:val="005636E0"/>
    <w:rsid w:val="00563CA1"/>
    <w:rsid w:val="0056402C"/>
    <w:rsid w:val="005648D2"/>
    <w:rsid w:val="00564D8B"/>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521F"/>
    <w:rsid w:val="00596583"/>
    <w:rsid w:val="00597178"/>
    <w:rsid w:val="00597C08"/>
    <w:rsid w:val="005A0E54"/>
    <w:rsid w:val="005A3537"/>
    <w:rsid w:val="005A383D"/>
    <w:rsid w:val="005A6AC6"/>
    <w:rsid w:val="005A7776"/>
    <w:rsid w:val="005B0665"/>
    <w:rsid w:val="005B1C88"/>
    <w:rsid w:val="005B2AF9"/>
    <w:rsid w:val="005B5F0A"/>
    <w:rsid w:val="005B7813"/>
    <w:rsid w:val="005C3012"/>
    <w:rsid w:val="005C3601"/>
    <w:rsid w:val="005C419F"/>
    <w:rsid w:val="005C5E20"/>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3F6E"/>
    <w:rsid w:val="005E5FA6"/>
    <w:rsid w:val="005E6CD4"/>
    <w:rsid w:val="005E7C2F"/>
    <w:rsid w:val="005E7F9C"/>
    <w:rsid w:val="005F1413"/>
    <w:rsid w:val="005F2EA1"/>
    <w:rsid w:val="005F42A0"/>
    <w:rsid w:val="005F5F51"/>
    <w:rsid w:val="005F6216"/>
    <w:rsid w:val="005F64BA"/>
    <w:rsid w:val="005F7688"/>
    <w:rsid w:val="00601814"/>
    <w:rsid w:val="006034F6"/>
    <w:rsid w:val="0060367E"/>
    <w:rsid w:val="00606BE9"/>
    <w:rsid w:val="006074AF"/>
    <w:rsid w:val="0061013C"/>
    <w:rsid w:val="00610406"/>
    <w:rsid w:val="006104BD"/>
    <w:rsid w:val="006107D8"/>
    <w:rsid w:val="0061099C"/>
    <w:rsid w:val="00610EE4"/>
    <w:rsid w:val="00612E05"/>
    <w:rsid w:val="00612EFC"/>
    <w:rsid w:val="00613053"/>
    <w:rsid w:val="00613983"/>
    <w:rsid w:val="006146B7"/>
    <w:rsid w:val="006154BC"/>
    <w:rsid w:val="00616E00"/>
    <w:rsid w:val="006204DA"/>
    <w:rsid w:val="00621794"/>
    <w:rsid w:val="00621C33"/>
    <w:rsid w:val="0062212D"/>
    <w:rsid w:val="0062239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241C"/>
    <w:rsid w:val="00653DCF"/>
    <w:rsid w:val="00654CA7"/>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90396"/>
    <w:rsid w:val="00690564"/>
    <w:rsid w:val="00694261"/>
    <w:rsid w:val="0069445D"/>
    <w:rsid w:val="006947A9"/>
    <w:rsid w:val="006951D8"/>
    <w:rsid w:val="00695BD8"/>
    <w:rsid w:val="006973A2"/>
    <w:rsid w:val="00697B9D"/>
    <w:rsid w:val="006A109A"/>
    <w:rsid w:val="006A1102"/>
    <w:rsid w:val="006A242B"/>
    <w:rsid w:val="006A2BDF"/>
    <w:rsid w:val="006A3735"/>
    <w:rsid w:val="006A4101"/>
    <w:rsid w:val="006A4956"/>
    <w:rsid w:val="006A4C25"/>
    <w:rsid w:val="006A4F11"/>
    <w:rsid w:val="006A5477"/>
    <w:rsid w:val="006A5B65"/>
    <w:rsid w:val="006A5BB2"/>
    <w:rsid w:val="006A65D8"/>
    <w:rsid w:val="006A6862"/>
    <w:rsid w:val="006A69FB"/>
    <w:rsid w:val="006A6D8E"/>
    <w:rsid w:val="006B15B7"/>
    <w:rsid w:val="006B1940"/>
    <w:rsid w:val="006B1A71"/>
    <w:rsid w:val="006B1FE6"/>
    <w:rsid w:val="006B24A8"/>
    <w:rsid w:val="006B254E"/>
    <w:rsid w:val="006B3332"/>
    <w:rsid w:val="006B36C8"/>
    <w:rsid w:val="006B76F4"/>
    <w:rsid w:val="006C03C1"/>
    <w:rsid w:val="006C2B87"/>
    <w:rsid w:val="006C2E4E"/>
    <w:rsid w:val="006C5BD7"/>
    <w:rsid w:val="006C5E84"/>
    <w:rsid w:val="006C65C9"/>
    <w:rsid w:val="006C6C9D"/>
    <w:rsid w:val="006C7D36"/>
    <w:rsid w:val="006C7F63"/>
    <w:rsid w:val="006D0E4B"/>
    <w:rsid w:val="006D3C77"/>
    <w:rsid w:val="006D4154"/>
    <w:rsid w:val="006D53D9"/>
    <w:rsid w:val="006D55C0"/>
    <w:rsid w:val="006D56DA"/>
    <w:rsid w:val="006D5D1A"/>
    <w:rsid w:val="006D6AAE"/>
    <w:rsid w:val="006D773D"/>
    <w:rsid w:val="006E0007"/>
    <w:rsid w:val="006E1E2D"/>
    <w:rsid w:val="006E2B78"/>
    <w:rsid w:val="006E323C"/>
    <w:rsid w:val="006E4A28"/>
    <w:rsid w:val="006E5980"/>
    <w:rsid w:val="006E59C8"/>
    <w:rsid w:val="006E67EB"/>
    <w:rsid w:val="006F047A"/>
    <w:rsid w:val="006F0E3B"/>
    <w:rsid w:val="006F16F7"/>
    <w:rsid w:val="006F1C86"/>
    <w:rsid w:val="006F2A21"/>
    <w:rsid w:val="006F3A45"/>
    <w:rsid w:val="006F6D1F"/>
    <w:rsid w:val="006F6F03"/>
    <w:rsid w:val="006F7724"/>
    <w:rsid w:val="006F7E32"/>
    <w:rsid w:val="007002CA"/>
    <w:rsid w:val="007048E4"/>
    <w:rsid w:val="00705019"/>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B18"/>
    <w:rsid w:val="00743AD5"/>
    <w:rsid w:val="00743E90"/>
    <w:rsid w:val="00744F2A"/>
    <w:rsid w:val="00745D7E"/>
    <w:rsid w:val="007464AB"/>
    <w:rsid w:val="00747E6A"/>
    <w:rsid w:val="00750AE2"/>
    <w:rsid w:val="00754DC3"/>
    <w:rsid w:val="00756093"/>
    <w:rsid w:val="00757D48"/>
    <w:rsid w:val="00760CA5"/>
    <w:rsid w:val="00761639"/>
    <w:rsid w:val="00762784"/>
    <w:rsid w:val="00763D38"/>
    <w:rsid w:val="00764181"/>
    <w:rsid w:val="0076508B"/>
    <w:rsid w:val="00765E8F"/>
    <w:rsid w:val="00765F27"/>
    <w:rsid w:val="00766467"/>
    <w:rsid w:val="00767EFE"/>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3DAB"/>
    <w:rsid w:val="00794672"/>
    <w:rsid w:val="00795337"/>
    <w:rsid w:val="007953D9"/>
    <w:rsid w:val="00795CCC"/>
    <w:rsid w:val="007A3138"/>
    <w:rsid w:val="007A3318"/>
    <w:rsid w:val="007A36A1"/>
    <w:rsid w:val="007A3A78"/>
    <w:rsid w:val="007A3EB4"/>
    <w:rsid w:val="007A4460"/>
    <w:rsid w:val="007A5358"/>
    <w:rsid w:val="007A6431"/>
    <w:rsid w:val="007A67CB"/>
    <w:rsid w:val="007A6A73"/>
    <w:rsid w:val="007A6A8F"/>
    <w:rsid w:val="007B024C"/>
    <w:rsid w:val="007B36B6"/>
    <w:rsid w:val="007C06DA"/>
    <w:rsid w:val="007C1D87"/>
    <w:rsid w:val="007C1FCF"/>
    <w:rsid w:val="007C32AF"/>
    <w:rsid w:val="007C3B1E"/>
    <w:rsid w:val="007C7014"/>
    <w:rsid w:val="007C7593"/>
    <w:rsid w:val="007C7674"/>
    <w:rsid w:val="007D02E6"/>
    <w:rsid w:val="007D09D1"/>
    <w:rsid w:val="007D3B15"/>
    <w:rsid w:val="007D5227"/>
    <w:rsid w:val="007D5B04"/>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134A"/>
    <w:rsid w:val="00807A93"/>
    <w:rsid w:val="00810566"/>
    <w:rsid w:val="008120C6"/>
    <w:rsid w:val="0081297C"/>
    <w:rsid w:val="00813CAF"/>
    <w:rsid w:val="008145FE"/>
    <w:rsid w:val="00817B96"/>
    <w:rsid w:val="0082001D"/>
    <w:rsid w:val="00821F1B"/>
    <w:rsid w:val="00821FC3"/>
    <w:rsid w:val="008229FC"/>
    <w:rsid w:val="00823E9F"/>
    <w:rsid w:val="0082620C"/>
    <w:rsid w:val="008320EA"/>
    <w:rsid w:val="00832D8A"/>
    <w:rsid w:val="00833688"/>
    <w:rsid w:val="00833E2F"/>
    <w:rsid w:val="00834199"/>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50150"/>
    <w:rsid w:val="0085162C"/>
    <w:rsid w:val="008522C4"/>
    <w:rsid w:val="00854469"/>
    <w:rsid w:val="00855426"/>
    <w:rsid w:val="00856685"/>
    <w:rsid w:val="008573EF"/>
    <w:rsid w:val="0086012D"/>
    <w:rsid w:val="0086118F"/>
    <w:rsid w:val="00861DB1"/>
    <w:rsid w:val="008621AC"/>
    <w:rsid w:val="00862857"/>
    <w:rsid w:val="00862943"/>
    <w:rsid w:val="00863441"/>
    <w:rsid w:val="0086420C"/>
    <w:rsid w:val="00864227"/>
    <w:rsid w:val="00864A66"/>
    <w:rsid w:val="00865913"/>
    <w:rsid w:val="008677E8"/>
    <w:rsid w:val="0087074D"/>
    <w:rsid w:val="00870F3D"/>
    <w:rsid w:val="00873D97"/>
    <w:rsid w:val="008751D5"/>
    <w:rsid w:val="00875615"/>
    <w:rsid w:val="00876B96"/>
    <w:rsid w:val="00882BE5"/>
    <w:rsid w:val="008852A8"/>
    <w:rsid w:val="00885BB2"/>
    <w:rsid w:val="00887334"/>
    <w:rsid w:val="0088762F"/>
    <w:rsid w:val="008901F1"/>
    <w:rsid w:val="00890ADE"/>
    <w:rsid w:val="00891AC8"/>
    <w:rsid w:val="0089253B"/>
    <w:rsid w:val="008928CA"/>
    <w:rsid w:val="008929D4"/>
    <w:rsid w:val="00894CAF"/>
    <w:rsid w:val="0089754A"/>
    <w:rsid w:val="008A02D6"/>
    <w:rsid w:val="008A0460"/>
    <w:rsid w:val="008A0D14"/>
    <w:rsid w:val="008A1EB6"/>
    <w:rsid w:val="008A4588"/>
    <w:rsid w:val="008A594F"/>
    <w:rsid w:val="008A5BE3"/>
    <w:rsid w:val="008A72F2"/>
    <w:rsid w:val="008A76E7"/>
    <w:rsid w:val="008B1C45"/>
    <w:rsid w:val="008B2FAF"/>
    <w:rsid w:val="008B397F"/>
    <w:rsid w:val="008B4798"/>
    <w:rsid w:val="008B5B7A"/>
    <w:rsid w:val="008B5E68"/>
    <w:rsid w:val="008B67EA"/>
    <w:rsid w:val="008B6A7B"/>
    <w:rsid w:val="008B6C0A"/>
    <w:rsid w:val="008C065D"/>
    <w:rsid w:val="008C2A03"/>
    <w:rsid w:val="008C3987"/>
    <w:rsid w:val="008C3A7D"/>
    <w:rsid w:val="008C6955"/>
    <w:rsid w:val="008C6E6C"/>
    <w:rsid w:val="008C7F31"/>
    <w:rsid w:val="008D0473"/>
    <w:rsid w:val="008D2578"/>
    <w:rsid w:val="008D2E15"/>
    <w:rsid w:val="008D5191"/>
    <w:rsid w:val="008D54F8"/>
    <w:rsid w:val="008D5821"/>
    <w:rsid w:val="008E0214"/>
    <w:rsid w:val="008E02CE"/>
    <w:rsid w:val="008E0561"/>
    <w:rsid w:val="008E15F2"/>
    <w:rsid w:val="008E17BB"/>
    <w:rsid w:val="008E5134"/>
    <w:rsid w:val="008F0165"/>
    <w:rsid w:val="008F0198"/>
    <w:rsid w:val="008F070D"/>
    <w:rsid w:val="008F0D07"/>
    <w:rsid w:val="008F135C"/>
    <w:rsid w:val="008F4B9F"/>
    <w:rsid w:val="008F6859"/>
    <w:rsid w:val="008F7EFB"/>
    <w:rsid w:val="008F7F6F"/>
    <w:rsid w:val="00903279"/>
    <w:rsid w:val="00903FE2"/>
    <w:rsid w:val="00904825"/>
    <w:rsid w:val="0091012A"/>
    <w:rsid w:val="00910E80"/>
    <w:rsid w:val="00910EB6"/>
    <w:rsid w:val="0091261E"/>
    <w:rsid w:val="00912EA1"/>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25F9"/>
    <w:rsid w:val="009450D1"/>
    <w:rsid w:val="0094637A"/>
    <w:rsid w:val="0094681A"/>
    <w:rsid w:val="0094787D"/>
    <w:rsid w:val="00947D90"/>
    <w:rsid w:val="0095047B"/>
    <w:rsid w:val="0095120D"/>
    <w:rsid w:val="00951629"/>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F9D"/>
    <w:rsid w:val="0097150B"/>
    <w:rsid w:val="00971A43"/>
    <w:rsid w:val="0097222A"/>
    <w:rsid w:val="00972CBD"/>
    <w:rsid w:val="00973CE8"/>
    <w:rsid w:val="00976D7F"/>
    <w:rsid w:val="009778D4"/>
    <w:rsid w:val="00982EEB"/>
    <w:rsid w:val="009835A1"/>
    <w:rsid w:val="0098383F"/>
    <w:rsid w:val="00984639"/>
    <w:rsid w:val="00985FA5"/>
    <w:rsid w:val="0098684C"/>
    <w:rsid w:val="009873C2"/>
    <w:rsid w:val="009904CA"/>
    <w:rsid w:val="00991C7F"/>
    <w:rsid w:val="00991DC9"/>
    <w:rsid w:val="009920C7"/>
    <w:rsid w:val="00992BA0"/>
    <w:rsid w:val="00994442"/>
    <w:rsid w:val="00995B66"/>
    <w:rsid w:val="00996C36"/>
    <w:rsid w:val="00996E5C"/>
    <w:rsid w:val="009A2713"/>
    <w:rsid w:val="009A3636"/>
    <w:rsid w:val="009A5AEF"/>
    <w:rsid w:val="009A7F02"/>
    <w:rsid w:val="009B01FC"/>
    <w:rsid w:val="009B1F7B"/>
    <w:rsid w:val="009B2AE5"/>
    <w:rsid w:val="009B333D"/>
    <w:rsid w:val="009B3EC1"/>
    <w:rsid w:val="009B4B83"/>
    <w:rsid w:val="009B5590"/>
    <w:rsid w:val="009B5765"/>
    <w:rsid w:val="009B58A1"/>
    <w:rsid w:val="009B61A7"/>
    <w:rsid w:val="009C1173"/>
    <w:rsid w:val="009C152D"/>
    <w:rsid w:val="009C31F5"/>
    <w:rsid w:val="009C434C"/>
    <w:rsid w:val="009C5719"/>
    <w:rsid w:val="009C6AD9"/>
    <w:rsid w:val="009C6D3E"/>
    <w:rsid w:val="009C7544"/>
    <w:rsid w:val="009C7809"/>
    <w:rsid w:val="009C7818"/>
    <w:rsid w:val="009D0BBC"/>
    <w:rsid w:val="009D39DF"/>
    <w:rsid w:val="009D3FF1"/>
    <w:rsid w:val="009D4595"/>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3E05"/>
    <w:rsid w:val="00A15A24"/>
    <w:rsid w:val="00A17715"/>
    <w:rsid w:val="00A219D0"/>
    <w:rsid w:val="00A2295D"/>
    <w:rsid w:val="00A234CB"/>
    <w:rsid w:val="00A24749"/>
    <w:rsid w:val="00A24E27"/>
    <w:rsid w:val="00A27168"/>
    <w:rsid w:val="00A27B91"/>
    <w:rsid w:val="00A308BA"/>
    <w:rsid w:val="00A3168B"/>
    <w:rsid w:val="00A33012"/>
    <w:rsid w:val="00A35F08"/>
    <w:rsid w:val="00A419A9"/>
    <w:rsid w:val="00A4258D"/>
    <w:rsid w:val="00A43106"/>
    <w:rsid w:val="00A43E80"/>
    <w:rsid w:val="00A44C9D"/>
    <w:rsid w:val="00A45D09"/>
    <w:rsid w:val="00A45F3B"/>
    <w:rsid w:val="00A47292"/>
    <w:rsid w:val="00A50B64"/>
    <w:rsid w:val="00A50FA7"/>
    <w:rsid w:val="00A51819"/>
    <w:rsid w:val="00A52574"/>
    <w:rsid w:val="00A525B4"/>
    <w:rsid w:val="00A54127"/>
    <w:rsid w:val="00A5453D"/>
    <w:rsid w:val="00A5558B"/>
    <w:rsid w:val="00A55973"/>
    <w:rsid w:val="00A56F7D"/>
    <w:rsid w:val="00A57484"/>
    <w:rsid w:val="00A60464"/>
    <w:rsid w:val="00A6205A"/>
    <w:rsid w:val="00A63A6F"/>
    <w:rsid w:val="00A64A65"/>
    <w:rsid w:val="00A65033"/>
    <w:rsid w:val="00A7072F"/>
    <w:rsid w:val="00A70EA0"/>
    <w:rsid w:val="00A715F7"/>
    <w:rsid w:val="00A72426"/>
    <w:rsid w:val="00A7391E"/>
    <w:rsid w:val="00A744CD"/>
    <w:rsid w:val="00A75C4A"/>
    <w:rsid w:val="00A760AC"/>
    <w:rsid w:val="00A76EB4"/>
    <w:rsid w:val="00A773E6"/>
    <w:rsid w:val="00A77FBC"/>
    <w:rsid w:val="00A8066D"/>
    <w:rsid w:val="00A809D9"/>
    <w:rsid w:val="00A827AB"/>
    <w:rsid w:val="00A8483D"/>
    <w:rsid w:val="00A85AC9"/>
    <w:rsid w:val="00A87BB2"/>
    <w:rsid w:val="00A90A3E"/>
    <w:rsid w:val="00A90E47"/>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DDA"/>
    <w:rsid w:val="00AC6EE7"/>
    <w:rsid w:val="00AD2641"/>
    <w:rsid w:val="00AD2B51"/>
    <w:rsid w:val="00AD39FF"/>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458"/>
    <w:rsid w:val="00B005A7"/>
    <w:rsid w:val="00B01B2B"/>
    <w:rsid w:val="00B02064"/>
    <w:rsid w:val="00B041C4"/>
    <w:rsid w:val="00B057B8"/>
    <w:rsid w:val="00B06972"/>
    <w:rsid w:val="00B06A28"/>
    <w:rsid w:val="00B07AFB"/>
    <w:rsid w:val="00B1326E"/>
    <w:rsid w:val="00B208BF"/>
    <w:rsid w:val="00B21BC7"/>
    <w:rsid w:val="00B2270D"/>
    <w:rsid w:val="00B22E5F"/>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1ABC"/>
    <w:rsid w:val="00B424B6"/>
    <w:rsid w:val="00B44B18"/>
    <w:rsid w:val="00B45CD1"/>
    <w:rsid w:val="00B46272"/>
    <w:rsid w:val="00B46D2E"/>
    <w:rsid w:val="00B512EC"/>
    <w:rsid w:val="00B517CC"/>
    <w:rsid w:val="00B5320A"/>
    <w:rsid w:val="00B533D9"/>
    <w:rsid w:val="00B53896"/>
    <w:rsid w:val="00B546AA"/>
    <w:rsid w:val="00B54881"/>
    <w:rsid w:val="00B54D04"/>
    <w:rsid w:val="00B54F4D"/>
    <w:rsid w:val="00B55EFC"/>
    <w:rsid w:val="00B626C9"/>
    <w:rsid w:val="00B63996"/>
    <w:rsid w:val="00B63E11"/>
    <w:rsid w:val="00B64C15"/>
    <w:rsid w:val="00B665AC"/>
    <w:rsid w:val="00B6686C"/>
    <w:rsid w:val="00B67483"/>
    <w:rsid w:val="00B72794"/>
    <w:rsid w:val="00B728AE"/>
    <w:rsid w:val="00B72A6E"/>
    <w:rsid w:val="00B72F0D"/>
    <w:rsid w:val="00B737DF"/>
    <w:rsid w:val="00B73FFF"/>
    <w:rsid w:val="00B76305"/>
    <w:rsid w:val="00B80450"/>
    <w:rsid w:val="00B80A51"/>
    <w:rsid w:val="00B80AC5"/>
    <w:rsid w:val="00B80E47"/>
    <w:rsid w:val="00B8154F"/>
    <w:rsid w:val="00B821F8"/>
    <w:rsid w:val="00B82263"/>
    <w:rsid w:val="00B849D2"/>
    <w:rsid w:val="00B84AC6"/>
    <w:rsid w:val="00B853A6"/>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23C3"/>
    <w:rsid w:val="00BD3167"/>
    <w:rsid w:val="00BD480E"/>
    <w:rsid w:val="00BD5371"/>
    <w:rsid w:val="00BD55A1"/>
    <w:rsid w:val="00BD6B37"/>
    <w:rsid w:val="00BD6BB4"/>
    <w:rsid w:val="00BD7F46"/>
    <w:rsid w:val="00BE008B"/>
    <w:rsid w:val="00BE106B"/>
    <w:rsid w:val="00BE1092"/>
    <w:rsid w:val="00BE2DDF"/>
    <w:rsid w:val="00BE3DFD"/>
    <w:rsid w:val="00BE44FE"/>
    <w:rsid w:val="00BE4E3E"/>
    <w:rsid w:val="00BE6E82"/>
    <w:rsid w:val="00BE7179"/>
    <w:rsid w:val="00BE7593"/>
    <w:rsid w:val="00BF004C"/>
    <w:rsid w:val="00BF0737"/>
    <w:rsid w:val="00BF29AD"/>
    <w:rsid w:val="00BF3E50"/>
    <w:rsid w:val="00BF61E7"/>
    <w:rsid w:val="00BF73D3"/>
    <w:rsid w:val="00BF73D7"/>
    <w:rsid w:val="00C006AE"/>
    <w:rsid w:val="00C00A4B"/>
    <w:rsid w:val="00C01AE8"/>
    <w:rsid w:val="00C01E99"/>
    <w:rsid w:val="00C01F36"/>
    <w:rsid w:val="00C04B18"/>
    <w:rsid w:val="00C07066"/>
    <w:rsid w:val="00C1067D"/>
    <w:rsid w:val="00C12FEC"/>
    <w:rsid w:val="00C1306A"/>
    <w:rsid w:val="00C130A8"/>
    <w:rsid w:val="00C14A4D"/>
    <w:rsid w:val="00C14F1D"/>
    <w:rsid w:val="00C15F6F"/>
    <w:rsid w:val="00C176F7"/>
    <w:rsid w:val="00C206F6"/>
    <w:rsid w:val="00C210E6"/>
    <w:rsid w:val="00C21872"/>
    <w:rsid w:val="00C226F8"/>
    <w:rsid w:val="00C23C1B"/>
    <w:rsid w:val="00C23E9D"/>
    <w:rsid w:val="00C25D8C"/>
    <w:rsid w:val="00C26A4D"/>
    <w:rsid w:val="00C273ED"/>
    <w:rsid w:val="00C3052A"/>
    <w:rsid w:val="00C32BAB"/>
    <w:rsid w:val="00C32CBE"/>
    <w:rsid w:val="00C332F1"/>
    <w:rsid w:val="00C34808"/>
    <w:rsid w:val="00C35CA9"/>
    <w:rsid w:val="00C406E9"/>
    <w:rsid w:val="00C41152"/>
    <w:rsid w:val="00C415BD"/>
    <w:rsid w:val="00C41B37"/>
    <w:rsid w:val="00C42C44"/>
    <w:rsid w:val="00C42FBB"/>
    <w:rsid w:val="00C4642B"/>
    <w:rsid w:val="00C46E38"/>
    <w:rsid w:val="00C47515"/>
    <w:rsid w:val="00C50126"/>
    <w:rsid w:val="00C52604"/>
    <w:rsid w:val="00C54555"/>
    <w:rsid w:val="00C55BD8"/>
    <w:rsid w:val="00C56AC7"/>
    <w:rsid w:val="00C57233"/>
    <w:rsid w:val="00C57401"/>
    <w:rsid w:val="00C609F4"/>
    <w:rsid w:val="00C62E2D"/>
    <w:rsid w:val="00C63145"/>
    <w:rsid w:val="00C6353A"/>
    <w:rsid w:val="00C63CF7"/>
    <w:rsid w:val="00C65777"/>
    <w:rsid w:val="00C65E49"/>
    <w:rsid w:val="00C6669D"/>
    <w:rsid w:val="00C70B73"/>
    <w:rsid w:val="00C70D82"/>
    <w:rsid w:val="00C7158F"/>
    <w:rsid w:val="00C71A63"/>
    <w:rsid w:val="00C7264D"/>
    <w:rsid w:val="00C743C9"/>
    <w:rsid w:val="00C744A5"/>
    <w:rsid w:val="00C74953"/>
    <w:rsid w:val="00C756D1"/>
    <w:rsid w:val="00C75926"/>
    <w:rsid w:val="00C765DB"/>
    <w:rsid w:val="00C778A0"/>
    <w:rsid w:val="00C81D71"/>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A09E4"/>
    <w:rsid w:val="00CA14E7"/>
    <w:rsid w:val="00CA1695"/>
    <w:rsid w:val="00CA1C0A"/>
    <w:rsid w:val="00CA2A76"/>
    <w:rsid w:val="00CA3969"/>
    <w:rsid w:val="00CA404D"/>
    <w:rsid w:val="00CA461B"/>
    <w:rsid w:val="00CA6625"/>
    <w:rsid w:val="00CA76AC"/>
    <w:rsid w:val="00CB17D1"/>
    <w:rsid w:val="00CB26D6"/>
    <w:rsid w:val="00CB37BF"/>
    <w:rsid w:val="00CB53DC"/>
    <w:rsid w:val="00CB5E57"/>
    <w:rsid w:val="00CB6586"/>
    <w:rsid w:val="00CB6617"/>
    <w:rsid w:val="00CB70BC"/>
    <w:rsid w:val="00CC120F"/>
    <w:rsid w:val="00CC27B7"/>
    <w:rsid w:val="00CC319A"/>
    <w:rsid w:val="00CC474C"/>
    <w:rsid w:val="00CC6714"/>
    <w:rsid w:val="00CC69FE"/>
    <w:rsid w:val="00CD1C24"/>
    <w:rsid w:val="00CD1D2B"/>
    <w:rsid w:val="00CD2A71"/>
    <w:rsid w:val="00CD3806"/>
    <w:rsid w:val="00CD494D"/>
    <w:rsid w:val="00CD4FE5"/>
    <w:rsid w:val="00CD6E1A"/>
    <w:rsid w:val="00CD70A4"/>
    <w:rsid w:val="00CD712F"/>
    <w:rsid w:val="00CD721B"/>
    <w:rsid w:val="00CD787C"/>
    <w:rsid w:val="00CE0CC9"/>
    <w:rsid w:val="00CE131F"/>
    <w:rsid w:val="00CE215F"/>
    <w:rsid w:val="00CE2BF9"/>
    <w:rsid w:val="00CE3670"/>
    <w:rsid w:val="00CE4EA4"/>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2E2E"/>
    <w:rsid w:val="00D131C5"/>
    <w:rsid w:val="00D1346D"/>
    <w:rsid w:val="00D13852"/>
    <w:rsid w:val="00D139FA"/>
    <w:rsid w:val="00D14D5C"/>
    <w:rsid w:val="00D15F66"/>
    <w:rsid w:val="00D1617C"/>
    <w:rsid w:val="00D17263"/>
    <w:rsid w:val="00D22C49"/>
    <w:rsid w:val="00D22CC5"/>
    <w:rsid w:val="00D2309C"/>
    <w:rsid w:val="00D25C40"/>
    <w:rsid w:val="00D267C2"/>
    <w:rsid w:val="00D26C5F"/>
    <w:rsid w:val="00D27347"/>
    <w:rsid w:val="00D31ACC"/>
    <w:rsid w:val="00D325D1"/>
    <w:rsid w:val="00D32E44"/>
    <w:rsid w:val="00D3305D"/>
    <w:rsid w:val="00D3407F"/>
    <w:rsid w:val="00D36476"/>
    <w:rsid w:val="00D37574"/>
    <w:rsid w:val="00D40E00"/>
    <w:rsid w:val="00D41934"/>
    <w:rsid w:val="00D41B3D"/>
    <w:rsid w:val="00D432E7"/>
    <w:rsid w:val="00D4456E"/>
    <w:rsid w:val="00D46AB9"/>
    <w:rsid w:val="00D477C0"/>
    <w:rsid w:val="00D5014D"/>
    <w:rsid w:val="00D50BE3"/>
    <w:rsid w:val="00D52534"/>
    <w:rsid w:val="00D53BF9"/>
    <w:rsid w:val="00D54B4A"/>
    <w:rsid w:val="00D55514"/>
    <w:rsid w:val="00D55B2F"/>
    <w:rsid w:val="00D5610D"/>
    <w:rsid w:val="00D56A02"/>
    <w:rsid w:val="00D5714D"/>
    <w:rsid w:val="00D60080"/>
    <w:rsid w:val="00D620BD"/>
    <w:rsid w:val="00D62550"/>
    <w:rsid w:val="00D627FC"/>
    <w:rsid w:val="00D63088"/>
    <w:rsid w:val="00D63AF2"/>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05AF"/>
    <w:rsid w:val="00D812C3"/>
    <w:rsid w:val="00D83B5E"/>
    <w:rsid w:val="00D83C1B"/>
    <w:rsid w:val="00D83CBF"/>
    <w:rsid w:val="00D87370"/>
    <w:rsid w:val="00D87C79"/>
    <w:rsid w:val="00D9049A"/>
    <w:rsid w:val="00D90980"/>
    <w:rsid w:val="00D90D27"/>
    <w:rsid w:val="00D91777"/>
    <w:rsid w:val="00D93993"/>
    <w:rsid w:val="00D95EAC"/>
    <w:rsid w:val="00D97506"/>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79AF"/>
    <w:rsid w:val="00DE209F"/>
    <w:rsid w:val="00DE2E22"/>
    <w:rsid w:val="00DE35A2"/>
    <w:rsid w:val="00DE5884"/>
    <w:rsid w:val="00DE58ED"/>
    <w:rsid w:val="00DE70B1"/>
    <w:rsid w:val="00DE7B96"/>
    <w:rsid w:val="00DF26F1"/>
    <w:rsid w:val="00DF3389"/>
    <w:rsid w:val="00DF775C"/>
    <w:rsid w:val="00E01753"/>
    <w:rsid w:val="00E030E6"/>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342D"/>
    <w:rsid w:val="00E24D09"/>
    <w:rsid w:val="00E26006"/>
    <w:rsid w:val="00E2712B"/>
    <w:rsid w:val="00E319E7"/>
    <w:rsid w:val="00E33F58"/>
    <w:rsid w:val="00E344DF"/>
    <w:rsid w:val="00E347D2"/>
    <w:rsid w:val="00E3548B"/>
    <w:rsid w:val="00E35790"/>
    <w:rsid w:val="00E362B4"/>
    <w:rsid w:val="00E400C7"/>
    <w:rsid w:val="00E408D8"/>
    <w:rsid w:val="00E42758"/>
    <w:rsid w:val="00E42E09"/>
    <w:rsid w:val="00E44B2A"/>
    <w:rsid w:val="00E46066"/>
    <w:rsid w:val="00E4637F"/>
    <w:rsid w:val="00E4674B"/>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7786C"/>
    <w:rsid w:val="00E80EBE"/>
    <w:rsid w:val="00E80F2A"/>
    <w:rsid w:val="00E81663"/>
    <w:rsid w:val="00E82C6E"/>
    <w:rsid w:val="00E83214"/>
    <w:rsid w:val="00E83B34"/>
    <w:rsid w:val="00E85F57"/>
    <w:rsid w:val="00E860DB"/>
    <w:rsid w:val="00E8668A"/>
    <w:rsid w:val="00E874EC"/>
    <w:rsid w:val="00E87DDA"/>
    <w:rsid w:val="00E906FA"/>
    <w:rsid w:val="00E91A79"/>
    <w:rsid w:val="00E9212F"/>
    <w:rsid w:val="00E925EA"/>
    <w:rsid w:val="00E937D2"/>
    <w:rsid w:val="00E93E23"/>
    <w:rsid w:val="00E94786"/>
    <w:rsid w:val="00E9504C"/>
    <w:rsid w:val="00E95D92"/>
    <w:rsid w:val="00E96291"/>
    <w:rsid w:val="00E96973"/>
    <w:rsid w:val="00E97959"/>
    <w:rsid w:val="00EA07C2"/>
    <w:rsid w:val="00EA0BE3"/>
    <w:rsid w:val="00EA11CC"/>
    <w:rsid w:val="00EA2255"/>
    <w:rsid w:val="00EA3300"/>
    <w:rsid w:val="00EA3543"/>
    <w:rsid w:val="00EA36E2"/>
    <w:rsid w:val="00EA477A"/>
    <w:rsid w:val="00EA5148"/>
    <w:rsid w:val="00EA5160"/>
    <w:rsid w:val="00EA5276"/>
    <w:rsid w:val="00EA67E7"/>
    <w:rsid w:val="00EB0A2D"/>
    <w:rsid w:val="00EB1D25"/>
    <w:rsid w:val="00EB26E2"/>
    <w:rsid w:val="00EB316B"/>
    <w:rsid w:val="00EB45C9"/>
    <w:rsid w:val="00EB4CA7"/>
    <w:rsid w:val="00EB68EB"/>
    <w:rsid w:val="00EB74A5"/>
    <w:rsid w:val="00EB7F61"/>
    <w:rsid w:val="00EC110D"/>
    <w:rsid w:val="00EC1516"/>
    <w:rsid w:val="00EC29A3"/>
    <w:rsid w:val="00EC3D4B"/>
    <w:rsid w:val="00EC47E9"/>
    <w:rsid w:val="00EC6913"/>
    <w:rsid w:val="00EC6E21"/>
    <w:rsid w:val="00ED0045"/>
    <w:rsid w:val="00ED21D5"/>
    <w:rsid w:val="00ED2FA1"/>
    <w:rsid w:val="00ED3717"/>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9A4"/>
    <w:rsid w:val="00EF6B0E"/>
    <w:rsid w:val="00EF6ED0"/>
    <w:rsid w:val="00F02C6C"/>
    <w:rsid w:val="00F02EB8"/>
    <w:rsid w:val="00F03240"/>
    <w:rsid w:val="00F033A1"/>
    <w:rsid w:val="00F05077"/>
    <w:rsid w:val="00F07C22"/>
    <w:rsid w:val="00F10C90"/>
    <w:rsid w:val="00F13F5C"/>
    <w:rsid w:val="00F143C9"/>
    <w:rsid w:val="00F1449D"/>
    <w:rsid w:val="00F14CDD"/>
    <w:rsid w:val="00F15272"/>
    <w:rsid w:val="00F1772F"/>
    <w:rsid w:val="00F203A7"/>
    <w:rsid w:val="00F203DC"/>
    <w:rsid w:val="00F20E21"/>
    <w:rsid w:val="00F217DC"/>
    <w:rsid w:val="00F2235E"/>
    <w:rsid w:val="00F22792"/>
    <w:rsid w:val="00F24147"/>
    <w:rsid w:val="00F24456"/>
    <w:rsid w:val="00F2464A"/>
    <w:rsid w:val="00F248A7"/>
    <w:rsid w:val="00F25BF6"/>
    <w:rsid w:val="00F26836"/>
    <w:rsid w:val="00F26ABE"/>
    <w:rsid w:val="00F277E0"/>
    <w:rsid w:val="00F30624"/>
    <w:rsid w:val="00F3209E"/>
    <w:rsid w:val="00F32463"/>
    <w:rsid w:val="00F328BB"/>
    <w:rsid w:val="00F34C2A"/>
    <w:rsid w:val="00F40609"/>
    <w:rsid w:val="00F4096D"/>
    <w:rsid w:val="00F40FC2"/>
    <w:rsid w:val="00F4401B"/>
    <w:rsid w:val="00F448D9"/>
    <w:rsid w:val="00F456ED"/>
    <w:rsid w:val="00F5330E"/>
    <w:rsid w:val="00F53742"/>
    <w:rsid w:val="00F54A5D"/>
    <w:rsid w:val="00F55328"/>
    <w:rsid w:val="00F56A75"/>
    <w:rsid w:val="00F60335"/>
    <w:rsid w:val="00F61E35"/>
    <w:rsid w:val="00F62F02"/>
    <w:rsid w:val="00F64298"/>
    <w:rsid w:val="00F655DA"/>
    <w:rsid w:val="00F6621B"/>
    <w:rsid w:val="00F666B7"/>
    <w:rsid w:val="00F66726"/>
    <w:rsid w:val="00F66D17"/>
    <w:rsid w:val="00F672BB"/>
    <w:rsid w:val="00F67D45"/>
    <w:rsid w:val="00F708D6"/>
    <w:rsid w:val="00F70F83"/>
    <w:rsid w:val="00F729DA"/>
    <w:rsid w:val="00F740FE"/>
    <w:rsid w:val="00F77EC4"/>
    <w:rsid w:val="00F81C65"/>
    <w:rsid w:val="00F825F0"/>
    <w:rsid w:val="00F82C72"/>
    <w:rsid w:val="00F832FB"/>
    <w:rsid w:val="00F84F57"/>
    <w:rsid w:val="00F856CC"/>
    <w:rsid w:val="00F867A9"/>
    <w:rsid w:val="00F90543"/>
    <w:rsid w:val="00F923EA"/>
    <w:rsid w:val="00F93639"/>
    <w:rsid w:val="00F94070"/>
    <w:rsid w:val="00F944BF"/>
    <w:rsid w:val="00F965B7"/>
    <w:rsid w:val="00F97090"/>
    <w:rsid w:val="00FA28A5"/>
    <w:rsid w:val="00FA3191"/>
    <w:rsid w:val="00FA385B"/>
    <w:rsid w:val="00FA5D8D"/>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6FBB"/>
    <w:rsid w:val="00FC7BB2"/>
    <w:rsid w:val="00FD10B4"/>
    <w:rsid w:val="00FD1147"/>
    <w:rsid w:val="00FD11E1"/>
    <w:rsid w:val="00FD1215"/>
    <w:rsid w:val="00FD129F"/>
    <w:rsid w:val="00FD17FB"/>
    <w:rsid w:val="00FD1B54"/>
    <w:rsid w:val="00FD1BC8"/>
    <w:rsid w:val="00FD4021"/>
    <w:rsid w:val="00FD4492"/>
    <w:rsid w:val="00FD5445"/>
    <w:rsid w:val="00FD5604"/>
    <w:rsid w:val="00FD75F2"/>
    <w:rsid w:val="00FE1A77"/>
    <w:rsid w:val="00FE26B6"/>
    <w:rsid w:val="00FE297A"/>
    <w:rsid w:val="00FE35E2"/>
    <w:rsid w:val="00FE3F80"/>
    <w:rsid w:val="00FE5BB1"/>
    <w:rsid w:val="00FE622E"/>
    <w:rsid w:val="00FE6A32"/>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CBC7A7"/>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7FC"/>
    <w:pPr>
      <w:spacing w:after="240" w:line="480" w:lineRule="auto"/>
      <w:ind w:firstLine="357"/>
      <w:contextualSpacing/>
      <w:jc w:val="both"/>
    </w:pPr>
    <w:rPr>
      <w:rFonts w:ascii="Arial" w:hAnsi="Arial"/>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A90E47"/>
    <w:pPr>
      <w:spacing w:before="120" w:line="240" w:lineRule="auto"/>
      <w:ind w:firstLine="0"/>
      <w:jc w:val="center"/>
    </w:pPr>
    <w:rPr>
      <w:bCs/>
      <w:sz w:val="16"/>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unhideWhenUsed/>
    <w:rsid w:val="00914FE5"/>
    <w:pPr>
      <w:tabs>
        <w:tab w:val="center" w:pos="4513"/>
        <w:tab w:val="right" w:pos="9026"/>
      </w:tabs>
      <w:spacing w:after="0" w:line="240" w:lineRule="auto"/>
    </w:pPr>
  </w:style>
  <w:style w:type="character" w:customStyle="1" w:styleId="HeaderChar">
    <w:name w:val="Header Char"/>
    <w:link w:val="Header"/>
    <w:uiPriority w:val="99"/>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bCs w:val="0"/>
      <w:szCs w:val="22"/>
      <w:lang w:bidi="ar-SA"/>
    </w:rPr>
  </w:style>
  <w:style w:type="character" w:customStyle="1" w:styleId="CaptionChar">
    <w:name w:val="Caption Char"/>
    <w:link w:val="Caption"/>
    <w:rsid w:val="00A90E47"/>
    <w:rPr>
      <w:rFonts w:ascii="Arial" w:hAnsi="Arial"/>
      <w:bCs/>
      <w:sz w:val="16"/>
      <w:szCs w:val="18"/>
      <w:lang w:eastAsia="en-US" w:bidi="en-US"/>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paragraph" w:styleId="Bibliography">
    <w:name w:val="Bibliography"/>
    <w:basedOn w:val="Normal"/>
    <w:next w:val="Normal"/>
    <w:uiPriority w:val="37"/>
    <w:unhideWhenUsed/>
    <w:rsid w:val="00356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464">
      <w:bodyDiv w:val="1"/>
      <w:marLeft w:val="0"/>
      <w:marRight w:val="0"/>
      <w:marTop w:val="0"/>
      <w:marBottom w:val="0"/>
      <w:divBdr>
        <w:top w:val="none" w:sz="0" w:space="0" w:color="auto"/>
        <w:left w:val="none" w:sz="0" w:space="0" w:color="auto"/>
        <w:bottom w:val="none" w:sz="0" w:space="0" w:color="auto"/>
        <w:right w:val="none" w:sz="0" w:space="0" w:color="auto"/>
      </w:divBdr>
    </w:div>
    <w:div w:id="24795853">
      <w:bodyDiv w:val="1"/>
      <w:marLeft w:val="0"/>
      <w:marRight w:val="0"/>
      <w:marTop w:val="0"/>
      <w:marBottom w:val="0"/>
      <w:divBdr>
        <w:top w:val="none" w:sz="0" w:space="0" w:color="auto"/>
        <w:left w:val="none" w:sz="0" w:space="0" w:color="auto"/>
        <w:bottom w:val="none" w:sz="0" w:space="0" w:color="auto"/>
        <w:right w:val="none" w:sz="0" w:space="0" w:color="auto"/>
      </w:divBdr>
    </w:div>
    <w:div w:id="94449641">
      <w:bodyDiv w:val="1"/>
      <w:marLeft w:val="0"/>
      <w:marRight w:val="0"/>
      <w:marTop w:val="0"/>
      <w:marBottom w:val="0"/>
      <w:divBdr>
        <w:top w:val="none" w:sz="0" w:space="0" w:color="auto"/>
        <w:left w:val="none" w:sz="0" w:space="0" w:color="auto"/>
        <w:bottom w:val="none" w:sz="0" w:space="0" w:color="auto"/>
        <w:right w:val="none" w:sz="0" w:space="0" w:color="auto"/>
      </w:divBdr>
    </w:div>
    <w:div w:id="152261687">
      <w:bodyDiv w:val="1"/>
      <w:marLeft w:val="0"/>
      <w:marRight w:val="0"/>
      <w:marTop w:val="0"/>
      <w:marBottom w:val="0"/>
      <w:divBdr>
        <w:top w:val="none" w:sz="0" w:space="0" w:color="auto"/>
        <w:left w:val="none" w:sz="0" w:space="0" w:color="auto"/>
        <w:bottom w:val="none" w:sz="0" w:space="0" w:color="auto"/>
        <w:right w:val="none" w:sz="0" w:space="0" w:color="auto"/>
      </w:divBdr>
    </w:div>
    <w:div w:id="198594951">
      <w:bodyDiv w:val="1"/>
      <w:marLeft w:val="0"/>
      <w:marRight w:val="0"/>
      <w:marTop w:val="0"/>
      <w:marBottom w:val="0"/>
      <w:divBdr>
        <w:top w:val="none" w:sz="0" w:space="0" w:color="auto"/>
        <w:left w:val="none" w:sz="0" w:space="0" w:color="auto"/>
        <w:bottom w:val="none" w:sz="0" w:space="0" w:color="auto"/>
        <w:right w:val="none" w:sz="0" w:space="0" w:color="auto"/>
      </w:divBdr>
    </w:div>
    <w:div w:id="390883283">
      <w:bodyDiv w:val="1"/>
      <w:marLeft w:val="0"/>
      <w:marRight w:val="0"/>
      <w:marTop w:val="0"/>
      <w:marBottom w:val="0"/>
      <w:divBdr>
        <w:top w:val="none" w:sz="0" w:space="0" w:color="auto"/>
        <w:left w:val="none" w:sz="0" w:space="0" w:color="auto"/>
        <w:bottom w:val="none" w:sz="0" w:space="0" w:color="auto"/>
        <w:right w:val="none" w:sz="0" w:space="0" w:color="auto"/>
      </w:divBdr>
    </w:div>
    <w:div w:id="420370322">
      <w:bodyDiv w:val="1"/>
      <w:marLeft w:val="0"/>
      <w:marRight w:val="0"/>
      <w:marTop w:val="0"/>
      <w:marBottom w:val="0"/>
      <w:divBdr>
        <w:top w:val="none" w:sz="0" w:space="0" w:color="auto"/>
        <w:left w:val="none" w:sz="0" w:space="0" w:color="auto"/>
        <w:bottom w:val="none" w:sz="0" w:space="0" w:color="auto"/>
        <w:right w:val="none" w:sz="0" w:space="0" w:color="auto"/>
      </w:divBdr>
    </w:div>
    <w:div w:id="427578369">
      <w:bodyDiv w:val="1"/>
      <w:marLeft w:val="0"/>
      <w:marRight w:val="0"/>
      <w:marTop w:val="0"/>
      <w:marBottom w:val="0"/>
      <w:divBdr>
        <w:top w:val="none" w:sz="0" w:space="0" w:color="auto"/>
        <w:left w:val="none" w:sz="0" w:space="0" w:color="auto"/>
        <w:bottom w:val="none" w:sz="0" w:space="0" w:color="auto"/>
        <w:right w:val="none" w:sz="0" w:space="0" w:color="auto"/>
      </w:divBdr>
    </w:div>
    <w:div w:id="576326889">
      <w:bodyDiv w:val="1"/>
      <w:marLeft w:val="0"/>
      <w:marRight w:val="0"/>
      <w:marTop w:val="0"/>
      <w:marBottom w:val="0"/>
      <w:divBdr>
        <w:top w:val="none" w:sz="0" w:space="0" w:color="auto"/>
        <w:left w:val="none" w:sz="0" w:space="0" w:color="auto"/>
        <w:bottom w:val="none" w:sz="0" w:space="0" w:color="auto"/>
        <w:right w:val="none" w:sz="0" w:space="0" w:color="auto"/>
      </w:divBdr>
    </w:div>
    <w:div w:id="729962799">
      <w:bodyDiv w:val="1"/>
      <w:marLeft w:val="0"/>
      <w:marRight w:val="0"/>
      <w:marTop w:val="0"/>
      <w:marBottom w:val="0"/>
      <w:divBdr>
        <w:top w:val="none" w:sz="0" w:space="0" w:color="auto"/>
        <w:left w:val="none" w:sz="0" w:space="0" w:color="auto"/>
        <w:bottom w:val="none" w:sz="0" w:space="0" w:color="auto"/>
        <w:right w:val="none" w:sz="0" w:space="0" w:color="auto"/>
      </w:divBdr>
    </w:div>
    <w:div w:id="768742383">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822818499">
      <w:bodyDiv w:val="1"/>
      <w:marLeft w:val="0"/>
      <w:marRight w:val="0"/>
      <w:marTop w:val="0"/>
      <w:marBottom w:val="0"/>
      <w:divBdr>
        <w:top w:val="none" w:sz="0" w:space="0" w:color="auto"/>
        <w:left w:val="none" w:sz="0" w:space="0" w:color="auto"/>
        <w:bottom w:val="none" w:sz="0" w:space="0" w:color="auto"/>
        <w:right w:val="none" w:sz="0" w:space="0" w:color="auto"/>
      </w:divBdr>
    </w:div>
    <w:div w:id="883299072">
      <w:bodyDiv w:val="1"/>
      <w:marLeft w:val="0"/>
      <w:marRight w:val="0"/>
      <w:marTop w:val="0"/>
      <w:marBottom w:val="0"/>
      <w:divBdr>
        <w:top w:val="none" w:sz="0" w:space="0" w:color="auto"/>
        <w:left w:val="none" w:sz="0" w:space="0" w:color="auto"/>
        <w:bottom w:val="none" w:sz="0" w:space="0" w:color="auto"/>
        <w:right w:val="none" w:sz="0" w:space="0" w:color="auto"/>
      </w:divBdr>
    </w:div>
    <w:div w:id="910624736">
      <w:bodyDiv w:val="1"/>
      <w:marLeft w:val="0"/>
      <w:marRight w:val="0"/>
      <w:marTop w:val="0"/>
      <w:marBottom w:val="0"/>
      <w:divBdr>
        <w:top w:val="none" w:sz="0" w:space="0" w:color="auto"/>
        <w:left w:val="none" w:sz="0" w:space="0" w:color="auto"/>
        <w:bottom w:val="none" w:sz="0" w:space="0" w:color="auto"/>
        <w:right w:val="none" w:sz="0" w:space="0" w:color="auto"/>
      </w:divBdr>
    </w:div>
    <w:div w:id="959846574">
      <w:bodyDiv w:val="1"/>
      <w:marLeft w:val="0"/>
      <w:marRight w:val="0"/>
      <w:marTop w:val="0"/>
      <w:marBottom w:val="0"/>
      <w:divBdr>
        <w:top w:val="none" w:sz="0" w:space="0" w:color="auto"/>
        <w:left w:val="none" w:sz="0" w:space="0" w:color="auto"/>
        <w:bottom w:val="none" w:sz="0" w:space="0" w:color="auto"/>
        <w:right w:val="none" w:sz="0" w:space="0" w:color="auto"/>
      </w:divBdr>
    </w:div>
    <w:div w:id="1045257378">
      <w:bodyDiv w:val="1"/>
      <w:marLeft w:val="0"/>
      <w:marRight w:val="0"/>
      <w:marTop w:val="0"/>
      <w:marBottom w:val="0"/>
      <w:divBdr>
        <w:top w:val="none" w:sz="0" w:space="0" w:color="auto"/>
        <w:left w:val="none" w:sz="0" w:space="0" w:color="auto"/>
        <w:bottom w:val="none" w:sz="0" w:space="0" w:color="auto"/>
        <w:right w:val="none" w:sz="0" w:space="0" w:color="auto"/>
      </w:divBdr>
    </w:div>
    <w:div w:id="1055355003">
      <w:bodyDiv w:val="1"/>
      <w:marLeft w:val="0"/>
      <w:marRight w:val="0"/>
      <w:marTop w:val="0"/>
      <w:marBottom w:val="0"/>
      <w:divBdr>
        <w:top w:val="none" w:sz="0" w:space="0" w:color="auto"/>
        <w:left w:val="none" w:sz="0" w:space="0" w:color="auto"/>
        <w:bottom w:val="none" w:sz="0" w:space="0" w:color="auto"/>
        <w:right w:val="none" w:sz="0" w:space="0" w:color="auto"/>
      </w:divBdr>
    </w:div>
    <w:div w:id="1113548931">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213231869">
      <w:bodyDiv w:val="1"/>
      <w:marLeft w:val="0"/>
      <w:marRight w:val="0"/>
      <w:marTop w:val="0"/>
      <w:marBottom w:val="0"/>
      <w:divBdr>
        <w:top w:val="none" w:sz="0" w:space="0" w:color="auto"/>
        <w:left w:val="none" w:sz="0" w:space="0" w:color="auto"/>
        <w:bottom w:val="none" w:sz="0" w:space="0" w:color="auto"/>
        <w:right w:val="none" w:sz="0" w:space="0" w:color="auto"/>
      </w:divBdr>
    </w:div>
    <w:div w:id="1320112464">
      <w:bodyDiv w:val="1"/>
      <w:marLeft w:val="0"/>
      <w:marRight w:val="0"/>
      <w:marTop w:val="0"/>
      <w:marBottom w:val="0"/>
      <w:divBdr>
        <w:top w:val="none" w:sz="0" w:space="0" w:color="auto"/>
        <w:left w:val="none" w:sz="0" w:space="0" w:color="auto"/>
        <w:bottom w:val="none" w:sz="0" w:space="0" w:color="auto"/>
        <w:right w:val="none" w:sz="0" w:space="0" w:color="auto"/>
      </w:divBdr>
    </w:div>
    <w:div w:id="1321080523">
      <w:bodyDiv w:val="1"/>
      <w:marLeft w:val="0"/>
      <w:marRight w:val="0"/>
      <w:marTop w:val="0"/>
      <w:marBottom w:val="0"/>
      <w:divBdr>
        <w:top w:val="none" w:sz="0" w:space="0" w:color="auto"/>
        <w:left w:val="none" w:sz="0" w:space="0" w:color="auto"/>
        <w:bottom w:val="none" w:sz="0" w:space="0" w:color="auto"/>
        <w:right w:val="none" w:sz="0" w:space="0" w:color="auto"/>
      </w:divBdr>
    </w:div>
    <w:div w:id="1416053518">
      <w:bodyDiv w:val="1"/>
      <w:marLeft w:val="0"/>
      <w:marRight w:val="0"/>
      <w:marTop w:val="0"/>
      <w:marBottom w:val="0"/>
      <w:divBdr>
        <w:top w:val="none" w:sz="0" w:space="0" w:color="auto"/>
        <w:left w:val="none" w:sz="0" w:space="0" w:color="auto"/>
        <w:bottom w:val="none" w:sz="0" w:space="0" w:color="auto"/>
        <w:right w:val="none" w:sz="0" w:space="0" w:color="auto"/>
      </w:divBdr>
    </w:div>
    <w:div w:id="1463500864">
      <w:bodyDiv w:val="1"/>
      <w:marLeft w:val="0"/>
      <w:marRight w:val="0"/>
      <w:marTop w:val="0"/>
      <w:marBottom w:val="0"/>
      <w:divBdr>
        <w:top w:val="none" w:sz="0" w:space="0" w:color="auto"/>
        <w:left w:val="none" w:sz="0" w:space="0" w:color="auto"/>
        <w:bottom w:val="none" w:sz="0" w:space="0" w:color="auto"/>
        <w:right w:val="none" w:sz="0" w:space="0" w:color="auto"/>
      </w:divBdr>
    </w:div>
    <w:div w:id="1495997797">
      <w:bodyDiv w:val="1"/>
      <w:marLeft w:val="0"/>
      <w:marRight w:val="0"/>
      <w:marTop w:val="0"/>
      <w:marBottom w:val="0"/>
      <w:divBdr>
        <w:top w:val="none" w:sz="0" w:space="0" w:color="auto"/>
        <w:left w:val="none" w:sz="0" w:space="0" w:color="auto"/>
        <w:bottom w:val="none" w:sz="0" w:space="0" w:color="auto"/>
        <w:right w:val="none" w:sz="0" w:space="0" w:color="auto"/>
      </w:divBdr>
    </w:div>
    <w:div w:id="1502549374">
      <w:bodyDiv w:val="1"/>
      <w:marLeft w:val="0"/>
      <w:marRight w:val="0"/>
      <w:marTop w:val="0"/>
      <w:marBottom w:val="0"/>
      <w:divBdr>
        <w:top w:val="none" w:sz="0" w:space="0" w:color="auto"/>
        <w:left w:val="none" w:sz="0" w:space="0" w:color="auto"/>
        <w:bottom w:val="none" w:sz="0" w:space="0" w:color="auto"/>
        <w:right w:val="none" w:sz="0" w:space="0" w:color="auto"/>
      </w:divBdr>
    </w:div>
    <w:div w:id="1535575096">
      <w:bodyDiv w:val="1"/>
      <w:marLeft w:val="0"/>
      <w:marRight w:val="0"/>
      <w:marTop w:val="0"/>
      <w:marBottom w:val="0"/>
      <w:divBdr>
        <w:top w:val="none" w:sz="0" w:space="0" w:color="auto"/>
        <w:left w:val="none" w:sz="0" w:space="0" w:color="auto"/>
        <w:bottom w:val="none" w:sz="0" w:space="0" w:color="auto"/>
        <w:right w:val="none" w:sz="0" w:space="0" w:color="auto"/>
      </w:divBdr>
    </w:div>
    <w:div w:id="1558129215">
      <w:bodyDiv w:val="1"/>
      <w:marLeft w:val="0"/>
      <w:marRight w:val="0"/>
      <w:marTop w:val="0"/>
      <w:marBottom w:val="0"/>
      <w:divBdr>
        <w:top w:val="none" w:sz="0" w:space="0" w:color="auto"/>
        <w:left w:val="none" w:sz="0" w:space="0" w:color="auto"/>
        <w:bottom w:val="none" w:sz="0" w:space="0" w:color="auto"/>
        <w:right w:val="none" w:sz="0" w:space="0" w:color="auto"/>
      </w:divBdr>
    </w:div>
    <w:div w:id="1585602192">
      <w:bodyDiv w:val="1"/>
      <w:marLeft w:val="0"/>
      <w:marRight w:val="0"/>
      <w:marTop w:val="0"/>
      <w:marBottom w:val="0"/>
      <w:divBdr>
        <w:top w:val="none" w:sz="0" w:space="0" w:color="auto"/>
        <w:left w:val="none" w:sz="0" w:space="0" w:color="auto"/>
        <w:bottom w:val="none" w:sz="0" w:space="0" w:color="auto"/>
        <w:right w:val="none" w:sz="0" w:space="0" w:color="auto"/>
      </w:divBdr>
    </w:div>
    <w:div w:id="1653295342">
      <w:bodyDiv w:val="1"/>
      <w:marLeft w:val="0"/>
      <w:marRight w:val="0"/>
      <w:marTop w:val="0"/>
      <w:marBottom w:val="0"/>
      <w:divBdr>
        <w:top w:val="none" w:sz="0" w:space="0" w:color="auto"/>
        <w:left w:val="none" w:sz="0" w:space="0" w:color="auto"/>
        <w:bottom w:val="none" w:sz="0" w:space="0" w:color="auto"/>
        <w:right w:val="none" w:sz="0" w:space="0" w:color="auto"/>
      </w:divBdr>
    </w:div>
    <w:div w:id="1655330426">
      <w:bodyDiv w:val="1"/>
      <w:marLeft w:val="0"/>
      <w:marRight w:val="0"/>
      <w:marTop w:val="0"/>
      <w:marBottom w:val="0"/>
      <w:divBdr>
        <w:top w:val="none" w:sz="0" w:space="0" w:color="auto"/>
        <w:left w:val="none" w:sz="0" w:space="0" w:color="auto"/>
        <w:bottom w:val="none" w:sz="0" w:space="0" w:color="auto"/>
        <w:right w:val="none" w:sz="0" w:space="0" w:color="auto"/>
      </w:divBdr>
    </w:div>
    <w:div w:id="1660573163">
      <w:bodyDiv w:val="1"/>
      <w:marLeft w:val="0"/>
      <w:marRight w:val="0"/>
      <w:marTop w:val="0"/>
      <w:marBottom w:val="0"/>
      <w:divBdr>
        <w:top w:val="none" w:sz="0" w:space="0" w:color="auto"/>
        <w:left w:val="none" w:sz="0" w:space="0" w:color="auto"/>
        <w:bottom w:val="none" w:sz="0" w:space="0" w:color="auto"/>
        <w:right w:val="none" w:sz="0" w:space="0" w:color="auto"/>
      </w:divBdr>
    </w:div>
    <w:div w:id="1665086200">
      <w:bodyDiv w:val="1"/>
      <w:marLeft w:val="0"/>
      <w:marRight w:val="0"/>
      <w:marTop w:val="0"/>
      <w:marBottom w:val="0"/>
      <w:divBdr>
        <w:top w:val="none" w:sz="0" w:space="0" w:color="auto"/>
        <w:left w:val="none" w:sz="0" w:space="0" w:color="auto"/>
        <w:bottom w:val="none" w:sz="0" w:space="0" w:color="auto"/>
        <w:right w:val="none" w:sz="0" w:space="0" w:color="auto"/>
      </w:divBdr>
    </w:div>
    <w:div w:id="1667243347">
      <w:bodyDiv w:val="1"/>
      <w:marLeft w:val="0"/>
      <w:marRight w:val="0"/>
      <w:marTop w:val="0"/>
      <w:marBottom w:val="0"/>
      <w:divBdr>
        <w:top w:val="none" w:sz="0" w:space="0" w:color="auto"/>
        <w:left w:val="none" w:sz="0" w:space="0" w:color="auto"/>
        <w:bottom w:val="none" w:sz="0" w:space="0" w:color="auto"/>
        <w:right w:val="none" w:sz="0" w:space="0" w:color="auto"/>
      </w:divBdr>
    </w:div>
    <w:div w:id="1674720855">
      <w:bodyDiv w:val="1"/>
      <w:marLeft w:val="0"/>
      <w:marRight w:val="0"/>
      <w:marTop w:val="0"/>
      <w:marBottom w:val="0"/>
      <w:divBdr>
        <w:top w:val="none" w:sz="0" w:space="0" w:color="auto"/>
        <w:left w:val="none" w:sz="0" w:space="0" w:color="auto"/>
        <w:bottom w:val="none" w:sz="0" w:space="0" w:color="auto"/>
        <w:right w:val="none" w:sz="0" w:space="0" w:color="auto"/>
      </w:divBdr>
    </w:div>
    <w:div w:id="1776822849">
      <w:bodyDiv w:val="1"/>
      <w:marLeft w:val="0"/>
      <w:marRight w:val="0"/>
      <w:marTop w:val="0"/>
      <w:marBottom w:val="0"/>
      <w:divBdr>
        <w:top w:val="none" w:sz="0" w:space="0" w:color="auto"/>
        <w:left w:val="none" w:sz="0" w:space="0" w:color="auto"/>
        <w:bottom w:val="none" w:sz="0" w:space="0" w:color="auto"/>
        <w:right w:val="none" w:sz="0" w:space="0" w:color="auto"/>
      </w:divBdr>
    </w:div>
    <w:div w:id="1855682733">
      <w:bodyDiv w:val="1"/>
      <w:marLeft w:val="0"/>
      <w:marRight w:val="0"/>
      <w:marTop w:val="0"/>
      <w:marBottom w:val="0"/>
      <w:divBdr>
        <w:top w:val="none" w:sz="0" w:space="0" w:color="auto"/>
        <w:left w:val="none" w:sz="0" w:space="0" w:color="auto"/>
        <w:bottom w:val="none" w:sz="0" w:space="0" w:color="auto"/>
        <w:right w:val="none" w:sz="0" w:space="0" w:color="auto"/>
      </w:divBdr>
    </w:div>
    <w:div w:id="1870217500">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 w:id="1918439964">
      <w:bodyDiv w:val="1"/>
      <w:marLeft w:val="0"/>
      <w:marRight w:val="0"/>
      <w:marTop w:val="0"/>
      <w:marBottom w:val="0"/>
      <w:divBdr>
        <w:top w:val="none" w:sz="0" w:space="0" w:color="auto"/>
        <w:left w:val="none" w:sz="0" w:space="0" w:color="auto"/>
        <w:bottom w:val="none" w:sz="0" w:space="0" w:color="auto"/>
        <w:right w:val="none" w:sz="0" w:space="0" w:color="auto"/>
      </w:divBdr>
    </w:div>
    <w:div w:id="1926181130">
      <w:bodyDiv w:val="1"/>
      <w:marLeft w:val="0"/>
      <w:marRight w:val="0"/>
      <w:marTop w:val="0"/>
      <w:marBottom w:val="0"/>
      <w:divBdr>
        <w:top w:val="none" w:sz="0" w:space="0" w:color="auto"/>
        <w:left w:val="none" w:sz="0" w:space="0" w:color="auto"/>
        <w:bottom w:val="none" w:sz="0" w:space="0" w:color="auto"/>
        <w:right w:val="none" w:sz="0" w:space="0" w:color="auto"/>
      </w:divBdr>
    </w:div>
    <w:div w:id="1954629651">
      <w:bodyDiv w:val="1"/>
      <w:marLeft w:val="0"/>
      <w:marRight w:val="0"/>
      <w:marTop w:val="0"/>
      <w:marBottom w:val="0"/>
      <w:divBdr>
        <w:top w:val="none" w:sz="0" w:space="0" w:color="auto"/>
        <w:left w:val="none" w:sz="0" w:space="0" w:color="auto"/>
        <w:bottom w:val="none" w:sz="0" w:space="0" w:color="auto"/>
        <w:right w:val="none" w:sz="0" w:space="0" w:color="auto"/>
      </w:divBdr>
    </w:div>
    <w:div w:id="2031105868">
      <w:bodyDiv w:val="1"/>
      <w:marLeft w:val="0"/>
      <w:marRight w:val="0"/>
      <w:marTop w:val="0"/>
      <w:marBottom w:val="0"/>
      <w:divBdr>
        <w:top w:val="none" w:sz="0" w:space="0" w:color="auto"/>
        <w:left w:val="none" w:sz="0" w:space="0" w:color="auto"/>
        <w:bottom w:val="none" w:sz="0" w:space="0" w:color="auto"/>
        <w:right w:val="none" w:sz="0" w:space="0" w:color="auto"/>
      </w:divBdr>
    </w:div>
    <w:div w:id="2046445170">
      <w:bodyDiv w:val="1"/>
      <w:marLeft w:val="0"/>
      <w:marRight w:val="0"/>
      <w:marTop w:val="0"/>
      <w:marBottom w:val="0"/>
      <w:divBdr>
        <w:top w:val="none" w:sz="0" w:space="0" w:color="auto"/>
        <w:left w:val="none" w:sz="0" w:space="0" w:color="auto"/>
        <w:bottom w:val="none" w:sz="0" w:space="0" w:color="auto"/>
        <w:right w:val="none" w:sz="0" w:space="0" w:color="auto"/>
      </w:divBdr>
    </w:div>
    <w:div w:id="2055497344">
      <w:bodyDiv w:val="1"/>
      <w:marLeft w:val="0"/>
      <w:marRight w:val="0"/>
      <w:marTop w:val="0"/>
      <w:marBottom w:val="0"/>
      <w:divBdr>
        <w:top w:val="none" w:sz="0" w:space="0" w:color="auto"/>
        <w:left w:val="none" w:sz="0" w:space="0" w:color="auto"/>
        <w:bottom w:val="none" w:sz="0" w:space="0" w:color="auto"/>
        <w:right w:val="none" w:sz="0" w:space="0" w:color="auto"/>
      </w:divBdr>
    </w:div>
    <w:div w:id="2067608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rda\Documents\UNI\L5\Instrumentation%20and%20Control\Assignment\Pole%20location%20waveform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Displacement</a:t>
            </a:r>
            <a:r>
              <a:rPr lang="en-US" baseline="0"/>
              <a:t>-Time Graph of Closed Loop Transfer Function</a:t>
            </a:r>
            <a:endParaRPr lang="en-US"/>
          </a:p>
        </c:rich>
      </c:tx>
      <c:overlay val="0"/>
    </c:title>
    <c:autoTitleDeleted val="0"/>
    <c:plotArea>
      <c:layout/>
      <c:scatterChart>
        <c:scatterStyle val="smoothMarker"/>
        <c:varyColors val="0"/>
        <c:ser>
          <c:idx val="2"/>
          <c:order val="2"/>
          <c:tx>
            <c:strRef>
              <c:f>Sheet1!$D$7</c:f>
              <c:strCache>
                <c:ptCount val="1"/>
                <c:pt idx="0">
                  <c:v>RESULT</c:v>
                </c:pt>
              </c:strCache>
            </c:strRef>
          </c:tx>
          <c:marker>
            <c:symbol val="none"/>
          </c:marker>
          <c:xVal>
            <c:numRef>
              <c:f>Sheet1!$A$8:$A$158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Sheet1!$D$8:$D$158</c:f>
              <c:numCache>
                <c:formatCode>General</c:formatCode>
                <c:ptCount val="151"/>
                <c:pt idx="0">
                  <c:v>1</c:v>
                </c:pt>
                <c:pt idx="1">
                  <c:v>1.6543426171879206E-40</c:v>
                </c:pt>
                <c:pt idx="2">
                  <c:v>2.7368494950441785E-80</c:v>
                </c:pt>
                <c:pt idx="3">
                  <c:v>4.5276867564808897E-120</c:v>
                </c:pt>
                <c:pt idx="4">
                  <c:v>7.4903451585235762E-160</c:v>
                </c:pt>
                <c:pt idx="5">
                  <c:v>1.239159721319329E-199</c:v>
                </c:pt>
                <c:pt idx="6">
                  <c:v>2.0499947364812441E-239</c:v>
                </c:pt>
                <c:pt idx="7">
                  <c:v>3.39139365757218E-279</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numCache>
            </c:numRef>
          </c:yVal>
          <c:smooth val="1"/>
          <c:extLst>
            <c:ext xmlns:c16="http://schemas.microsoft.com/office/drawing/2014/chart" uri="{C3380CC4-5D6E-409C-BE32-E72D297353CC}">
              <c16:uniqueId val="{00000000-50D8-4DE5-B988-803B50F832EA}"/>
            </c:ext>
          </c:extLst>
        </c:ser>
        <c:dLbls>
          <c:showLegendKey val="0"/>
          <c:showVal val="0"/>
          <c:showCatName val="0"/>
          <c:showSerName val="0"/>
          <c:showPercent val="0"/>
          <c:showBubbleSize val="0"/>
        </c:dLbls>
        <c:axId val="93941120"/>
        <c:axId val="93940544"/>
        <c:extLst>
          <c:ext xmlns:c15="http://schemas.microsoft.com/office/drawing/2012/chart" uri="{02D57815-91ED-43cb-92C2-25804820EDAC}">
            <c15:filteredScatterSeries>
              <c15:ser>
                <c:idx val="0"/>
                <c:order val="0"/>
                <c:tx>
                  <c:strRef>
                    <c:extLst>
                      <c:ext uri="{02D57815-91ED-43cb-92C2-25804820EDAC}">
                        <c15:formulaRef>
                          <c15:sqref>Sheet1!$B$7</c15:sqref>
                        </c15:formulaRef>
                      </c:ext>
                    </c:extLst>
                    <c:strCache>
                      <c:ptCount val="1"/>
                      <c:pt idx="0">
                        <c:v>EXP</c:v>
                      </c:pt>
                    </c:strCache>
                  </c:strRef>
                </c:tx>
                <c:marker>
                  <c:symbol val="none"/>
                </c:marker>
                <c:xVal>
                  <c:numRef>
                    <c:extLst>
                      <c:ext uri="{02D57815-91ED-43cb-92C2-25804820EDAC}">
                        <c15:formulaRef>
                          <c15:sqref>Sheet1!$A$8:$A$158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c:ext uri="{02D57815-91ED-43cb-92C2-25804820EDAC}">
                        <c15:formulaRef>
                          <c15:sqref>Sheet1!$B$8:$B$158</c15:sqref>
                        </c15:formulaRef>
                      </c:ext>
                    </c:extLst>
                    <c:numCache>
                      <c:formatCode>General</c:formatCode>
                      <c:ptCount val="151"/>
                      <c:pt idx="0">
                        <c:v>1</c:v>
                      </c:pt>
                      <c:pt idx="1">
                        <c:v>1.6543426171879206E-40</c:v>
                      </c:pt>
                      <c:pt idx="2">
                        <c:v>2.7368494950441785E-80</c:v>
                      </c:pt>
                      <c:pt idx="3">
                        <c:v>4.5276867564808897E-120</c:v>
                      </c:pt>
                      <c:pt idx="4">
                        <c:v>7.4903451585235762E-160</c:v>
                      </c:pt>
                      <c:pt idx="5">
                        <c:v>1.239159721319329E-199</c:v>
                      </c:pt>
                      <c:pt idx="6">
                        <c:v>2.0499947364812441E-239</c:v>
                      </c:pt>
                      <c:pt idx="7">
                        <c:v>3.39139365757218E-279</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numCache>
                  </c:numRef>
                </c:yVal>
                <c:smooth val="1"/>
                <c:extLst>
                  <c:ext xmlns:c16="http://schemas.microsoft.com/office/drawing/2014/chart" uri="{C3380CC4-5D6E-409C-BE32-E72D297353CC}">
                    <c16:uniqueId val="{00000001-50D8-4DE5-B988-803B50F832EA}"/>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Sheet1!$C$7</c15:sqref>
                        </c15:formulaRef>
                      </c:ext>
                    </c:extLst>
                    <c:strCache>
                      <c:ptCount val="1"/>
                      <c:pt idx="0">
                        <c:v>COS</c:v>
                      </c:pt>
                    </c:strCache>
                  </c:strRef>
                </c:tx>
                <c:marker>
                  <c:symbol val="none"/>
                </c:marker>
                <c:xVal>
                  <c:numRef>
                    <c:extLst xmlns:c15="http://schemas.microsoft.com/office/drawing/2012/chart">
                      <c:ext xmlns:c15="http://schemas.microsoft.com/office/drawing/2012/chart" uri="{02D57815-91ED-43cb-92C2-25804820EDAC}">
                        <c15:formulaRef>
                          <c15:sqref>Sheet1!$A$8:$A$158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xmlns:c15="http://schemas.microsoft.com/office/drawing/2012/chart">
                      <c:ext xmlns:c15="http://schemas.microsoft.com/office/drawing/2012/chart" uri="{02D57815-91ED-43cb-92C2-25804820EDAC}">
                        <c15:formulaRef>
                          <c15:sqref>Sheet1!$C$8:$C$158</c15:sqref>
                        </c15:formulaRef>
                      </c:ext>
                    </c:extLst>
                    <c:numCache>
                      <c:formatCode>General</c:formatCode>
                      <c:ptCount val="151"/>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1</c:v>
                      </c:pt>
                      <c:pt idx="52">
                        <c:v>1</c:v>
                      </c:pt>
                      <c:pt idx="53">
                        <c:v>1</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1</c:v>
                      </c:pt>
                      <c:pt idx="110">
                        <c:v>1</c:v>
                      </c:pt>
                      <c:pt idx="111">
                        <c:v>1</c:v>
                      </c:pt>
                      <c:pt idx="112">
                        <c:v>1</c:v>
                      </c:pt>
                      <c:pt idx="113">
                        <c:v>1</c:v>
                      </c:pt>
                      <c:pt idx="114">
                        <c:v>1</c:v>
                      </c:pt>
                      <c:pt idx="115">
                        <c:v>1</c:v>
                      </c:pt>
                      <c:pt idx="116">
                        <c:v>1</c:v>
                      </c:pt>
                      <c:pt idx="117">
                        <c:v>1</c:v>
                      </c:pt>
                      <c:pt idx="118">
                        <c:v>1</c:v>
                      </c:pt>
                      <c:pt idx="119">
                        <c:v>1</c:v>
                      </c:pt>
                      <c:pt idx="120">
                        <c:v>1</c:v>
                      </c:pt>
                      <c:pt idx="121">
                        <c:v>1</c:v>
                      </c:pt>
                      <c:pt idx="122">
                        <c:v>1</c:v>
                      </c:pt>
                      <c:pt idx="123">
                        <c:v>1</c:v>
                      </c:pt>
                      <c:pt idx="124">
                        <c:v>1</c:v>
                      </c:pt>
                      <c:pt idx="125">
                        <c:v>1</c:v>
                      </c:pt>
                      <c:pt idx="126">
                        <c:v>1</c:v>
                      </c:pt>
                      <c:pt idx="127">
                        <c:v>1</c:v>
                      </c:pt>
                      <c:pt idx="128">
                        <c:v>1</c:v>
                      </c:pt>
                      <c:pt idx="129">
                        <c:v>1</c:v>
                      </c:pt>
                      <c:pt idx="130">
                        <c:v>1</c:v>
                      </c:pt>
                      <c:pt idx="131">
                        <c:v>1</c:v>
                      </c:pt>
                      <c:pt idx="132">
                        <c:v>1</c:v>
                      </c:pt>
                      <c:pt idx="133">
                        <c:v>1</c:v>
                      </c:pt>
                      <c:pt idx="134">
                        <c:v>1</c:v>
                      </c:pt>
                      <c:pt idx="135">
                        <c:v>1</c:v>
                      </c:pt>
                      <c:pt idx="136">
                        <c:v>1</c:v>
                      </c:pt>
                      <c:pt idx="137">
                        <c:v>1</c:v>
                      </c:pt>
                      <c:pt idx="138">
                        <c:v>1</c:v>
                      </c:pt>
                      <c:pt idx="139">
                        <c:v>1</c:v>
                      </c:pt>
                      <c:pt idx="140">
                        <c:v>1</c:v>
                      </c:pt>
                      <c:pt idx="141">
                        <c:v>1</c:v>
                      </c:pt>
                      <c:pt idx="142">
                        <c:v>1</c:v>
                      </c:pt>
                      <c:pt idx="143">
                        <c:v>1</c:v>
                      </c:pt>
                      <c:pt idx="144">
                        <c:v>1</c:v>
                      </c:pt>
                      <c:pt idx="145">
                        <c:v>1</c:v>
                      </c:pt>
                      <c:pt idx="146">
                        <c:v>1</c:v>
                      </c:pt>
                      <c:pt idx="147">
                        <c:v>1</c:v>
                      </c:pt>
                      <c:pt idx="148">
                        <c:v>1</c:v>
                      </c:pt>
                      <c:pt idx="149">
                        <c:v>1</c:v>
                      </c:pt>
                      <c:pt idx="150">
                        <c:v>1</c:v>
                      </c:pt>
                    </c:numCache>
                  </c:numRef>
                </c:yVal>
                <c:smooth val="1"/>
                <c:extLst xmlns:c15="http://schemas.microsoft.com/office/drawing/2012/chart">
                  <c:ext xmlns:c16="http://schemas.microsoft.com/office/drawing/2014/chart" uri="{C3380CC4-5D6E-409C-BE32-E72D297353CC}">
                    <c16:uniqueId val="{00000002-50D8-4DE5-B988-803B50F832EA}"/>
                  </c:ext>
                </c:extLst>
              </c15:ser>
            </c15:filteredScatterSeries>
          </c:ext>
        </c:extLst>
      </c:scatterChart>
      <c:valAx>
        <c:axId val="93941120"/>
        <c:scaling>
          <c:orientation val="minMax"/>
          <c:max val="2"/>
        </c:scaling>
        <c:delete val="0"/>
        <c:axPos val="b"/>
        <c:title>
          <c:tx>
            <c:rich>
              <a:bodyPr/>
              <a:lstStyle/>
              <a:p>
                <a:pPr>
                  <a:defRPr/>
                </a:pPr>
                <a:r>
                  <a:rPr lang="en-GB"/>
                  <a:t>TIME (s)</a:t>
                </a:r>
              </a:p>
            </c:rich>
          </c:tx>
          <c:overlay val="0"/>
        </c:title>
        <c:numFmt formatCode="General" sourceLinked="1"/>
        <c:majorTickMark val="out"/>
        <c:minorTickMark val="none"/>
        <c:tickLblPos val="nextTo"/>
        <c:crossAx val="93940544"/>
        <c:crosses val="autoZero"/>
        <c:crossBetween val="midCat"/>
      </c:valAx>
      <c:valAx>
        <c:axId val="93940544"/>
        <c:scaling>
          <c:orientation val="minMax"/>
        </c:scaling>
        <c:delete val="0"/>
        <c:axPos val="l"/>
        <c:majorGridlines/>
        <c:title>
          <c:tx>
            <c:rich>
              <a:bodyPr/>
              <a:lstStyle/>
              <a:p>
                <a:pPr>
                  <a:defRPr/>
                </a:pPr>
                <a:r>
                  <a:rPr lang="en-GB"/>
                  <a:t>DISPLACEMENT </a:t>
                </a:r>
              </a:p>
            </c:rich>
          </c:tx>
          <c:overlay val="0"/>
        </c:title>
        <c:numFmt formatCode="General" sourceLinked="1"/>
        <c:majorTickMark val="out"/>
        <c:minorTickMark val="none"/>
        <c:tickLblPos val="nextTo"/>
        <c:crossAx val="93941120"/>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Rav21</b:Tag>
    <b:SourceType>InternetSite</b:SourceType>
    <b:Guid>{6A78999B-A46B-4668-92A5-DE91411ED6C8}</b:Guid>
    <b:Author>
      <b:Author>
        <b:NameList>
          <b:Person>
            <b:Last>Teja</b:Last>
            <b:First>Ravi</b:First>
          </b:Person>
        </b:NameList>
      </b:Author>
    </b:Author>
    <b:Title>Open Loop System</b:Title>
    <b:ProductionCompany>Electronics Hub</b:ProductionCompany>
    <b:Year>2021</b:Year>
    <b:Month>April</b:Month>
    <b:Day>23</b:Day>
    <b:YearAccessed>2022</b:YearAccessed>
    <b:MonthAccessed>Jan</b:MonthAccessed>
    <b:DayAccessed>2</b:DayAccessed>
    <b:URL>https://www.electronicshub.org/open-loop-system/</b:URL>
    <b:RefOrder>3</b:RefOrder>
  </b:Source>
  <b:Source>
    <b:Tag>Adm15</b:Tag>
    <b:SourceType>InternetSite</b:SourceType>
    <b:Guid>{1A33CC51-3076-4824-AC82-375561692546}</b:Guid>
    <b:Author>
      <b:Author>
        <b:NameList>
          <b:Person>
            <b:Last>Administrator</b:Last>
          </b:Person>
        </b:NameList>
      </b:Author>
    </b:Author>
    <b:Title>Closed Loop System</b:Title>
    <b:ProductionCompany>Electronics Hub</b:ProductionCompany>
    <b:Year>2015</b:Year>
    <b:Month>July</b:Month>
    <b:Day>17</b:Day>
    <b:YearAccessed>2022</b:YearAccessed>
    <b:MonthAccessed>Jan</b:MonthAccessed>
    <b:DayAccessed>2</b:DayAccessed>
    <b:URL>https://www.electronicshub.org/closed-loop-system/</b:URL>
    <b:RefOrder>4</b:RefOrder>
  </b:Source>
  <b:Source>
    <b:Tag>Web06</b:Tag>
    <b:SourceType>BookSection</b:SourceType>
    <b:Guid>{81C8A2A8-243E-4E6C-92BF-F03DFAB4D7B2}</b:Guid>
    <b:Title>PID Control of Continuous Processes</b:Title>
    <b:Year>2006</b:Year>
    <b:BookTitle>Programmable Logic Controllers, Fourth Edition</b:BookTitle>
    <b:Publisher>National Instruments</b:Publisher>
    <b:Author>
      <b:Author>
        <b:NameList>
          <b:Person>
            <b:Last>Webb</b:Last>
            <b:Middle>W</b:Middle>
            <b:First>John</b:First>
          </b:Person>
          <b:Person>
            <b:Last>Reis</b:Last>
            <b:Middle>A</b:Middle>
            <b:First>Ronald</b:First>
          </b:Person>
        </b:NameList>
      </b:Author>
    </b:Author>
    <b:RefOrder>5</b:RefOrder>
  </b:Source>
  <b:Source>
    <b:Tag>Ray20</b:Tag>
    <b:SourceType>InternetSite</b:SourceType>
    <b:Guid>{5C52B8AE-6D57-4A16-A9BE-1E2158B625F3}</b:Guid>
    <b:Title>Phalanx Weapon System</b:Title>
    <b:Year>2020</b:Year>
    <b:Author>
      <b:Author>
        <b:Corporate>Raytheon Missiles and Defence</b:Corporate>
      </b:Author>
    </b:Author>
    <b:ProductionCompany>Raytheon Missiles and Defence</b:ProductionCompany>
    <b:Month>April</b:Month>
    <b:Day>3</b:Day>
    <b:YearAccessed>2022</b:YearAccessed>
    <b:MonthAccessed>Jan</b:MonthAccessed>
    <b:DayAccessed>04</b:DayAccessed>
    <b:URL>https://www.raytheonmissilesanddefense.com/capabilities/products/phalanx-close-in-weapon-system</b:URL>
    <b:RefOrder>1</b:RefOrder>
  </b:Source>
  <b:Source>
    <b:Tag>Nis14</b:Tag>
    <b:SourceType>Book</b:SourceType>
    <b:Guid>{8CC1541A-D3E0-420A-B641-911690645ED8}</b:Guid>
    <b:Title>Control Systems Engineering 7th Edition</b:Title>
    <b:Year>2014</b:Year>
    <b:Publisher>Wiley</b:Publisher>
    <b:Author>
      <b:Author>
        <b:NameList>
          <b:Person>
            <b:Last>Nise</b:Last>
            <b:Middle>S</b:Middle>
            <b:First>Norman</b:First>
          </b:Person>
        </b:NameList>
      </b:Author>
    </b:Author>
    <b:RefOrder>2</b:RefOrder>
  </b:Source>
  <b:Source>
    <b:Tag>Ele201</b:Tag>
    <b:SourceType>InternetSite</b:SourceType>
    <b:Guid>{071E0B27-9CE8-4F6C-8B9F-EB5FAC84540D}</b:Guid>
    <b:Title>Transfer Function of Control System</b:Title>
    <b:Year>2020</b:Year>
    <b:Author>
      <b:Author>
        <b:Corporate>Electrical 4 U</b:Corporate>
      </b:Author>
    </b:Author>
    <b:ProductionCompany>Electrical 4 U</b:ProductionCompany>
    <b:Month>October</b:Month>
    <b:Day>22</b:Day>
    <b:YearAccessed>2022</b:YearAccessed>
    <b:MonthAccessed>Jan</b:MonthAccessed>
    <b:DayAccessed>04</b:DayAccessed>
    <b:URL>https://www.electrical4u.com/transfer-function/</b:URL>
    <b:RefOrder>6</b:RefOrder>
  </b:Source>
  <b:Source>
    <b:Tag>Che11</b:Tag>
    <b:SourceType>InternetSite</b:SourceType>
    <b:Guid>{48AAB895-518C-4153-8F5A-709703FDC9E0}</b:Guid>
    <b:Title>Determining Stability using the Nyquist Plot</b:Title>
    <b:ProductionCompany>Swarthmore College</b:ProductionCompany>
    <b:Year>2011</b:Year>
    <b:Month>October</b:Month>
    <b:Day>13</b:Day>
    <b:YearAccessed>2022</b:YearAccessed>
    <b:MonthAccessed>Jan</b:MonthAccessed>
    <b:DayAccessed>4</b:DayAccessed>
    <b:URL>https://lpsa.swarthmore.edu/Nyquist/NyquistStability.html</b:URL>
    <b:Author>
      <b:Author>
        <b:NameList>
          <b:Person>
            <b:Last>Cheever </b:Last>
            <b:First>Erik </b:First>
          </b:Person>
        </b:NameList>
      </b:Author>
    </b:Author>
    <b:RefOrder>7</b:RefOrder>
  </b:Source>
</b:Sources>
</file>

<file path=customXml/itemProps1.xml><?xml version="1.0" encoding="utf-8"?>
<ds:datastoreItem xmlns:ds="http://schemas.openxmlformats.org/officeDocument/2006/customXml" ds:itemID="{0E22D38D-D13F-46A8-B9E5-E6781D850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1036</TotalTime>
  <Pages>14</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Jordan Hayston</cp:lastModifiedBy>
  <cp:revision>9</cp:revision>
  <cp:lastPrinted>2013-09-22T15:20:00Z</cp:lastPrinted>
  <dcterms:created xsi:type="dcterms:W3CDTF">2019-11-26T14:31:00Z</dcterms:created>
  <dcterms:modified xsi:type="dcterms:W3CDTF">2022-01-04T20:11:00Z</dcterms:modified>
</cp:coreProperties>
</file>