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ttf" ContentType="application/x-font-tt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4AD24" w14:textId="77777777" w:rsidR="00465B5E" w:rsidRDefault="00827C75">
      <w:pPr>
        <w:pStyle w:val="Heading1"/>
        <w:spacing w:before="0" w:after="225"/>
        <w:jc w:val="center"/>
      </w:pPr>
      <w:r>
        <w:rPr>
          <w:rFonts w:ascii="Playfair Display" w:eastAsia="Playfair Display" w:hAnsi="Playfair Display" w:cs="Playfair Display"/>
          <w:b/>
          <w:bCs/>
          <w:color w:val="003087"/>
          <w:sz w:val="48"/>
          <w:szCs w:val="48"/>
        </w:rPr>
        <w:t>Master of Business Administration</w:t>
      </w:r>
    </w:p>
    <w:p w14:paraId="7AA3222E" w14:textId="77777777" w:rsidR="00465B5E" w:rsidRDefault="00827C75">
      <w:pPr>
        <w:spacing w:before="150" w:after="150"/>
        <w:jc w:val="center"/>
      </w:pPr>
      <w:r>
        <w:rPr>
          <w:rFonts w:ascii="Roboto" w:eastAsia="Roboto" w:hAnsi="Roboto" w:cs="Roboto"/>
          <w:color w:val="0053A6"/>
          <w:sz w:val="30"/>
          <w:szCs w:val="30"/>
        </w:rPr>
        <w:t>Module: Marketing Management (LCMB7024)</w:t>
      </w:r>
    </w:p>
    <w:p w14:paraId="5F633253" w14:textId="77777777" w:rsidR="00465B5E" w:rsidRDefault="00827C75">
      <w:pPr>
        <w:pStyle w:val="Heading1"/>
        <w:spacing w:before="750" w:after="225"/>
        <w:ind w:left="900" w:right="900"/>
        <w:jc w:val="center"/>
      </w:pPr>
      <w:r>
        <w:rPr>
          <w:rFonts w:ascii="Playfair Display" w:eastAsia="Playfair Display" w:hAnsi="Playfair Display" w:cs="Playfair Display"/>
          <w:b/>
          <w:bCs/>
          <w:color w:val="003087"/>
          <w:sz w:val="42"/>
          <w:szCs w:val="42"/>
        </w:rPr>
        <w:t>Assessment Component 2: Marketing Portfolio</w:t>
      </w:r>
    </w:p>
    <w:p w14:paraId="7B8E7E7A" w14:textId="77777777" w:rsidR="00465B5E" w:rsidRDefault="00827C75">
      <w:pPr>
        <w:pStyle w:val="Heading2"/>
        <w:spacing w:before="0" w:after="0"/>
        <w:ind w:left="900" w:right="900"/>
        <w:jc w:val="center"/>
      </w:pPr>
      <w:r>
        <w:rPr>
          <w:rFonts w:ascii="Roboto" w:eastAsia="Roboto" w:hAnsi="Roboto" w:cs="Roboto"/>
          <w:b/>
          <w:bCs/>
          <w:i/>
          <w:iCs/>
          <w:color w:val="0053A6"/>
          <w:sz w:val="30"/>
          <w:szCs w:val="30"/>
        </w:rPr>
        <w:t>A Strategic Marketing Portfolio for the Launch of 'Patagonia Provisions Home'</w:t>
      </w:r>
    </w:p>
    <w:p w14:paraId="249716D7" w14:textId="77777777" w:rsidR="00465B5E" w:rsidRDefault="00465B5E"/>
    <w:p w14:paraId="53540DFF" w14:textId="77777777" w:rsidR="00465B5E" w:rsidRDefault="00465B5E"/>
    <w:tbl>
      <w:tblPr>
        <w:tblStyle w:val="a"/>
        <w:tblW w:w="7500" w:type="dxa"/>
        <w:tblLayout w:type="fixed"/>
        <w:tblLook w:val="0600" w:firstRow="0" w:lastRow="0" w:firstColumn="0" w:lastColumn="0" w:noHBand="1" w:noVBand="1"/>
      </w:tblPr>
      <w:tblGrid>
        <w:gridCol w:w="3000"/>
        <w:gridCol w:w="4500"/>
      </w:tblGrid>
      <w:tr w:rsidR="00465B5E" w14:paraId="49FC760E" w14:textId="77777777">
        <w:trPr>
          <w:trHeight w:val="300"/>
        </w:trPr>
        <w:tc>
          <w:tcPr>
            <w:tcW w:w="3000" w:type="dxa"/>
            <w:tcMar>
              <w:top w:w="180" w:type="dxa"/>
              <w:left w:w="225" w:type="dxa"/>
              <w:bottom w:w="180" w:type="dxa"/>
              <w:right w:w="225" w:type="dxa"/>
            </w:tcMar>
          </w:tcPr>
          <w:p w14:paraId="5AA9CBF2" w14:textId="77777777" w:rsidR="00465B5E" w:rsidRDefault="00827C75">
            <w:pPr>
              <w:spacing w:after="0"/>
            </w:pPr>
            <w:r>
              <w:rPr>
                <w:rFonts w:ascii="Roboto" w:eastAsia="Roboto" w:hAnsi="Roboto" w:cs="Roboto"/>
                <w:b/>
                <w:bCs/>
                <w:color w:val="003087"/>
              </w:rPr>
              <w:t>Submitted to:</w:t>
            </w:r>
          </w:p>
        </w:tc>
        <w:tc>
          <w:tcPr>
            <w:tcW w:w="4500" w:type="dxa"/>
            <w:tcMar>
              <w:top w:w="180" w:type="dxa"/>
              <w:left w:w="225" w:type="dxa"/>
              <w:bottom w:w="180" w:type="dxa"/>
              <w:right w:w="225" w:type="dxa"/>
            </w:tcMar>
          </w:tcPr>
          <w:p w14:paraId="3F01FABA" w14:textId="77777777" w:rsidR="00465B5E" w:rsidRDefault="00827C75">
            <w:pPr>
              <w:spacing w:after="0"/>
            </w:pPr>
            <w:r>
              <w:rPr>
                <w:rFonts w:ascii="Roboto" w:eastAsia="Roboto" w:hAnsi="Roboto" w:cs="Roboto"/>
                <w:color w:val="333333"/>
              </w:rPr>
              <w:t xml:space="preserve">Dian </w:t>
            </w:r>
            <w:proofErr w:type="spellStart"/>
            <w:r>
              <w:rPr>
                <w:rFonts w:ascii="Roboto" w:eastAsia="Roboto" w:hAnsi="Roboto" w:cs="Roboto"/>
                <w:color w:val="333333"/>
              </w:rPr>
              <w:t>Mayasari</w:t>
            </w:r>
            <w:proofErr w:type="spellEnd"/>
          </w:p>
        </w:tc>
      </w:tr>
      <w:tr w:rsidR="00465B5E" w14:paraId="3C9BB2DD" w14:textId="77777777">
        <w:trPr>
          <w:trHeight w:val="300"/>
        </w:trPr>
        <w:tc>
          <w:tcPr>
            <w:tcW w:w="3000" w:type="dxa"/>
            <w:tcMar>
              <w:top w:w="180" w:type="dxa"/>
              <w:left w:w="225" w:type="dxa"/>
              <w:bottom w:w="180" w:type="dxa"/>
              <w:right w:w="225" w:type="dxa"/>
            </w:tcMar>
          </w:tcPr>
          <w:p w14:paraId="7549D1AC" w14:textId="77777777" w:rsidR="00465B5E" w:rsidRDefault="00827C75">
            <w:pPr>
              <w:spacing w:after="0"/>
            </w:pPr>
            <w:r>
              <w:rPr>
                <w:rFonts w:ascii="Roboto" w:eastAsia="Roboto" w:hAnsi="Roboto" w:cs="Roboto"/>
                <w:b/>
                <w:bCs/>
                <w:color w:val="003087"/>
              </w:rPr>
              <w:t>Submitted by:</w:t>
            </w:r>
          </w:p>
        </w:tc>
        <w:tc>
          <w:tcPr>
            <w:tcW w:w="4500" w:type="dxa"/>
            <w:tcMar>
              <w:top w:w="180" w:type="dxa"/>
              <w:left w:w="225" w:type="dxa"/>
              <w:bottom w:w="180" w:type="dxa"/>
              <w:right w:w="225" w:type="dxa"/>
            </w:tcMar>
          </w:tcPr>
          <w:p w14:paraId="2BFDA47A" w14:textId="4A6B67A2" w:rsidR="00465B5E" w:rsidRDefault="0025597C">
            <w:pPr>
              <w:spacing w:after="0"/>
            </w:pPr>
            <w:r>
              <w:rPr>
                <w:rFonts w:ascii="Roboto" w:eastAsia="Roboto" w:hAnsi="Roboto" w:cs="Roboto"/>
                <w:color w:val="333333"/>
              </w:rPr>
              <w:t xml:space="preserve">Jahangir </w:t>
            </w:r>
            <w:proofErr w:type="spellStart"/>
            <w:r>
              <w:rPr>
                <w:rFonts w:ascii="Roboto" w:eastAsia="Roboto" w:hAnsi="Roboto" w:cs="Roboto"/>
                <w:color w:val="333333"/>
              </w:rPr>
              <w:t>khalaj</w:t>
            </w:r>
            <w:proofErr w:type="spellEnd"/>
            <w:r>
              <w:rPr>
                <w:rFonts w:ascii="Roboto" w:eastAsia="Roboto" w:hAnsi="Roboto" w:cs="Roboto"/>
                <w:color w:val="333333"/>
              </w:rPr>
              <w:t xml:space="preserve"> </w:t>
            </w:r>
            <w:proofErr w:type="spellStart"/>
            <w:r>
              <w:rPr>
                <w:rFonts w:ascii="Roboto" w:eastAsia="Roboto" w:hAnsi="Roboto" w:cs="Roboto"/>
                <w:color w:val="333333"/>
              </w:rPr>
              <w:t>savojbolagh</w:t>
            </w:r>
            <w:proofErr w:type="spellEnd"/>
            <w:r>
              <w:rPr>
                <w:rFonts w:ascii="Roboto" w:eastAsia="Roboto" w:hAnsi="Roboto" w:cs="Roboto"/>
                <w:color w:val="333333"/>
              </w:rPr>
              <w:t xml:space="preserve"> </w:t>
            </w:r>
          </w:p>
        </w:tc>
      </w:tr>
      <w:tr w:rsidR="00465B5E" w14:paraId="2A35097B" w14:textId="77777777">
        <w:trPr>
          <w:trHeight w:val="300"/>
        </w:trPr>
        <w:tc>
          <w:tcPr>
            <w:tcW w:w="3000" w:type="dxa"/>
            <w:tcMar>
              <w:top w:w="180" w:type="dxa"/>
              <w:left w:w="225" w:type="dxa"/>
              <w:bottom w:w="180" w:type="dxa"/>
              <w:right w:w="225" w:type="dxa"/>
            </w:tcMar>
          </w:tcPr>
          <w:p w14:paraId="3C299A42" w14:textId="77777777" w:rsidR="00465B5E" w:rsidRDefault="00827C75">
            <w:pPr>
              <w:spacing w:after="0"/>
            </w:pPr>
            <w:r>
              <w:rPr>
                <w:rFonts w:ascii="Roboto" w:eastAsia="Roboto" w:hAnsi="Roboto" w:cs="Roboto"/>
                <w:b/>
                <w:bCs/>
                <w:color w:val="003087"/>
              </w:rPr>
              <w:t>Student ID:</w:t>
            </w:r>
          </w:p>
        </w:tc>
        <w:tc>
          <w:tcPr>
            <w:tcW w:w="4500" w:type="dxa"/>
            <w:tcMar>
              <w:top w:w="180" w:type="dxa"/>
              <w:left w:w="225" w:type="dxa"/>
              <w:bottom w:w="180" w:type="dxa"/>
              <w:right w:w="225" w:type="dxa"/>
            </w:tcMar>
          </w:tcPr>
          <w:p w14:paraId="230FA4E1" w14:textId="58A16394" w:rsidR="00465B5E" w:rsidRDefault="0025597C">
            <w:pPr>
              <w:spacing w:after="0"/>
            </w:pPr>
            <w:r>
              <w:rPr>
                <w:rFonts w:ascii="Roboto" w:eastAsia="Roboto" w:hAnsi="Roboto" w:cs="Roboto"/>
                <w:color w:val="333333"/>
              </w:rPr>
              <w:t>2109914</w:t>
            </w:r>
          </w:p>
        </w:tc>
      </w:tr>
      <w:tr w:rsidR="00465B5E" w14:paraId="42C51B74" w14:textId="77777777">
        <w:trPr>
          <w:trHeight w:val="300"/>
        </w:trPr>
        <w:tc>
          <w:tcPr>
            <w:tcW w:w="3000" w:type="dxa"/>
            <w:tcMar>
              <w:top w:w="180" w:type="dxa"/>
              <w:left w:w="225" w:type="dxa"/>
              <w:bottom w:w="180" w:type="dxa"/>
              <w:right w:w="225" w:type="dxa"/>
            </w:tcMar>
          </w:tcPr>
          <w:p w14:paraId="4FB980EF" w14:textId="77777777" w:rsidR="00465B5E" w:rsidRDefault="00827C75">
            <w:pPr>
              <w:spacing w:after="0"/>
            </w:pPr>
            <w:r>
              <w:rPr>
                <w:rFonts w:ascii="Roboto" w:eastAsia="Roboto" w:hAnsi="Roboto" w:cs="Roboto"/>
                <w:b/>
                <w:bCs/>
                <w:color w:val="003087"/>
              </w:rPr>
              <w:t>Date of Submission:</w:t>
            </w:r>
          </w:p>
        </w:tc>
        <w:tc>
          <w:tcPr>
            <w:tcW w:w="4500" w:type="dxa"/>
            <w:tcMar>
              <w:top w:w="180" w:type="dxa"/>
              <w:left w:w="225" w:type="dxa"/>
              <w:bottom w:w="180" w:type="dxa"/>
              <w:right w:w="225" w:type="dxa"/>
            </w:tcMar>
          </w:tcPr>
          <w:p w14:paraId="1A943515" w14:textId="77777777" w:rsidR="00465B5E" w:rsidRDefault="00827C75">
            <w:pPr>
              <w:spacing w:after="0"/>
            </w:pPr>
            <w:r>
              <w:rPr>
                <w:rFonts w:ascii="Roboto" w:eastAsia="Roboto" w:hAnsi="Roboto" w:cs="Roboto"/>
                <w:color w:val="333333"/>
              </w:rPr>
              <w:t>19 November 2025</w:t>
            </w:r>
          </w:p>
        </w:tc>
      </w:tr>
      <w:tr w:rsidR="00465B5E" w14:paraId="240A79C8" w14:textId="77777777">
        <w:trPr>
          <w:trHeight w:val="300"/>
        </w:trPr>
        <w:tc>
          <w:tcPr>
            <w:tcW w:w="3000" w:type="dxa"/>
            <w:tcMar>
              <w:top w:w="180" w:type="dxa"/>
              <w:left w:w="225" w:type="dxa"/>
              <w:bottom w:w="180" w:type="dxa"/>
              <w:right w:w="225" w:type="dxa"/>
            </w:tcMar>
          </w:tcPr>
          <w:p w14:paraId="1EBB0D28" w14:textId="77777777" w:rsidR="00465B5E" w:rsidRDefault="00827C75">
            <w:pPr>
              <w:spacing w:after="0"/>
            </w:pPr>
            <w:r>
              <w:rPr>
                <w:rFonts w:ascii="Roboto" w:eastAsia="Roboto" w:hAnsi="Roboto" w:cs="Roboto"/>
                <w:b/>
                <w:bCs/>
                <w:color w:val="003087"/>
              </w:rPr>
              <w:t>Word Count:</w:t>
            </w:r>
          </w:p>
        </w:tc>
        <w:tc>
          <w:tcPr>
            <w:tcW w:w="4500" w:type="dxa"/>
            <w:tcMar>
              <w:top w:w="180" w:type="dxa"/>
              <w:left w:w="225" w:type="dxa"/>
              <w:bottom w:w="180" w:type="dxa"/>
              <w:right w:w="225" w:type="dxa"/>
            </w:tcMar>
          </w:tcPr>
          <w:p w14:paraId="08F46D1C" w14:textId="77777777" w:rsidR="00465B5E" w:rsidRDefault="00827C75">
            <w:pPr>
              <w:spacing w:after="0"/>
            </w:pPr>
            <w:r>
              <w:rPr>
                <w:rFonts w:ascii="Roboto" w:eastAsia="Roboto" w:hAnsi="Roboto" w:cs="Roboto"/>
                <w:color w:val="333333"/>
              </w:rPr>
              <w:t>2,500</w:t>
            </w:r>
          </w:p>
        </w:tc>
      </w:tr>
    </w:tbl>
    <w:p w14:paraId="40EEA062" w14:textId="77777777" w:rsidR="00465B5E" w:rsidRDefault="00465B5E">
      <w:pPr>
        <w:spacing w:line="360" w:lineRule="auto"/>
        <w:jc w:val="both"/>
        <w:rPr>
          <w:rFonts w:ascii="Arial" w:eastAsia="Arial" w:hAnsi="Arial" w:cs="Arial"/>
          <w:color w:val="000000"/>
        </w:rPr>
      </w:pPr>
    </w:p>
    <w:p w14:paraId="1D8BA852" w14:textId="77777777" w:rsidR="00465B5E" w:rsidRDefault="00827C75">
      <w:r>
        <w:br w:type="page"/>
      </w:r>
    </w:p>
    <w:sdt>
      <w:sdtPr>
        <w:id w:val="-1366282901"/>
        <w:docPartObj>
          <w:docPartGallery w:val="Table of Contents"/>
          <w:docPartUnique/>
        </w:docPartObj>
      </w:sdtPr>
      <w:sdtContent>
        <w:p w14:paraId="11C507AA" w14:textId="77777777" w:rsidR="00465B5E" w:rsidRDefault="00827C75">
          <w:pPr>
            <w:pBdr>
              <w:top w:val="nil"/>
              <w:left w:val="nil"/>
              <w:bottom w:val="nil"/>
              <w:right w:val="nil"/>
              <w:between w:val="nil"/>
            </w:pBdr>
            <w:tabs>
              <w:tab w:val="right" w:leader="dot" w:pos="9360"/>
            </w:tabs>
            <w:spacing w:after="100"/>
            <w:ind w:left="220"/>
            <w:rPr>
              <w:color w:val="467886"/>
              <w:u w:val="single"/>
            </w:rPr>
          </w:pPr>
          <w:r>
            <w:fldChar w:fldCharType="begin"/>
          </w:r>
          <w:r>
            <w:instrText xml:space="preserve"> TOC \h \u \z \t "Heading 1,1,Heading 2,2,Heading 3,3,Heading 4,4,Heading 5,5,Heading 6,6,"</w:instrText>
          </w:r>
          <w:r>
            <w:fldChar w:fldCharType="separate"/>
          </w:r>
          <w:hyperlink w:anchor="_heading=h.aqkh85eigh4b">
            <w:r>
              <w:rPr>
                <w:color w:val="000000"/>
              </w:rPr>
              <w:t>1.0 Introduction</w:t>
            </w:r>
            <w:r>
              <w:rPr>
                <w:color w:val="000000"/>
              </w:rPr>
              <w:tab/>
              <w:t>2</w:t>
            </w:r>
          </w:hyperlink>
        </w:p>
        <w:p w14:paraId="4EC3CF3C" w14:textId="77777777" w:rsidR="00465B5E" w:rsidRDefault="00827C75">
          <w:pPr>
            <w:pBdr>
              <w:top w:val="nil"/>
              <w:left w:val="nil"/>
              <w:bottom w:val="nil"/>
              <w:right w:val="nil"/>
              <w:between w:val="nil"/>
            </w:pBdr>
            <w:tabs>
              <w:tab w:val="right" w:leader="dot" w:pos="9360"/>
            </w:tabs>
            <w:spacing w:after="100"/>
            <w:ind w:left="220"/>
            <w:rPr>
              <w:color w:val="467886"/>
              <w:u w:val="single"/>
            </w:rPr>
          </w:pPr>
          <w:hyperlink w:anchor="_heading=h.u29cl5lkqu8z">
            <w:r>
              <w:rPr>
                <w:color w:val="000000"/>
              </w:rPr>
              <w:t>2.0 Element 1: STDP Analysis for Patagonia Provisions Home</w:t>
            </w:r>
            <w:r>
              <w:rPr>
                <w:color w:val="000000"/>
              </w:rPr>
              <w:tab/>
              <w:t>2</w:t>
            </w:r>
          </w:hyperlink>
        </w:p>
        <w:p w14:paraId="48F21FC4" w14:textId="77777777" w:rsidR="00465B5E" w:rsidRDefault="00827C75">
          <w:pPr>
            <w:pBdr>
              <w:top w:val="nil"/>
              <w:left w:val="nil"/>
              <w:bottom w:val="nil"/>
              <w:right w:val="nil"/>
              <w:between w:val="nil"/>
            </w:pBdr>
            <w:tabs>
              <w:tab w:val="right" w:leader="dot" w:pos="9360"/>
            </w:tabs>
            <w:spacing w:after="100"/>
            <w:ind w:left="440"/>
            <w:rPr>
              <w:color w:val="467886"/>
              <w:u w:val="single"/>
            </w:rPr>
          </w:pPr>
          <w:hyperlink w:anchor="_heading=h.tz3ju9w2jd5s">
            <w:r>
              <w:rPr>
                <w:color w:val="000000"/>
              </w:rPr>
              <w:t>2.1 Introduction to Patagonia and the New Brand Concept</w:t>
            </w:r>
            <w:r>
              <w:rPr>
                <w:color w:val="000000"/>
              </w:rPr>
              <w:tab/>
              <w:t>2</w:t>
            </w:r>
          </w:hyperlink>
        </w:p>
        <w:p w14:paraId="0BB97C6C" w14:textId="77777777" w:rsidR="00465B5E" w:rsidRDefault="00827C75">
          <w:pPr>
            <w:pBdr>
              <w:top w:val="nil"/>
              <w:left w:val="nil"/>
              <w:bottom w:val="nil"/>
              <w:right w:val="nil"/>
              <w:between w:val="nil"/>
            </w:pBdr>
            <w:tabs>
              <w:tab w:val="right" w:leader="dot" w:pos="9360"/>
            </w:tabs>
            <w:spacing w:after="100"/>
            <w:ind w:left="440"/>
            <w:rPr>
              <w:color w:val="467886"/>
              <w:u w:val="single"/>
            </w:rPr>
          </w:pPr>
          <w:hyperlink w:anchor="_heading=h.bcj1fn91ilwc">
            <w:r>
              <w:rPr>
                <w:color w:val="000000"/>
              </w:rPr>
              <w:t>2.2 Market Segmentation</w:t>
            </w:r>
            <w:r>
              <w:rPr>
                <w:color w:val="000000"/>
              </w:rPr>
              <w:tab/>
              <w:t>3</w:t>
            </w:r>
          </w:hyperlink>
        </w:p>
        <w:p w14:paraId="65E6E305" w14:textId="77777777" w:rsidR="00465B5E" w:rsidRDefault="00827C75">
          <w:pPr>
            <w:pBdr>
              <w:top w:val="nil"/>
              <w:left w:val="nil"/>
              <w:bottom w:val="nil"/>
              <w:right w:val="nil"/>
              <w:between w:val="nil"/>
            </w:pBdr>
            <w:tabs>
              <w:tab w:val="right" w:leader="dot" w:pos="9360"/>
            </w:tabs>
            <w:spacing w:after="100"/>
            <w:ind w:left="440"/>
            <w:rPr>
              <w:color w:val="467886"/>
              <w:u w:val="single"/>
            </w:rPr>
          </w:pPr>
          <w:hyperlink w:anchor="_heading=h.dpspumddya16">
            <w:r>
              <w:rPr>
                <w:color w:val="000000"/>
              </w:rPr>
              <w:t>2.3 Target Market Selection</w:t>
            </w:r>
            <w:r>
              <w:rPr>
                <w:color w:val="000000"/>
              </w:rPr>
              <w:tab/>
              <w:t>4</w:t>
            </w:r>
          </w:hyperlink>
        </w:p>
        <w:p w14:paraId="65A021F6" w14:textId="77777777" w:rsidR="00465B5E" w:rsidRDefault="00827C75">
          <w:pPr>
            <w:pBdr>
              <w:top w:val="nil"/>
              <w:left w:val="nil"/>
              <w:bottom w:val="nil"/>
              <w:right w:val="nil"/>
              <w:between w:val="nil"/>
            </w:pBdr>
            <w:tabs>
              <w:tab w:val="right" w:leader="dot" w:pos="9360"/>
            </w:tabs>
            <w:spacing w:after="100"/>
            <w:ind w:left="440"/>
            <w:rPr>
              <w:color w:val="467886"/>
              <w:u w:val="single"/>
            </w:rPr>
          </w:pPr>
          <w:hyperlink w:anchor="_heading=h.p3exmwjmavsv">
            <w:r>
              <w:rPr>
                <w:color w:val="000000"/>
              </w:rPr>
              <w:t>2.4 Positioning and Differentiation Strategy</w:t>
            </w:r>
            <w:r>
              <w:rPr>
                <w:color w:val="000000"/>
              </w:rPr>
              <w:tab/>
              <w:t>4</w:t>
            </w:r>
          </w:hyperlink>
        </w:p>
        <w:p w14:paraId="4B43D0D4" w14:textId="77777777" w:rsidR="00465B5E" w:rsidRDefault="00827C75">
          <w:pPr>
            <w:pBdr>
              <w:top w:val="nil"/>
              <w:left w:val="nil"/>
              <w:bottom w:val="nil"/>
              <w:right w:val="nil"/>
              <w:between w:val="nil"/>
            </w:pBdr>
            <w:tabs>
              <w:tab w:val="right" w:leader="dot" w:pos="9360"/>
            </w:tabs>
            <w:spacing w:after="100"/>
            <w:ind w:left="220"/>
            <w:rPr>
              <w:color w:val="467886"/>
              <w:u w:val="single"/>
            </w:rPr>
          </w:pPr>
          <w:hyperlink w:anchor="_heading=h.d0odihl8ywky">
            <w:r>
              <w:rPr>
                <w:color w:val="000000"/>
              </w:rPr>
              <w:t>3.0 Element 2: Patagonia Provisions Home Marketing Mix</w:t>
            </w:r>
            <w:r>
              <w:rPr>
                <w:color w:val="000000"/>
              </w:rPr>
              <w:tab/>
              <w:t>5</w:t>
            </w:r>
          </w:hyperlink>
        </w:p>
        <w:p w14:paraId="03AF3587" w14:textId="77777777" w:rsidR="00465B5E" w:rsidRDefault="00827C75">
          <w:pPr>
            <w:pBdr>
              <w:top w:val="nil"/>
              <w:left w:val="nil"/>
              <w:bottom w:val="nil"/>
              <w:right w:val="nil"/>
              <w:between w:val="nil"/>
            </w:pBdr>
            <w:tabs>
              <w:tab w:val="right" w:leader="dot" w:pos="9360"/>
            </w:tabs>
            <w:spacing w:after="100"/>
            <w:ind w:left="440"/>
            <w:rPr>
              <w:color w:val="467886"/>
              <w:u w:val="single"/>
            </w:rPr>
          </w:pPr>
          <w:hyperlink w:anchor="_heading=h.xabubkob47yi">
            <w:r>
              <w:rPr>
                <w:color w:val="000000"/>
              </w:rPr>
              <w:t>3.1 Product Strategy</w:t>
            </w:r>
            <w:r>
              <w:rPr>
                <w:color w:val="000000"/>
              </w:rPr>
              <w:tab/>
              <w:t>5</w:t>
            </w:r>
          </w:hyperlink>
        </w:p>
        <w:p w14:paraId="73A52DB8" w14:textId="77777777" w:rsidR="00465B5E" w:rsidRDefault="00827C75">
          <w:pPr>
            <w:pBdr>
              <w:top w:val="nil"/>
              <w:left w:val="nil"/>
              <w:bottom w:val="nil"/>
              <w:right w:val="nil"/>
              <w:between w:val="nil"/>
            </w:pBdr>
            <w:tabs>
              <w:tab w:val="right" w:leader="dot" w:pos="9360"/>
            </w:tabs>
            <w:spacing w:after="100"/>
            <w:ind w:left="440"/>
            <w:rPr>
              <w:color w:val="467886"/>
              <w:u w:val="single"/>
            </w:rPr>
          </w:pPr>
          <w:hyperlink w:anchor="_heading=h.17y8li85djs6">
            <w:r>
              <w:rPr>
                <w:color w:val="000000"/>
              </w:rPr>
              <w:t>3.2 Pricing Strategy</w:t>
            </w:r>
            <w:r>
              <w:rPr>
                <w:color w:val="000000"/>
              </w:rPr>
              <w:tab/>
              <w:t>6</w:t>
            </w:r>
          </w:hyperlink>
        </w:p>
        <w:p w14:paraId="22D7D618" w14:textId="77777777" w:rsidR="00465B5E" w:rsidRDefault="00827C75">
          <w:pPr>
            <w:pBdr>
              <w:top w:val="nil"/>
              <w:left w:val="nil"/>
              <w:bottom w:val="nil"/>
              <w:right w:val="nil"/>
              <w:between w:val="nil"/>
            </w:pBdr>
            <w:tabs>
              <w:tab w:val="right" w:leader="dot" w:pos="9360"/>
            </w:tabs>
            <w:spacing w:after="100"/>
            <w:ind w:left="440"/>
            <w:rPr>
              <w:color w:val="467886"/>
              <w:u w:val="single"/>
            </w:rPr>
          </w:pPr>
          <w:hyperlink w:anchor="_heading=h.ny2okk1ypco">
            <w:r>
              <w:rPr>
                <w:color w:val="000000"/>
              </w:rPr>
              <w:t>3.3 Place (Distribution) Strategy</w:t>
            </w:r>
            <w:r>
              <w:rPr>
                <w:color w:val="000000"/>
              </w:rPr>
              <w:tab/>
              <w:t>6</w:t>
            </w:r>
          </w:hyperlink>
        </w:p>
        <w:p w14:paraId="4D3D1FEC" w14:textId="77777777" w:rsidR="00465B5E" w:rsidRDefault="00827C75">
          <w:pPr>
            <w:pBdr>
              <w:top w:val="nil"/>
              <w:left w:val="nil"/>
              <w:bottom w:val="nil"/>
              <w:right w:val="nil"/>
              <w:between w:val="nil"/>
            </w:pBdr>
            <w:tabs>
              <w:tab w:val="right" w:leader="dot" w:pos="9360"/>
            </w:tabs>
            <w:spacing w:after="100"/>
            <w:ind w:left="440"/>
            <w:rPr>
              <w:color w:val="467886"/>
              <w:u w:val="single"/>
            </w:rPr>
          </w:pPr>
          <w:hyperlink w:anchor="_heading=h.tzcunj17mcnu">
            <w:r>
              <w:rPr>
                <w:color w:val="000000"/>
              </w:rPr>
              <w:t>3.4 Promotion Strategy</w:t>
            </w:r>
            <w:r>
              <w:rPr>
                <w:color w:val="000000"/>
              </w:rPr>
              <w:tab/>
              <w:t>7</w:t>
            </w:r>
          </w:hyperlink>
        </w:p>
        <w:p w14:paraId="3CFE8C55" w14:textId="77777777" w:rsidR="00465B5E" w:rsidRDefault="00827C75">
          <w:pPr>
            <w:pBdr>
              <w:top w:val="nil"/>
              <w:left w:val="nil"/>
              <w:bottom w:val="nil"/>
              <w:right w:val="nil"/>
              <w:between w:val="nil"/>
            </w:pBdr>
            <w:tabs>
              <w:tab w:val="right" w:leader="dot" w:pos="9360"/>
            </w:tabs>
            <w:spacing w:after="100"/>
            <w:ind w:left="440"/>
            <w:rPr>
              <w:color w:val="467886"/>
              <w:u w:val="single"/>
            </w:rPr>
          </w:pPr>
          <w:hyperlink w:anchor="_heading=h.7ftkzbxiai7g">
            <w:r>
              <w:rPr>
                <w:color w:val="000000"/>
              </w:rPr>
              <w:t>3.5 People Strategy</w:t>
            </w:r>
            <w:r>
              <w:rPr>
                <w:color w:val="000000"/>
              </w:rPr>
              <w:tab/>
              <w:t>7</w:t>
            </w:r>
          </w:hyperlink>
        </w:p>
        <w:p w14:paraId="0C5A6C6D" w14:textId="77777777" w:rsidR="00465B5E" w:rsidRDefault="00827C75">
          <w:pPr>
            <w:pBdr>
              <w:top w:val="nil"/>
              <w:left w:val="nil"/>
              <w:bottom w:val="nil"/>
              <w:right w:val="nil"/>
              <w:between w:val="nil"/>
            </w:pBdr>
            <w:tabs>
              <w:tab w:val="right" w:leader="dot" w:pos="9360"/>
            </w:tabs>
            <w:spacing w:after="100"/>
            <w:ind w:left="440"/>
            <w:rPr>
              <w:color w:val="467886"/>
              <w:u w:val="single"/>
            </w:rPr>
          </w:pPr>
          <w:hyperlink w:anchor="_heading=h.u8aq8nqa8ogk">
            <w:r>
              <w:rPr>
                <w:color w:val="000000"/>
              </w:rPr>
              <w:t>3.6 Process Strategy</w:t>
            </w:r>
            <w:r>
              <w:rPr>
                <w:color w:val="000000"/>
              </w:rPr>
              <w:tab/>
              <w:t>8</w:t>
            </w:r>
          </w:hyperlink>
        </w:p>
        <w:p w14:paraId="03FE5962" w14:textId="77777777" w:rsidR="00465B5E" w:rsidRDefault="00827C75">
          <w:pPr>
            <w:pBdr>
              <w:top w:val="nil"/>
              <w:left w:val="nil"/>
              <w:bottom w:val="nil"/>
              <w:right w:val="nil"/>
              <w:between w:val="nil"/>
            </w:pBdr>
            <w:tabs>
              <w:tab w:val="right" w:leader="dot" w:pos="9360"/>
            </w:tabs>
            <w:spacing w:after="100"/>
            <w:ind w:left="440"/>
            <w:rPr>
              <w:color w:val="467886"/>
              <w:u w:val="single"/>
            </w:rPr>
          </w:pPr>
          <w:hyperlink w:anchor="_heading=h.iuvulpbc2d7c">
            <w:r>
              <w:rPr>
                <w:color w:val="000000"/>
              </w:rPr>
              <w:t>3.7 Physical Evidence Strategy</w:t>
            </w:r>
            <w:r>
              <w:rPr>
                <w:color w:val="000000"/>
              </w:rPr>
              <w:tab/>
              <w:t>8</w:t>
            </w:r>
          </w:hyperlink>
        </w:p>
        <w:p w14:paraId="4FB7B887" w14:textId="77777777" w:rsidR="00465B5E" w:rsidRDefault="00827C75">
          <w:pPr>
            <w:pBdr>
              <w:top w:val="nil"/>
              <w:left w:val="nil"/>
              <w:bottom w:val="nil"/>
              <w:right w:val="nil"/>
              <w:between w:val="nil"/>
            </w:pBdr>
            <w:tabs>
              <w:tab w:val="right" w:leader="dot" w:pos="9360"/>
            </w:tabs>
            <w:spacing w:after="100"/>
            <w:ind w:left="220"/>
            <w:rPr>
              <w:color w:val="467886"/>
              <w:u w:val="single"/>
            </w:rPr>
          </w:pPr>
          <w:hyperlink w:anchor="_heading=h.osiu598my0yz">
            <w:r>
              <w:rPr>
                <w:color w:val="000000"/>
              </w:rPr>
              <w:t>4.0 Element 3: Marketing Strategy Pitch Summary</w:t>
            </w:r>
            <w:r>
              <w:rPr>
                <w:color w:val="000000"/>
              </w:rPr>
              <w:tab/>
              <w:t>8</w:t>
            </w:r>
          </w:hyperlink>
        </w:p>
        <w:p w14:paraId="562EE829" w14:textId="77777777" w:rsidR="00465B5E" w:rsidRDefault="00827C75">
          <w:pPr>
            <w:pBdr>
              <w:top w:val="nil"/>
              <w:left w:val="nil"/>
              <w:bottom w:val="nil"/>
              <w:right w:val="nil"/>
              <w:between w:val="nil"/>
            </w:pBdr>
            <w:tabs>
              <w:tab w:val="right" w:leader="dot" w:pos="9360"/>
            </w:tabs>
            <w:spacing w:after="100"/>
            <w:ind w:left="220"/>
            <w:rPr>
              <w:color w:val="467886"/>
              <w:u w:val="single"/>
            </w:rPr>
          </w:pPr>
          <w:hyperlink w:anchor="_heading=h.csxghfhfoyqv">
            <w:r>
              <w:rPr>
                <w:color w:val="000000"/>
              </w:rPr>
              <w:t>5.0 Element 4: Reflection</w:t>
            </w:r>
            <w:r>
              <w:rPr>
                <w:color w:val="000000"/>
              </w:rPr>
              <w:tab/>
              <w:t>9</w:t>
            </w:r>
          </w:hyperlink>
        </w:p>
        <w:p w14:paraId="608D53EB" w14:textId="77777777" w:rsidR="00465B5E" w:rsidRDefault="00827C75">
          <w:pPr>
            <w:pBdr>
              <w:top w:val="nil"/>
              <w:left w:val="nil"/>
              <w:bottom w:val="nil"/>
              <w:right w:val="nil"/>
              <w:between w:val="nil"/>
            </w:pBdr>
            <w:tabs>
              <w:tab w:val="right" w:leader="dot" w:pos="9360"/>
            </w:tabs>
            <w:spacing w:after="100"/>
            <w:ind w:left="440"/>
            <w:rPr>
              <w:color w:val="467886"/>
              <w:u w:val="single"/>
            </w:rPr>
          </w:pPr>
          <w:hyperlink w:anchor="_heading=h.wzqedvotwtzb">
            <w:r>
              <w:rPr>
                <w:color w:val="000000"/>
              </w:rPr>
              <w:t>5.1 Reflection on Brand Concept and Strategy Development</w:t>
            </w:r>
            <w:r>
              <w:rPr>
                <w:color w:val="000000"/>
              </w:rPr>
              <w:tab/>
              <w:t>9</w:t>
            </w:r>
          </w:hyperlink>
        </w:p>
        <w:p w14:paraId="28D95536" w14:textId="77777777" w:rsidR="00465B5E" w:rsidRDefault="00827C75">
          <w:pPr>
            <w:pBdr>
              <w:top w:val="nil"/>
              <w:left w:val="nil"/>
              <w:bottom w:val="nil"/>
              <w:right w:val="nil"/>
              <w:between w:val="nil"/>
            </w:pBdr>
            <w:tabs>
              <w:tab w:val="right" w:leader="dot" w:pos="9360"/>
            </w:tabs>
            <w:spacing w:after="100"/>
            <w:ind w:left="440"/>
            <w:rPr>
              <w:color w:val="467886"/>
              <w:u w:val="single"/>
            </w:rPr>
          </w:pPr>
          <w:hyperlink w:anchor="_heading=h.6jee88ttqemq">
            <w:r>
              <w:rPr>
                <w:color w:val="000000"/>
              </w:rPr>
              <w:t>5.2 Pitch Preparation and Delivery Reflection</w:t>
            </w:r>
            <w:r>
              <w:rPr>
                <w:color w:val="000000"/>
              </w:rPr>
              <w:tab/>
              <w:t>10</w:t>
            </w:r>
          </w:hyperlink>
        </w:p>
        <w:p w14:paraId="34A6AF3E" w14:textId="77777777" w:rsidR="00465B5E" w:rsidRDefault="00827C75">
          <w:pPr>
            <w:pBdr>
              <w:top w:val="nil"/>
              <w:left w:val="nil"/>
              <w:bottom w:val="nil"/>
              <w:right w:val="nil"/>
              <w:between w:val="nil"/>
            </w:pBdr>
            <w:tabs>
              <w:tab w:val="right" w:leader="dot" w:pos="9360"/>
            </w:tabs>
            <w:spacing w:after="100"/>
            <w:ind w:left="440"/>
            <w:rPr>
              <w:color w:val="467886"/>
              <w:u w:val="single"/>
            </w:rPr>
          </w:pPr>
          <w:hyperlink w:anchor="_heading=h.wkn66oy4r06c">
            <w:r>
              <w:rPr>
                <w:color w:val="000000"/>
              </w:rPr>
              <w:t>5.3 Key Skills Developed and Future Improvements</w:t>
            </w:r>
            <w:r>
              <w:rPr>
                <w:color w:val="000000"/>
              </w:rPr>
              <w:tab/>
              <w:t>10</w:t>
            </w:r>
          </w:hyperlink>
        </w:p>
        <w:p w14:paraId="799DA0F5" w14:textId="77777777" w:rsidR="00465B5E" w:rsidRDefault="00827C75">
          <w:pPr>
            <w:pBdr>
              <w:top w:val="nil"/>
              <w:left w:val="nil"/>
              <w:bottom w:val="nil"/>
              <w:right w:val="nil"/>
              <w:between w:val="nil"/>
            </w:pBdr>
            <w:tabs>
              <w:tab w:val="right" w:leader="dot" w:pos="9360"/>
            </w:tabs>
            <w:spacing w:after="100"/>
            <w:ind w:left="220"/>
            <w:rPr>
              <w:color w:val="467886"/>
              <w:u w:val="single"/>
            </w:rPr>
          </w:pPr>
          <w:hyperlink w:anchor="_heading=h.f87vr86oe4d6">
            <w:r>
              <w:rPr>
                <w:color w:val="000000"/>
              </w:rPr>
              <w:t>6.0 Conclusion</w:t>
            </w:r>
            <w:r>
              <w:rPr>
                <w:color w:val="000000"/>
              </w:rPr>
              <w:tab/>
              <w:t>11</w:t>
            </w:r>
          </w:hyperlink>
        </w:p>
        <w:p w14:paraId="2F34C320" w14:textId="77777777" w:rsidR="00465B5E" w:rsidRDefault="00827C75">
          <w:pPr>
            <w:pBdr>
              <w:top w:val="nil"/>
              <w:left w:val="nil"/>
              <w:bottom w:val="nil"/>
              <w:right w:val="nil"/>
              <w:between w:val="nil"/>
            </w:pBdr>
            <w:tabs>
              <w:tab w:val="right" w:leader="dot" w:pos="9360"/>
            </w:tabs>
            <w:spacing w:after="100"/>
            <w:ind w:left="220"/>
            <w:rPr>
              <w:color w:val="467886"/>
              <w:u w:val="single"/>
            </w:rPr>
          </w:pPr>
          <w:hyperlink w:anchor="_heading=h.n5c91i9vfcfe">
            <w:r>
              <w:rPr>
                <w:color w:val="000000"/>
              </w:rPr>
              <w:t>7.0 References</w:t>
            </w:r>
            <w:r>
              <w:rPr>
                <w:color w:val="000000"/>
              </w:rPr>
              <w:tab/>
              <w:t>11</w:t>
            </w:r>
          </w:hyperlink>
        </w:p>
        <w:p w14:paraId="162E80AA" w14:textId="77777777" w:rsidR="00465B5E" w:rsidRDefault="00827C75">
          <w:pPr>
            <w:pBdr>
              <w:top w:val="nil"/>
              <w:left w:val="nil"/>
              <w:bottom w:val="nil"/>
              <w:right w:val="nil"/>
              <w:between w:val="nil"/>
            </w:pBdr>
            <w:tabs>
              <w:tab w:val="right" w:leader="dot" w:pos="9360"/>
            </w:tabs>
            <w:spacing w:after="100"/>
            <w:ind w:left="220"/>
            <w:rPr>
              <w:color w:val="467886"/>
              <w:u w:val="single"/>
            </w:rPr>
          </w:pPr>
          <w:hyperlink w:anchor="_heading=h.yl53kszi0ic5">
            <w:r>
              <w:rPr>
                <w:color w:val="000000"/>
              </w:rPr>
              <w:t>Appendix</w:t>
            </w:r>
            <w:r>
              <w:rPr>
                <w:color w:val="000000"/>
              </w:rPr>
              <w:tab/>
              <w:t>14</w:t>
            </w:r>
          </w:hyperlink>
          <w:r>
            <w:fldChar w:fldCharType="end"/>
          </w:r>
        </w:p>
      </w:sdtContent>
    </w:sdt>
    <w:p w14:paraId="110AABAA" w14:textId="77777777" w:rsidR="00465B5E" w:rsidRDefault="00465B5E">
      <w:pPr>
        <w:spacing w:line="360" w:lineRule="auto"/>
        <w:jc w:val="both"/>
        <w:rPr>
          <w:rFonts w:ascii="Arial" w:eastAsia="Arial" w:hAnsi="Arial" w:cs="Arial"/>
          <w:color w:val="000000"/>
        </w:rPr>
      </w:pPr>
    </w:p>
    <w:p w14:paraId="61684B2F" w14:textId="77777777" w:rsidR="00465B5E" w:rsidRDefault="00827C75">
      <w:pPr>
        <w:spacing w:line="360" w:lineRule="auto"/>
        <w:jc w:val="both"/>
        <w:rPr>
          <w:rFonts w:ascii="Arial" w:eastAsia="Arial" w:hAnsi="Arial" w:cs="Arial"/>
          <w:color w:val="000000"/>
        </w:rPr>
      </w:pPr>
      <w:r>
        <w:br w:type="page"/>
      </w:r>
    </w:p>
    <w:p w14:paraId="79192D47" w14:textId="77777777" w:rsidR="00465B5E" w:rsidRDefault="00465B5E">
      <w:pPr>
        <w:spacing w:line="360" w:lineRule="auto"/>
        <w:jc w:val="both"/>
        <w:rPr>
          <w:rFonts w:ascii="Arial" w:eastAsia="Arial" w:hAnsi="Arial" w:cs="Arial"/>
          <w:color w:val="000000"/>
        </w:rPr>
      </w:pPr>
    </w:p>
    <w:p w14:paraId="55EAE983" w14:textId="77777777" w:rsidR="00465B5E" w:rsidRDefault="00827C75">
      <w:pPr>
        <w:pStyle w:val="Heading2"/>
        <w:keepNext w:val="0"/>
        <w:keepLines w:val="0"/>
        <w:spacing w:before="360" w:line="360" w:lineRule="auto"/>
        <w:jc w:val="both"/>
        <w:rPr>
          <w:rFonts w:ascii="Arial" w:eastAsia="Arial" w:hAnsi="Arial" w:cs="Arial"/>
          <w:b/>
          <w:bCs/>
          <w:color w:val="000000"/>
          <w:sz w:val="34"/>
          <w:szCs w:val="34"/>
        </w:rPr>
      </w:pPr>
      <w:bookmarkStart w:id="0" w:name="_heading=h.7cy6edwzi8t" w:colFirst="0" w:colLast="0"/>
      <w:bookmarkEnd w:id="0"/>
      <w:r>
        <w:rPr>
          <w:rFonts w:ascii="Arial" w:eastAsia="Arial" w:hAnsi="Arial" w:cs="Arial"/>
          <w:b/>
          <w:bCs/>
          <w:color w:val="000000"/>
          <w:sz w:val="34"/>
          <w:szCs w:val="34"/>
        </w:rPr>
        <w:t>1.0 Introduction</w:t>
      </w:r>
    </w:p>
    <w:p w14:paraId="300D3602" w14:textId="77777777" w:rsidR="00465B5E" w:rsidRDefault="00827C75">
      <w:pPr>
        <w:spacing w:before="240" w:after="240" w:line="360" w:lineRule="auto"/>
        <w:jc w:val="both"/>
        <w:rPr>
          <w:rFonts w:ascii="Arial" w:eastAsia="Arial" w:hAnsi="Arial" w:cs="Arial"/>
        </w:rPr>
      </w:pPr>
      <w:r>
        <w:rPr>
          <w:rFonts w:ascii="Arial" w:eastAsia="Arial" w:hAnsi="Arial" w:cs="Arial"/>
        </w:rPr>
        <w:t xml:space="preserve">Today’s market environment is marked by a paradigm shift in consumerist values, shifting from materialistic to value-based consumerism, as customers increasingly tend to make buying decisions in consideration of social, moral, as well as environmental values (Pappas, 2022). The following portfolio entails an integrated marketing plan for creating, as well as launching, a brand, namely </w:t>
      </w:r>
      <w:r>
        <w:rPr>
          <w:rFonts w:ascii="Arial" w:eastAsia="Arial" w:hAnsi="Arial" w:cs="Arial"/>
          <w:i/>
          <w:iCs/>
        </w:rPr>
        <w:t>‘Patagonia Provisions Home,’</w:t>
      </w:r>
      <w:r>
        <w:rPr>
          <w:rFonts w:ascii="Arial" w:eastAsia="Arial" w:hAnsi="Arial" w:cs="Arial"/>
        </w:rPr>
        <w:t xml:space="preserve"> by an already established brand, namely Patagonia, Inc.—an outdoor apparel brand.</w:t>
      </w:r>
    </w:p>
    <w:p w14:paraId="05DDC864" w14:textId="77777777" w:rsidR="00465B5E" w:rsidRDefault="00827C75">
      <w:pPr>
        <w:spacing w:before="240" w:after="240" w:line="360" w:lineRule="auto"/>
        <w:jc w:val="both"/>
        <w:rPr>
          <w:rFonts w:ascii="Arial" w:eastAsia="Arial" w:hAnsi="Arial" w:cs="Arial"/>
        </w:rPr>
      </w:pPr>
      <w:r>
        <w:rPr>
          <w:rFonts w:ascii="Arial" w:eastAsia="Arial" w:hAnsi="Arial" w:cs="Arial"/>
        </w:rPr>
        <w:t>Given the brand’s proud past in environmental activism and producing long-lasting products, it is only apt for Patagonia to carry this brand spirit into the home products industry. This report critically assesses the critical marketing mix strategies needed for leveraging this brand expansion strategy, which rests upon an analysis of Segmentation, Targeting, Differentiation, and Positioning (S-T-D-P)</w:t>
      </w:r>
    </w:p>
    <w:p w14:paraId="285D59C1" w14:textId="77777777" w:rsidR="00465B5E" w:rsidRDefault="00827C75">
      <w:pPr>
        <w:spacing w:line="360" w:lineRule="auto"/>
        <w:jc w:val="both"/>
        <w:rPr>
          <w:rFonts w:ascii="Arial" w:eastAsia="Arial" w:hAnsi="Arial" w:cs="Arial"/>
        </w:rPr>
      </w:pPr>
      <w:r>
        <w:rPr>
          <w:rFonts w:ascii="Arial" w:eastAsia="Arial" w:hAnsi="Arial" w:cs="Arial"/>
          <w:noProof/>
        </w:rPr>
        <w:drawing>
          <wp:inline distT="114300" distB="114300" distL="114300" distR="114300" wp14:anchorId="5489F01C" wp14:editId="4ACD4633">
            <wp:extent cx="3852863" cy="2681592"/>
            <wp:effectExtent l="0" t="0" r="0" b="0"/>
            <wp:docPr id="604314816" name="image2.jpg" descr="Image of STDP marketing framework"/>
            <wp:cNvGraphicFramePr/>
            <a:graphic xmlns:a="http://schemas.openxmlformats.org/drawingml/2006/main">
              <a:graphicData uri="http://schemas.openxmlformats.org/drawingml/2006/picture">
                <pic:pic xmlns:pic="http://schemas.openxmlformats.org/drawingml/2006/picture">
                  <pic:nvPicPr>
                    <pic:cNvPr id="0" name="image2.jpg" descr="Image of STDP marketing framework"/>
                    <pic:cNvPicPr preferRelativeResize="0"/>
                  </pic:nvPicPr>
                  <pic:blipFill>
                    <a:blip r:embed="rId8"/>
                    <a:srcRect/>
                    <a:stretch>
                      <a:fillRect/>
                    </a:stretch>
                  </pic:blipFill>
                  <pic:spPr>
                    <a:xfrm>
                      <a:off x="0" y="0"/>
                      <a:ext cx="3852863" cy="2681592"/>
                    </a:xfrm>
                    <a:prstGeom prst="rect">
                      <a:avLst/>
                    </a:prstGeom>
                    <a:ln/>
                  </pic:spPr>
                </pic:pic>
              </a:graphicData>
            </a:graphic>
          </wp:inline>
        </w:drawing>
      </w:r>
    </w:p>
    <w:p w14:paraId="20490826" w14:textId="77777777" w:rsidR="00465B5E" w:rsidRDefault="00827C75">
      <w:pPr>
        <w:spacing w:line="360" w:lineRule="auto"/>
        <w:jc w:val="both"/>
        <w:rPr>
          <w:rFonts w:ascii="Arial" w:eastAsia="Arial" w:hAnsi="Arial" w:cs="Arial"/>
        </w:rPr>
      </w:pPr>
      <w:r>
        <w:rPr>
          <w:rFonts w:ascii="Arial" w:eastAsia="Arial" w:hAnsi="Arial" w:cs="Arial"/>
        </w:rPr>
        <w:t xml:space="preserve">Figure: STP Marketing (Source: </w:t>
      </w:r>
      <w:proofErr w:type="spellStart"/>
      <w:r>
        <w:rPr>
          <w:rFonts w:ascii="Arial" w:eastAsia="Arial" w:hAnsi="Arial" w:cs="Arial"/>
        </w:rPr>
        <w:t>Shutterstock</w:t>
      </w:r>
      <w:proofErr w:type="spellEnd"/>
      <w:r>
        <w:rPr>
          <w:rFonts w:ascii="Arial" w:eastAsia="Arial" w:hAnsi="Arial" w:cs="Arial"/>
        </w:rPr>
        <w:t>, 2025)</w:t>
      </w:r>
    </w:p>
    <w:p w14:paraId="2CCA54C6" w14:textId="77777777" w:rsidR="00465B5E" w:rsidRDefault="00827C75">
      <w:pPr>
        <w:spacing w:before="240" w:after="240" w:line="360" w:lineRule="auto"/>
        <w:jc w:val="both"/>
        <w:rPr>
          <w:rFonts w:ascii="Arial" w:eastAsia="Arial" w:hAnsi="Arial" w:cs="Arial"/>
        </w:rPr>
      </w:pPr>
      <w:r>
        <w:rPr>
          <w:rFonts w:ascii="Arial" w:eastAsia="Arial" w:hAnsi="Arial" w:cs="Arial"/>
        </w:rPr>
        <w:lastRenderedPageBreak/>
        <w:t>The portfolio contains an overview of a marketing persuasion presentation as well as a critical analysis of the STDP process, which incorporates the attainment of learning outcomes of analyzing marketing performance and analyzing future market development (University of Wales Trinity Saint David, 2024).</w:t>
      </w:r>
    </w:p>
    <w:p w14:paraId="692307E5" w14:textId="77777777" w:rsidR="00465B5E" w:rsidRDefault="00827C75">
      <w:pPr>
        <w:pStyle w:val="Heading2"/>
        <w:keepNext w:val="0"/>
        <w:keepLines w:val="0"/>
        <w:spacing w:before="360" w:line="360" w:lineRule="auto"/>
        <w:jc w:val="both"/>
        <w:rPr>
          <w:rFonts w:ascii="Arial" w:eastAsia="Arial" w:hAnsi="Arial" w:cs="Arial"/>
          <w:b/>
          <w:bCs/>
          <w:color w:val="000000"/>
          <w:sz w:val="34"/>
          <w:szCs w:val="34"/>
        </w:rPr>
      </w:pPr>
      <w:bookmarkStart w:id="1" w:name="_heading=h.rubk3tokblrw" w:colFirst="0" w:colLast="0"/>
      <w:bookmarkEnd w:id="1"/>
      <w:r>
        <w:rPr>
          <w:rFonts w:ascii="Arial" w:eastAsia="Arial" w:hAnsi="Arial" w:cs="Arial"/>
          <w:b/>
          <w:bCs/>
          <w:color w:val="000000"/>
          <w:sz w:val="34"/>
          <w:szCs w:val="34"/>
        </w:rPr>
        <w:t>2.0 Element 1: Analysis of STDP for Patagonia Provisions Home</w:t>
      </w:r>
    </w:p>
    <w:p w14:paraId="7FF2BF78" w14:textId="77777777" w:rsidR="00465B5E" w:rsidRDefault="00827C75">
      <w:pPr>
        <w:pStyle w:val="Heading3"/>
        <w:keepNext w:val="0"/>
        <w:keepLines w:val="0"/>
        <w:spacing w:before="280" w:line="360" w:lineRule="auto"/>
        <w:jc w:val="both"/>
        <w:rPr>
          <w:rFonts w:ascii="Arial" w:eastAsia="Arial" w:hAnsi="Arial" w:cs="Arial"/>
          <w:b/>
          <w:bCs/>
          <w:color w:val="000000"/>
          <w:sz w:val="26"/>
          <w:szCs w:val="26"/>
        </w:rPr>
      </w:pPr>
      <w:bookmarkStart w:id="2" w:name="_heading=h.gsm3g5emq4s5" w:colFirst="0" w:colLast="0"/>
      <w:bookmarkEnd w:id="2"/>
      <w:r>
        <w:rPr>
          <w:rFonts w:ascii="Arial" w:eastAsia="Arial" w:hAnsi="Arial" w:cs="Arial"/>
          <w:b/>
          <w:bCs/>
          <w:color w:val="000000"/>
          <w:sz w:val="26"/>
          <w:szCs w:val="26"/>
        </w:rPr>
        <w:t>2.1 Introduction to Patagonia and the New Brand Concept</w:t>
      </w:r>
    </w:p>
    <w:p w14:paraId="1EA85249" w14:textId="77777777" w:rsidR="00465B5E" w:rsidRDefault="00827C75">
      <w:pPr>
        <w:spacing w:before="240" w:after="240" w:line="360" w:lineRule="auto"/>
        <w:jc w:val="both"/>
        <w:rPr>
          <w:rFonts w:ascii="Arial" w:eastAsia="Arial" w:hAnsi="Arial" w:cs="Arial"/>
          <w:b/>
          <w:bCs/>
        </w:rPr>
      </w:pPr>
      <w:r>
        <w:rPr>
          <w:rFonts w:ascii="Arial" w:eastAsia="Arial" w:hAnsi="Arial" w:cs="Arial"/>
          <w:b/>
          <w:bCs/>
        </w:rPr>
        <w:t>Patagonia</w:t>
      </w:r>
    </w:p>
    <w:p w14:paraId="3A697F61" w14:textId="77777777" w:rsidR="00465B5E" w:rsidRDefault="00827C75">
      <w:pPr>
        <w:spacing w:before="240" w:after="240" w:line="360" w:lineRule="auto"/>
        <w:jc w:val="both"/>
        <w:rPr>
          <w:rFonts w:ascii="Arial" w:eastAsia="Arial" w:hAnsi="Arial" w:cs="Arial"/>
        </w:rPr>
      </w:pPr>
      <w:proofErr w:type="spellStart"/>
      <w:r>
        <w:rPr>
          <w:rFonts w:ascii="Arial" w:eastAsia="Arial" w:hAnsi="Arial" w:cs="Arial"/>
        </w:rPr>
        <w:t>Yvon</w:t>
      </w:r>
      <w:proofErr w:type="spellEnd"/>
      <w:r>
        <w:rPr>
          <w:rFonts w:ascii="Arial" w:eastAsia="Arial" w:hAnsi="Arial" w:cs="Arial"/>
        </w:rPr>
        <w:t xml:space="preserve"> </w:t>
      </w:r>
      <w:proofErr w:type="spellStart"/>
      <w:r>
        <w:rPr>
          <w:rFonts w:ascii="Arial" w:eastAsia="Arial" w:hAnsi="Arial" w:cs="Arial"/>
        </w:rPr>
        <w:t>Chouinard’s</w:t>
      </w:r>
      <w:proofErr w:type="spellEnd"/>
      <w:r>
        <w:rPr>
          <w:rFonts w:ascii="Arial" w:eastAsia="Arial" w:hAnsi="Arial" w:cs="Arial"/>
        </w:rPr>
        <w:t xml:space="preserve"> company, Patagonia, Inc. established this strong brand identity for Patagonia based upon the slogan, </w:t>
      </w:r>
      <w:r>
        <w:rPr>
          <w:rFonts w:ascii="Arial" w:eastAsia="Arial" w:hAnsi="Arial" w:cs="Arial"/>
          <w:i/>
          <w:iCs/>
        </w:rPr>
        <w:t>"We’re in business to save our home planet"</w:t>
      </w:r>
      <w:r>
        <w:rPr>
          <w:rFonts w:ascii="Arial" w:eastAsia="Arial" w:hAnsi="Arial" w:cs="Arial"/>
        </w:rPr>
        <w:t xml:space="preserve"> (Patagonia, 2023). The reason for Patagonia, Inc.’s existence stretches beyond corporate social responsibilities in order to form a platform for product development as well as marketing communications (</w:t>
      </w:r>
      <w:proofErr w:type="spellStart"/>
      <w:r>
        <w:rPr>
          <w:rFonts w:ascii="Arial" w:eastAsia="Arial" w:hAnsi="Arial" w:cs="Arial"/>
        </w:rPr>
        <w:t>Schoultz</w:t>
      </w:r>
      <w:proofErr w:type="spellEnd"/>
      <w:r>
        <w:rPr>
          <w:rFonts w:ascii="Arial" w:eastAsia="Arial" w:hAnsi="Arial" w:cs="Arial"/>
        </w:rPr>
        <w:t>, [Year missing]).</w:t>
      </w:r>
    </w:p>
    <w:p w14:paraId="7C48834D" w14:textId="77777777" w:rsidR="00465B5E" w:rsidRDefault="00827C75">
      <w:pPr>
        <w:spacing w:before="240" w:after="240" w:line="360" w:lineRule="auto"/>
        <w:jc w:val="both"/>
        <w:rPr>
          <w:rFonts w:ascii="Arial" w:eastAsia="Arial" w:hAnsi="Arial" w:cs="Arial"/>
        </w:rPr>
      </w:pPr>
      <w:r>
        <w:rPr>
          <w:rFonts w:ascii="Arial" w:eastAsia="Arial" w:hAnsi="Arial" w:cs="Arial"/>
        </w:rPr>
        <w:t xml:space="preserve">The proposed brand concept, </w:t>
      </w:r>
      <w:r>
        <w:rPr>
          <w:rFonts w:ascii="Arial" w:eastAsia="Arial" w:hAnsi="Arial" w:cs="Arial"/>
          <w:i/>
          <w:iCs/>
        </w:rPr>
        <w:t>‘Patagonia Provisions Home’</w:t>
      </w:r>
      <w:r>
        <w:rPr>
          <w:rFonts w:ascii="Arial" w:eastAsia="Arial" w:hAnsi="Arial" w:cs="Arial"/>
        </w:rPr>
        <w:t xml:space="preserve">, is an extension of success as well as an ideology of the established food brand, </w:t>
      </w:r>
      <w:r>
        <w:rPr>
          <w:rFonts w:ascii="Arial" w:eastAsia="Arial" w:hAnsi="Arial" w:cs="Arial"/>
          <w:i/>
          <w:iCs/>
        </w:rPr>
        <w:t>‘Patagonia Provisions’</w:t>
      </w:r>
      <w:r>
        <w:rPr>
          <w:rFonts w:ascii="Arial" w:eastAsia="Arial" w:hAnsi="Arial" w:cs="Arial"/>
        </w:rPr>
        <w:t xml:space="preserve"> itself, as an endeavor of providing sustainable, responsibly produced, and long-lasting home commodities such as organic cotton home textiles, recycled glassware, non-toxic household cleaners, as well as sustainably harvested kitchenware.</w:t>
      </w:r>
    </w:p>
    <w:p w14:paraId="04E223BA" w14:textId="77777777" w:rsidR="00465B5E" w:rsidRDefault="00827C75">
      <w:pPr>
        <w:spacing w:before="240" w:after="240" w:line="360" w:lineRule="auto"/>
        <w:jc w:val="both"/>
        <w:rPr>
          <w:rFonts w:ascii="Arial" w:eastAsia="Arial" w:hAnsi="Arial" w:cs="Arial"/>
        </w:rPr>
      </w:pPr>
      <w:r>
        <w:rPr>
          <w:rFonts w:ascii="Arial" w:eastAsia="Arial" w:hAnsi="Arial" w:cs="Arial"/>
        </w:rPr>
        <w:t>This is meeting a demand for sustainability and transparency in the home, which reflects consumers who feel that it is a value they themselves express (Haller et al., 2021). The brand is leveraging the credibility that Patagonia has already established, which decreases risks known to result in expansion into a different market (</w:t>
      </w:r>
      <w:proofErr w:type="spellStart"/>
      <w:r>
        <w:rPr>
          <w:rFonts w:ascii="Arial" w:eastAsia="Arial" w:hAnsi="Arial" w:cs="Arial"/>
        </w:rPr>
        <w:t>Aaker</w:t>
      </w:r>
      <w:proofErr w:type="spellEnd"/>
      <w:r>
        <w:rPr>
          <w:rFonts w:ascii="Arial" w:eastAsia="Arial" w:hAnsi="Arial" w:cs="Arial"/>
        </w:rPr>
        <w:t>, 2009).</w:t>
      </w:r>
    </w:p>
    <w:p w14:paraId="728148B2" w14:textId="77777777" w:rsidR="00465B5E" w:rsidRDefault="00827C75">
      <w:pPr>
        <w:pStyle w:val="Heading3"/>
        <w:keepNext w:val="0"/>
        <w:keepLines w:val="0"/>
        <w:spacing w:before="280" w:line="360" w:lineRule="auto"/>
        <w:jc w:val="both"/>
        <w:rPr>
          <w:rFonts w:ascii="Arial" w:eastAsia="Arial" w:hAnsi="Arial" w:cs="Arial"/>
          <w:b/>
          <w:bCs/>
          <w:color w:val="000000"/>
          <w:sz w:val="26"/>
          <w:szCs w:val="26"/>
        </w:rPr>
      </w:pPr>
      <w:bookmarkStart w:id="3" w:name="_heading=h.r1jmzr4xe1sg" w:colFirst="0" w:colLast="0"/>
      <w:bookmarkEnd w:id="3"/>
      <w:r>
        <w:rPr>
          <w:rFonts w:ascii="Arial" w:eastAsia="Arial" w:hAnsi="Arial" w:cs="Arial"/>
          <w:b/>
          <w:bCs/>
          <w:color w:val="000000"/>
          <w:sz w:val="26"/>
          <w:szCs w:val="26"/>
        </w:rPr>
        <w:t xml:space="preserve">2.2 Market </w:t>
      </w:r>
      <w:proofErr w:type="spellStart"/>
      <w:r>
        <w:rPr>
          <w:rFonts w:ascii="Arial" w:eastAsia="Arial" w:hAnsi="Arial" w:cs="Arial"/>
          <w:b/>
          <w:bCs/>
          <w:color w:val="000000"/>
          <w:sz w:val="26"/>
          <w:szCs w:val="26"/>
        </w:rPr>
        <w:t>Seg</w:t>
      </w:r>
      <w:proofErr w:type="spellEnd"/>
      <w:r>
        <w:rPr>
          <w:rFonts w:ascii="Arial" w:eastAsia="Arial" w:hAnsi="Arial" w:cs="Arial"/>
          <w:b/>
          <w:bCs/>
          <w:color w:val="000000"/>
          <w:sz w:val="26"/>
          <w:szCs w:val="26"/>
        </w:rPr>
        <w:t>[mentation]</w:t>
      </w:r>
    </w:p>
    <w:p w14:paraId="64CEC25B" w14:textId="77777777" w:rsidR="00465B5E" w:rsidRDefault="00827C75">
      <w:pPr>
        <w:spacing w:before="240" w:after="240" w:line="360" w:lineRule="auto"/>
        <w:jc w:val="both"/>
        <w:rPr>
          <w:rFonts w:ascii="Arial" w:eastAsia="Arial" w:hAnsi="Arial" w:cs="Arial"/>
        </w:rPr>
      </w:pPr>
      <w:r>
        <w:rPr>
          <w:rFonts w:ascii="Arial" w:eastAsia="Arial" w:hAnsi="Arial" w:cs="Arial"/>
        </w:rPr>
        <w:lastRenderedPageBreak/>
        <w:t>A segmentation strategy would also be critical in achieving success in targeting customers in the home products industry (</w:t>
      </w:r>
      <w:proofErr w:type="spellStart"/>
      <w:r>
        <w:rPr>
          <w:rFonts w:ascii="Arial" w:eastAsia="Arial" w:hAnsi="Arial" w:cs="Arial"/>
        </w:rPr>
        <w:t>Dibb</w:t>
      </w:r>
      <w:proofErr w:type="spellEnd"/>
      <w:r>
        <w:rPr>
          <w:rFonts w:ascii="Arial" w:eastAsia="Arial" w:hAnsi="Arial" w:cs="Arial"/>
        </w:rPr>
        <w:t xml:space="preserve"> &amp; </w:t>
      </w:r>
      <w:proofErr w:type="spellStart"/>
      <w:r>
        <w:rPr>
          <w:rFonts w:ascii="Arial" w:eastAsia="Arial" w:hAnsi="Arial" w:cs="Arial"/>
        </w:rPr>
        <w:t>Simkin</w:t>
      </w:r>
      <w:proofErr w:type="spellEnd"/>
      <w:r>
        <w:rPr>
          <w:rFonts w:ascii="Arial" w:eastAsia="Arial" w:hAnsi="Arial" w:cs="Arial"/>
        </w:rPr>
        <w:t xml:space="preserve">, 2010). In the case of </w:t>
      </w:r>
      <w:r>
        <w:rPr>
          <w:rFonts w:ascii="Arial" w:eastAsia="Arial" w:hAnsi="Arial" w:cs="Arial"/>
          <w:i/>
          <w:iCs/>
        </w:rPr>
        <w:t>Patagonia Provisions Home</w:t>
      </w:r>
      <w:r>
        <w:rPr>
          <w:rFonts w:ascii="Arial" w:eastAsia="Arial" w:hAnsi="Arial" w:cs="Arial"/>
        </w:rPr>
        <w:t>, a multi-</w:t>
      </w:r>
      <w:proofErr w:type="spellStart"/>
      <w:r>
        <w:rPr>
          <w:rFonts w:ascii="Arial" w:eastAsia="Arial" w:hAnsi="Arial" w:cs="Arial"/>
        </w:rPr>
        <w:t>variate</w:t>
      </w:r>
      <w:proofErr w:type="spellEnd"/>
      <w:r>
        <w:rPr>
          <w:rFonts w:ascii="Arial" w:eastAsia="Arial" w:hAnsi="Arial" w:cs="Arial"/>
        </w:rPr>
        <w:t xml:space="preserve"> segmentation strategy is deemed to be most appropriate, taking into consideration variables of both psychographic, demographic, as well as other behavioral variables.</w:t>
      </w:r>
    </w:p>
    <w:p w14:paraId="6B031A43" w14:textId="77777777" w:rsidR="00465B5E" w:rsidRDefault="00827C75">
      <w:pPr>
        <w:spacing w:before="240" w:after="240" w:line="360" w:lineRule="auto"/>
        <w:jc w:val="both"/>
        <w:rPr>
          <w:rFonts w:ascii="Arial" w:eastAsia="Arial" w:hAnsi="Arial" w:cs="Arial"/>
          <w:b/>
          <w:bCs/>
        </w:rPr>
      </w:pPr>
      <w:r>
        <w:rPr>
          <w:rFonts w:ascii="Arial" w:eastAsia="Arial" w:hAnsi="Arial" w:cs="Arial"/>
          <w:b/>
          <w:bCs/>
        </w:rPr>
        <w:t>Psychographic Segmentation</w:t>
      </w:r>
    </w:p>
    <w:p w14:paraId="71136A2F" w14:textId="77777777" w:rsidR="00465B5E" w:rsidRDefault="00827C75">
      <w:pPr>
        <w:spacing w:before="240" w:after="240" w:line="360" w:lineRule="auto"/>
        <w:jc w:val="both"/>
        <w:rPr>
          <w:rFonts w:ascii="Arial" w:eastAsia="Arial" w:hAnsi="Arial" w:cs="Arial"/>
        </w:rPr>
      </w:pPr>
      <w:r>
        <w:rPr>
          <w:rFonts w:ascii="Arial" w:eastAsia="Arial" w:hAnsi="Arial" w:cs="Arial"/>
        </w:rPr>
        <w:t>This is the most common basis for segmentation. The target consumer is part of what is known as LOHAS (Lifestyles of Health and Sustainability), which is a marketplace for people who both consume and sell products and services in relation to health, the environment, social justice, personal development, and sustainable living (</w:t>
      </w:r>
      <w:proofErr w:type="spellStart"/>
      <w:r>
        <w:rPr>
          <w:rFonts w:ascii="Arial" w:eastAsia="Arial" w:hAnsi="Arial" w:cs="Arial"/>
        </w:rPr>
        <w:t>Gleim</w:t>
      </w:r>
      <w:proofErr w:type="spellEnd"/>
      <w:r>
        <w:rPr>
          <w:rFonts w:ascii="Arial" w:eastAsia="Arial" w:hAnsi="Arial" w:cs="Arial"/>
        </w:rPr>
        <w:t xml:space="preserve"> et al., 2013). The customer is value-based, seeks information about products, as well as being prepared to pay more for ethically produced products.</w:t>
      </w:r>
    </w:p>
    <w:p w14:paraId="10DD71DB" w14:textId="77777777" w:rsidR="00465B5E" w:rsidRDefault="00827C75">
      <w:pPr>
        <w:spacing w:before="240" w:after="240" w:line="360" w:lineRule="auto"/>
        <w:jc w:val="both"/>
        <w:rPr>
          <w:rFonts w:ascii="Arial" w:eastAsia="Arial" w:hAnsi="Arial" w:cs="Arial"/>
          <w:b/>
          <w:bCs/>
        </w:rPr>
      </w:pPr>
      <w:r>
        <w:rPr>
          <w:rFonts w:ascii="Arial" w:eastAsia="Arial" w:hAnsi="Arial" w:cs="Arial"/>
          <w:b/>
          <w:bCs/>
        </w:rPr>
        <w:t>Demographic Segmentation</w:t>
      </w:r>
    </w:p>
    <w:p w14:paraId="1A659DE0" w14:textId="77777777" w:rsidR="00465B5E" w:rsidRDefault="00827C75">
      <w:pPr>
        <w:spacing w:before="240" w:after="240" w:line="360" w:lineRule="auto"/>
        <w:jc w:val="both"/>
        <w:rPr>
          <w:rFonts w:ascii="Arial" w:eastAsia="Arial" w:hAnsi="Arial" w:cs="Arial"/>
        </w:rPr>
      </w:pPr>
      <w:r>
        <w:rPr>
          <w:rFonts w:ascii="Arial" w:eastAsia="Arial" w:hAnsi="Arial" w:cs="Arial"/>
        </w:rPr>
        <w:t>This segment likely to include millennials (28-42 years of age) and older Gen X (43-55 years of age) who would be in the process of moving in, renovating, or have already completed this phase, who tend to have higher-than-average disposable income as well as an equal level of higher education, which is in sync with increasing environmental consciousness (</w:t>
      </w:r>
      <w:proofErr w:type="spellStart"/>
      <w:r>
        <w:rPr>
          <w:rFonts w:ascii="Arial" w:eastAsia="Arial" w:hAnsi="Arial" w:cs="Arial"/>
        </w:rPr>
        <w:t>Trivium</w:t>
      </w:r>
      <w:proofErr w:type="spellEnd"/>
      <w:r>
        <w:rPr>
          <w:rFonts w:ascii="Arial" w:eastAsia="Arial" w:hAnsi="Arial" w:cs="Arial"/>
        </w:rPr>
        <w:t xml:space="preserve"> Packaging, 2023).</w:t>
      </w:r>
    </w:p>
    <w:p w14:paraId="47666082" w14:textId="77777777" w:rsidR="00465B5E" w:rsidRDefault="00827C75">
      <w:pPr>
        <w:spacing w:before="240" w:after="240" w:line="360" w:lineRule="auto"/>
        <w:jc w:val="both"/>
        <w:rPr>
          <w:rFonts w:ascii="Arial" w:eastAsia="Arial" w:hAnsi="Arial" w:cs="Arial"/>
          <w:b/>
          <w:bCs/>
        </w:rPr>
      </w:pPr>
      <w:proofErr w:type="spellStart"/>
      <w:r>
        <w:rPr>
          <w:rFonts w:ascii="Arial" w:eastAsia="Arial" w:hAnsi="Arial" w:cs="Arial"/>
          <w:b/>
          <w:bCs/>
        </w:rPr>
        <w:t>Behavioural</w:t>
      </w:r>
      <w:proofErr w:type="spellEnd"/>
      <w:r>
        <w:rPr>
          <w:rFonts w:ascii="Arial" w:eastAsia="Arial" w:hAnsi="Arial" w:cs="Arial"/>
          <w:b/>
          <w:bCs/>
        </w:rPr>
        <w:t xml:space="preserve"> Segmentation</w:t>
      </w:r>
    </w:p>
    <w:p w14:paraId="3D9135AA" w14:textId="77777777" w:rsidR="00465B5E" w:rsidRDefault="00827C75">
      <w:pPr>
        <w:spacing w:before="240" w:after="240" w:line="360" w:lineRule="auto"/>
        <w:jc w:val="both"/>
        <w:rPr>
          <w:rFonts w:ascii="Arial" w:eastAsia="Arial" w:hAnsi="Arial" w:cs="Arial"/>
        </w:rPr>
      </w:pPr>
      <w:r>
        <w:rPr>
          <w:rFonts w:ascii="Arial" w:eastAsia="Arial" w:hAnsi="Arial" w:cs="Arial"/>
        </w:rPr>
        <w:t xml:space="preserve">This type of segmentation is concerned with buying </w:t>
      </w:r>
      <w:proofErr w:type="spellStart"/>
      <w:r>
        <w:rPr>
          <w:rFonts w:ascii="Arial" w:eastAsia="Arial" w:hAnsi="Arial" w:cs="Arial"/>
        </w:rPr>
        <w:t>behaviour</w:t>
      </w:r>
      <w:proofErr w:type="spellEnd"/>
      <w:r>
        <w:rPr>
          <w:rFonts w:ascii="Arial" w:eastAsia="Arial" w:hAnsi="Arial" w:cs="Arial"/>
        </w:rPr>
        <w:t xml:space="preserve">. The targeted consumers fall in to high involvement buyers who carry out in-depth research before they make a purchase. They are brand loyal customers of those brand’s which have </w:t>
      </w:r>
      <w:proofErr w:type="spellStart"/>
      <w:r>
        <w:rPr>
          <w:rFonts w:ascii="Arial" w:eastAsia="Arial" w:hAnsi="Arial" w:cs="Arial"/>
        </w:rPr>
        <w:t>prviously</w:t>
      </w:r>
      <w:proofErr w:type="spellEnd"/>
      <w:r>
        <w:rPr>
          <w:rFonts w:ascii="Arial" w:eastAsia="Arial" w:hAnsi="Arial" w:cs="Arial"/>
        </w:rPr>
        <w:t xml:space="preserve"> indicated dedication to customers' espoused values, whose prime interest in products lies in their usefulness rather than in low pricing (Keller, 2013).</w:t>
      </w:r>
    </w:p>
    <w:p w14:paraId="06C49DD1" w14:textId="77777777" w:rsidR="00465B5E" w:rsidRDefault="00827C75">
      <w:pPr>
        <w:pStyle w:val="Heading3"/>
        <w:keepNext w:val="0"/>
        <w:keepLines w:val="0"/>
        <w:spacing w:before="280" w:line="360" w:lineRule="auto"/>
        <w:jc w:val="both"/>
        <w:rPr>
          <w:rFonts w:ascii="Arial" w:eastAsia="Arial" w:hAnsi="Arial" w:cs="Arial"/>
          <w:b/>
          <w:bCs/>
          <w:color w:val="000000"/>
          <w:sz w:val="26"/>
          <w:szCs w:val="26"/>
        </w:rPr>
      </w:pPr>
      <w:bookmarkStart w:id="4" w:name="_heading=h.vto6pdn2f29s" w:colFirst="0" w:colLast="0"/>
      <w:bookmarkEnd w:id="4"/>
      <w:r>
        <w:rPr>
          <w:rFonts w:ascii="Arial" w:eastAsia="Arial" w:hAnsi="Arial" w:cs="Arial"/>
          <w:b/>
          <w:bCs/>
          <w:color w:val="000000"/>
          <w:sz w:val="26"/>
          <w:szCs w:val="26"/>
        </w:rPr>
        <w:lastRenderedPageBreak/>
        <w:t>2.3 Target Market Selection</w:t>
      </w:r>
    </w:p>
    <w:p w14:paraId="3FE71359" w14:textId="77777777" w:rsidR="00465B5E" w:rsidRDefault="00827C75">
      <w:pPr>
        <w:spacing w:before="240" w:after="240" w:line="360" w:lineRule="auto"/>
        <w:jc w:val="both"/>
        <w:rPr>
          <w:rFonts w:ascii="Arial" w:eastAsia="Arial" w:hAnsi="Arial" w:cs="Arial"/>
        </w:rPr>
      </w:pPr>
      <w:r>
        <w:rPr>
          <w:rFonts w:ascii="Arial" w:eastAsia="Arial" w:hAnsi="Arial" w:cs="Arial"/>
        </w:rPr>
        <w:t xml:space="preserve">Of those, a focused marketing strategy shall be employed for those who fit an overarching target market category, namely, the </w:t>
      </w:r>
      <w:r>
        <w:rPr>
          <w:rFonts w:ascii="Arial" w:eastAsia="Arial" w:hAnsi="Arial" w:cs="Arial"/>
          <w:i/>
          <w:iCs/>
        </w:rPr>
        <w:t>‘Ethical Maximalist’</w:t>
      </w:r>
      <w:r>
        <w:rPr>
          <w:rFonts w:ascii="Arial" w:eastAsia="Arial" w:hAnsi="Arial" w:cs="Arial"/>
        </w:rPr>
        <w:t xml:space="preserve"> consumer, who seeks to maximize what they get from consuming in every possible way. This person is no minimalist; they enjoy good design, performance, but at no environmental, ethical expense (Carrington et al., 2014).</w:t>
      </w:r>
    </w:p>
    <w:p w14:paraId="1EDE0E8F" w14:textId="77777777" w:rsidR="00465B5E" w:rsidRDefault="00827C75">
      <w:pPr>
        <w:spacing w:before="240" w:after="240" w:line="360" w:lineRule="auto"/>
        <w:jc w:val="both"/>
        <w:rPr>
          <w:rFonts w:ascii="Arial" w:eastAsia="Arial" w:hAnsi="Arial" w:cs="Arial"/>
        </w:rPr>
      </w:pPr>
      <w:r>
        <w:rPr>
          <w:rFonts w:ascii="Arial" w:eastAsia="Arial" w:hAnsi="Arial" w:cs="Arial"/>
        </w:rPr>
        <w:t xml:space="preserve">This category is also underserved by current home furnishings companies, who identify with only one attribute (e.g., using only organic materials) rather than an open system of production in total as a brand value. By positioning in this category, </w:t>
      </w:r>
      <w:r>
        <w:rPr>
          <w:rFonts w:ascii="Arial" w:eastAsia="Arial" w:hAnsi="Arial" w:cs="Arial"/>
          <w:i/>
          <w:iCs/>
        </w:rPr>
        <w:t>Patagonia Provisions Home</w:t>
      </w:r>
      <w:r>
        <w:rPr>
          <w:rFonts w:ascii="Arial" w:eastAsia="Arial" w:hAnsi="Arial" w:cs="Arial"/>
        </w:rPr>
        <w:t xml:space="preserve"> also has the potential to create an intensely loyal customer community of brand ambassadors who spread the word about this brand as evangelists, which is an incredibly powerful catalyst for organic brand development (Grewal &amp; </w:t>
      </w:r>
      <w:proofErr w:type="spellStart"/>
      <w:r>
        <w:rPr>
          <w:rFonts w:ascii="Arial" w:eastAsia="Arial" w:hAnsi="Arial" w:cs="Arial"/>
        </w:rPr>
        <w:t>Roggeveen</w:t>
      </w:r>
      <w:proofErr w:type="spellEnd"/>
      <w:r>
        <w:rPr>
          <w:rFonts w:ascii="Arial" w:eastAsia="Arial" w:hAnsi="Arial" w:cs="Arial"/>
        </w:rPr>
        <w:t>, 2020).</w:t>
      </w:r>
    </w:p>
    <w:p w14:paraId="47E13387" w14:textId="77777777" w:rsidR="00465B5E" w:rsidRDefault="00827C75">
      <w:pPr>
        <w:pStyle w:val="Heading3"/>
        <w:keepNext w:val="0"/>
        <w:keepLines w:val="0"/>
        <w:spacing w:before="280" w:line="360" w:lineRule="auto"/>
        <w:jc w:val="both"/>
        <w:rPr>
          <w:rFonts w:ascii="Arial" w:eastAsia="Arial" w:hAnsi="Arial" w:cs="Arial"/>
          <w:b/>
          <w:bCs/>
          <w:color w:val="000000"/>
          <w:sz w:val="26"/>
          <w:szCs w:val="26"/>
        </w:rPr>
      </w:pPr>
      <w:bookmarkStart w:id="5" w:name="_heading=h.4w4j9x8fqtnf" w:colFirst="0" w:colLast="0"/>
      <w:bookmarkEnd w:id="5"/>
      <w:r>
        <w:rPr>
          <w:rFonts w:ascii="Arial" w:eastAsia="Arial" w:hAnsi="Arial" w:cs="Arial"/>
          <w:b/>
          <w:bCs/>
          <w:color w:val="000000"/>
          <w:sz w:val="26"/>
          <w:szCs w:val="26"/>
        </w:rPr>
        <w:t>2.4 Positioning and Differentiation Strategy</w:t>
      </w:r>
    </w:p>
    <w:p w14:paraId="2582A8FF" w14:textId="77777777" w:rsidR="00465B5E" w:rsidRDefault="00827C75">
      <w:pPr>
        <w:spacing w:before="240" w:after="240" w:line="360" w:lineRule="auto"/>
        <w:jc w:val="both"/>
        <w:rPr>
          <w:rFonts w:ascii="Arial" w:eastAsia="Arial" w:hAnsi="Arial" w:cs="Arial"/>
        </w:rPr>
      </w:pPr>
      <w:r>
        <w:rPr>
          <w:rFonts w:ascii="Arial" w:eastAsia="Arial" w:hAnsi="Arial" w:cs="Arial"/>
        </w:rPr>
        <w:t xml:space="preserve">Differentiation involves creating both tangible and intangible differences between an organization’s offering and those of competitors (Kotler &amp; Armstrong, 2021). Finally, differentiating </w:t>
      </w:r>
      <w:r>
        <w:rPr>
          <w:rFonts w:ascii="Arial" w:eastAsia="Arial" w:hAnsi="Arial" w:cs="Arial"/>
          <w:i/>
          <w:iCs/>
        </w:rPr>
        <w:t>Patagonia Provisions Home</w:t>
      </w:r>
      <w:r>
        <w:rPr>
          <w:rFonts w:ascii="Arial" w:eastAsia="Arial" w:hAnsi="Arial" w:cs="Arial"/>
        </w:rPr>
        <w:t xml:space="preserve"> in this manner is based on three facets:</w:t>
      </w:r>
    </w:p>
    <w:p w14:paraId="209A0825" w14:textId="77777777" w:rsidR="00465B5E" w:rsidRDefault="00827C75">
      <w:pPr>
        <w:numPr>
          <w:ilvl w:val="0"/>
          <w:numId w:val="4"/>
        </w:numPr>
        <w:spacing w:before="240" w:after="0" w:line="360" w:lineRule="auto"/>
        <w:rPr>
          <w:rFonts w:ascii="Arial" w:eastAsia="Arial" w:hAnsi="Arial" w:cs="Arial"/>
        </w:rPr>
      </w:pPr>
      <w:r>
        <w:rPr>
          <w:rFonts w:ascii="Arial" w:eastAsia="Arial" w:hAnsi="Arial" w:cs="Arial"/>
        </w:rPr>
        <w:t>Regenerative Sourcing: As if 'sustainably' sourced wasn’t communicative enough, this brand is also going to highlight regenerative organic methods (e.g., from recycled materials). This is a strong differentiator at a product level, which, quite obviously, communicates greatly about climate benefits (Rhodes, 2017).</w:t>
      </w:r>
    </w:p>
    <w:p w14:paraId="50372E2F" w14:textId="77777777" w:rsidR="00465B5E" w:rsidRDefault="00827C75">
      <w:pPr>
        <w:numPr>
          <w:ilvl w:val="0"/>
          <w:numId w:val="4"/>
        </w:numPr>
        <w:spacing w:after="0" w:line="360" w:lineRule="auto"/>
        <w:rPr>
          <w:rFonts w:ascii="Arial" w:eastAsia="Arial" w:hAnsi="Arial" w:cs="Arial"/>
        </w:rPr>
      </w:pPr>
      <w:r>
        <w:rPr>
          <w:rFonts w:ascii="Arial" w:eastAsia="Arial" w:hAnsi="Arial" w:cs="Arial"/>
        </w:rPr>
        <w:t xml:space="preserve">Radical Transparency: Each product shall be accompanied by a </w:t>
      </w:r>
      <w:r>
        <w:rPr>
          <w:rFonts w:ascii="Arial" w:eastAsia="Arial" w:hAnsi="Arial" w:cs="Arial"/>
          <w:i/>
          <w:iCs/>
        </w:rPr>
        <w:t>"Footprint Chronicle"</w:t>
      </w:r>
      <w:r>
        <w:rPr>
          <w:rFonts w:ascii="Arial" w:eastAsia="Arial" w:hAnsi="Arial" w:cs="Arial"/>
        </w:rPr>
        <w:t xml:space="preserve"> tracing, in detail, every step of the supply chain, from material to end of life, in order to provide an unprecedented level of information for consumers.</w:t>
      </w:r>
    </w:p>
    <w:p w14:paraId="6FF3AA7F" w14:textId="77777777" w:rsidR="00465B5E" w:rsidRDefault="00827C75">
      <w:pPr>
        <w:numPr>
          <w:ilvl w:val="0"/>
          <w:numId w:val="4"/>
        </w:numPr>
        <w:spacing w:after="240" w:line="360" w:lineRule="auto"/>
        <w:rPr>
          <w:rFonts w:ascii="Arial" w:eastAsia="Arial" w:hAnsi="Arial" w:cs="Arial"/>
        </w:rPr>
      </w:pPr>
      <w:r>
        <w:rPr>
          <w:rFonts w:ascii="Arial" w:eastAsia="Arial" w:hAnsi="Arial" w:cs="Arial"/>
        </w:rPr>
        <w:t xml:space="preserve">Functional Durability: Reflecting perfectly the essence of the Patagonia promise, all of this is going to be designed to last, as reflected in the brand’s Ironclad </w:t>
      </w:r>
      <w:r>
        <w:rPr>
          <w:rFonts w:ascii="Arial" w:eastAsia="Arial" w:hAnsi="Arial" w:cs="Arial"/>
        </w:rPr>
        <w:lastRenderedPageBreak/>
        <w:t xml:space="preserve">Guarantee, challenging headlong the increasingly popular concept of </w:t>
      </w:r>
      <w:r>
        <w:rPr>
          <w:rFonts w:ascii="Arial" w:eastAsia="Arial" w:hAnsi="Arial" w:cs="Arial"/>
          <w:i/>
          <w:iCs/>
        </w:rPr>
        <w:t>‘fast fashion’</w:t>
      </w:r>
      <w:r>
        <w:rPr>
          <w:rFonts w:ascii="Arial" w:eastAsia="Arial" w:hAnsi="Arial" w:cs="Arial"/>
        </w:rPr>
        <w:t xml:space="preserve"> home furniture (Patagonia, 2023).</w:t>
      </w:r>
    </w:p>
    <w:p w14:paraId="71E0B9C7" w14:textId="77777777" w:rsidR="00465B5E" w:rsidRDefault="00827C75">
      <w:pPr>
        <w:spacing w:before="240" w:after="240" w:line="360" w:lineRule="auto"/>
        <w:jc w:val="both"/>
        <w:rPr>
          <w:rFonts w:ascii="Arial" w:eastAsia="Arial" w:hAnsi="Arial" w:cs="Arial"/>
        </w:rPr>
      </w:pPr>
      <w:r>
        <w:rPr>
          <w:rFonts w:ascii="Arial" w:eastAsia="Arial" w:hAnsi="Arial" w:cs="Arial"/>
        </w:rPr>
        <w:t>The brand positioning statement is:</w:t>
      </w:r>
    </w:p>
    <w:p w14:paraId="5543F9DB" w14:textId="77777777" w:rsidR="00465B5E" w:rsidRDefault="00827C75">
      <w:pPr>
        <w:spacing w:before="240" w:after="240" w:line="360" w:lineRule="auto"/>
        <w:ind w:left="600" w:right="600"/>
        <w:jc w:val="both"/>
        <w:rPr>
          <w:rFonts w:ascii="Arial" w:eastAsia="Arial" w:hAnsi="Arial" w:cs="Arial"/>
          <w:i/>
          <w:iCs/>
        </w:rPr>
      </w:pPr>
      <w:r>
        <w:rPr>
          <w:rFonts w:ascii="Arial" w:eastAsia="Arial" w:hAnsi="Arial" w:cs="Arial"/>
          <w:i/>
          <w:iCs/>
        </w:rPr>
        <w:t xml:space="preserve">For the conscientious consumer who feels that his home environment—indeed, his home itself—can provide a haven for his family as well as for the Earth, Patagonia Provisions Home is the only home products company that integrates uncompromising quality, clean design, values for </w:t>
      </w:r>
      <w:proofErr w:type="spellStart"/>
      <w:r>
        <w:rPr>
          <w:rFonts w:ascii="Arial" w:eastAsia="Arial" w:hAnsi="Arial" w:cs="Arial"/>
          <w:i/>
          <w:iCs/>
        </w:rPr>
        <w:t>regenerativity</w:t>
      </w:r>
      <w:proofErr w:type="spellEnd"/>
      <w:r>
        <w:rPr>
          <w:rFonts w:ascii="Arial" w:eastAsia="Arial" w:hAnsi="Arial" w:cs="Arial"/>
          <w:i/>
          <w:iCs/>
        </w:rPr>
        <w:t>, and radical transparency because the products that fill his home should save his home itself.</w:t>
      </w:r>
    </w:p>
    <w:p w14:paraId="2BD53C6C" w14:textId="77777777" w:rsidR="00465B5E" w:rsidRDefault="00827C75">
      <w:pPr>
        <w:spacing w:before="240" w:after="240" w:line="360" w:lineRule="auto"/>
        <w:jc w:val="both"/>
        <w:rPr>
          <w:rFonts w:ascii="Arial" w:eastAsia="Arial" w:hAnsi="Arial" w:cs="Arial"/>
        </w:rPr>
      </w:pPr>
      <w:r>
        <w:rPr>
          <w:rFonts w:ascii="Arial" w:eastAsia="Arial" w:hAnsi="Arial" w:cs="Arial"/>
        </w:rPr>
        <w:t>This serves to place the brand in an upper quadrant of the market, in a niche positioned by a combination of strong moral values, as well as strong functional/aesthetic attributes, quite apart from, say, West Elm (aesthetic emphasis) or The Honest Company (toxic-free emphasis) (</w:t>
      </w:r>
      <w:proofErr w:type="spellStart"/>
      <w:r>
        <w:rPr>
          <w:rFonts w:ascii="Arial" w:eastAsia="Arial" w:hAnsi="Arial" w:cs="Arial"/>
        </w:rPr>
        <w:t>Ries</w:t>
      </w:r>
      <w:proofErr w:type="spellEnd"/>
      <w:r>
        <w:rPr>
          <w:rFonts w:ascii="Arial" w:eastAsia="Arial" w:hAnsi="Arial" w:cs="Arial"/>
        </w:rPr>
        <w:t xml:space="preserve"> &amp; Trout, 2001).</w:t>
      </w:r>
    </w:p>
    <w:p w14:paraId="2E7BCA5C" w14:textId="77777777" w:rsidR="00465B5E" w:rsidRDefault="00827C75">
      <w:pPr>
        <w:pStyle w:val="Heading2"/>
        <w:keepNext w:val="0"/>
        <w:keepLines w:val="0"/>
        <w:spacing w:before="360" w:line="360" w:lineRule="auto"/>
        <w:jc w:val="both"/>
        <w:rPr>
          <w:rFonts w:ascii="Arial" w:eastAsia="Arial" w:hAnsi="Arial" w:cs="Arial"/>
          <w:b/>
          <w:bCs/>
          <w:color w:val="000000"/>
          <w:sz w:val="34"/>
          <w:szCs w:val="34"/>
        </w:rPr>
      </w:pPr>
      <w:bookmarkStart w:id="6" w:name="_heading=h.nqjhlr7spcez" w:colFirst="0" w:colLast="0"/>
      <w:bookmarkEnd w:id="6"/>
      <w:r>
        <w:rPr>
          <w:rFonts w:ascii="Arial" w:eastAsia="Arial" w:hAnsi="Arial" w:cs="Arial"/>
          <w:b/>
          <w:bCs/>
          <w:color w:val="000000"/>
          <w:sz w:val="34"/>
          <w:szCs w:val="34"/>
        </w:rPr>
        <w:t>3.0 Element 2: Patagonia Provisions Home Marketing Mix</w:t>
      </w:r>
    </w:p>
    <w:p w14:paraId="5E0EFE11" w14:textId="77777777" w:rsidR="00465B5E" w:rsidRDefault="00827C75">
      <w:pPr>
        <w:spacing w:before="240" w:after="240" w:line="360" w:lineRule="auto"/>
        <w:jc w:val="both"/>
        <w:rPr>
          <w:rFonts w:ascii="Arial" w:eastAsia="Arial" w:hAnsi="Arial" w:cs="Arial"/>
        </w:rPr>
      </w:pPr>
      <w:r>
        <w:rPr>
          <w:rFonts w:ascii="Arial" w:eastAsia="Arial" w:hAnsi="Arial" w:cs="Arial"/>
        </w:rPr>
        <w:t xml:space="preserve">The marketing mix for </w:t>
      </w:r>
      <w:r>
        <w:rPr>
          <w:rFonts w:ascii="Arial" w:eastAsia="Arial" w:hAnsi="Arial" w:cs="Arial"/>
          <w:i/>
          <w:iCs/>
        </w:rPr>
        <w:t>Patagonia Provisions Home</w:t>
      </w:r>
      <w:r>
        <w:rPr>
          <w:rFonts w:ascii="Arial" w:eastAsia="Arial" w:hAnsi="Arial" w:cs="Arial"/>
        </w:rPr>
        <w:t xml:space="preserve"> will incorporate the expanded concept of 7Ps</w:t>
      </w:r>
    </w:p>
    <w:p w14:paraId="0035B96E" w14:textId="77777777" w:rsidR="00465B5E" w:rsidRDefault="00827C75">
      <w:pPr>
        <w:spacing w:line="360" w:lineRule="auto"/>
        <w:jc w:val="both"/>
        <w:rPr>
          <w:rFonts w:ascii="Arial" w:eastAsia="Arial" w:hAnsi="Arial" w:cs="Arial"/>
        </w:rPr>
      </w:pPr>
      <w:r>
        <w:rPr>
          <w:rFonts w:ascii="Arial" w:eastAsia="Arial" w:hAnsi="Arial" w:cs="Arial"/>
          <w:noProof/>
        </w:rPr>
        <w:lastRenderedPageBreak/>
        <w:drawing>
          <wp:inline distT="114300" distB="114300" distL="114300" distR="114300" wp14:anchorId="400AFF2C" wp14:editId="00EC235D">
            <wp:extent cx="5943600" cy="3962400"/>
            <wp:effectExtent l="0" t="0" r="0" b="0"/>
            <wp:docPr id="604314815" name="image4.jpg" descr="Image of 7Ps marketing mix model"/>
            <wp:cNvGraphicFramePr/>
            <a:graphic xmlns:a="http://schemas.openxmlformats.org/drawingml/2006/main">
              <a:graphicData uri="http://schemas.openxmlformats.org/drawingml/2006/picture">
                <pic:pic xmlns:pic="http://schemas.openxmlformats.org/drawingml/2006/picture">
                  <pic:nvPicPr>
                    <pic:cNvPr id="0" name="image4.jpg" descr="Image of 7Ps marketing mix model"/>
                    <pic:cNvPicPr preferRelativeResize="0"/>
                  </pic:nvPicPr>
                  <pic:blipFill>
                    <a:blip r:embed="rId9"/>
                    <a:srcRect/>
                    <a:stretch>
                      <a:fillRect/>
                    </a:stretch>
                  </pic:blipFill>
                  <pic:spPr>
                    <a:xfrm>
                      <a:off x="0" y="0"/>
                      <a:ext cx="5943600" cy="3962400"/>
                    </a:xfrm>
                    <a:prstGeom prst="rect">
                      <a:avLst/>
                    </a:prstGeom>
                    <a:ln/>
                  </pic:spPr>
                </pic:pic>
              </a:graphicData>
            </a:graphic>
          </wp:inline>
        </w:drawing>
      </w:r>
    </w:p>
    <w:p w14:paraId="28176FFA" w14:textId="77777777" w:rsidR="00465B5E" w:rsidRDefault="00827C75">
      <w:pPr>
        <w:spacing w:line="360" w:lineRule="auto"/>
        <w:jc w:val="both"/>
        <w:rPr>
          <w:rFonts w:ascii="Arial" w:eastAsia="Arial" w:hAnsi="Arial" w:cs="Arial"/>
        </w:rPr>
      </w:pPr>
      <w:r>
        <w:rPr>
          <w:rFonts w:ascii="Arial" w:eastAsia="Arial" w:hAnsi="Arial" w:cs="Arial"/>
        </w:rPr>
        <w:t xml:space="preserve">Figure: 7P’s of Marketing (Source: </w:t>
      </w:r>
      <w:proofErr w:type="spellStart"/>
      <w:r>
        <w:rPr>
          <w:rFonts w:ascii="Arial" w:eastAsia="Arial" w:hAnsi="Arial" w:cs="Arial"/>
        </w:rPr>
        <w:t>Shutterstock</w:t>
      </w:r>
      <w:proofErr w:type="spellEnd"/>
      <w:r>
        <w:rPr>
          <w:rFonts w:ascii="Arial" w:eastAsia="Arial" w:hAnsi="Arial" w:cs="Arial"/>
        </w:rPr>
        <w:t>, 2025)</w:t>
      </w:r>
    </w:p>
    <w:p w14:paraId="262F9A72" w14:textId="77777777" w:rsidR="00465B5E" w:rsidRDefault="00827C75">
      <w:pPr>
        <w:spacing w:before="240" w:after="240" w:line="360" w:lineRule="auto"/>
        <w:jc w:val="both"/>
        <w:rPr>
          <w:rFonts w:ascii="Arial" w:eastAsia="Arial" w:hAnsi="Arial" w:cs="Arial"/>
        </w:rPr>
      </w:pPr>
      <w:r>
        <w:rPr>
          <w:rFonts w:ascii="Arial" w:eastAsia="Arial" w:hAnsi="Arial" w:cs="Arial"/>
        </w:rPr>
        <w:t xml:space="preserve">because this brand is more than products, as it also involves strong service aspects of shopping and e-commerce (Booms &amp; </w:t>
      </w:r>
      <w:proofErr w:type="spellStart"/>
      <w:r>
        <w:rPr>
          <w:rFonts w:ascii="Arial" w:eastAsia="Arial" w:hAnsi="Arial" w:cs="Arial"/>
        </w:rPr>
        <w:t>Bitner</w:t>
      </w:r>
      <w:proofErr w:type="spellEnd"/>
      <w:r>
        <w:rPr>
          <w:rFonts w:ascii="Arial" w:eastAsia="Arial" w:hAnsi="Arial" w:cs="Arial"/>
        </w:rPr>
        <w:t>, 1981).</w:t>
      </w:r>
    </w:p>
    <w:p w14:paraId="0B44DA5D" w14:textId="77777777" w:rsidR="00465B5E" w:rsidRDefault="00827C75">
      <w:pPr>
        <w:pStyle w:val="Heading3"/>
        <w:keepNext w:val="0"/>
        <w:keepLines w:val="0"/>
        <w:spacing w:before="280" w:line="360" w:lineRule="auto"/>
        <w:jc w:val="both"/>
        <w:rPr>
          <w:rFonts w:ascii="Arial" w:eastAsia="Arial" w:hAnsi="Arial" w:cs="Arial"/>
          <w:b/>
          <w:bCs/>
          <w:color w:val="000000"/>
          <w:sz w:val="26"/>
          <w:szCs w:val="26"/>
        </w:rPr>
      </w:pPr>
      <w:bookmarkStart w:id="7" w:name="_heading=h.rb7k9nhq4whh" w:colFirst="0" w:colLast="0"/>
      <w:bookmarkEnd w:id="7"/>
      <w:r>
        <w:rPr>
          <w:rFonts w:ascii="Arial" w:eastAsia="Arial" w:hAnsi="Arial" w:cs="Arial"/>
          <w:b/>
          <w:bCs/>
          <w:color w:val="000000"/>
          <w:sz w:val="26"/>
          <w:szCs w:val="26"/>
        </w:rPr>
        <w:t>3.1 Product Strategy</w:t>
      </w:r>
    </w:p>
    <w:p w14:paraId="6B79D82E" w14:textId="77777777" w:rsidR="00465B5E" w:rsidRDefault="00827C75">
      <w:pPr>
        <w:spacing w:before="240" w:after="240" w:line="360" w:lineRule="auto"/>
        <w:jc w:val="both"/>
        <w:rPr>
          <w:rFonts w:ascii="Arial" w:eastAsia="Arial" w:hAnsi="Arial" w:cs="Arial"/>
        </w:rPr>
      </w:pPr>
      <w:r>
        <w:rPr>
          <w:rFonts w:ascii="Arial" w:eastAsia="Arial" w:hAnsi="Arial" w:cs="Arial"/>
        </w:rPr>
        <w:t>The product plays a pivotal role in this marketing mix. The marketing mix is planned using a three-level concept of products (Levitt, 1980).</w:t>
      </w:r>
    </w:p>
    <w:p w14:paraId="3C6757F8" w14:textId="77777777" w:rsidR="00465B5E" w:rsidRDefault="00827C75">
      <w:pPr>
        <w:numPr>
          <w:ilvl w:val="0"/>
          <w:numId w:val="3"/>
        </w:numPr>
        <w:spacing w:before="240" w:after="0" w:line="360" w:lineRule="auto"/>
        <w:rPr>
          <w:rFonts w:ascii="Arial" w:eastAsia="Arial" w:hAnsi="Arial" w:cs="Arial"/>
        </w:rPr>
      </w:pPr>
      <w:r>
        <w:rPr>
          <w:rFonts w:ascii="Arial" w:eastAsia="Arial" w:hAnsi="Arial" w:cs="Arial"/>
        </w:rPr>
        <w:t>The central good is always the basic value, which in this case is creating a healthy, functional, comfortable home.</w:t>
      </w:r>
    </w:p>
    <w:p w14:paraId="63A6974A" w14:textId="77777777" w:rsidR="00465B5E" w:rsidRDefault="00827C75">
      <w:pPr>
        <w:numPr>
          <w:ilvl w:val="0"/>
          <w:numId w:val="3"/>
        </w:numPr>
        <w:spacing w:after="0" w:line="360" w:lineRule="auto"/>
        <w:rPr>
          <w:rFonts w:ascii="Arial" w:eastAsia="Arial" w:hAnsi="Arial" w:cs="Arial"/>
        </w:rPr>
      </w:pPr>
      <w:r>
        <w:rPr>
          <w:rFonts w:ascii="Arial" w:eastAsia="Arial" w:hAnsi="Arial" w:cs="Arial"/>
        </w:rPr>
        <w:t xml:space="preserve">The material good is represented by physical products—cleaning products, houseware, beddings—that embody minimalistic design, natural materials </w:t>
      </w:r>
      <w:r>
        <w:rPr>
          <w:rFonts w:ascii="Arial" w:eastAsia="Arial" w:hAnsi="Arial" w:cs="Arial"/>
        </w:rPr>
        <w:lastRenderedPageBreak/>
        <w:t>(regenerative organic cotton, recycled glass, for example), and sturdy construction. Branding, as in the subtler co-branding of products as "</w:t>
      </w:r>
      <w:r>
        <w:rPr>
          <w:rFonts w:ascii="Arial" w:eastAsia="Arial" w:hAnsi="Arial" w:cs="Arial"/>
          <w:i/>
          <w:iCs/>
        </w:rPr>
        <w:t>Patagonia Provisions Home</w:t>
      </w:r>
      <w:r>
        <w:rPr>
          <w:rFonts w:ascii="Arial" w:eastAsia="Arial" w:hAnsi="Arial" w:cs="Arial"/>
        </w:rPr>
        <w:t>", as well as green packaging, is an original aspect of this brand.</w:t>
      </w:r>
    </w:p>
    <w:p w14:paraId="0906D5B1" w14:textId="77777777" w:rsidR="00465B5E" w:rsidRDefault="00827C75">
      <w:pPr>
        <w:numPr>
          <w:ilvl w:val="0"/>
          <w:numId w:val="3"/>
        </w:numPr>
        <w:spacing w:after="240" w:line="360" w:lineRule="auto"/>
        <w:rPr>
          <w:rFonts w:ascii="Arial" w:eastAsia="Arial" w:hAnsi="Arial" w:cs="Arial"/>
        </w:rPr>
      </w:pPr>
      <w:r>
        <w:rPr>
          <w:rFonts w:ascii="Arial" w:eastAsia="Arial" w:hAnsi="Arial" w:cs="Arial"/>
        </w:rPr>
        <w:t xml:space="preserve">The most powerful source of differentiation comes from the augmented good itself. These include things such as Patagonia’s Ironclad Guarantee for repair/replacement, tracing of </w:t>
      </w:r>
      <w:r>
        <w:rPr>
          <w:rFonts w:ascii="Arial" w:eastAsia="Arial" w:hAnsi="Arial" w:cs="Arial"/>
          <w:i/>
          <w:iCs/>
        </w:rPr>
        <w:t>"Footprint Chronicle"</w:t>
      </w:r>
      <w:r>
        <w:rPr>
          <w:rFonts w:ascii="Arial" w:eastAsia="Arial" w:hAnsi="Arial" w:cs="Arial"/>
        </w:rPr>
        <w:t xml:space="preserve"> supply chain data available through QR code access, as well as an end-of-life reclaim program to recycle, which puts the product completely into a circular economy model (McDonough &amp; </w:t>
      </w:r>
      <w:proofErr w:type="spellStart"/>
      <w:r>
        <w:rPr>
          <w:rFonts w:ascii="Arial" w:eastAsia="Arial" w:hAnsi="Arial" w:cs="Arial"/>
        </w:rPr>
        <w:t>Braungart</w:t>
      </w:r>
      <w:proofErr w:type="spellEnd"/>
      <w:r>
        <w:rPr>
          <w:rFonts w:ascii="Arial" w:eastAsia="Arial" w:hAnsi="Arial" w:cs="Arial"/>
        </w:rPr>
        <w:t>, 2010).</w:t>
      </w:r>
    </w:p>
    <w:p w14:paraId="664098AD" w14:textId="77777777" w:rsidR="00465B5E" w:rsidRDefault="00827C75">
      <w:pPr>
        <w:pStyle w:val="Heading3"/>
        <w:keepNext w:val="0"/>
        <w:keepLines w:val="0"/>
        <w:spacing w:before="280" w:line="360" w:lineRule="auto"/>
        <w:jc w:val="both"/>
        <w:rPr>
          <w:rFonts w:ascii="Arial" w:eastAsia="Arial" w:hAnsi="Arial" w:cs="Arial"/>
          <w:b/>
          <w:bCs/>
          <w:color w:val="000000"/>
          <w:sz w:val="26"/>
          <w:szCs w:val="26"/>
        </w:rPr>
      </w:pPr>
      <w:bookmarkStart w:id="8" w:name="_heading=h.v9eeq5xhkj0r" w:colFirst="0" w:colLast="0"/>
      <w:bookmarkEnd w:id="8"/>
      <w:r>
        <w:rPr>
          <w:rFonts w:ascii="Arial" w:eastAsia="Arial" w:hAnsi="Arial" w:cs="Arial"/>
          <w:b/>
          <w:bCs/>
          <w:color w:val="000000"/>
          <w:sz w:val="26"/>
          <w:szCs w:val="26"/>
        </w:rPr>
        <w:t>3.2 Pricing Strategy</w:t>
      </w:r>
    </w:p>
    <w:p w14:paraId="572E1996" w14:textId="77777777" w:rsidR="00465B5E" w:rsidRDefault="00827C75">
      <w:pPr>
        <w:spacing w:before="240" w:after="240" w:line="360" w:lineRule="auto"/>
        <w:jc w:val="both"/>
        <w:rPr>
          <w:rFonts w:ascii="Arial" w:eastAsia="Arial" w:hAnsi="Arial" w:cs="Arial"/>
        </w:rPr>
      </w:pPr>
      <w:r>
        <w:rPr>
          <w:rFonts w:ascii="Arial" w:eastAsia="Arial" w:hAnsi="Arial" w:cs="Arial"/>
        </w:rPr>
        <w:t>Value-based pricing, where pricing is calculated from customer value rather than production costs, would be used (</w:t>
      </w:r>
      <w:proofErr w:type="spellStart"/>
      <w:r>
        <w:rPr>
          <w:rFonts w:ascii="Arial" w:eastAsia="Arial" w:hAnsi="Arial" w:cs="Arial"/>
        </w:rPr>
        <w:t>Hinterhuber</w:t>
      </w:r>
      <w:proofErr w:type="spellEnd"/>
      <w:r>
        <w:rPr>
          <w:rFonts w:ascii="Arial" w:eastAsia="Arial" w:hAnsi="Arial" w:cs="Arial"/>
        </w:rPr>
        <w:t>, 2008). The higher pricing is justified by quality, durability, sustainable sourcing, as well as the environmental mission of the organization. This pricing is in line with the positioning of the product as well as customer willingness to pay more for a product that fits into their values (D'Souza et al., 2007).</w:t>
      </w:r>
    </w:p>
    <w:p w14:paraId="1E98692F" w14:textId="77777777" w:rsidR="00465B5E" w:rsidRDefault="00827C75">
      <w:pPr>
        <w:spacing w:before="240" w:after="240" w:line="360" w:lineRule="auto"/>
        <w:jc w:val="both"/>
        <w:rPr>
          <w:rFonts w:ascii="Arial" w:eastAsia="Arial" w:hAnsi="Arial" w:cs="Arial"/>
        </w:rPr>
      </w:pPr>
      <w:r>
        <w:rPr>
          <w:rFonts w:ascii="Arial" w:eastAsia="Arial" w:hAnsi="Arial" w:cs="Arial"/>
        </w:rPr>
        <w:t>The price reflects quality research investments, supply chains, as well as good labor conditions in relation to costs. The costs will be clear, and explanations for how they help quality, employees, as well as environmental projects, shall be indicated on the website to further boost confidence.</w:t>
      </w:r>
    </w:p>
    <w:p w14:paraId="5807F3CF" w14:textId="77777777" w:rsidR="00465B5E" w:rsidRDefault="00827C75">
      <w:pPr>
        <w:pStyle w:val="Heading3"/>
        <w:keepNext w:val="0"/>
        <w:keepLines w:val="0"/>
        <w:spacing w:before="280" w:line="360" w:lineRule="auto"/>
        <w:jc w:val="both"/>
        <w:rPr>
          <w:rFonts w:ascii="Arial" w:eastAsia="Arial" w:hAnsi="Arial" w:cs="Arial"/>
          <w:b/>
          <w:bCs/>
          <w:color w:val="000000"/>
          <w:sz w:val="26"/>
          <w:szCs w:val="26"/>
        </w:rPr>
      </w:pPr>
      <w:bookmarkStart w:id="9" w:name="_heading=h.yqbs4fmkwt51" w:colFirst="0" w:colLast="0"/>
      <w:bookmarkEnd w:id="9"/>
      <w:r>
        <w:rPr>
          <w:rFonts w:ascii="Arial" w:eastAsia="Arial" w:hAnsi="Arial" w:cs="Arial"/>
          <w:b/>
          <w:bCs/>
          <w:color w:val="000000"/>
          <w:sz w:val="26"/>
          <w:szCs w:val="26"/>
        </w:rPr>
        <w:t>3.3 PLACE (Distribution) Strategy</w:t>
      </w:r>
    </w:p>
    <w:p w14:paraId="44212DD5" w14:textId="77777777" w:rsidR="00465B5E" w:rsidRDefault="00827C75">
      <w:pPr>
        <w:spacing w:before="240" w:after="240" w:line="360" w:lineRule="auto"/>
        <w:jc w:val="both"/>
        <w:rPr>
          <w:rFonts w:ascii="Arial" w:eastAsia="Arial" w:hAnsi="Arial" w:cs="Arial"/>
        </w:rPr>
      </w:pPr>
      <w:r>
        <w:rPr>
          <w:rFonts w:ascii="Arial" w:eastAsia="Arial" w:hAnsi="Arial" w:cs="Arial"/>
        </w:rPr>
        <w:t xml:space="preserve">There would also be an </w:t>
      </w:r>
      <w:proofErr w:type="spellStart"/>
      <w:r>
        <w:rPr>
          <w:rFonts w:ascii="Arial" w:eastAsia="Arial" w:hAnsi="Arial" w:cs="Arial"/>
        </w:rPr>
        <w:t>omnichannel</w:t>
      </w:r>
      <w:proofErr w:type="spellEnd"/>
      <w:r>
        <w:rPr>
          <w:rFonts w:ascii="Arial" w:eastAsia="Arial" w:hAnsi="Arial" w:cs="Arial"/>
        </w:rPr>
        <w:t xml:space="preserve"> distribution strategy, which would result in a consistent brand experience regardless of where (</w:t>
      </w:r>
      <w:proofErr w:type="spellStart"/>
      <w:r>
        <w:rPr>
          <w:rFonts w:ascii="Arial" w:eastAsia="Arial" w:hAnsi="Arial" w:cs="Arial"/>
        </w:rPr>
        <w:t>Verhoef</w:t>
      </w:r>
      <w:proofErr w:type="spellEnd"/>
      <w:r>
        <w:rPr>
          <w:rFonts w:ascii="Arial" w:eastAsia="Arial" w:hAnsi="Arial" w:cs="Arial"/>
        </w:rPr>
        <w:t xml:space="preserve"> et al., 2015).</w:t>
      </w:r>
    </w:p>
    <w:p w14:paraId="47E811DB" w14:textId="77777777" w:rsidR="00465B5E" w:rsidRDefault="00827C75">
      <w:pPr>
        <w:numPr>
          <w:ilvl w:val="0"/>
          <w:numId w:val="2"/>
        </w:numPr>
        <w:spacing w:before="240" w:after="0" w:line="360" w:lineRule="auto"/>
        <w:rPr>
          <w:rFonts w:ascii="Arial" w:eastAsia="Arial" w:hAnsi="Arial" w:cs="Arial"/>
        </w:rPr>
      </w:pPr>
      <w:r>
        <w:rPr>
          <w:rFonts w:ascii="Arial" w:eastAsia="Arial" w:hAnsi="Arial" w:cs="Arial"/>
        </w:rPr>
        <w:lastRenderedPageBreak/>
        <w:t>Direct-to-Consumer (DTC) E-commerce - A department at Patagonia.com will be established as a flagship store to provide consumers with full product lines as well as high-quality usage, as well as sourcing information.</w:t>
      </w:r>
    </w:p>
    <w:p w14:paraId="2D01D15B" w14:textId="77777777" w:rsidR="00465B5E" w:rsidRDefault="00827C75">
      <w:pPr>
        <w:numPr>
          <w:ilvl w:val="0"/>
          <w:numId w:val="2"/>
        </w:numPr>
        <w:spacing w:after="0" w:line="360" w:lineRule="auto"/>
        <w:rPr>
          <w:rFonts w:ascii="Arial" w:eastAsia="Arial" w:hAnsi="Arial" w:cs="Arial"/>
        </w:rPr>
      </w:pPr>
      <w:r>
        <w:rPr>
          <w:rFonts w:ascii="Arial" w:eastAsia="Arial" w:hAnsi="Arial" w:cs="Arial"/>
        </w:rPr>
        <w:t>Flagship Retail: A store-within-a-store concept is to be introduced in top flagship stores of Patagonia. These stores shall be experience-based, where customers get to touch, feel, and engage with employees.</w:t>
      </w:r>
    </w:p>
    <w:p w14:paraId="39C95EE2" w14:textId="77777777" w:rsidR="00465B5E" w:rsidRDefault="00827C75">
      <w:pPr>
        <w:numPr>
          <w:ilvl w:val="0"/>
          <w:numId w:val="2"/>
        </w:numPr>
        <w:spacing w:after="240" w:line="360" w:lineRule="auto"/>
        <w:rPr>
          <w:rFonts w:ascii="Arial" w:eastAsia="Arial" w:hAnsi="Arial" w:cs="Arial"/>
        </w:rPr>
      </w:pPr>
      <w:r>
        <w:rPr>
          <w:rFonts w:ascii="Arial" w:eastAsia="Arial" w:hAnsi="Arial" w:cs="Arial"/>
        </w:rPr>
        <w:t>Strategic Wholesale Partnerships: A highly selective partnership strategy will be adopted, which features products in several like-minded retailers (e.g., independents for an ethical lifestyle, upmarket natural food stores) who support brand values and are capable of communicating them effectively.</w:t>
      </w:r>
    </w:p>
    <w:p w14:paraId="7D49E13C" w14:textId="77777777" w:rsidR="00465B5E" w:rsidRDefault="00827C75">
      <w:pPr>
        <w:pStyle w:val="Heading3"/>
        <w:keepNext w:val="0"/>
        <w:keepLines w:val="0"/>
        <w:spacing w:before="280" w:line="360" w:lineRule="auto"/>
        <w:jc w:val="both"/>
        <w:rPr>
          <w:rFonts w:ascii="Arial" w:eastAsia="Arial" w:hAnsi="Arial" w:cs="Arial"/>
          <w:b/>
          <w:bCs/>
          <w:color w:val="000000"/>
          <w:sz w:val="26"/>
          <w:szCs w:val="26"/>
        </w:rPr>
      </w:pPr>
      <w:bookmarkStart w:id="10" w:name="_heading=h.vvunh67pu9pf" w:colFirst="0" w:colLast="0"/>
      <w:bookmarkEnd w:id="10"/>
      <w:r>
        <w:rPr>
          <w:rFonts w:ascii="Arial" w:eastAsia="Arial" w:hAnsi="Arial" w:cs="Arial"/>
          <w:b/>
          <w:bCs/>
          <w:color w:val="000000"/>
          <w:sz w:val="26"/>
          <w:szCs w:val="26"/>
        </w:rPr>
        <w:t>3.4 Promotion Strategy</w:t>
      </w:r>
    </w:p>
    <w:p w14:paraId="1652B289" w14:textId="77777777" w:rsidR="00465B5E" w:rsidRDefault="00827C75">
      <w:pPr>
        <w:spacing w:before="240" w:after="240" w:line="360" w:lineRule="auto"/>
        <w:jc w:val="both"/>
        <w:rPr>
          <w:rFonts w:ascii="Arial" w:eastAsia="Arial" w:hAnsi="Arial" w:cs="Arial"/>
        </w:rPr>
      </w:pPr>
      <w:r>
        <w:rPr>
          <w:rFonts w:ascii="Arial" w:eastAsia="Arial" w:hAnsi="Arial" w:cs="Arial"/>
        </w:rPr>
        <w:t>The promotion strategy would keep away from traditional marketing methods in order to adopt an inbound, content-led strategy, which would express the genuine voice of this brand (Halligan &amp; Shah, 2014).</w:t>
      </w:r>
    </w:p>
    <w:p w14:paraId="7D97EF48" w14:textId="77777777" w:rsidR="00465B5E" w:rsidRDefault="00827C75">
      <w:pPr>
        <w:numPr>
          <w:ilvl w:val="0"/>
          <w:numId w:val="5"/>
        </w:numPr>
        <w:spacing w:before="240" w:after="0" w:line="360" w:lineRule="auto"/>
        <w:rPr>
          <w:rFonts w:ascii="Arial" w:eastAsia="Arial" w:hAnsi="Arial" w:cs="Arial"/>
        </w:rPr>
      </w:pPr>
      <w:r>
        <w:rPr>
          <w:rFonts w:ascii="Arial" w:eastAsia="Arial" w:hAnsi="Arial" w:cs="Arial"/>
        </w:rPr>
        <w:t>Content Marketing: The actual strategy component itself. This would be in the form of documentary-style videos of the farmers and producers across the supply chain, regenerative living articles, and tutorials for making a home non-toxic. This is added value to what they consume, aside from, of course, the actual product itself.</w:t>
      </w:r>
    </w:p>
    <w:p w14:paraId="48C3A23B" w14:textId="77777777" w:rsidR="00465B5E" w:rsidRDefault="00827C75">
      <w:pPr>
        <w:numPr>
          <w:ilvl w:val="0"/>
          <w:numId w:val="5"/>
        </w:numPr>
        <w:spacing w:after="0" w:line="360" w:lineRule="auto"/>
        <w:rPr>
          <w:rFonts w:ascii="Arial" w:eastAsia="Arial" w:hAnsi="Arial" w:cs="Arial"/>
        </w:rPr>
      </w:pPr>
      <w:r>
        <w:rPr>
          <w:rFonts w:ascii="Arial" w:eastAsia="Arial" w:hAnsi="Arial" w:cs="Arial"/>
        </w:rPr>
        <w:t>Public Relations &amp; Earned Media: Reach targeted publications in sustainable living, design, and lifestyle in which to highlight the innovative, ethical aspects of the product line.</w:t>
      </w:r>
    </w:p>
    <w:p w14:paraId="14337BB1" w14:textId="77777777" w:rsidR="00465B5E" w:rsidRDefault="00827C75">
      <w:pPr>
        <w:numPr>
          <w:ilvl w:val="0"/>
          <w:numId w:val="5"/>
        </w:numPr>
        <w:spacing w:after="0" w:line="360" w:lineRule="auto"/>
        <w:rPr>
          <w:rFonts w:ascii="Arial" w:eastAsia="Arial" w:hAnsi="Arial" w:cs="Arial"/>
        </w:rPr>
      </w:pPr>
      <w:r>
        <w:rPr>
          <w:rFonts w:ascii="Arial" w:eastAsia="Arial" w:hAnsi="Arial" w:cs="Arial"/>
        </w:rPr>
        <w:t>Influencer Collaboration: Partnering with real figures in the sustainability community as well as people pursuing simple living, (micro-influencers versus celebrity ambassadors).</w:t>
      </w:r>
    </w:p>
    <w:p w14:paraId="161CE901" w14:textId="77777777" w:rsidR="00465B5E" w:rsidRDefault="00827C75">
      <w:pPr>
        <w:numPr>
          <w:ilvl w:val="0"/>
          <w:numId w:val="5"/>
        </w:numPr>
        <w:spacing w:after="240" w:line="360" w:lineRule="auto"/>
        <w:rPr>
          <w:rFonts w:ascii="Arial" w:eastAsia="Arial" w:hAnsi="Arial" w:cs="Arial"/>
        </w:rPr>
      </w:pPr>
      <w:r>
        <w:rPr>
          <w:rFonts w:ascii="Arial" w:eastAsia="Arial" w:hAnsi="Arial" w:cs="Arial"/>
        </w:rPr>
        <w:lastRenderedPageBreak/>
        <w:t>Community Engagement: Organizing, sponsoring, or hosting workshops in community settings in areas of composting, natural dye, waste reduction, in order to build community, as well as emphasizing brand values.</w:t>
      </w:r>
    </w:p>
    <w:p w14:paraId="6E238B93" w14:textId="77777777" w:rsidR="00465B5E" w:rsidRDefault="00827C75">
      <w:pPr>
        <w:pStyle w:val="Heading3"/>
        <w:keepNext w:val="0"/>
        <w:keepLines w:val="0"/>
        <w:spacing w:before="280" w:line="360" w:lineRule="auto"/>
        <w:jc w:val="both"/>
        <w:rPr>
          <w:rFonts w:ascii="Arial" w:eastAsia="Arial" w:hAnsi="Arial" w:cs="Arial"/>
          <w:b/>
          <w:bCs/>
          <w:color w:val="000000"/>
          <w:sz w:val="26"/>
          <w:szCs w:val="26"/>
        </w:rPr>
      </w:pPr>
      <w:bookmarkStart w:id="11" w:name="_heading=h.763m1yk2a4l9" w:colFirst="0" w:colLast="0"/>
      <w:bookmarkEnd w:id="11"/>
      <w:r>
        <w:rPr>
          <w:rFonts w:ascii="Arial" w:eastAsia="Arial" w:hAnsi="Arial" w:cs="Arial"/>
          <w:b/>
          <w:bCs/>
          <w:color w:val="000000"/>
          <w:sz w:val="26"/>
          <w:szCs w:val="26"/>
        </w:rPr>
        <w:t>3.5 People Strategy</w:t>
      </w:r>
    </w:p>
    <w:p w14:paraId="64AE79CA" w14:textId="77777777" w:rsidR="00465B5E" w:rsidRDefault="00827C75">
      <w:pPr>
        <w:spacing w:before="240" w:after="240" w:line="360" w:lineRule="auto"/>
        <w:jc w:val="both"/>
        <w:rPr>
          <w:rFonts w:ascii="Arial" w:eastAsia="Arial" w:hAnsi="Arial" w:cs="Arial"/>
        </w:rPr>
      </w:pPr>
      <w:r>
        <w:rPr>
          <w:rFonts w:ascii="Arial" w:eastAsia="Arial" w:hAnsi="Arial" w:cs="Arial"/>
        </w:rPr>
        <w:t>As a component of a service offering, the "People" dimension is of critical value to this brand. Each front-line employee who is to deal directly with customers in stores as well as online will be fully trained, not only in terms of product benefit, but also in terms of the brand philosophy, sustainable sourcing, as well as environmental mission statements. Each employee will be selected because of his/her strong interest in sustainability, as well as his/her ability to function as a teacher-brand ambassador rather than merely as a salesperson (</w:t>
      </w:r>
      <w:proofErr w:type="spellStart"/>
      <w:r>
        <w:rPr>
          <w:rFonts w:ascii="Arial" w:eastAsia="Arial" w:hAnsi="Arial" w:cs="Arial"/>
        </w:rPr>
        <w:t>Grönroos</w:t>
      </w:r>
      <w:proofErr w:type="spellEnd"/>
      <w:r>
        <w:rPr>
          <w:rFonts w:ascii="Arial" w:eastAsia="Arial" w:hAnsi="Arial" w:cs="Arial"/>
        </w:rPr>
        <w:t>, 2007).</w:t>
      </w:r>
    </w:p>
    <w:p w14:paraId="14833019" w14:textId="77777777" w:rsidR="00465B5E" w:rsidRDefault="00827C75">
      <w:pPr>
        <w:pStyle w:val="Heading3"/>
        <w:keepNext w:val="0"/>
        <w:keepLines w:val="0"/>
        <w:spacing w:before="280" w:line="360" w:lineRule="auto"/>
        <w:jc w:val="both"/>
        <w:rPr>
          <w:rFonts w:ascii="Arial" w:eastAsia="Arial" w:hAnsi="Arial" w:cs="Arial"/>
          <w:b/>
          <w:bCs/>
          <w:color w:val="000000"/>
          <w:sz w:val="26"/>
          <w:szCs w:val="26"/>
        </w:rPr>
      </w:pPr>
      <w:bookmarkStart w:id="12" w:name="_heading=h.9ul9g05wzx6w" w:colFirst="0" w:colLast="0"/>
      <w:bookmarkEnd w:id="12"/>
      <w:r>
        <w:rPr>
          <w:rFonts w:ascii="Arial" w:eastAsia="Arial" w:hAnsi="Arial" w:cs="Arial"/>
          <w:b/>
          <w:bCs/>
          <w:color w:val="000000"/>
          <w:sz w:val="26"/>
          <w:szCs w:val="26"/>
        </w:rPr>
        <w:t>3.6 Process Strategy</w:t>
      </w:r>
    </w:p>
    <w:p w14:paraId="07D8F046" w14:textId="77777777" w:rsidR="00465B5E" w:rsidRDefault="00827C75">
      <w:pPr>
        <w:spacing w:before="240" w:after="240" w:line="360" w:lineRule="auto"/>
        <w:jc w:val="both"/>
        <w:rPr>
          <w:rFonts w:ascii="Arial" w:eastAsia="Arial" w:hAnsi="Arial" w:cs="Arial"/>
        </w:rPr>
      </w:pPr>
      <w:r>
        <w:rPr>
          <w:rFonts w:ascii="Arial" w:eastAsia="Arial" w:hAnsi="Arial" w:cs="Arial"/>
        </w:rPr>
        <w:t xml:space="preserve">The "Process" is essentially those routine processes as well as streams of activity, which, when combined, provide a potential for value in the delivered service itself. For </w:t>
      </w:r>
      <w:r>
        <w:rPr>
          <w:rFonts w:ascii="Arial" w:eastAsia="Arial" w:hAnsi="Arial" w:cs="Arial"/>
          <w:i/>
          <w:iCs/>
        </w:rPr>
        <w:t>Patagonia Provisions Home</w:t>
      </w:r>
      <w:r>
        <w:rPr>
          <w:rFonts w:ascii="Arial" w:eastAsia="Arial" w:hAnsi="Arial" w:cs="Arial"/>
        </w:rPr>
        <w:t xml:space="preserve">, a customer experience needs to be clear, with no seams in it at all. The process of e-commerce shall be easy to use, easy to understand, providing clear information about the influence of freight costs as well as carbon-neutral freight available for consideration. One of the most important process innovations for this business shall be, in fact, providing customers using QR codes for </w:t>
      </w:r>
      <w:r>
        <w:rPr>
          <w:rFonts w:ascii="Arial" w:eastAsia="Arial" w:hAnsi="Arial" w:cs="Arial"/>
          <w:i/>
          <w:iCs/>
        </w:rPr>
        <w:t>"Footprint Chronicle"</w:t>
      </w:r>
      <w:r>
        <w:rPr>
          <w:rFonts w:ascii="Arial" w:eastAsia="Arial" w:hAnsi="Arial" w:cs="Arial"/>
        </w:rPr>
        <w:t xml:space="preserve"> to know instantly in which manner they themselves, by purchasing this product, contributed to previous processes in the line of production (</w:t>
      </w:r>
      <w:proofErr w:type="spellStart"/>
      <w:r>
        <w:rPr>
          <w:rFonts w:ascii="Arial" w:eastAsia="Arial" w:hAnsi="Arial" w:cs="Arial"/>
        </w:rPr>
        <w:t>Zeithaml</w:t>
      </w:r>
      <w:proofErr w:type="spellEnd"/>
      <w:r>
        <w:rPr>
          <w:rFonts w:ascii="Arial" w:eastAsia="Arial" w:hAnsi="Arial" w:cs="Arial"/>
        </w:rPr>
        <w:t xml:space="preserve"> et al., 2009).</w:t>
      </w:r>
    </w:p>
    <w:p w14:paraId="288661F5" w14:textId="77777777" w:rsidR="00465B5E" w:rsidRDefault="00827C75">
      <w:pPr>
        <w:pStyle w:val="Heading3"/>
        <w:keepNext w:val="0"/>
        <w:keepLines w:val="0"/>
        <w:spacing w:before="280" w:line="360" w:lineRule="auto"/>
        <w:jc w:val="both"/>
        <w:rPr>
          <w:rFonts w:ascii="Arial" w:eastAsia="Arial" w:hAnsi="Arial" w:cs="Arial"/>
          <w:b/>
          <w:bCs/>
          <w:color w:val="000000"/>
          <w:sz w:val="26"/>
          <w:szCs w:val="26"/>
        </w:rPr>
      </w:pPr>
      <w:bookmarkStart w:id="13" w:name="_heading=h.bei37vyec9fe" w:colFirst="0" w:colLast="0"/>
      <w:bookmarkEnd w:id="13"/>
      <w:r>
        <w:rPr>
          <w:rFonts w:ascii="Arial" w:eastAsia="Arial" w:hAnsi="Arial" w:cs="Arial"/>
          <w:b/>
          <w:bCs/>
          <w:color w:val="000000"/>
          <w:sz w:val="26"/>
          <w:szCs w:val="26"/>
        </w:rPr>
        <w:t>3.7 Physical Evidence</w:t>
      </w:r>
    </w:p>
    <w:p w14:paraId="4668B424" w14:textId="77777777" w:rsidR="00465B5E" w:rsidRDefault="00827C75">
      <w:pPr>
        <w:spacing w:before="240" w:after="240" w:line="360" w:lineRule="auto"/>
        <w:jc w:val="both"/>
        <w:rPr>
          <w:rFonts w:ascii="Arial" w:eastAsia="Arial" w:hAnsi="Arial" w:cs="Arial"/>
        </w:rPr>
      </w:pPr>
      <w:r>
        <w:rPr>
          <w:rFonts w:ascii="Arial" w:eastAsia="Arial" w:hAnsi="Arial" w:cs="Arial"/>
        </w:rPr>
        <w:t>As indicated earlier, after understanding what S[</w:t>
      </w:r>
      <w:proofErr w:type="spellStart"/>
      <w:r>
        <w:rPr>
          <w:rFonts w:ascii="Arial" w:eastAsia="Arial" w:hAnsi="Arial" w:cs="Arial"/>
        </w:rPr>
        <w:t>ervice</w:t>
      </w:r>
      <w:proofErr w:type="spellEnd"/>
      <w:r>
        <w:rPr>
          <w:rFonts w:ascii="Arial" w:eastAsia="Arial" w:hAnsi="Arial" w:cs="Arial"/>
        </w:rPr>
        <w:t xml:space="preserve"> is], "Physical Evidence" also covers the surroundings in which consumption of the service takes place, as well as any physical products that help to provide it, such as (</w:t>
      </w:r>
      <w:proofErr w:type="spellStart"/>
      <w:r>
        <w:rPr>
          <w:rFonts w:ascii="Arial" w:eastAsia="Arial" w:hAnsi="Arial" w:cs="Arial"/>
        </w:rPr>
        <w:t>Bitner</w:t>
      </w:r>
      <w:proofErr w:type="spellEnd"/>
      <w:r>
        <w:rPr>
          <w:rFonts w:ascii="Arial" w:eastAsia="Arial" w:hAnsi="Arial" w:cs="Arial"/>
        </w:rPr>
        <w:t>, 1992):</w:t>
      </w:r>
    </w:p>
    <w:p w14:paraId="39D3B580" w14:textId="77777777" w:rsidR="00465B5E" w:rsidRDefault="00827C75">
      <w:pPr>
        <w:numPr>
          <w:ilvl w:val="0"/>
          <w:numId w:val="6"/>
        </w:numPr>
        <w:spacing w:before="240" w:after="0" w:line="360" w:lineRule="auto"/>
        <w:rPr>
          <w:rFonts w:ascii="Arial" w:eastAsia="Arial" w:hAnsi="Arial" w:cs="Arial"/>
        </w:rPr>
      </w:pPr>
      <w:r>
        <w:rPr>
          <w:rFonts w:ascii="Arial" w:eastAsia="Arial" w:hAnsi="Arial" w:cs="Arial"/>
        </w:rPr>
        <w:t>In-store experiences—This means using natural, reclaimed, and recycled materials in display fixtures, creating a calming, well-lit atmosphere that communicates brand aesthetics/values.</w:t>
      </w:r>
    </w:p>
    <w:p w14:paraId="09E6C2F9" w14:textId="77777777" w:rsidR="00465B5E" w:rsidRDefault="00827C75">
      <w:pPr>
        <w:numPr>
          <w:ilvl w:val="0"/>
          <w:numId w:val="6"/>
        </w:numPr>
        <w:spacing w:after="0" w:line="360" w:lineRule="auto"/>
        <w:rPr>
          <w:rFonts w:ascii="Arial" w:eastAsia="Arial" w:hAnsi="Arial" w:cs="Arial"/>
        </w:rPr>
      </w:pPr>
      <w:r>
        <w:rPr>
          <w:rFonts w:ascii="Arial" w:eastAsia="Arial" w:hAnsi="Arial" w:cs="Arial"/>
        </w:rPr>
        <w:t>Packaging of products shall be minimal, using no plastic, completely compostable, or recycled.</w:t>
      </w:r>
    </w:p>
    <w:p w14:paraId="74D28B44" w14:textId="77777777" w:rsidR="00465B5E" w:rsidRDefault="00827C75">
      <w:pPr>
        <w:numPr>
          <w:ilvl w:val="0"/>
          <w:numId w:val="6"/>
        </w:numPr>
        <w:spacing w:after="240" w:line="360" w:lineRule="auto"/>
        <w:rPr>
          <w:rFonts w:ascii="Arial" w:eastAsia="Arial" w:hAnsi="Arial" w:cs="Arial"/>
        </w:rPr>
      </w:pPr>
      <w:r>
        <w:rPr>
          <w:rFonts w:ascii="Arial" w:eastAsia="Arial" w:hAnsi="Arial" w:cs="Arial"/>
        </w:rPr>
        <w:t>Website design shall be simple, intuitive, visually stunning, using first-class photography/videography as an equivalent of physical online proof of brand quality/values.</w:t>
      </w:r>
    </w:p>
    <w:p w14:paraId="4C35B47A" w14:textId="77777777" w:rsidR="00465B5E" w:rsidRDefault="00827C75">
      <w:pPr>
        <w:pStyle w:val="Heading2"/>
        <w:keepNext w:val="0"/>
        <w:keepLines w:val="0"/>
        <w:spacing w:before="360" w:line="360" w:lineRule="auto"/>
        <w:jc w:val="both"/>
        <w:rPr>
          <w:rFonts w:ascii="Arial" w:eastAsia="Arial" w:hAnsi="Arial" w:cs="Arial"/>
          <w:b/>
          <w:bCs/>
          <w:color w:val="000000"/>
          <w:sz w:val="34"/>
          <w:szCs w:val="34"/>
        </w:rPr>
      </w:pPr>
      <w:bookmarkStart w:id="14" w:name="_heading=h.ol61bfyo47f7" w:colFirst="0" w:colLast="0"/>
      <w:bookmarkEnd w:id="14"/>
      <w:r>
        <w:rPr>
          <w:rFonts w:ascii="Arial" w:eastAsia="Arial" w:hAnsi="Arial" w:cs="Arial"/>
          <w:b/>
          <w:bCs/>
          <w:color w:val="000000"/>
          <w:sz w:val="34"/>
          <w:szCs w:val="34"/>
        </w:rPr>
        <w:t>4.0 Element 3: Marketing Strategy Pitch Summary</w:t>
      </w:r>
    </w:p>
    <w:p w14:paraId="43598110" w14:textId="77777777" w:rsidR="00465B5E" w:rsidRDefault="00827C75">
      <w:pPr>
        <w:spacing w:before="240" w:after="240" w:line="360" w:lineRule="auto"/>
        <w:jc w:val="both"/>
        <w:rPr>
          <w:rFonts w:ascii="Arial" w:eastAsia="Arial" w:hAnsi="Arial" w:cs="Arial"/>
        </w:rPr>
      </w:pPr>
      <w:r>
        <w:rPr>
          <w:rFonts w:ascii="Arial" w:eastAsia="Arial" w:hAnsi="Arial" w:cs="Arial"/>
        </w:rPr>
        <w:t>(Pitch may be delivered in 3-5 minutes, accompanied by poster in Appendix A)</w:t>
      </w:r>
    </w:p>
    <w:p w14:paraId="5BB92D5C" w14:textId="77777777" w:rsidR="00465B5E" w:rsidRDefault="00827C75">
      <w:pPr>
        <w:spacing w:before="240" w:after="240" w:line="360" w:lineRule="auto"/>
        <w:jc w:val="both"/>
        <w:rPr>
          <w:rFonts w:ascii="Arial" w:eastAsia="Arial" w:hAnsi="Arial" w:cs="Arial"/>
          <w:i/>
          <w:iCs/>
        </w:rPr>
      </w:pPr>
      <w:r>
        <w:rPr>
          <w:rFonts w:ascii="Arial" w:eastAsia="Arial" w:hAnsi="Arial" w:cs="Arial"/>
          <w:i/>
          <w:iCs/>
        </w:rPr>
        <w:t>"Good morning. Our homes ought to be sanctuaries for us, but this $700 billion home goods industry is fueling a disposability epidemic, an environmental catastrophe, and hidden supply chains. Consumers feel as if they have to choose between fashion, quality, and sustainability. Why do they have to choose?"</w:t>
      </w:r>
    </w:p>
    <w:p w14:paraId="6A0E077F" w14:textId="77777777" w:rsidR="00465B5E" w:rsidRDefault="00827C75">
      <w:pPr>
        <w:spacing w:before="240" w:after="240" w:line="360" w:lineRule="auto"/>
        <w:jc w:val="both"/>
        <w:rPr>
          <w:rFonts w:ascii="Arial" w:eastAsia="Arial" w:hAnsi="Arial" w:cs="Arial"/>
          <w:i/>
          <w:iCs/>
        </w:rPr>
      </w:pPr>
      <w:r>
        <w:rPr>
          <w:rFonts w:ascii="Arial" w:eastAsia="Arial" w:hAnsi="Arial" w:cs="Arial"/>
        </w:rPr>
        <w:t xml:space="preserve">The issue is obvious: an oversaturated products market that damages our planet. The answer is quite simple, really: </w:t>
      </w:r>
      <w:r>
        <w:rPr>
          <w:rFonts w:ascii="Arial" w:eastAsia="Arial" w:hAnsi="Arial" w:cs="Arial"/>
          <w:i/>
          <w:iCs/>
        </w:rPr>
        <w:t>"Patagonia Provisions Home."</w:t>
      </w:r>
    </w:p>
    <w:p w14:paraId="3742949D" w14:textId="77777777" w:rsidR="00465B5E" w:rsidRDefault="00827C75">
      <w:pPr>
        <w:spacing w:before="240" w:after="240" w:line="360" w:lineRule="auto"/>
        <w:jc w:val="both"/>
        <w:rPr>
          <w:rFonts w:ascii="Arial" w:eastAsia="Arial" w:hAnsi="Arial" w:cs="Arial"/>
          <w:i/>
          <w:iCs/>
        </w:rPr>
      </w:pPr>
      <w:r>
        <w:rPr>
          <w:rFonts w:ascii="Arial" w:eastAsia="Arial" w:hAnsi="Arial" w:cs="Arial"/>
          <w:i/>
          <w:iCs/>
        </w:rPr>
        <w:t>"We’re bringing the legendary commitment to sustainable living from Patagonia’s mountains to people’s homes in a passionate celebration of what’s possible when people, products, and values connect in meaningful ways. Our brand is built upon three foundations: Sourcing, which is designed to bring healing to Mother Earth; Transparency; and Durability, which is protected by our Ironclad Guarantee."</w:t>
      </w:r>
    </w:p>
    <w:p w14:paraId="104C2015" w14:textId="77777777" w:rsidR="00465B5E" w:rsidRDefault="00827C75">
      <w:pPr>
        <w:spacing w:before="240" w:after="240" w:line="360" w:lineRule="auto"/>
        <w:jc w:val="both"/>
        <w:rPr>
          <w:rFonts w:ascii="Arial" w:eastAsia="Arial" w:hAnsi="Arial" w:cs="Arial"/>
          <w:i/>
          <w:iCs/>
        </w:rPr>
      </w:pPr>
      <w:r>
        <w:rPr>
          <w:rFonts w:ascii="Arial" w:eastAsia="Arial" w:hAnsi="Arial" w:cs="Arial"/>
          <w:i/>
          <w:iCs/>
        </w:rPr>
        <w:t>"Our high-end client, known as the 'Ethical Maximalist,' is looking for us. Our customer is a value-conscious high-end segment who is willing to pay for those brands that speak to their values as well. Using an online-first, content-centric approach, we shall meaningfully connect with them, fostering a devoted community, rather than a mailing list."</w:t>
      </w:r>
    </w:p>
    <w:p w14:paraId="53777F53" w14:textId="77777777" w:rsidR="00465B5E" w:rsidRDefault="00827C75">
      <w:pPr>
        <w:spacing w:before="240" w:after="240" w:line="360" w:lineRule="auto"/>
        <w:jc w:val="both"/>
        <w:rPr>
          <w:rFonts w:ascii="Arial" w:eastAsia="Arial" w:hAnsi="Arial" w:cs="Arial"/>
          <w:i/>
          <w:iCs/>
        </w:rPr>
      </w:pPr>
      <w:r>
        <w:rPr>
          <w:rFonts w:ascii="Arial" w:eastAsia="Arial" w:hAnsi="Arial" w:cs="Arial"/>
          <w:i/>
          <w:iCs/>
        </w:rPr>
        <w:t>"Patagonia Provisions Home solves the consumer’s dilemma. It offers guilt-free, high-performance products that are good, functional, and do something to save our home planet. It is not a brand extension; it’s a movement. A movement to make our homes resemble our values. Thanks."</w:t>
      </w:r>
    </w:p>
    <w:p w14:paraId="2A5C67BF" w14:textId="77777777" w:rsidR="00465B5E" w:rsidRDefault="00827C75">
      <w:pPr>
        <w:pStyle w:val="Heading2"/>
        <w:keepNext w:val="0"/>
        <w:keepLines w:val="0"/>
        <w:spacing w:before="360" w:line="360" w:lineRule="auto"/>
        <w:jc w:val="both"/>
        <w:rPr>
          <w:rFonts w:ascii="Arial" w:eastAsia="Arial" w:hAnsi="Arial" w:cs="Arial"/>
          <w:b/>
          <w:bCs/>
          <w:color w:val="000000"/>
          <w:sz w:val="34"/>
          <w:szCs w:val="34"/>
        </w:rPr>
      </w:pPr>
      <w:bookmarkStart w:id="15" w:name="_heading=h.6hmljpskzx" w:colFirst="0" w:colLast="0"/>
      <w:bookmarkEnd w:id="15"/>
      <w:r>
        <w:rPr>
          <w:rFonts w:ascii="Arial" w:eastAsia="Arial" w:hAnsi="Arial" w:cs="Arial"/>
          <w:b/>
          <w:bCs/>
          <w:color w:val="000000"/>
          <w:sz w:val="34"/>
          <w:szCs w:val="34"/>
        </w:rPr>
        <w:t>5.0 Element 4: Reflection</w:t>
      </w:r>
    </w:p>
    <w:p w14:paraId="3604E700" w14:textId="77777777" w:rsidR="00465B5E" w:rsidRDefault="00827C75">
      <w:pPr>
        <w:pStyle w:val="Heading3"/>
        <w:keepNext w:val="0"/>
        <w:keepLines w:val="0"/>
        <w:spacing w:before="280" w:line="360" w:lineRule="auto"/>
        <w:jc w:val="both"/>
        <w:rPr>
          <w:rFonts w:ascii="Arial" w:eastAsia="Arial" w:hAnsi="Arial" w:cs="Arial"/>
          <w:b/>
          <w:bCs/>
          <w:color w:val="000000"/>
          <w:sz w:val="26"/>
          <w:szCs w:val="26"/>
        </w:rPr>
      </w:pPr>
      <w:bookmarkStart w:id="16" w:name="_heading=h.mj7kk9dr2qnp" w:colFirst="0" w:colLast="0"/>
      <w:bookmarkEnd w:id="16"/>
      <w:r>
        <w:rPr>
          <w:rFonts w:ascii="Arial" w:eastAsia="Arial" w:hAnsi="Arial" w:cs="Arial"/>
          <w:b/>
          <w:bCs/>
          <w:color w:val="000000"/>
          <w:sz w:val="26"/>
          <w:szCs w:val="26"/>
        </w:rPr>
        <w:t>5.1 Reflection of Brand Concept &amp; Strategy Formulation</w:t>
      </w:r>
    </w:p>
    <w:p w14:paraId="751EB1F4" w14:textId="77777777" w:rsidR="00465B5E" w:rsidRDefault="00827C75">
      <w:pPr>
        <w:spacing w:before="240" w:after="240" w:line="360" w:lineRule="auto"/>
        <w:jc w:val="both"/>
        <w:rPr>
          <w:rFonts w:ascii="Arial" w:eastAsia="Arial" w:hAnsi="Arial" w:cs="Arial"/>
        </w:rPr>
      </w:pPr>
      <w:r>
        <w:rPr>
          <w:rFonts w:ascii="Arial" w:eastAsia="Arial" w:hAnsi="Arial" w:cs="Arial"/>
        </w:rPr>
        <w:t xml:space="preserve">The development of </w:t>
      </w:r>
      <w:r>
        <w:rPr>
          <w:rFonts w:ascii="Arial" w:eastAsia="Arial" w:hAnsi="Arial" w:cs="Arial"/>
          <w:i/>
          <w:iCs/>
        </w:rPr>
        <w:t>Home by Patagonia Provisions</w:t>
      </w:r>
      <w:r>
        <w:rPr>
          <w:rFonts w:ascii="Arial" w:eastAsia="Arial" w:hAnsi="Arial" w:cs="Arial"/>
        </w:rPr>
        <w:t xml:space="preserve"> is an overview of stealthy skill in which brand management is integrated into innovation in the industry. The biggest challenge is to create brand extension that resounds as well as value-added to the original brand purpose, which is neither commercially driven nor dilutive (</w:t>
      </w:r>
      <w:proofErr w:type="spellStart"/>
      <w:r>
        <w:rPr>
          <w:rFonts w:ascii="Arial" w:eastAsia="Arial" w:hAnsi="Arial" w:cs="Arial"/>
        </w:rPr>
        <w:t>Aaker</w:t>
      </w:r>
      <w:proofErr w:type="spellEnd"/>
      <w:r>
        <w:rPr>
          <w:rFonts w:ascii="Arial" w:eastAsia="Arial" w:hAnsi="Arial" w:cs="Arial"/>
        </w:rPr>
        <w:t>, 2004). The use of this framework in STDP is beneficial in this respect.</w:t>
      </w:r>
    </w:p>
    <w:p w14:paraId="359DDE5E" w14:textId="77777777" w:rsidR="00465B5E" w:rsidRDefault="00827C75">
      <w:pPr>
        <w:spacing w:before="240" w:after="240" w:line="360" w:lineRule="auto"/>
        <w:jc w:val="both"/>
        <w:rPr>
          <w:rFonts w:ascii="Arial" w:eastAsia="Arial" w:hAnsi="Arial" w:cs="Arial"/>
        </w:rPr>
      </w:pPr>
      <w:r>
        <w:rPr>
          <w:rFonts w:ascii="Arial" w:eastAsia="Arial" w:hAnsi="Arial" w:cs="Arial"/>
        </w:rPr>
        <w:t>Segmentation, in this case, focusing upon those of interest in LOHAS, led to a realization that a very in-depth exploration of targeted consumer motivations is necessary to ensure that, in creating this brand, they end up with more than a line of products, but also a statement of value for a certain worldview. The development of a positioning statement is an exercise in integration to distill higher-order ideals of regenerative sourcing, transparency, and durability into an integrated, consistent message, which also leads to an important realization—that for a brand such as Patagonia, achieving differentiation is a systems-level issue, meaning they shouldn’t promote it in advertising, but rather in what they’re doing in supply chains.</w:t>
      </w:r>
    </w:p>
    <w:p w14:paraId="0468983D" w14:textId="77777777" w:rsidR="00465B5E" w:rsidRDefault="00827C75">
      <w:pPr>
        <w:pStyle w:val="Heading3"/>
        <w:keepNext w:val="0"/>
        <w:keepLines w:val="0"/>
        <w:spacing w:before="280" w:line="360" w:lineRule="auto"/>
        <w:jc w:val="both"/>
        <w:rPr>
          <w:rFonts w:ascii="Arial" w:eastAsia="Arial" w:hAnsi="Arial" w:cs="Arial"/>
          <w:b/>
          <w:bCs/>
          <w:color w:val="000000"/>
          <w:sz w:val="26"/>
          <w:szCs w:val="26"/>
        </w:rPr>
      </w:pPr>
      <w:bookmarkStart w:id="17" w:name="_heading=h.9mawdtoqzbn3" w:colFirst="0" w:colLast="0"/>
      <w:bookmarkEnd w:id="17"/>
      <w:r>
        <w:rPr>
          <w:rFonts w:ascii="Arial" w:eastAsia="Arial" w:hAnsi="Arial" w:cs="Arial"/>
          <w:b/>
          <w:bCs/>
          <w:color w:val="000000"/>
          <w:sz w:val="26"/>
          <w:szCs w:val="26"/>
        </w:rPr>
        <w:t>5.2 Reflection Regarding Pitch Preparation and Delivery</w:t>
      </w:r>
    </w:p>
    <w:p w14:paraId="3BA518B4" w14:textId="77777777" w:rsidR="00465B5E" w:rsidRDefault="00827C75">
      <w:pPr>
        <w:spacing w:before="240" w:after="240" w:line="360" w:lineRule="auto"/>
        <w:jc w:val="both"/>
        <w:rPr>
          <w:rFonts w:ascii="Arial" w:eastAsia="Arial" w:hAnsi="Arial" w:cs="Arial"/>
        </w:rPr>
      </w:pPr>
      <w:r>
        <w:rPr>
          <w:rFonts w:ascii="Arial" w:eastAsia="Arial" w:hAnsi="Arial" w:cs="Arial"/>
        </w:rPr>
        <w:t>As [stated], shrinking this complex strategy down into a three-to-five-minute talk is an intense learning procedure in prioritization as well as in storytelling to persuade an audience. The key to this exercise is to get past the descriptive details (e.g., "we sell organic cotton sheets to consumers") to tell a strong story statement (e.g., "we resolve the consumer's choice dilemma in terms of values compromise").</w:t>
      </w:r>
    </w:p>
    <w:p w14:paraId="47B1823D" w14:textId="77777777" w:rsidR="00465B5E" w:rsidRDefault="00827C75">
      <w:pPr>
        <w:spacing w:before="240" w:after="240" w:line="360" w:lineRule="auto"/>
        <w:jc w:val="both"/>
        <w:rPr>
          <w:rFonts w:ascii="Arial" w:eastAsia="Arial" w:hAnsi="Arial" w:cs="Arial"/>
        </w:rPr>
      </w:pPr>
      <w:r>
        <w:rPr>
          <w:rFonts w:ascii="Arial" w:eastAsia="Arial" w:hAnsi="Arial" w:cs="Arial"/>
        </w:rPr>
        <w:t>The "problem-solution" template has played an important role in creating an instant engagement message that makes sense. The preparation of this message involves changing mindsets from an analytical strategist to an excellent storyteller. The emphasis placed on this is vital in ensuring that an "enemy" exists to present an individual in support of his/her brand as a "hero" in society, faced by this "enemy" known as "the culture of disposability." From this message delivery, for an ethical values brand, the message is clear, where how things are communicated is as vital as coming up with a justification for this message to make sense.</w:t>
      </w:r>
    </w:p>
    <w:p w14:paraId="7FDE379F" w14:textId="77777777" w:rsidR="00465B5E" w:rsidRDefault="00827C75">
      <w:pPr>
        <w:pStyle w:val="Heading3"/>
        <w:keepNext w:val="0"/>
        <w:keepLines w:val="0"/>
        <w:spacing w:before="280" w:line="360" w:lineRule="auto"/>
        <w:jc w:val="both"/>
        <w:rPr>
          <w:rFonts w:ascii="Arial" w:eastAsia="Arial" w:hAnsi="Arial" w:cs="Arial"/>
          <w:b/>
          <w:bCs/>
          <w:color w:val="000000"/>
          <w:sz w:val="26"/>
          <w:szCs w:val="26"/>
        </w:rPr>
      </w:pPr>
      <w:bookmarkStart w:id="18" w:name="_heading=h.djeycjqmyvcf" w:colFirst="0" w:colLast="0"/>
      <w:bookmarkEnd w:id="18"/>
      <w:r>
        <w:rPr>
          <w:rFonts w:ascii="Arial" w:eastAsia="Arial" w:hAnsi="Arial" w:cs="Arial"/>
          <w:b/>
          <w:bCs/>
          <w:color w:val="000000"/>
          <w:sz w:val="26"/>
          <w:szCs w:val="26"/>
        </w:rPr>
        <w:t>5.3 Key Skills Developed and Future Improvements</w:t>
      </w:r>
    </w:p>
    <w:p w14:paraId="0B08CA52" w14:textId="77777777" w:rsidR="00465B5E" w:rsidRDefault="00827C75">
      <w:pPr>
        <w:spacing w:before="240" w:after="240" w:line="360" w:lineRule="auto"/>
        <w:jc w:val="both"/>
        <w:rPr>
          <w:rFonts w:ascii="Arial" w:eastAsia="Arial" w:hAnsi="Arial" w:cs="Arial"/>
        </w:rPr>
      </w:pPr>
      <w:r>
        <w:rPr>
          <w:rFonts w:ascii="Arial" w:eastAsia="Arial" w:hAnsi="Arial" w:cs="Arial"/>
        </w:rPr>
        <w:t>This project has greatly increased several important skills.</w:t>
      </w:r>
    </w:p>
    <w:p w14:paraId="6B46737E" w14:textId="77777777" w:rsidR="00465B5E" w:rsidRDefault="00827C75">
      <w:pPr>
        <w:spacing w:before="240" w:after="240" w:line="360" w:lineRule="auto"/>
        <w:jc w:val="both"/>
        <w:rPr>
          <w:rFonts w:ascii="Arial" w:eastAsia="Arial" w:hAnsi="Arial" w:cs="Arial"/>
        </w:rPr>
      </w:pPr>
      <w:r>
        <w:rPr>
          <w:rFonts w:ascii="Arial" w:eastAsia="Arial" w:hAnsi="Arial" w:cs="Arial"/>
        </w:rPr>
        <w:t>Firstly, by strategic analysis, meaning the structured use of either the STDP or the 7Ps models to a fictional but realistic scenario. Secondly, for creative synthesis, in formulating an executable brand extension, incorporating its marketing mix factors into an integrated unit. Thirdly, persuasive communication, as in the construction of the pitch.</w:t>
      </w:r>
    </w:p>
    <w:p w14:paraId="08C9A276" w14:textId="77777777" w:rsidR="00465B5E" w:rsidRDefault="00827C75">
      <w:pPr>
        <w:spacing w:before="240" w:after="240" w:line="360" w:lineRule="auto"/>
        <w:jc w:val="both"/>
        <w:rPr>
          <w:rFonts w:ascii="Arial" w:eastAsia="Arial" w:hAnsi="Arial" w:cs="Arial"/>
        </w:rPr>
      </w:pPr>
      <w:r>
        <w:rPr>
          <w:rFonts w:ascii="Arial" w:eastAsia="Arial" w:hAnsi="Arial" w:cs="Arial"/>
        </w:rPr>
        <w:t>In future projects, I would like to add value to the methodology in relation to two important areas.</w:t>
      </w:r>
    </w:p>
    <w:p w14:paraId="3A6A3BBF" w14:textId="77777777" w:rsidR="00465B5E" w:rsidRDefault="00827C75">
      <w:pPr>
        <w:numPr>
          <w:ilvl w:val="0"/>
          <w:numId w:val="1"/>
        </w:numPr>
        <w:spacing w:before="240" w:after="0" w:line="360" w:lineRule="auto"/>
        <w:rPr>
          <w:rFonts w:ascii="Arial" w:eastAsia="Arial" w:hAnsi="Arial" w:cs="Arial"/>
        </w:rPr>
      </w:pPr>
      <w:r>
        <w:rPr>
          <w:rFonts w:ascii="Arial" w:eastAsia="Arial" w:hAnsi="Arial" w:cs="Arial"/>
        </w:rPr>
        <w:t xml:space="preserve">First, based on the initial quantitative market analysis, namely a survey to prove the assumption of the existence of the target group of </w:t>
      </w:r>
      <w:r>
        <w:rPr>
          <w:rFonts w:ascii="Arial" w:eastAsia="Arial" w:hAnsi="Arial" w:cs="Arial"/>
          <w:i/>
          <w:iCs/>
        </w:rPr>
        <w:t>‘Ethical Maximalists,’</w:t>
      </w:r>
      <w:r>
        <w:rPr>
          <w:rFonts w:ascii="Arial" w:eastAsia="Arial" w:hAnsi="Arial" w:cs="Arial"/>
        </w:rPr>
        <w:t xml:space="preserve"> as well as willingness to pay premiums. Although secondary research is acceptable, having primary data would be more convincing in this respect.</w:t>
      </w:r>
    </w:p>
    <w:p w14:paraId="1882CEAE" w14:textId="77777777" w:rsidR="00465B5E" w:rsidRDefault="00827C75">
      <w:pPr>
        <w:numPr>
          <w:ilvl w:val="0"/>
          <w:numId w:val="1"/>
        </w:numPr>
        <w:spacing w:after="240" w:line="360" w:lineRule="auto"/>
        <w:rPr>
          <w:rFonts w:ascii="Arial" w:eastAsia="Arial" w:hAnsi="Arial" w:cs="Arial"/>
        </w:rPr>
      </w:pPr>
      <w:r>
        <w:rPr>
          <w:rFonts w:ascii="Arial" w:eastAsia="Arial" w:hAnsi="Arial" w:cs="Arial"/>
        </w:rPr>
        <w:t>Second, I would create a more comprehensive financial analysis, including models of customer acquisition costs (CAC) and lifetime values (LTV), to better demonstrate the financial feasibility of inbound marketing approaches. This narrows down the differences between marketing strategy and financial outcomes.</w:t>
      </w:r>
    </w:p>
    <w:p w14:paraId="6D3F96D7" w14:textId="77777777" w:rsidR="00465B5E" w:rsidRDefault="00827C75">
      <w:pPr>
        <w:pStyle w:val="Heading2"/>
        <w:keepNext w:val="0"/>
        <w:keepLines w:val="0"/>
        <w:spacing w:before="360" w:line="360" w:lineRule="auto"/>
        <w:jc w:val="both"/>
        <w:rPr>
          <w:rFonts w:ascii="Arial" w:eastAsia="Arial" w:hAnsi="Arial" w:cs="Arial"/>
          <w:b/>
          <w:bCs/>
          <w:color w:val="000000"/>
          <w:sz w:val="34"/>
          <w:szCs w:val="34"/>
        </w:rPr>
      </w:pPr>
      <w:bookmarkStart w:id="19" w:name="_heading=h.gogc349x31tz" w:colFirst="0" w:colLast="0"/>
      <w:bookmarkEnd w:id="19"/>
      <w:r>
        <w:rPr>
          <w:rFonts w:ascii="Arial" w:eastAsia="Arial" w:hAnsi="Arial" w:cs="Arial"/>
          <w:b/>
          <w:bCs/>
          <w:color w:val="000000"/>
          <w:sz w:val="34"/>
          <w:szCs w:val="34"/>
        </w:rPr>
        <w:t>6.0 Conclusion</w:t>
      </w:r>
    </w:p>
    <w:p w14:paraId="3B8AA7B3" w14:textId="77777777" w:rsidR="00465B5E" w:rsidRDefault="00827C75">
      <w:pPr>
        <w:spacing w:before="240" w:after="240" w:line="360" w:lineRule="auto"/>
        <w:jc w:val="both"/>
        <w:rPr>
          <w:rFonts w:ascii="Arial" w:eastAsia="Arial" w:hAnsi="Arial" w:cs="Arial"/>
        </w:rPr>
      </w:pPr>
      <w:r>
        <w:rPr>
          <w:rFonts w:ascii="Arial" w:eastAsia="Arial" w:hAnsi="Arial" w:cs="Arial"/>
        </w:rPr>
        <w:t xml:space="preserve">In this marketing portfolio, a strong and genuine launch strategy for </w:t>
      </w:r>
      <w:r>
        <w:rPr>
          <w:rFonts w:ascii="Arial" w:eastAsia="Arial" w:hAnsi="Arial" w:cs="Arial"/>
          <w:i/>
          <w:iCs/>
        </w:rPr>
        <w:t>Patagonia Provisions Home</w:t>
      </w:r>
      <w:r>
        <w:rPr>
          <w:rFonts w:ascii="Arial" w:eastAsia="Arial" w:hAnsi="Arial" w:cs="Arial"/>
        </w:rPr>
        <w:t xml:space="preserve"> has been established. The positioning of an extension of this brand, resting upon what Patagonia is all about, as well as a perceptive segmentation of this customer, known as an </w:t>
      </w:r>
      <w:r>
        <w:rPr>
          <w:rFonts w:ascii="Arial" w:eastAsia="Arial" w:hAnsi="Arial" w:cs="Arial"/>
          <w:i/>
          <w:iCs/>
        </w:rPr>
        <w:t>"Ethical Maximalist,"</w:t>
      </w:r>
      <w:r>
        <w:rPr>
          <w:rFonts w:ascii="Arial" w:eastAsia="Arial" w:hAnsi="Arial" w:cs="Arial"/>
        </w:rPr>
        <w:t xml:space="preserve"> provides an excellent positioning platform for this brand in the market place. The analysis of STDP provides a distinct strategic course, which, in turn, is complemented by the accumulated 7Ps of marketing mix to provide an inclusive guide to implement which ensures that all interfaces communicate a distinct value proposition for regenerative, transparent, and enduring home products. The success of this project also requires an errorless execution of this strategy, which expresses continued faith in the belief that a strong success at the level of commerce is also possible when accompanied by strong environmental sentiments at an equal level in our current economy.</w:t>
      </w:r>
    </w:p>
    <w:p w14:paraId="51503F97" w14:textId="77777777" w:rsidR="00465B5E" w:rsidRDefault="00827C75">
      <w:pPr>
        <w:spacing w:line="360" w:lineRule="auto"/>
        <w:jc w:val="both"/>
        <w:rPr>
          <w:rFonts w:ascii="Arial" w:eastAsia="Arial" w:hAnsi="Arial" w:cs="Arial"/>
          <w:color w:val="000000"/>
        </w:rPr>
      </w:pPr>
      <w:r>
        <w:br w:type="page"/>
      </w:r>
    </w:p>
    <w:p w14:paraId="0EA45B3A" w14:textId="77777777" w:rsidR="00465B5E" w:rsidRDefault="00827C75">
      <w:pPr>
        <w:pStyle w:val="Heading2"/>
        <w:spacing w:line="360" w:lineRule="auto"/>
        <w:jc w:val="both"/>
        <w:rPr>
          <w:rFonts w:ascii="Arial" w:eastAsia="Arial" w:hAnsi="Arial" w:cs="Arial"/>
          <w:color w:val="000000"/>
        </w:rPr>
      </w:pPr>
      <w:bookmarkStart w:id="20" w:name="_heading=h.n5c91i9vfcfe" w:colFirst="0" w:colLast="0"/>
      <w:bookmarkEnd w:id="20"/>
      <w:r>
        <w:rPr>
          <w:rFonts w:ascii="Arial" w:eastAsia="Arial" w:hAnsi="Arial" w:cs="Arial"/>
          <w:color w:val="000000"/>
        </w:rPr>
        <w:t>7.0 References</w:t>
      </w:r>
    </w:p>
    <w:p w14:paraId="524C6B9A" w14:textId="77777777" w:rsidR="00465B5E" w:rsidRDefault="00827C75">
      <w:pPr>
        <w:spacing w:before="240" w:after="240" w:line="360" w:lineRule="auto"/>
        <w:jc w:val="both"/>
        <w:rPr>
          <w:rFonts w:ascii="Arial" w:eastAsia="Arial" w:hAnsi="Arial" w:cs="Arial"/>
          <w:color w:val="000000"/>
        </w:rPr>
      </w:pPr>
      <w:proofErr w:type="spellStart"/>
      <w:r>
        <w:rPr>
          <w:rFonts w:ascii="Arial" w:eastAsia="Arial" w:hAnsi="Arial" w:cs="Arial"/>
          <w:color w:val="000000"/>
        </w:rPr>
        <w:t>Aaker</w:t>
      </w:r>
      <w:proofErr w:type="spellEnd"/>
      <w:r>
        <w:rPr>
          <w:rFonts w:ascii="Arial" w:eastAsia="Arial" w:hAnsi="Arial" w:cs="Arial"/>
          <w:color w:val="000000"/>
        </w:rPr>
        <w:t xml:space="preserve">, D.A. (2004) ‘Brand portfolio strategy and brand architecture’, </w:t>
      </w:r>
      <w:r>
        <w:rPr>
          <w:rFonts w:ascii="Arial" w:eastAsia="Arial" w:hAnsi="Arial" w:cs="Arial"/>
          <w:i/>
          <w:iCs/>
          <w:color w:val="000000"/>
        </w:rPr>
        <w:t>California Management Review</w:t>
      </w:r>
      <w:r>
        <w:rPr>
          <w:rFonts w:ascii="Arial" w:eastAsia="Arial" w:hAnsi="Arial" w:cs="Arial"/>
          <w:color w:val="000000"/>
        </w:rPr>
        <w:t>, 46(3), pp. 86–103.</w:t>
      </w:r>
    </w:p>
    <w:p w14:paraId="58C8E13D" w14:textId="77777777" w:rsidR="00465B5E" w:rsidRDefault="00827C75">
      <w:pPr>
        <w:spacing w:before="240" w:after="240" w:line="360" w:lineRule="auto"/>
        <w:jc w:val="both"/>
        <w:rPr>
          <w:rFonts w:ascii="Arial" w:eastAsia="Arial" w:hAnsi="Arial" w:cs="Arial"/>
          <w:color w:val="000000"/>
        </w:rPr>
      </w:pPr>
      <w:proofErr w:type="spellStart"/>
      <w:r>
        <w:rPr>
          <w:rFonts w:ascii="Arial" w:eastAsia="Arial" w:hAnsi="Arial" w:cs="Arial"/>
          <w:color w:val="000000"/>
        </w:rPr>
        <w:t>Aaker</w:t>
      </w:r>
      <w:proofErr w:type="spellEnd"/>
      <w:r>
        <w:rPr>
          <w:rFonts w:ascii="Arial" w:eastAsia="Arial" w:hAnsi="Arial" w:cs="Arial"/>
          <w:color w:val="000000"/>
        </w:rPr>
        <w:t xml:space="preserve">, D.A. (2009) </w:t>
      </w:r>
      <w:r>
        <w:rPr>
          <w:rFonts w:ascii="Arial" w:eastAsia="Arial" w:hAnsi="Arial" w:cs="Arial"/>
          <w:i/>
          <w:iCs/>
          <w:color w:val="000000"/>
        </w:rPr>
        <w:t>Managing brand equity</w:t>
      </w:r>
      <w:r>
        <w:rPr>
          <w:rFonts w:ascii="Arial" w:eastAsia="Arial" w:hAnsi="Arial" w:cs="Arial"/>
          <w:color w:val="000000"/>
        </w:rPr>
        <w:t>. New York: The Free Press.</w:t>
      </w:r>
    </w:p>
    <w:p w14:paraId="2D75C963" w14:textId="77777777" w:rsidR="00465B5E" w:rsidRDefault="00827C75">
      <w:pPr>
        <w:spacing w:before="240" w:after="240" w:line="360" w:lineRule="auto"/>
        <w:jc w:val="both"/>
        <w:rPr>
          <w:rFonts w:ascii="Arial" w:eastAsia="Arial" w:hAnsi="Arial" w:cs="Arial"/>
          <w:color w:val="000000"/>
        </w:rPr>
      </w:pPr>
      <w:proofErr w:type="spellStart"/>
      <w:r>
        <w:rPr>
          <w:rFonts w:ascii="Arial" w:eastAsia="Arial" w:hAnsi="Arial" w:cs="Arial"/>
          <w:color w:val="000000"/>
        </w:rPr>
        <w:t>Bitner</w:t>
      </w:r>
      <w:proofErr w:type="spellEnd"/>
      <w:r>
        <w:rPr>
          <w:rFonts w:ascii="Arial" w:eastAsia="Arial" w:hAnsi="Arial" w:cs="Arial"/>
          <w:color w:val="000000"/>
        </w:rPr>
        <w:t>, M.J. (1992) ‘</w:t>
      </w:r>
      <w:proofErr w:type="spellStart"/>
      <w:r>
        <w:rPr>
          <w:rFonts w:ascii="Arial" w:eastAsia="Arial" w:hAnsi="Arial" w:cs="Arial"/>
          <w:color w:val="000000"/>
        </w:rPr>
        <w:t>Servicescapes</w:t>
      </w:r>
      <w:proofErr w:type="spellEnd"/>
      <w:r>
        <w:rPr>
          <w:rFonts w:ascii="Arial" w:eastAsia="Arial" w:hAnsi="Arial" w:cs="Arial"/>
          <w:color w:val="000000"/>
        </w:rPr>
        <w:t xml:space="preserve">: The impact of physical surroundings on customers and employees’, </w:t>
      </w:r>
      <w:r>
        <w:rPr>
          <w:rFonts w:ascii="Arial" w:eastAsia="Arial" w:hAnsi="Arial" w:cs="Arial"/>
          <w:i/>
          <w:iCs/>
          <w:color w:val="000000"/>
        </w:rPr>
        <w:t>Journal of Marketing</w:t>
      </w:r>
      <w:r>
        <w:rPr>
          <w:rFonts w:ascii="Arial" w:eastAsia="Arial" w:hAnsi="Arial" w:cs="Arial"/>
          <w:color w:val="000000"/>
        </w:rPr>
        <w:t>, 56(2), pp. 57–71.</w:t>
      </w:r>
    </w:p>
    <w:p w14:paraId="1ABBA7D8" w14:textId="77777777" w:rsidR="00465B5E" w:rsidRDefault="00827C75">
      <w:pPr>
        <w:spacing w:before="240" w:after="240" w:line="360" w:lineRule="auto"/>
        <w:jc w:val="both"/>
        <w:rPr>
          <w:rFonts w:ascii="Arial" w:eastAsia="Arial" w:hAnsi="Arial" w:cs="Arial"/>
          <w:color w:val="000000"/>
        </w:rPr>
      </w:pPr>
      <w:r>
        <w:rPr>
          <w:rFonts w:ascii="Arial" w:eastAsia="Arial" w:hAnsi="Arial" w:cs="Arial"/>
          <w:color w:val="000000"/>
        </w:rPr>
        <w:t xml:space="preserve">Booms, B.H. and </w:t>
      </w:r>
      <w:proofErr w:type="spellStart"/>
      <w:r>
        <w:rPr>
          <w:rFonts w:ascii="Arial" w:eastAsia="Arial" w:hAnsi="Arial" w:cs="Arial"/>
          <w:color w:val="000000"/>
        </w:rPr>
        <w:t>Bitner</w:t>
      </w:r>
      <w:proofErr w:type="spellEnd"/>
      <w:r>
        <w:rPr>
          <w:rFonts w:ascii="Arial" w:eastAsia="Arial" w:hAnsi="Arial" w:cs="Arial"/>
          <w:color w:val="000000"/>
        </w:rPr>
        <w:t xml:space="preserve">, M.J. (1981) ‘Marketing strategies and organization structures for service firms’, in Donnelly, J.H. and George, W.R. (eds.) </w:t>
      </w:r>
      <w:r>
        <w:rPr>
          <w:rFonts w:ascii="Arial" w:eastAsia="Arial" w:hAnsi="Arial" w:cs="Arial"/>
          <w:i/>
          <w:iCs/>
          <w:color w:val="000000"/>
        </w:rPr>
        <w:t>Marketing of Services</w:t>
      </w:r>
      <w:r>
        <w:rPr>
          <w:rFonts w:ascii="Arial" w:eastAsia="Arial" w:hAnsi="Arial" w:cs="Arial"/>
          <w:color w:val="000000"/>
        </w:rPr>
        <w:t>. Chicago, IL: American Marketing Association, pp. 47–51.</w:t>
      </w:r>
    </w:p>
    <w:p w14:paraId="2C22CAE2" w14:textId="77777777" w:rsidR="00465B5E" w:rsidRDefault="00827C75">
      <w:pPr>
        <w:spacing w:before="240" w:after="240" w:line="360" w:lineRule="auto"/>
        <w:jc w:val="both"/>
        <w:rPr>
          <w:rFonts w:ascii="Arial" w:eastAsia="Arial" w:hAnsi="Arial" w:cs="Arial"/>
          <w:color w:val="000000"/>
        </w:rPr>
      </w:pPr>
      <w:r>
        <w:rPr>
          <w:rFonts w:ascii="Arial" w:eastAsia="Arial" w:hAnsi="Arial" w:cs="Arial"/>
          <w:color w:val="000000"/>
        </w:rPr>
        <w:t xml:space="preserve">Carrington, M.J., Zwick, D. and Neville, B. (2014) ‘The ideology of the ethical consumption gap’, </w:t>
      </w:r>
      <w:r>
        <w:rPr>
          <w:rFonts w:ascii="Arial" w:eastAsia="Arial" w:hAnsi="Arial" w:cs="Arial"/>
          <w:i/>
          <w:iCs/>
          <w:color w:val="000000"/>
        </w:rPr>
        <w:t>Marketing Theory</w:t>
      </w:r>
      <w:r>
        <w:rPr>
          <w:rFonts w:ascii="Arial" w:eastAsia="Arial" w:hAnsi="Arial" w:cs="Arial"/>
          <w:color w:val="000000"/>
        </w:rPr>
        <w:t>, 16(1), pp. 27–41.</w:t>
      </w:r>
    </w:p>
    <w:p w14:paraId="4DCE0988" w14:textId="77777777" w:rsidR="00465B5E" w:rsidRDefault="00827C75">
      <w:pPr>
        <w:spacing w:before="240" w:after="240" w:line="360" w:lineRule="auto"/>
        <w:jc w:val="both"/>
        <w:rPr>
          <w:rFonts w:ascii="Arial" w:eastAsia="Arial" w:hAnsi="Arial" w:cs="Arial"/>
          <w:color w:val="000000"/>
        </w:rPr>
      </w:pPr>
      <w:r>
        <w:rPr>
          <w:rFonts w:ascii="Arial" w:eastAsia="Arial" w:hAnsi="Arial" w:cs="Arial"/>
          <w:color w:val="000000"/>
        </w:rPr>
        <w:t xml:space="preserve">D'Souza, C., </w:t>
      </w:r>
      <w:proofErr w:type="spellStart"/>
      <w:r>
        <w:rPr>
          <w:rFonts w:ascii="Arial" w:eastAsia="Arial" w:hAnsi="Arial" w:cs="Arial"/>
          <w:color w:val="000000"/>
        </w:rPr>
        <w:t>Taghian</w:t>
      </w:r>
      <w:proofErr w:type="spellEnd"/>
      <w:r>
        <w:rPr>
          <w:rFonts w:ascii="Arial" w:eastAsia="Arial" w:hAnsi="Arial" w:cs="Arial"/>
          <w:color w:val="000000"/>
        </w:rPr>
        <w:t xml:space="preserve">, M., Lamb, P. and </w:t>
      </w:r>
      <w:proofErr w:type="spellStart"/>
      <w:r>
        <w:rPr>
          <w:rFonts w:ascii="Arial" w:eastAsia="Arial" w:hAnsi="Arial" w:cs="Arial"/>
          <w:color w:val="000000"/>
        </w:rPr>
        <w:t>Peretiatkos</w:t>
      </w:r>
      <w:proofErr w:type="spellEnd"/>
      <w:r>
        <w:rPr>
          <w:rFonts w:ascii="Arial" w:eastAsia="Arial" w:hAnsi="Arial" w:cs="Arial"/>
          <w:color w:val="000000"/>
        </w:rPr>
        <w:t xml:space="preserve">, R. (2007) ‘Green decisions: demographics and consumer understanding of environmental labels’, </w:t>
      </w:r>
      <w:r>
        <w:rPr>
          <w:rFonts w:ascii="Arial" w:eastAsia="Arial" w:hAnsi="Arial" w:cs="Arial"/>
          <w:i/>
          <w:iCs/>
          <w:color w:val="000000"/>
        </w:rPr>
        <w:t>International Journal of Consumer Studies</w:t>
      </w:r>
      <w:r>
        <w:rPr>
          <w:rFonts w:ascii="Arial" w:eastAsia="Arial" w:hAnsi="Arial" w:cs="Arial"/>
          <w:color w:val="000000"/>
        </w:rPr>
        <w:t>, 31(4), pp. 371–376.</w:t>
      </w:r>
    </w:p>
    <w:p w14:paraId="7450808B" w14:textId="77777777" w:rsidR="00465B5E" w:rsidRDefault="00827C75">
      <w:pPr>
        <w:spacing w:before="240" w:after="240" w:line="360" w:lineRule="auto"/>
        <w:jc w:val="both"/>
        <w:rPr>
          <w:rFonts w:ascii="Arial" w:eastAsia="Arial" w:hAnsi="Arial" w:cs="Arial"/>
          <w:color w:val="000000"/>
        </w:rPr>
      </w:pPr>
      <w:proofErr w:type="spellStart"/>
      <w:r>
        <w:rPr>
          <w:rFonts w:ascii="Arial" w:eastAsia="Arial" w:hAnsi="Arial" w:cs="Arial"/>
          <w:color w:val="000000"/>
        </w:rPr>
        <w:t>Dibb</w:t>
      </w:r>
      <w:proofErr w:type="spellEnd"/>
      <w:r>
        <w:rPr>
          <w:rFonts w:ascii="Arial" w:eastAsia="Arial" w:hAnsi="Arial" w:cs="Arial"/>
          <w:color w:val="000000"/>
        </w:rPr>
        <w:t xml:space="preserve">, S. and </w:t>
      </w:r>
      <w:proofErr w:type="spellStart"/>
      <w:r>
        <w:rPr>
          <w:rFonts w:ascii="Arial" w:eastAsia="Arial" w:hAnsi="Arial" w:cs="Arial"/>
          <w:color w:val="000000"/>
        </w:rPr>
        <w:t>Simkin</w:t>
      </w:r>
      <w:proofErr w:type="spellEnd"/>
      <w:r>
        <w:rPr>
          <w:rFonts w:ascii="Arial" w:eastAsia="Arial" w:hAnsi="Arial" w:cs="Arial"/>
          <w:color w:val="000000"/>
        </w:rPr>
        <w:t xml:space="preserve">, L. (2010) ‘Targeting, segments and positioning’, </w:t>
      </w:r>
      <w:r>
        <w:rPr>
          <w:rFonts w:ascii="Arial" w:eastAsia="Arial" w:hAnsi="Arial" w:cs="Arial"/>
          <w:i/>
          <w:iCs/>
          <w:color w:val="000000"/>
        </w:rPr>
        <w:t>International Journal of Retail &amp; Distribution Management</w:t>
      </w:r>
      <w:r>
        <w:rPr>
          <w:rFonts w:ascii="Arial" w:eastAsia="Arial" w:hAnsi="Arial" w:cs="Arial"/>
          <w:color w:val="000000"/>
        </w:rPr>
        <w:t>, 38(8), pp. 605–621.</w:t>
      </w:r>
    </w:p>
    <w:p w14:paraId="4F60420A" w14:textId="77777777" w:rsidR="00465B5E" w:rsidRDefault="00827C75">
      <w:pPr>
        <w:spacing w:before="240" w:after="240" w:line="360" w:lineRule="auto"/>
        <w:jc w:val="both"/>
        <w:rPr>
          <w:rFonts w:ascii="Arial" w:eastAsia="Arial" w:hAnsi="Arial" w:cs="Arial"/>
          <w:color w:val="000000"/>
        </w:rPr>
      </w:pPr>
      <w:proofErr w:type="spellStart"/>
      <w:r>
        <w:rPr>
          <w:rFonts w:ascii="Arial" w:eastAsia="Arial" w:hAnsi="Arial" w:cs="Arial"/>
          <w:color w:val="000000"/>
        </w:rPr>
        <w:t>Gleim</w:t>
      </w:r>
      <w:proofErr w:type="spellEnd"/>
      <w:r>
        <w:rPr>
          <w:rFonts w:ascii="Arial" w:eastAsia="Arial" w:hAnsi="Arial" w:cs="Arial"/>
          <w:color w:val="000000"/>
        </w:rPr>
        <w:t xml:space="preserve">, M.R., Smith, J.S., Andrews, D. and Cronin, J.J. (2013) ‘Against the green: A multi-method examination of the barriers to green consumption’, </w:t>
      </w:r>
      <w:r>
        <w:rPr>
          <w:rFonts w:ascii="Arial" w:eastAsia="Arial" w:hAnsi="Arial" w:cs="Arial"/>
          <w:i/>
          <w:iCs/>
          <w:color w:val="000000"/>
        </w:rPr>
        <w:t>Journal of Retailing</w:t>
      </w:r>
      <w:r>
        <w:rPr>
          <w:rFonts w:ascii="Arial" w:eastAsia="Arial" w:hAnsi="Arial" w:cs="Arial"/>
          <w:color w:val="000000"/>
        </w:rPr>
        <w:t>, 89(1), pp. 44–61.</w:t>
      </w:r>
    </w:p>
    <w:p w14:paraId="3AD268E7" w14:textId="77777777" w:rsidR="00465B5E" w:rsidRDefault="00827C75">
      <w:pPr>
        <w:spacing w:before="240" w:after="240" w:line="360" w:lineRule="auto"/>
        <w:jc w:val="both"/>
        <w:rPr>
          <w:rFonts w:ascii="Arial" w:eastAsia="Arial" w:hAnsi="Arial" w:cs="Arial"/>
          <w:color w:val="000000"/>
        </w:rPr>
      </w:pPr>
      <w:r>
        <w:rPr>
          <w:rFonts w:ascii="Arial" w:eastAsia="Arial" w:hAnsi="Arial" w:cs="Arial"/>
          <w:color w:val="000000"/>
        </w:rPr>
        <w:t xml:space="preserve">Grewal, L. and </w:t>
      </w:r>
      <w:proofErr w:type="spellStart"/>
      <w:r>
        <w:rPr>
          <w:rFonts w:ascii="Arial" w:eastAsia="Arial" w:hAnsi="Arial" w:cs="Arial"/>
          <w:color w:val="000000"/>
        </w:rPr>
        <w:t>Roggeveen</w:t>
      </w:r>
      <w:proofErr w:type="spellEnd"/>
      <w:r>
        <w:rPr>
          <w:rFonts w:ascii="Arial" w:eastAsia="Arial" w:hAnsi="Arial" w:cs="Arial"/>
          <w:color w:val="000000"/>
        </w:rPr>
        <w:t xml:space="preserve">, A.L. (2020) ‘Understanding the Power of Word of Mouth: A Review and Directions for Future Research’, </w:t>
      </w:r>
      <w:r>
        <w:rPr>
          <w:rFonts w:ascii="Arial" w:eastAsia="Arial" w:hAnsi="Arial" w:cs="Arial"/>
          <w:i/>
          <w:iCs/>
          <w:color w:val="000000"/>
        </w:rPr>
        <w:t>Journal of Retailing</w:t>
      </w:r>
      <w:r>
        <w:rPr>
          <w:rFonts w:ascii="Arial" w:eastAsia="Arial" w:hAnsi="Arial" w:cs="Arial"/>
          <w:color w:val="000000"/>
        </w:rPr>
        <w:t>, 96(3), pp. 297–299.</w:t>
      </w:r>
    </w:p>
    <w:p w14:paraId="350F35A5" w14:textId="77777777" w:rsidR="00465B5E" w:rsidRDefault="00827C75">
      <w:pPr>
        <w:spacing w:before="240" w:after="240" w:line="360" w:lineRule="auto"/>
        <w:jc w:val="both"/>
        <w:rPr>
          <w:rFonts w:ascii="Arial" w:eastAsia="Arial" w:hAnsi="Arial" w:cs="Arial"/>
          <w:color w:val="000000"/>
        </w:rPr>
      </w:pPr>
      <w:proofErr w:type="spellStart"/>
      <w:r>
        <w:rPr>
          <w:rFonts w:ascii="Arial" w:eastAsia="Arial" w:hAnsi="Arial" w:cs="Arial"/>
          <w:color w:val="000000"/>
        </w:rPr>
        <w:t>Grönroos</w:t>
      </w:r>
      <w:proofErr w:type="spellEnd"/>
      <w:r>
        <w:rPr>
          <w:rFonts w:ascii="Arial" w:eastAsia="Arial" w:hAnsi="Arial" w:cs="Arial"/>
          <w:color w:val="000000"/>
        </w:rPr>
        <w:t xml:space="preserve">, C. (2007) </w:t>
      </w:r>
      <w:r>
        <w:rPr>
          <w:rFonts w:ascii="Arial" w:eastAsia="Arial" w:hAnsi="Arial" w:cs="Arial"/>
          <w:i/>
          <w:iCs/>
          <w:color w:val="000000"/>
        </w:rPr>
        <w:t>Service management and marketing: Customer management in service competition</w:t>
      </w:r>
      <w:r>
        <w:rPr>
          <w:rFonts w:ascii="Arial" w:eastAsia="Arial" w:hAnsi="Arial" w:cs="Arial"/>
          <w:color w:val="000000"/>
        </w:rPr>
        <w:t xml:space="preserve">. 3rd </w:t>
      </w:r>
      <w:proofErr w:type="spellStart"/>
      <w:r>
        <w:rPr>
          <w:rFonts w:ascii="Arial" w:eastAsia="Arial" w:hAnsi="Arial" w:cs="Arial"/>
          <w:color w:val="000000"/>
        </w:rPr>
        <w:t>edn</w:t>
      </w:r>
      <w:proofErr w:type="spellEnd"/>
      <w:r>
        <w:rPr>
          <w:rFonts w:ascii="Arial" w:eastAsia="Arial" w:hAnsi="Arial" w:cs="Arial"/>
          <w:color w:val="000000"/>
        </w:rPr>
        <w:t xml:space="preserve">. </w:t>
      </w:r>
      <w:proofErr w:type="spellStart"/>
      <w:r>
        <w:rPr>
          <w:rFonts w:ascii="Arial" w:eastAsia="Arial" w:hAnsi="Arial" w:cs="Arial"/>
          <w:color w:val="000000"/>
        </w:rPr>
        <w:t>Chichester</w:t>
      </w:r>
      <w:proofErr w:type="spellEnd"/>
      <w:r>
        <w:rPr>
          <w:rFonts w:ascii="Arial" w:eastAsia="Arial" w:hAnsi="Arial" w:cs="Arial"/>
          <w:color w:val="000000"/>
        </w:rPr>
        <w:t>: John Wiley &amp; Sons.</w:t>
      </w:r>
    </w:p>
    <w:p w14:paraId="2389B89C" w14:textId="77777777" w:rsidR="00465B5E" w:rsidRDefault="00827C75">
      <w:pPr>
        <w:spacing w:before="240" w:after="240" w:line="360" w:lineRule="auto"/>
        <w:jc w:val="both"/>
        <w:rPr>
          <w:rFonts w:ascii="Arial" w:eastAsia="Arial" w:hAnsi="Arial" w:cs="Arial"/>
          <w:color w:val="000000"/>
        </w:rPr>
      </w:pPr>
      <w:proofErr w:type="spellStart"/>
      <w:r>
        <w:rPr>
          <w:rFonts w:ascii="Arial" w:eastAsia="Arial" w:hAnsi="Arial" w:cs="Arial"/>
          <w:color w:val="000000"/>
        </w:rPr>
        <w:t>Hallagan</w:t>
      </w:r>
      <w:proofErr w:type="spellEnd"/>
      <w:r>
        <w:rPr>
          <w:rFonts w:ascii="Arial" w:eastAsia="Arial" w:hAnsi="Arial" w:cs="Arial"/>
          <w:color w:val="000000"/>
        </w:rPr>
        <w:t xml:space="preserve">, W.A., </w:t>
      </w:r>
      <w:proofErr w:type="spellStart"/>
      <w:r>
        <w:rPr>
          <w:rFonts w:ascii="Arial" w:eastAsia="Arial" w:hAnsi="Arial" w:cs="Arial"/>
          <w:color w:val="000000"/>
        </w:rPr>
        <w:t>Menelly</w:t>
      </w:r>
      <w:proofErr w:type="spellEnd"/>
      <w:r>
        <w:rPr>
          <w:rFonts w:ascii="Arial" w:eastAsia="Arial" w:hAnsi="Arial" w:cs="Arial"/>
          <w:color w:val="000000"/>
        </w:rPr>
        <w:t xml:space="preserve">, N.E. and </w:t>
      </w:r>
      <w:proofErr w:type="spellStart"/>
      <w:r>
        <w:rPr>
          <w:rFonts w:ascii="Arial" w:eastAsia="Arial" w:hAnsi="Arial" w:cs="Arial"/>
          <w:color w:val="000000"/>
        </w:rPr>
        <w:t>Anastas</w:t>
      </w:r>
      <w:proofErr w:type="spellEnd"/>
      <w:r>
        <w:rPr>
          <w:rFonts w:ascii="Arial" w:eastAsia="Arial" w:hAnsi="Arial" w:cs="Arial"/>
          <w:color w:val="000000"/>
        </w:rPr>
        <w:t xml:space="preserve">, P.T. (2021) ‘Green Chemistry, Green Chemical Engineering, and Sustainability’, in </w:t>
      </w:r>
      <w:r>
        <w:rPr>
          <w:rFonts w:ascii="Arial" w:eastAsia="Arial" w:hAnsi="Arial" w:cs="Arial"/>
          <w:i/>
          <w:iCs/>
          <w:color w:val="000000"/>
        </w:rPr>
        <w:t>Handbook of Green Chemistry</w:t>
      </w:r>
      <w:r>
        <w:rPr>
          <w:rFonts w:ascii="Arial" w:eastAsia="Arial" w:hAnsi="Arial" w:cs="Arial"/>
          <w:color w:val="000000"/>
        </w:rPr>
        <w:t xml:space="preserve">, Volume 10. </w:t>
      </w:r>
      <w:proofErr w:type="spellStart"/>
      <w:r>
        <w:rPr>
          <w:rFonts w:ascii="Arial" w:eastAsia="Arial" w:hAnsi="Arial" w:cs="Arial"/>
          <w:color w:val="000000"/>
        </w:rPr>
        <w:t>Weinheim</w:t>
      </w:r>
      <w:proofErr w:type="spellEnd"/>
      <w:r>
        <w:rPr>
          <w:rFonts w:ascii="Arial" w:eastAsia="Arial" w:hAnsi="Arial" w:cs="Arial"/>
          <w:color w:val="000000"/>
        </w:rPr>
        <w:t>: Wiley-VCH, pp. 1–27.</w:t>
      </w:r>
    </w:p>
    <w:p w14:paraId="757BFEF4" w14:textId="77777777" w:rsidR="00465B5E" w:rsidRDefault="00827C75">
      <w:pPr>
        <w:spacing w:before="240" w:after="240" w:line="360" w:lineRule="auto"/>
        <w:jc w:val="both"/>
        <w:rPr>
          <w:rFonts w:ascii="Arial" w:eastAsia="Arial" w:hAnsi="Arial" w:cs="Arial"/>
          <w:color w:val="000000"/>
        </w:rPr>
      </w:pPr>
      <w:r>
        <w:rPr>
          <w:rFonts w:ascii="Arial" w:eastAsia="Arial" w:hAnsi="Arial" w:cs="Arial"/>
          <w:color w:val="000000"/>
        </w:rPr>
        <w:t xml:space="preserve">Halligan, B. and Shah, D. (2014) </w:t>
      </w:r>
      <w:r>
        <w:rPr>
          <w:rFonts w:ascii="Arial" w:eastAsia="Arial" w:hAnsi="Arial" w:cs="Arial"/>
          <w:i/>
          <w:iCs/>
          <w:color w:val="000000"/>
        </w:rPr>
        <w:t>Inbound marketing, revised and updated: Attract, engage, and delight customers online</w:t>
      </w:r>
      <w:r>
        <w:rPr>
          <w:rFonts w:ascii="Arial" w:eastAsia="Arial" w:hAnsi="Arial" w:cs="Arial"/>
          <w:color w:val="000000"/>
        </w:rPr>
        <w:t>. Hoboken, NJ: John Wiley &amp; Sons.</w:t>
      </w:r>
    </w:p>
    <w:p w14:paraId="30F0BF04" w14:textId="77777777" w:rsidR="00465B5E" w:rsidRDefault="00827C75">
      <w:pPr>
        <w:spacing w:before="240" w:after="240" w:line="360" w:lineRule="auto"/>
        <w:jc w:val="both"/>
        <w:rPr>
          <w:rFonts w:ascii="Arial" w:eastAsia="Arial" w:hAnsi="Arial" w:cs="Arial"/>
          <w:color w:val="000000"/>
        </w:rPr>
      </w:pPr>
      <w:proofErr w:type="spellStart"/>
      <w:r>
        <w:rPr>
          <w:rFonts w:ascii="Arial" w:eastAsia="Arial" w:hAnsi="Arial" w:cs="Arial"/>
          <w:color w:val="000000"/>
        </w:rPr>
        <w:t>Hinterhuber</w:t>
      </w:r>
      <w:proofErr w:type="spellEnd"/>
      <w:r>
        <w:rPr>
          <w:rFonts w:ascii="Arial" w:eastAsia="Arial" w:hAnsi="Arial" w:cs="Arial"/>
          <w:color w:val="000000"/>
        </w:rPr>
        <w:t xml:space="preserve">, A. (2008) ‘Customer value-based pricing strategies: why companies resist’, </w:t>
      </w:r>
      <w:r>
        <w:rPr>
          <w:rFonts w:ascii="Arial" w:eastAsia="Arial" w:hAnsi="Arial" w:cs="Arial"/>
          <w:i/>
          <w:iCs/>
          <w:color w:val="000000"/>
        </w:rPr>
        <w:t>Journal of Business Strategy</w:t>
      </w:r>
      <w:r>
        <w:rPr>
          <w:rFonts w:ascii="Arial" w:eastAsia="Arial" w:hAnsi="Arial" w:cs="Arial"/>
          <w:color w:val="000000"/>
        </w:rPr>
        <w:t>, 29(4), pp. 41–50.</w:t>
      </w:r>
    </w:p>
    <w:p w14:paraId="1EDCD758" w14:textId="77777777" w:rsidR="00465B5E" w:rsidRDefault="00827C75">
      <w:pPr>
        <w:spacing w:before="240" w:after="240" w:line="360" w:lineRule="auto"/>
        <w:jc w:val="both"/>
        <w:rPr>
          <w:rFonts w:ascii="Arial" w:eastAsia="Arial" w:hAnsi="Arial" w:cs="Arial"/>
          <w:color w:val="000000"/>
        </w:rPr>
      </w:pPr>
      <w:r>
        <w:rPr>
          <w:rFonts w:ascii="Arial" w:eastAsia="Arial" w:hAnsi="Arial" w:cs="Arial"/>
          <w:color w:val="000000"/>
        </w:rPr>
        <w:t xml:space="preserve">Keller, K.L. (2013) </w:t>
      </w:r>
      <w:r>
        <w:rPr>
          <w:rFonts w:ascii="Arial" w:eastAsia="Arial" w:hAnsi="Arial" w:cs="Arial"/>
          <w:i/>
          <w:iCs/>
          <w:color w:val="000000"/>
        </w:rPr>
        <w:t>Strategic Brand Management</w:t>
      </w:r>
      <w:r>
        <w:rPr>
          <w:rFonts w:ascii="Arial" w:eastAsia="Arial" w:hAnsi="Arial" w:cs="Arial"/>
          <w:color w:val="000000"/>
        </w:rPr>
        <w:t xml:space="preserve">. 4th </w:t>
      </w:r>
      <w:proofErr w:type="spellStart"/>
      <w:r>
        <w:rPr>
          <w:rFonts w:ascii="Arial" w:eastAsia="Arial" w:hAnsi="Arial" w:cs="Arial"/>
          <w:color w:val="000000"/>
        </w:rPr>
        <w:t>edn</w:t>
      </w:r>
      <w:proofErr w:type="spellEnd"/>
      <w:r>
        <w:rPr>
          <w:rFonts w:ascii="Arial" w:eastAsia="Arial" w:hAnsi="Arial" w:cs="Arial"/>
          <w:color w:val="000000"/>
        </w:rPr>
        <w:t>. Harlow: Pearson Education.</w:t>
      </w:r>
    </w:p>
    <w:p w14:paraId="193E0B1C" w14:textId="77777777" w:rsidR="00465B5E" w:rsidRDefault="00827C75">
      <w:pPr>
        <w:spacing w:before="240" w:after="240" w:line="360" w:lineRule="auto"/>
        <w:jc w:val="both"/>
        <w:rPr>
          <w:rFonts w:ascii="Arial" w:eastAsia="Arial" w:hAnsi="Arial" w:cs="Arial"/>
          <w:color w:val="000000"/>
        </w:rPr>
      </w:pPr>
      <w:r>
        <w:rPr>
          <w:rFonts w:ascii="Arial" w:eastAsia="Arial" w:hAnsi="Arial" w:cs="Arial"/>
          <w:color w:val="000000"/>
        </w:rPr>
        <w:t xml:space="preserve">Kotler, P. and Armstrong, G. (2021) </w:t>
      </w:r>
      <w:r>
        <w:rPr>
          <w:rFonts w:ascii="Arial" w:eastAsia="Arial" w:hAnsi="Arial" w:cs="Arial"/>
          <w:i/>
          <w:iCs/>
          <w:color w:val="000000"/>
        </w:rPr>
        <w:t>Principles of marketing</w:t>
      </w:r>
      <w:r>
        <w:rPr>
          <w:rFonts w:ascii="Arial" w:eastAsia="Arial" w:hAnsi="Arial" w:cs="Arial"/>
          <w:color w:val="000000"/>
        </w:rPr>
        <w:t xml:space="preserve">. 18th </w:t>
      </w:r>
      <w:proofErr w:type="spellStart"/>
      <w:r>
        <w:rPr>
          <w:rFonts w:ascii="Arial" w:eastAsia="Arial" w:hAnsi="Arial" w:cs="Arial"/>
          <w:color w:val="000000"/>
        </w:rPr>
        <w:t>edn</w:t>
      </w:r>
      <w:proofErr w:type="spellEnd"/>
      <w:r>
        <w:rPr>
          <w:rFonts w:ascii="Arial" w:eastAsia="Arial" w:hAnsi="Arial" w:cs="Arial"/>
          <w:color w:val="000000"/>
        </w:rPr>
        <w:t>. Harlow: Pearson Education.</w:t>
      </w:r>
    </w:p>
    <w:p w14:paraId="7C3CF73A" w14:textId="77777777" w:rsidR="00465B5E" w:rsidRDefault="00827C75">
      <w:pPr>
        <w:spacing w:before="240" w:after="240" w:line="360" w:lineRule="auto"/>
        <w:jc w:val="both"/>
        <w:rPr>
          <w:rFonts w:ascii="Arial" w:eastAsia="Arial" w:hAnsi="Arial" w:cs="Arial"/>
          <w:color w:val="000000"/>
        </w:rPr>
      </w:pPr>
      <w:r>
        <w:rPr>
          <w:rFonts w:ascii="Arial" w:eastAsia="Arial" w:hAnsi="Arial" w:cs="Arial"/>
          <w:color w:val="000000"/>
        </w:rPr>
        <w:t xml:space="preserve">Levitt, T. (1980) ‘Marketing success through differentiation--of anything’, </w:t>
      </w:r>
      <w:r>
        <w:rPr>
          <w:rFonts w:ascii="Arial" w:eastAsia="Arial" w:hAnsi="Arial" w:cs="Arial"/>
          <w:i/>
          <w:iCs/>
          <w:color w:val="000000"/>
        </w:rPr>
        <w:t>Harvard Business Review</w:t>
      </w:r>
      <w:r>
        <w:rPr>
          <w:rFonts w:ascii="Arial" w:eastAsia="Arial" w:hAnsi="Arial" w:cs="Arial"/>
          <w:color w:val="000000"/>
        </w:rPr>
        <w:t>, 58(1), pp. 83–91.</w:t>
      </w:r>
    </w:p>
    <w:p w14:paraId="49E565E7" w14:textId="77777777" w:rsidR="00465B5E" w:rsidRDefault="00827C75">
      <w:pPr>
        <w:spacing w:before="240" w:after="240" w:line="360" w:lineRule="auto"/>
        <w:jc w:val="both"/>
        <w:rPr>
          <w:rFonts w:ascii="Arial" w:eastAsia="Arial" w:hAnsi="Arial" w:cs="Arial"/>
          <w:color w:val="000000"/>
        </w:rPr>
      </w:pPr>
      <w:r>
        <w:rPr>
          <w:rFonts w:ascii="Arial" w:eastAsia="Arial" w:hAnsi="Arial" w:cs="Arial"/>
          <w:color w:val="000000"/>
        </w:rPr>
        <w:t xml:space="preserve">McDonough, W. and </w:t>
      </w:r>
      <w:proofErr w:type="spellStart"/>
      <w:r>
        <w:rPr>
          <w:rFonts w:ascii="Arial" w:eastAsia="Arial" w:hAnsi="Arial" w:cs="Arial"/>
          <w:color w:val="000000"/>
        </w:rPr>
        <w:t>Braungart</w:t>
      </w:r>
      <w:proofErr w:type="spellEnd"/>
      <w:r>
        <w:rPr>
          <w:rFonts w:ascii="Arial" w:eastAsia="Arial" w:hAnsi="Arial" w:cs="Arial"/>
          <w:color w:val="000000"/>
        </w:rPr>
        <w:t xml:space="preserve">, M. (2010) </w:t>
      </w:r>
      <w:r>
        <w:rPr>
          <w:rFonts w:ascii="Arial" w:eastAsia="Arial" w:hAnsi="Arial" w:cs="Arial"/>
          <w:i/>
          <w:iCs/>
          <w:color w:val="000000"/>
        </w:rPr>
        <w:t>Cradle to cradle: Remaking the way we make things</w:t>
      </w:r>
      <w:r>
        <w:rPr>
          <w:rFonts w:ascii="Arial" w:eastAsia="Arial" w:hAnsi="Arial" w:cs="Arial"/>
          <w:color w:val="000000"/>
        </w:rPr>
        <w:t>. New York: North Point Press.</w:t>
      </w:r>
    </w:p>
    <w:p w14:paraId="00833619" w14:textId="77777777" w:rsidR="00465B5E" w:rsidRDefault="00827C75">
      <w:pPr>
        <w:spacing w:before="240" w:after="240" w:line="360" w:lineRule="auto"/>
        <w:jc w:val="both"/>
        <w:rPr>
          <w:rFonts w:ascii="Arial" w:eastAsia="Arial" w:hAnsi="Arial" w:cs="Arial"/>
          <w:color w:val="000000"/>
        </w:rPr>
      </w:pPr>
      <w:r>
        <w:rPr>
          <w:rFonts w:ascii="Arial" w:eastAsia="Arial" w:hAnsi="Arial" w:cs="Arial"/>
          <w:color w:val="000000"/>
        </w:rPr>
        <w:t xml:space="preserve">Pappas, N. (2022) ‘The new era of conscious consumers: choosing sustainability in a pandemic world’, </w:t>
      </w:r>
      <w:r>
        <w:rPr>
          <w:rFonts w:ascii="Arial" w:eastAsia="Arial" w:hAnsi="Arial" w:cs="Arial"/>
          <w:i/>
          <w:iCs/>
          <w:color w:val="000000"/>
        </w:rPr>
        <w:t>Current Issues in Tourism</w:t>
      </w:r>
      <w:r>
        <w:rPr>
          <w:rFonts w:ascii="Arial" w:eastAsia="Arial" w:hAnsi="Arial" w:cs="Arial"/>
          <w:color w:val="000000"/>
        </w:rPr>
        <w:t>, 25(1), pp. 1–7.</w:t>
      </w:r>
    </w:p>
    <w:p w14:paraId="44BF1521" w14:textId="77777777" w:rsidR="00465B5E" w:rsidRDefault="00827C75">
      <w:pPr>
        <w:spacing w:before="240" w:after="240" w:line="360" w:lineRule="auto"/>
        <w:jc w:val="both"/>
        <w:rPr>
          <w:rFonts w:ascii="Arial" w:eastAsia="Arial" w:hAnsi="Arial" w:cs="Arial"/>
          <w:color w:val="000000"/>
        </w:rPr>
      </w:pPr>
      <w:r>
        <w:rPr>
          <w:rFonts w:ascii="Arial" w:eastAsia="Arial" w:hAnsi="Arial" w:cs="Arial"/>
          <w:color w:val="000000"/>
        </w:rPr>
        <w:t xml:space="preserve">Patagonia (2023) </w:t>
      </w:r>
      <w:r>
        <w:rPr>
          <w:rFonts w:ascii="Arial" w:eastAsia="Arial" w:hAnsi="Arial" w:cs="Arial"/>
          <w:i/>
          <w:iCs/>
          <w:color w:val="000000"/>
        </w:rPr>
        <w:t>Our values / Our footprint</w:t>
      </w:r>
      <w:r>
        <w:rPr>
          <w:rFonts w:ascii="Arial" w:eastAsia="Arial" w:hAnsi="Arial" w:cs="Arial"/>
          <w:color w:val="000000"/>
        </w:rPr>
        <w:t xml:space="preserve">. Available at: </w:t>
      </w:r>
      <w:hyperlink r:id="rId10">
        <w:r>
          <w:rPr>
            <w:rFonts w:ascii="Arial" w:eastAsia="Arial" w:hAnsi="Arial" w:cs="Arial"/>
            <w:color w:val="000000"/>
            <w:u w:val="single"/>
          </w:rPr>
          <w:t>https://www.patagonia.com/our-footprint/</w:t>
        </w:r>
      </w:hyperlink>
      <w:r>
        <w:rPr>
          <w:rFonts w:ascii="Arial" w:eastAsia="Arial" w:hAnsi="Arial" w:cs="Arial"/>
          <w:color w:val="000000"/>
        </w:rPr>
        <w:t xml:space="preserve"> (Accessed: 19 September 2025). </w:t>
      </w:r>
      <w:hyperlink r:id="rId11">
        <w:r>
          <w:rPr>
            <w:rFonts w:ascii="Arial" w:eastAsia="Arial" w:hAnsi="Arial" w:cs="Arial"/>
            <w:color w:val="000000"/>
            <w:u w:val="single"/>
          </w:rPr>
          <w:t>patagonia.com</w:t>
        </w:r>
      </w:hyperlink>
    </w:p>
    <w:p w14:paraId="719A67BB" w14:textId="77777777" w:rsidR="00465B5E" w:rsidRDefault="00827C75">
      <w:pPr>
        <w:spacing w:before="240" w:after="240" w:line="360" w:lineRule="auto"/>
        <w:jc w:val="both"/>
        <w:rPr>
          <w:rFonts w:ascii="Arial" w:eastAsia="Arial" w:hAnsi="Arial" w:cs="Arial"/>
          <w:color w:val="000000"/>
        </w:rPr>
      </w:pPr>
      <w:r>
        <w:rPr>
          <w:rFonts w:ascii="Arial" w:eastAsia="Arial" w:hAnsi="Arial" w:cs="Arial"/>
          <w:color w:val="000000"/>
        </w:rPr>
        <w:t xml:space="preserve">Rhodes, C.J. (2017) ‘The imperative for regenerative agriculture’, </w:t>
      </w:r>
      <w:r>
        <w:rPr>
          <w:rFonts w:ascii="Arial" w:eastAsia="Arial" w:hAnsi="Arial" w:cs="Arial"/>
          <w:i/>
          <w:iCs/>
          <w:color w:val="000000"/>
        </w:rPr>
        <w:t>Science Progress</w:t>
      </w:r>
      <w:r>
        <w:rPr>
          <w:rFonts w:ascii="Arial" w:eastAsia="Arial" w:hAnsi="Arial" w:cs="Arial"/>
          <w:color w:val="000000"/>
        </w:rPr>
        <w:t>, 100(1), pp. 80–129.</w:t>
      </w:r>
    </w:p>
    <w:p w14:paraId="4B8A66F2" w14:textId="77777777" w:rsidR="00465B5E" w:rsidRDefault="00827C75">
      <w:pPr>
        <w:spacing w:before="240" w:after="240" w:line="360" w:lineRule="auto"/>
        <w:jc w:val="both"/>
        <w:rPr>
          <w:rFonts w:ascii="Arial" w:eastAsia="Arial" w:hAnsi="Arial" w:cs="Arial"/>
          <w:color w:val="000000"/>
        </w:rPr>
      </w:pPr>
      <w:proofErr w:type="spellStart"/>
      <w:r>
        <w:rPr>
          <w:rFonts w:ascii="Arial" w:eastAsia="Arial" w:hAnsi="Arial" w:cs="Arial"/>
          <w:color w:val="000000"/>
        </w:rPr>
        <w:t>Ries</w:t>
      </w:r>
      <w:proofErr w:type="spellEnd"/>
      <w:r>
        <w:rPr>
          <w:rFonts w:ascii="Arial" w:eastAsia="Arial" w:hAnsi="Arial" w:cs="Arial"/>
          <w:color w:val="000000"/>
        </w:rPr>
        <w:t xml:space="preserve">, A. and Trout, J. (2001) </w:t>
      </w:r>
      <w:r>
        <w:rPr>
          <w:rFonts w:ascii="Arial" w:eastAsia="Arial" w:hAnsi="Arial" w:cs="Arial"/>
          <w:i/>
          <w:iCs/>
          <w:color w:val="000000"/>
        </w:rPr>
        <w:t>Positioning: The battle for your mind</w:t>
      </w:r>
      <w:r>
        <w:rPr>
          <w:rFonts w:ascii="Arial" w:eastAsia="Arial" w:hAnsi="Arial" w:cs="Arial"/>
          <w:color w:val="000000"/>
        </w:rPr>
        <w:t xml:space="preserve">. 20th Anniversary </w:t>
      </w:r>
      <w:proofErr w:type="spellStart"/>
      <w:r>
        <w:rPr>
          <w:rFonts w:ascii="Arial" w:eastAsia="Arial" w:hAnsi="Arial" w:cs="Arial"/>
          <w:color w:val="000000"/>
        </w:rPr>
        <w:t>edn</w:t>
      </w:r>
      <w:proofErr w:type="spellEnd"/>
      <w:r>
        <w:rPr>
          <w:rFonts w:ascii="Arial" w:eastAsia="Arial" w:hAnsi="Arial" w:cs="Arial"/>
          <w:color w:val="000000"/>
        </w:rPr>
        <w:t>. New York: McGraw-Hill.</w:t>
      </w:r>
    </w:p>
    <w:p w14:paraId="179C2F0D" w14:textId="77777777" w:rsidR="00465B5E" w:rsidRDefault="00827C75">
      <w:pPr>
        <w:spacing w:before="240" w:after="240" w:line="360" w:lineRule="auto"/>
        <w:jc w:val="both"/>
        <w:rPr>
          <w:rFonts w:ascii="Arial" w:eastAsia="Arial" w:hAnsi="Arial" w:cs="Arial"/>
          <w:color w:val="000000"/>
        </w:rPr>
      </w:pPr>
      <w:proofErr w:type="spellStart"/>
      <w:r>
        <w:rPr>
          <w:rFonts w:ascii="Arial" w:eastAsia="Arial" w:hAnsi="Arial" w:cs="Arial"/>
          <w:color w:val="000000"/>
        </w:rPr>
        <w:t>Schoultz</w:t>
      </w:r>
      <w:proofErr w:type="spellEnd"/>
      <w:r>
        <w:rPr>
          <w:rFonts w:ascii="Arial" w:eastAsia="Arial" w:hAnsi="Arial" w:cs="Arial"/>
          <w:color w:val="000000"/>
        </w:rPr>
        <w:t xml:space="preserve">, H. (2020) </w:t>
      </w:r>
      <w:r>
        <w:rPr>
          <w:rFonts w:ascii="Arial" w:eastAsia="Arial" w:hAnsi="Arial" w:cs="Arial"/>
          <w:i/>
          <w:iCs/>
          <w:color w:val="000000"/>
        </w:rPr>
        <w:t>Patagonia's marketing strategy: a deep dive into the iconic brand</w:t>
      </w:r>
      <w:r>
        <w:rPr>
          <w:rFonts w:ascii="Arial" w:eastAsia="Arial" w:hAnsi="Arial" w:cs="Arial"/>
          <w:color w:val="000000"/>
        </w:rPr>
        <w:t xml:space="preserve">. Available at: </w:t>
      </w:r>
      <w:hyperlink r:id="rId12">
        <w:r>
          <w:rPr>
            <w:rFonts w:ascii="Arial" w:eastAsia="Arial" w:hAnsi="Arial" w:cs="Arial"/>
            <w:color w:val="000000"/>
            <w:u w:val="single"/>
          </w:rPr>
          <w:t>https://www.linkedin.com/pulse/patagonias-marketing-strategy-deep-dive-iconic-brand-hannes-schoultz</w:t>
        </w:r>
      </w:hyperlink>
      <w:r>
        <w:rPr>
          <w:rFonts w:ascii="Arial" w:eastAsia="Arial" w:hAnsi="Arial" w:cs="Arial"/>
          <w:color w:val="000000"/>
        </w:rPr>
        <w:t xml:space="preserve"> (Accessed: 21 September 2025).</w:t>
      </w:r>
      <w:r>
        <w:br/>
      </w:r>
      <w:r>
        <w:rPr>
          <w:rFonts w:ascii="Arial" w:eastAsia="Arial" w:hAnsi="Arial" w:cs="Arial"/>
          <w:color w:val="000000"/>
        </w:rPr>
        <w:t xml:space="preserve"> </w:t>
      </w:r>
    </w:p>
    <w:p w14:paraId="5DC5D718" w14:textId="77777777" w:rsidR="00465B5E" w:rsidRDefault="00827C75">
      <w:pPr>
        <w:spacing w:before="240" w:after="240" w:line="360" w:lineRule="auto"/>
        <w:jc w:val="both"/>
        <w:rPr>
          <w:rFonts w:ascii="Arial" w:eastAsia="Arial" w:hAnsi="Arial" w:cs="Arial"/>
          <w:color w:val="000000"/>
        </w:rPr>
      </w:pPr>
      <w:proofErr w:type="spellStart"/>
      <w:r>
        <w:rPr>
          <w:rFonts w:ascii="Arial" w:eastAsia="Arial" w:hAnsi="Arial" w:cs="Arial"/>
          <w:color w:val="000000"/>
        </w:rPr>
        <w:t>Trivium</w:t>
      </w:r>
      <w:proofErr w:type="spellEnd"/>
      <w:r>
        <w:rPr>
          <w:rFonts w:ascii="Arial" w:eastAsia="Arial" w:hAnsi="Arial" w:cs="Arial"/>
          <w:color w:val="000000"/>
        </w:rPr>
        <w:t xml:space="preserve"> Packaging (2023) </w:t>
      </w:r>
      <w:r>
        <w:rPr>
          <w:rFonts w:ascii="Arial" w:eastAsia="Arial" w:hAnsi="Arial" w:cs="Arial"/>
          <w:i/>
          <w:iCs/>
          <w:color w:val="000000"/>
        </w:rPr>
        <w:t>2023 Buying Green Report</w:t>
      </w:r>
      <w:r>
        <w:rPr>
          <w:rFonts w:ascii="Arial" w:eastAsia="Arial" w:hAnsi="Arial" w:cs="Arial"/>
          <w:color w:val="000000"/>
        </w:rPr>
        <w:t xml:space="preserve">. Available at: </w:t>
      </w:r>
      <w:hyperlink r:id="rId13">
        <w:r>
          <w:rPr>
            <w:rFonts w:ascii="Arial" w:eastAsia="Arial" w:hAnsi="Arial" w:cs="Arial"/>
            <w:color w:val="000000"/>
            <w:u w:val="single"/>
          </w:rPr>
          <w:t>https://buyinggreen.triviumpackaging.com/</w:t>
        </w:r>
      </w:hyperlink>
      <w:r>
        <w:rPr>
          <w:rFonts w:ascii="Arial" w:eastAsia="Arial" w:hAnsi="Arial" w:cs="Arial"/>
          <w:color w:val="000000"/>
        </w:rPr>
        <w:t xml:space="preserve"> (Accessed: 20 September 2025). </w:t>
      </w:r>
      <w:hyperlink r:id="rId14">
        <w:r>
          <w:rPr>
            <w:rFonts w:ascii="Arial" w:eastAsia="Arial" w:hAnsi="Arial" w:cs="Arial"/>
            <w:color w:val="000000"/>
            <w:u w:val="single"/>
          </w:rPr>
          <w:t>buyinggreen.triviumpackaging.com+1</w:t>
        </w:r>
      </w:hyperlink>
    </w:p>
    <w:p w14:paraId="09D9979A" w14:textId="77777777" w:rsidR="00465B5E" w:rsidRDefault="00827C75">
      <w:pPr>
        <w:spacing w:before="240" w:after="240" w:line="360" w:lineRule="auto"/>
        <w:jc w:val="both"/>
        <w:rPr>
          <w:rFonts w:ascii="Arial" w:eastAsia="Arial" w:hAnsi="Arial" w:cs="Arial"/>
          <w:color w:val="000000"/>
        </w:rPr>
      </w:pPr>
      <w:r>
        <w:rPr>
          <w:rFonts w:ascii="Arial" w:eastAsia="Arial" w:hAnsi="Arial" w:cs="Arial"/>
          <w:color w:val="000000"/>
        </w:rPr>
        <w:t xml:space="preserve">University of Wales Trinity Saint David (2024) </w:t>
      </w:r>
      <w:r>
        <w:rPr>
          <w:rFonts w:ascii="Arial" w:eastAsia="Arial" w:hAnsi="Arial" w:cs="Arial"/>
          <w:i/>
          <w:iCs/>
          <w:color w:val="000000"/>
        </w:rPr>
        <w:t>LCMB7024 Marketing Management Assessment Specification</w:t>
      </w:r>
      <w:r>
        <w:rPr>
          <w:rFonts w:ascii="Arial" w:eastAsia="Arial" w:hAnsi="Arial" w:cs="Arial"/>
          <w:color w:val="000000"/>
        </w:rPr>
        <w:t>. Carmarthen: UWTSD.</w:t>
      </w:r>
    </w:p>
    <w:p w14:paraId="7B99A74A" w14:textId="77777777" w:rsidR="00465B5E" w:rsidRDefault="00827C75">
      <w:pPr>
        <w:spacing w:before="240" w:after="240" w:line="360" w:lineRule="auto"/>
        <w:jc w:val="both"/>
        <w:rPr>
          <w:rFonts w:ascii="Arial" w:eastAsia="Arial" w:hAnsi="Arial" w:cs="Arial"/>
          <w:color w:val="000000"/>
        </w:rPr>
      </w:pPr>
      <w:proofErr w:type="spellStart"/>
      <w:r>
        <w:rPr>
          <w:rFonts w:ascii="Arial" w:eastAsia="Arial" w:hAnsi="Arial" w:cs="Arial"/>
          <w:color w:val="000000"/>
        </w:rPr>
        <w:t>Verhoef</w:t>
      </w:r>
      <w:proofErr w:type="spellEnd"/>
      <w:r>
        <w:rPr>
          <w:rFonts w:ascii="Arial" w:eastAsia="Arial" w:hAnsi="Arial" w:cs="Arial"/>
          <w:color w:val="000000"/>
        </w:rPr>
        <w:t xml:space="preserve">, P.C., Kannan, P.K. and Inman, J.J. (2015) ‘From multi-channel retailing to </w:t>
      </w:r>
      <w:proofErr w:type="spellStart"/>
      <w:r>
        <w:rPr>
          <w:rFonts w:ascii="Arial" w:eastAsia="Arial" w:hAnsi="Arial" w:cs="Arial"/>
          <w:color w:val="000000"/>
        </w:rPr>
        <w:t>omni</w:t>
      </w:r>
      <w:proofErr w:type="spellEnd"/>
      <w:r>
        <w:rPr>
          <w:rFonts w:ascii="Arial" w:eastAsia="Arial" w:hAnsi="Arial" w:cs="Arial"/>
          <w:color w:val="000000"/>
        </w:rPr>
        <w:t xml:space="preserve">-channel retailing: Introduction to the special issue on multi-channel retailing’, </w:t>
      </w:r>
      <w:r>
        <w:rPr>
          <w:rFonts w:ascii="Arial" w:eastAsia="Arial" w:hAnsi="Arial" w:cs="Arial"/>
          <w:i/>
          <w:iCs/>
          <w:color w:val="000000"/>
        </w:rPr>
        <w:t>Journal of Retailing</w:t>
      </w:r>
      <w:r>
        <w:rPr>
          <w:rFonts w:ascii="Arial" w:eastAsia="Arial" w:hAnsi="Arial" w:cs="Arial"/>
          <w:color w:val="000000"/>
        </w:rPr>
        <w:t>, 91(2), pp. 174–181.</w:t>
      </w:r>
    </w:p>
    <w:p w14:paraId="50B3B280" w14:textId="77777777" w:rsidR="00465B5E" w:rsidRDefault="00827C75">
      <w:pPr>
        <w:spacing w:before="240" w:after="240" w:line="360" w:lineRule="auto"/>
        <w:jc w:val="both"/>
        <w:rPr>
          <w:rFonts w:ascii="Arial" w:eastAsia="Arial" w:hAnsi="Arial" w:cs="Arial"/>
          <w:color w:val="000000"/>
        </w:rPr>
      </w:pPr>
      <w:proofErr w:type="spellStart"/>
      <w:r>
        <w:rPr>
          <w:rFonts w:ascii="Arial" w:eastAsia="Arial" w:hAnsi="Arial" w:cs="Arial"/>
          <w:color w:val="000000"/>
        </w:rPr>
        <w:t>Zeithaml</w:t>
      </w:r>
      <w:proofErr w:type="spellEnd"/>
      <w:r>
        <w:rPr>
          <w:rFonts w:ascii="Arial" w:eastAsia="Arial" w:hAnsi="Arial" w:cs="Arial"/>
          <w:color w:val="000000"/>
        </w:rPr>
        <w:t xml:space="preserve">, V.A., </w:t>
      </w:r>
      <w:proofErr w:type="spellStart"/>
      <w:r>
        <w:rPr>
          <w:rFonts w:ascii="Arial" w:eastAsia="Arial" w:hAnsi="Arial" w:cs="Arial"/>
          <w:color w:val="000000"/>
        </w:rPr>
        <w:t>Bitner</w:t>
      </w:r>
      <w:proofErr w:type="spellEnd"/>
      <w:r>
        <w:rPr>
          <w:rFonts w:ascii="Arial" w:eastAsia="Arial" w:hAnsi="Arial" w:cs="Arial"/>
          <w:color w:val="000000"/>
        </w:rPr>
        <w:t xml:space="preserve">, M.J. and </w:t>
      </w:r>
      <w:proofErr w:type="spellStart"/>
      <w:r>
        <w:rPr>
          <w:rFonts w:ascii="Arial" w:eastAsia="Arial" w:hAnsi="Arial" w:cs="Arial"/>
          <w:color w:val="000000"/>
        </w:rPr>
        <w:t>Gremler</w:t>
      </w:r>
      <w:proofErr w:type="spellEnd"/>
      <w:r>
        <w:rPr>
          <w:rFonts w:ascii="Arial" w:eastAsia="Arial" w:hAnsi="Arial" w:cs="Arial"/>
          <w:color w:val="000000"/>
        </w:rPr>
        <w:t xml:space="preserve">, D.D. (2009) </w:t>
      </w:r>
      <w:r>
        <w:rPr>
          <w:rFonts w:ascii="Arial" w:eastAsia="Arial" w:hAnsi="Arial" w:cs="Arial"/>
          <w:i/>
          <w:iCs/>
          <w:color w:val="000000"/>
        </w:rPr>
        <w:t>Services marketing: Integrating customer focus across the firm</w:t>
      </w:r>
      <w:r>
        <w:rPr>
          <w:rFonts w:ascii="Arial" w:eastAsia="Arial" w:hAnsi="Arial" w:cs="Arial"/>
          <w:color w:val="000000"/>
        </w:rPr>
        <w:t xml:space="preserve">. 5th </w:t>
      </w:r>
      <w:proofErr w:type="spellStart"/>
      <w:r>
        <w:rPr>
          <w:rFonts w:ascii="Arial" w:eastAsia="Arial" w:hAnsi="Arial" w:cs="Arial"/>
          <w:color w:val="000000"/>
        </w:rPr>
        <w:t>edn</w:t>
      </w:r>
      <w:proofErr w:type="spellEnd"/>
      <w:r>
        <w:rPr>
          <w:rFonts w:ascii="Arial" w:eastAsia="Arial" w:hAnsi="Arial" w:cs="Arial"/>
          <w:color w:val="000000"/>
        </w:rPr>
        <w:t xml:space="preserve">. Boston: McGraw-Hill/Irwin. </w:t>
      </w:r>
      <w:hyperlink r:id="rId15">
        <w:r>
          <w:rPr>
            <w:rFonts w:ascii="Arial" w:eastAsia="Arial" w:hAnsi="Arial" w:cs="Arial"/>
            <w:color w:val="000000"/>
            <w:u w:val="single"/>
          </w:rPr>
          <w:t>McGraw Hill</w:t>
        </w:r>
      </w:hyperlink>
    </w:p>
    <w:p w14:paraId="18D3B2A4" w14:textId="77777777" w:rsidR="00465B5E" w:rsidRDefault="00827C75">
      <w:pPr>
        <w:pStyle w:val="Heading2"/>
        <w:rPr>
          <w:color w:val="000000"/>
        </w:rPr>
      </w:pPr>
      <w:bookmarkStart w:id="21" w:name="_heading=h.yl53kszi0ic5" w:colFirst="0" w:colLast="0"/>
      <w:bookmarkEnd w:id="21"/>
      <w:r>
        <w:rPr>
          <w:color w:val="000000"/>
        </w:rPr>
        <w:t>Appendix</w:t>
      </w:r>
    </w:p>
    <w:p w14:paraId="0C7904C3" w14:textId="77777777" w:rsidR="00465B5E" w:rsidRDefault="00827C75">
      <w:r>
        <w:rPr>
          <w:noProof/>
        </w:rPr>
        <w:drawing>
          <wp:inline distT="0" distB="0" distL="114300" distR="114300" wp14:anchorId="7E155B3B" wp14:editId="1459EC56">
            <wp:extent cx="5943600" cy="3952875"/>
            <wp:effectExtent l="0" t="0" r="0" b="0"/>
            <wp:docPr id="6043148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943600" cy="3952875"/>
                    </a:xfrm>
                    <a:prstGeom prst="rect">
                      <a:avLst/>
                    </a:prstGeom>
                    <a:ln/>
                  </pic:spPr>
                </pic:pic>
              </a:graphicData>
            </a:graphic>
          </wp:inline>
        </w:drawing>
      </w:r>
    </w:p>
    <w:p w14:paraId="19B875BF" w14:textId="77777777" w:rsidR="00465B5E" w:rsidRDefault="00465B5E">
      <w:pPr>
        <w:spacing w:line="360" w:lineRule="auto"/>
        <w:jc w:val="both"/>
        <w:rPr>
          <w:rFonts w:ascii="Arial" w:eastAsia="Arial" w:hAnsi="Arial" w:cs="Arial"/>
          <w:color w:val="000000"/>
        </w:rPr>
      </w:pPr>
    </w:p>
    <w:sectPr w:rsidR="00465B5E">
      <w:headerReference w:type="default" r:id="rId17"/>
      <w:footerReference w:type="default" r:id="rId1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BEE4B" w14:textId="77777777" w:rsidR="008C0950" w:rsidRDefault="008C0950">
      <w:pPr>
        <w:spacing w:after="0" w:line="240" w:lineRule="auto"/>
      </w:pPr>
      <w:r>
        <w:separator/>
      </w:r>
    </w:p>
  </w:endnote>
  <w:endnote w:type="continuationSeparator" w:id="0">
    <w:p w14:paraId="2BFE26E7" w14:textId="77777777" w:rsidR="008C0950" w:rsidRDefault="008C0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Play">
    <w:charset w:val="00"/>
    <w:family w:val="auto"/>
    <w:pitch w:val="default"/>
    <w:embedRegular r:id="rId1" w:fontKey="{51DF5144-8C81-B540-94B2-6F81736A526B}"/>
    <w:embedBold r:id="rId2" w:fontKey="{1E02EC06-D284-1048-AA5F-72BE6FE8CABD}"/>
  </w:font>
  <w:font w:name="Georgia">
    <w:panose1 w:val="02040502050405020303"/>
    <w:charset w:val="00"/>
    <w:family w:val="auto"/>
    <w:pitch w:val="default"/>
  </w:font>
  <w:font w:name="Playfair Display">
    <w:panose1 w:val="00000500000000000000"/>
    <w:charset w:val="00"/>
    <w:family w:val="auto"/>
    <w:pitch w:val="variable"/>
    <w:sig w:usb0="20000207" w:usb1="00000000" w:usb2="00000000" w:usb3="00000000" w:csb0="00000197" w:csb1="00000000"/>
  </w:font>
  <w:font w:name="Roboto">
    <w:panose1 w:val="02000000000000000000"/>
    <w:charset w:val="00"/>
    <w:family w:val="auto"/>
    <w:pitch w:val="variable"/>
    <w:sig w:usb0="E00002FF" w:usb1="5000217F" w:usb2="00000021" w:usb3="00000000" w:csb0="0000019F" w:csb1="00000000"/>
    <w:embedRegular r:id="rId3" w:fontKey="{00000000-0000-0000-0000-000000000000}"/>
    <w:embedBold r:id="rId4" w:fontKey="{00000000-0000-0000-0000-000000000000}"/>
    <w:embedItalic r:id="rId5" w:fontKey="{00000000-0000-0000-0000-000000000000}"/>
    <w:embedBoldItalic r:id="rId6" w:fontKey="{00000000-0000-0000-0000-0000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7A180" w14:textId="77777777" w:rsidR="00465B5E" w:rsidRDefault="00465B5E">
    <w:pPr>
      <w:widowControl w:val="0"/>
      <w:pBdr>
        <w:top w:val="nil"/>
        <w:left w:val="nil"/>
        <w:bottom w:val="nil"/>
        <w:right w:val="nil"/>
        <w:between w:val="nil"/>
      </w:pBdr>
      <w:spacing w:after="0" w:line="276" w:lineRule="auto"/>
      <w:rPr>
        <w:color w:val="000000"/>
      </w:rPr>
    </w:pPr>
  </w:p>
  <w:tbl>
    <w:tblPr>
      <w:tblStyle w:val="a1"/>
      <w:tblW w:w="9360" w:type="dxa"/>
      <w:tblLayout w:type="fixed"/>
      <w:tblLook w:val="0600" w:firstRow="0" w:lastRow="0" w:firstColumn="0" w:lastColumn="0" w:noHBand="1" w:noVBand="1"/>
    </w:tblPr>
    <w:tblGrid>
      <w:gridCol w:w="3120"/>
      <w:gridCol w:w="3120"/>
      <w:gridCol w:w="3120"/>
    </w:tblGrid>
    <w:tr w:rsidR="00465B5E" w14:paraId="5A523A10" w14:textId="77777777">
      <w:trPr>
        <w:trHeight w:val="300"/>
      </w:trPr>
      <w:tc>
        <w:tcPr>
          <w:tcW w:w="3120" w:type="dxa"/>
        </w:tcPr>
        <w:p w14:paraId="10FB73E3" w14:textId="77777777" w:rsidR="00465B5E" w:rsidRDefault="00465B5E">
          <w:pPr>
            <w:pBdr>
              <w:top w:val="nil"/>
              <w:left w:val="nil"/>
              <w:bottom w:val="nil"/>
              <w:right w:val="nil"/>
              <w:between w:val="nil"/>
            </w:pBdr>
            <w:tabs>
              <w:tab w:val="center" w:pos="4680"/>
              <w:tab w:val="right" w:pos="9360"/>
            </w:tabs>
            <w:spacing w:after="0" w:line="240" w:lineRule="auto"/>
            <w:ind w:left="-115"/>
            <w:rPr>
              <w:color w:val="000000"/>
            </w:rPr>
          </w:pPr>
        </w:p>
      </w:tc>
      <w:tc>
        <w:tcPr>
          <w:tcW w:w="3120" w:type="dxa"/>
        </w:tcPr>
        <w:p w14:paraId="199978CD" w14:textId="370F0606" w:rsidR="00465B5E" w:rsidRDefault="00827C75">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tc>
      <w:tc>
        <w:tcPr>
          <w:tcW w:w="3120" w:type="dxa"/>
        </w:tcPr>
        <w:p w14:paraId="2FBBFFD4" w14:textId="77777777" w:rsidR="00465B5E" w:rsidRDefault="00465B5E">
          <w:pPr>
            <w:pBdr>
              <w:top w:val="nil"/>
              <w:left w:val="nil"/>
              <w:bottom w:val="nil"/>
              <w:right w:val="nil"/>
              <w:between w:val="nil"/>
            </w:pBdr>
            <w:tabs>
              <w:tab w:val="center" w:pos="4680"/>
              <w:tab w:val="right" w:pos="9360"/>
            </w:tabs>
            <w:spacing w:after="0" w:line="240" w:lineRule="auto"/>
            <w:ind w:right="-115"/>
            <w:jc w:val="right"/>
            <w:rPr>
              <w:color w:val="000000"/>
            </w:rPr>
          </w:pPr>
        </w:p>
      </w:tc>
    </w:tr>
  </w:tbl>
  <w:p w14:paraId="1F8A4DAF" w14:textId="77777777" w:rsidR="00465B5E" w:rsidRDefault="00465B5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D6C47" w14:textId="77777777" w:rsidR="008C0950" w:rsidRDefault="008C0950">
      <w:pPr>
        <w:spacing w:after="0" w:line="240" w:lineRule="auto"/>
      </w:pPr>
      <w:r>
        <w:separator/>
      </w:r>
    </w:p>
  </w:footnote>
  <w:footnote w:type="continuationSeparator" w:id="0">
    <w:p w14:paraId="68F338E3" w14:textId="77777777" w:rsidR="008C0950" w:rsidRDefault="008C09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A67F6" w14:textId="77777777" w:rsidR="00465B5E" w:rsidRDefault="00465B5E">
    <w:pPr>
      <w:widowControl w:val="0"/>
      <w:pBdr>
        <w:top w:val="nil"/>
        <w:left w:val="nil"/>
        <w:bottom w:val="nil"/>
        <w:right w:val="nil"/>
        <w:between w:val="nil"/>
      </w:pBdr>
      <w:spacing w:after="0" w:line="276" w:lineRule="auto"/>
      <w:rPr>
        <w:rFonts w:ascii="Arial" w:eastAsia="Arial" w:hAnsi="Arial" w:cs="Arial"/>
        <w:color w:val="000000"/>
      </w:rPr>
    </w:pPr>
  </w:p>
  <w:tbl>
    <w:tblPr>
      <w:tblStyle w:val="a0"/>
      <w:tblW w:w="9360" w:type="dxa"/>
      <w:tblLayout w:type="fixed"/>
      <w:tblLook w:val="0600" w:firstRow="0" w:lastRow="0" w:firstColumn="0" w:lastColumn="0" w:noHBand="1" w:noVBand="1"/>
    </w:tblPr>
    <w:tblGrid>
      <w:gridCol w:w="3120"/>
      <w:gridCol w:w="3120"/>
      <w:gridCol w:w="3120"/>
    </w:tblGrid>
    <w:tr w:rsidR="00465B5E" w14:paraId="58A1E961" w14:textId="77777777">
      <w:trPr>
        <w:trHeight w:val="300"/>
      </w:trPr>
      <w:tc>
        <w:tcPr>
          <w:tcW w:w="3120" w:type="dxa"/>
        </w:tcPr>
        <w:p w14:paraId="3D73262E" w14:textId="77777777" w:rsidR="00465B5E" w:rsidRDefault="00827C75">
          <w:pPr>
            <w:pBdr>
              <w:top w:val="nil"/>
              <w:left w:val="nil"/>
              <w:bottom w:val="nil"/>
              <w:right w:val="nil"/>
              <w:between w:val="nil"/>
            </w:pBdr>
            <w:tabs>
              <w:tab w:val="center" w:pos="4680"/>
              <w:tab w:val="right" w:pos="9360"/>
            </w:tabs>
            <w:spacing w:after="0" w:line="240" w:lineRule="auto"/>
            <w:ind w:left="-115"/>
            <w:rPr>
              <w:color w:val="000000"/>
            </w:rPr>
          </w:pPr>
          <w:r>
            <w:rPr>
              <w:noProof/>
              <w:color w:val="000000"/>
            </w:rPr>
            <w:drawing>
              <wp:inline distT="0" distB="0" distL="114300" distR="114300" wp14:anchorId="7583B11D" wp14:editId="582E927B">
                <wp:extent cx="1809750" cy="723900"/>
                <wp:effectExtent l="0" t="0" r="0" b="0"/>
                <wp:docPr id="604314814" name="image3.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3.png" descr="Discover University of Wales Trinity Saint David"/>
                        <pic:cNvPicPr preferRelativeResize="0"/>
                      </pic:nvPicPr>
                      <pic:blipFill>
                        <a:blip r:embed="rId1"/>
                        <a:srcRect/>
                        <a:stretch>
                          <a:fillRect/>
                        </a:stretch>
                      </pic:blipFill>
                      <pic:spPr>
                        <a:xfrm>
                          <a:off x="0" y="0"/>
                          <a:ext cx="1809750" cy="723900"/>
                        </a:xfrm>
                        <a:prstGeom prst="rect">
                          <a:avLst/>
                        </a:prstGeom>
                        <a:ln/>
                      </pic:spPr>
                    </pic:pic>
                  </a:graphicData>
                </a:graphic>
              </wp:inline>
            </w:drawing>
          </w:r>
        </w:p>
      </w:tc>
      <w:tc>
        <w:tcPr>
          <w:tcW w:w="3120" w:type="dxa"/>
        </w:tcPr>
        <w:p w14:paraId="058C7613" w14:textId="77777777" w:rsidR="00465B5E" w:rsidRDefault="00465B5E">
          <w:pPr>
            <w:pBdr>
              <w:top w:val="nil"/>
              <w:left w:val="nil"/>
              <w:bottom w:val="nil"/>
              <w:right w:val="nil"/>
              <w:between w:val="nil"/>
            </w:pBdr>
            <w:tabs>
              <w:tab w:val="center" w:pos="4680"/>
              <w:tab w:val="right" w:pos="9360"/>
            </w:tabs>
            <w:spacing w:after="0" w:line="240" w:lineRule="auto"/>
            <w:jc w:val="center"/>
            <w:rPr>
              <w:color w:val="000000"/>
            </w:rPr>
          </w:pPr>
        </w:p>
      </w:tc>
      <w:tc>
        <w:tcPr>
          <w:tcW w:w="3120" w:type="dxa"/>
        </w:tcPr>
        <w:p w14:paraId="789A75B0" w14:textId="77777777" w:rsidR="00465B5E" w:rsidRDefault="00465B5E">
          <w:pPr>
            <w:pBdr>
              <w:top w:val="nil"/>
              <w:left w:val="nil"/>
              <w:bottom w:val="nil"/>
              <w:right w:val="nil"/>
              <w:between w:val="nil"/>
            </w:pBdr>
            <w:tabs>
              <w:tab w:val="center" w:pos="4680"/>
              <w:tab w:val="right" w:pos="9360"/>
            </w:tabs>
            <w:spacing w:after="0" w:line="240" w:lineRule="auto"/>
            <w:ind w:right="-115"/>
            <w:jc w:val="right"/>
            <w:rPr>
              <w:color w:val="000000"/>
            </w:rPr>
          </w:pPr>
        </w:p>
      </w:tc>
    </w:tr>
  </w:tbl>
  <w:p w14:paraId="56832599" w14:textId="77777777" w:rsidR="00465B5E" w:rsidRDefault="00465B5E">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971F0"/>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1302796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4C4FD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4C5427"/>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53496EF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B80331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5902470">
    <w:abstractNumId w:val="3"/>
  </w:num>
  <w:num w:numId="2" w16cid:durableId="450975749">
    <w:abstractNumId w:val="1"/>
  </w:num>
  <w:num w:numId="3" w16cid:durableId="840125006">
    <w:abstractNumId w:val="4"/>
  </w:num>
  <w:num w:numId="4" w16cid:durableId="1563326676">
    <w:abstractNumId w:val="0"/>
  </w:num>
  <w:num w:numId="5" w16cid:durableId="697320148">
    <w:abstractNumId w:val="2"/>
  </w:num>
  <w:num w:numId="6" w16cid:durableId="7829659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B5E"/>
    <w:rsid w:val="00024D7F"/>
    <w:rsid w:val="0025597C"/>
    <w:rsid w:val="00465B5E"/>
    <w:rsid w:val="00811F67"/>
    <w:rsid w:val="00827C75"/>
    <w:rsid w:val="008C09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09C0732C"/>
  <w15:docId w15:val="{E7591C60-81BE-F743-9D82-152F444E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GB"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ListParagraph">
    <w:name w:val="List Paragraph"/>
    <w:basedOn w:val="Normal"/>
    <w:uiPriority w:val="34"/>
    <w:qFormat/>
    <w:rsid w:val="2DFF02C6"/>
    <w:pPr>
      <w:ind w:left="720"/>
      <w:contextualSpacing/>
    </w:pPr>
  </w:style>
  <w:style w:type="character" w:styleId="Hyperlink">
    <w:name w:val="Hyperlink"/>
    <w:basedOn w:val="DefaultParagraphFont"/>
    <w:uiPriority w:val="99"/>
    <w:unhideWhenUsed/>
    <w:rsid w:val="2DFF02C6"/>
    <w:rPr>
      <w:color w:val="467886"/>
      <w:u w:val="single"/>
    </w:rPr>
  </w:style>
  <w:style w:type="paragraph" w:styleId="TOC2">
    <w:name w:val="toc 2"/>
    <w:basedOn w:val="Normal"/>
    <w:next w:val="Normal"/>
    <w:uiPriority w:val="39"/>
    <w:unhideWhenUsed/>
    <w:rsid w:val="2DFF02C6"/>
    <w:pPr>
      <w:spacing w:after="100"/>
      <w:ind w:left="220"/>
    </w:pPr>
  </w:style>
  <w:style w:type="paragraph" w:styleId="TOC3">
    <w:name w:val="toc 3"/>
    <w:basedOn w:val="Normal"/>
    <w:next w:val="Normal"/>
    <w:uiPriority w:val="39"/>
    <w:unhideWhenUsed/>
    <w:rsid w:val="2DFF02C6"/>
    <w:pPr>
      <w:spacing w:after="100"/>
      <w:ind w:left="440"/>
    </w:pPr>
  </w:style>
  <w:style w:type="paragraph" w:styleId="Header">
    <w:name w:val="header"/>
    <w:basedOn w:val="Normal"/>
    <w:uiPriority w:val="99"/>
    <w:unhideWhenUsed/>
    <w:rsid w:val="2DFF02C6"/>
    <w:pPr>
      <w:tabs>
        <w:tab w:val="center" w:pos="4680"/>
        <w:tab w:val="right" w:pos="9360"/>
      </w:tabs>
      <w:spacing w:after="0" w:line="240" w:lineRule="auto"/>
    </w:pPr>
  </w:style>
  <w:style w:type="paragraph" w:styleId="Footer">
    <w:name w:val="footer"/>
    <w:basedOn w:val="Normal"/>
    <w:uiPriority w:val="99"/>
    <w:unhideWhenUsed/>
    <w:rsid w:val="2DFF02C6"/>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hyperlink" Target="https://buyinggreen.triviumpackaging.com/?utm_source=chatgpt.com" TargetMode="External" /><Relationship Id="rId1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linkedin.com/pulse/patagonias-marketing-strategy-deep-dive-iconic-brand-hannes-schoultz" TargetMode="External" /><Relationship Id="rId17"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image" Target="media/image3.png"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patagonia.com/our-footprint/?utm_source=chatgpt.com" TargetMode="External" /><Relationship Id="rId5" Type="http://schemas.openxmlformats.org/officeDocument/2006/relationships/webSettings" Target="webSettings.xml" /><Relationship Id="rId15" Type="http://schemas.openxmlformats.org/officeDocument/2006/relationships/hyperlink" Target="https://www.mheducation.com/highered/product/services-marketing-integrating-customer-focus-across-the-firm-zeithaml.html?utm_source=chatgpt.com" TargetMode="External" /><Relationship Id="rId10" Type="http://schemas.openxmlformats.org/officeDocument/2006/relationships/hyperlink" Target="https://www.patagonia.com/our-footprint/?utm_source=chatgpt.com" TargetMode="External"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jpg" /><Relationship Id="rId14" Type="http://schemas.openxmlformats.org/officeDocument/2006/relationships/hyperlink" Target="https://buyinggreen.triviumpackaging.com/?utm_source=chatgpt.com"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Roboto-regular.ttf" /><Relationship Id="rId2" Type="http://schemas.openxmlformats.org/officeDocument/2006/relationships/font" Target="fonts/font2.odttf" /><Relationship Id="rId1" Type="http://schemas.openxmlformats.org/officeDocument/2006/relationships/font" Target="fonts/font1.odttf" /><Relationship Id="rId6" Type="http://schemas.openxmlformats.org/officeDocument/2006/relationships/font" Target="fonts/Roboto-boldItalic.ttf" /><Relationship Id="rId5" Type="http://schemas.openxmlformats.org/officeDocument/2006/relationships/font" Target="fonts/Roboto-italic.ttf" /><Relationship Id="rId4" Type="http://schemas.openxmlformats.org/officeDocument/2006/relationships/font" Target="fonts/Roboto-bold.ttf" /></Relationships>
</file>

<file path=word/_rels/header1.xml.rels><?xml version="1.0" encoding="UTF-8" standalone="yes"?>
<Relationships xmlns="http://schemas.openxmlformats.org/package/2006/relationships"><Relationship Id="rId1"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b6BFlSazEmxRj4ZKwSmAKljf9g==">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3906</Words>
  <Characters>22266</Characters>
  <Application>Microsoft Office Word</Application>
  <DocSecurity>0</DocSecurity>
  <Lines>185</Lines>
  <Paragraphs>52</Paragraphs>
  <ScaleCrop>false</ScaleCrop>
  <Company/>
  <LinksUpToDate>false</LinksUpToDate>
  <CharactersWithSpaces>26120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Jahangir; ismail hossain</dc:creator>
  <cp:lastModifiedBy>Jahangir Khalaj Savojbolagh (2109914)</cp:lastModifiedBy>
  <cp:revision>3</cp:revision>
  <dcterms:created xsi:type="dcterms:W3CDTF">2025-11-13T17:21:00Z</dcterms:created>
  <dcterms:modified xsi:type="dcterms:W3CDTF">2025-11-13T17:22:00Z</dcterms:modified>
</cp:coreProperties>
</file>