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721BCC" w:rsidRDefault="00FD7055" w:rsidP="00FD7055">
      <w:pPr>
        <w:spacing w:line="360" w:lineRule="auto"/>
        <w:jc w:val="center"/>
        <w:rPr>
          <w:b/>
          <w:sz w:val="24"/>
          <w:szCs w:val="24"/>
        </w:rPr>
      </w:pPr>
      <w:r>
        <w:rPr>
          <w:b/>
          <w:sz w:val="24"/>
          <w:szCs w:val="24"/>
        </w:rPr>
        <w:t>Part 1 (1000 words) – Using one childhood disorder you have studied, outline its characteristics, causes and prevalence rates. Part 2 (1500 words) – Discuss appropriate interventions and treatments for this childhood disorder.</w:t>
      </w:r>
    </w:p>
    <w:p w:rsidR="00FD7055" w:rsidRDefault="00FD7055" w:rsidP="00FD7055">
      <w:pPr>
        <w:spacing w:line="360" w:lineRule="auto"/>
        <w:rPr>
          <w:sz w:val="24"/>
          <w:szCs w:val="24"/>
        </w:rPr>
      </w:pPr>
      <w:r>
        <w:rPr>
          <w:sz w:val="24"/>
          <w:szCs w:val="24"/>
        </w:rPr>
        <w:tab/>
        <w:t xml:space="preserve">Conduct disorder (CD) is a childhood disorder characterized by a repetitive, persistent pattern of delinquent behaviour (DSM-IV-TR; American Psychiatric Association, 2000, cited in </w:t>
      </w:r>
      <w:proofErr w:type="spellStart"/>
      <w:r>
        <w:rPr>
          <w:sz w:val="24"/>
          <w:szCs w:val="24"/>
        </w:rPr>
        <w:t>Ammerman</w:t>
      </w:r>
      <w:proofErr w:type="spellEnd"/>
      <w:r>
        <w:rPr>
          <w:sz w:val="24"/>
          <w:szCs w:val="24"/>
        </w:rPr>
        <w:t>, Ed., 2006, p.299</w:t>
      </w:r>
      <w:r w:rsidR="000A6CE3">
        <w:rPr>
          <w:sz w:val="24"/>
          <w:szCs w:val="24"/>
        </w:rPr>
        <w:t>). CD is considered more severe than Oppositional D</w:t>
      </w:r>
      <w:r w:rsidR="00910DF5">
        <w:rPr>
          <w:sz w:val="24"/>
          <w:szCs w:val="24"/>
        </w:rPr>
        <w:t>efiant Disorder (ODD) (</w:t>
      </w:r>
      <w:proofErr w:type="spellStart"/>
      <w:r w:rsidR="00910DF5">
        <w:rPr>
          <w:sz w:val="24"/>
          <w:szCs w:val="24"/>
        </w:rPr>
        <w:t>Loeber</w:t>
      </w:r>
      <w:proofErr w:type="spellEnd"/>
      <w:r w:rsidR="00910DF5">
        <w:rPr>
          <w:sz w:val="24"/>
          <w:szCs w:val="24"/>
        </w:rPr>
        <w:t xml:space="preserve"> &amp;</w:t>
      </w:r>
      <w:r w:rsidR="003B1E74">
        <w:rPr>
          <w:sz w:val="24"/>
          <w:szCs w:val="24"/>
        </w:rPr>
        <w:t xml:space="preserve"> Hay, 1997, cited in </w:t>
      </w:r>
      <w:proofErr w:type="spellStart"/>
      <w:r w:rsidR="003B1E74">
        <w:rPr>
          <w:sz w:val="24"/>
          <w:szCs w:val="24"/>
        </w:rPr>
        <w:t>Renk</w:t>
      </w:r>
      <w:proofErr w:type="spellEnd"/>
      <w:r w:rsidR="003B1E74">
        <w:rPr>
          <w:sz w:val="24"/>
          <w:szCs w:val="24"/>
        </w:rPr>
        <w:t>, 2008</w:t>
      </w:r>
      <w:r w:rsidR="000A6CE3">
        <w:rPr>
          <w:sz w:val="24"/>
          <w:szCs w:val="24"/>
        </w:rPr>
        <w:t>, p.321) and is synonymous with defiance and disobedience, although the two disorders overlap. Patterns of behaviour may include aggression towards others, the torture of animals, destruction, deceit, theft, pathological lying, arson and violations of others’ rights (American Psychiatric Associati</w:t>
      </w:r>
      <w:r w:rsidR="00910DF5">
        <w:rPr>
          <w:sz w:val="24"/>
          <w:szCs w:val="24"/>
        </w:rPr>
        <w:t xml:space="preserve">on, 2000, cited in </w:t>
      </w:r>
      <w:proofErr w:type="spellStart"/>
      <w:r w:rsidR="00910DF5">
        <w:rPr>
          <w:sz w:val="24"/>
          <w:szCs w:val="24"/>
        </w:rPr>
        <w:t>Cicchetti</w:t>
      </w:r>
      <w:proofErr w:type="spellEnd"/>
      <w:r w:rsidR="00910DF5">
        <w:rPr>
          <w:sz w:val="24"/>
          <w:szCs w:val="24"/>
        </w:rPr>
        <w:t xml:space="preserve"> &amp;</w:t>
      </w:r>
      <w:r w:rsidR="000A6CE3">
        <w:rPr>
          <w:sz w:val="24"/>
          <w:szCs w:val="24"/>
        </w:rPr>
        <w:t xml:space="preserve"> Cohen, Eds., 2006, p.96). Such antisocial behaviour can result in social isolation and</w:t>
      </w:r>
      <w:r w:rsidR="00AA7129">
        <w:rPr>
          <w:sz w:val="24"/>
          <w:szCs w:val="24"/>
        </w:rPr>
        <w:t xml:space="preserve"> rejection by peers and the w</w:t>
      </w:r>
      <w:r w:rsidR="00910DF5">
        <w:rPr>
          <w:sz w:val="24"/>
          <w:szCs w:val="24"/>
        </w:rPr>
        <w:t>ider society (Dodge &amp; Pettit, 2003; Price &amp;</w:t>
      </w:r>
      <w:r w:rsidR="00AA7129">
        <w:rPr>
          <w:sz w:val="24"/>
          <w:szCs w:val="24"/>
        </w:rPr>
        <w:t xml:space="preserve"> Dodge, 1989, cited in </w:t>
      </w:r>
      <w:proofErr w:type="spellStart"/>
      <w:r w:rsidR="00AA7129">
        <w:rPr>
          <w:sz w:val="24"/>
          <w:szCs w:val="24"/>
        </w:rPr>
        <w:t>Ammerman</w:t>
      </w:r>
      <w:proofErr w:type="spellEnd"/>
      <w:r w:rsidR="00AA7129">
        <w:rPr>
          <w:sz w:val="24"/>
          <w:szCs w:val="24"/>
        </w:rPr>
        <w:t>, Ed., 2006, p.299). Additionally, the financial implications resulting from CD</w:t>
      </w:r>
      <w:r w:rsidR="00274985">
        <w:rPr>
          <w:sz w:val="24"/>
          <w:szCs w:val="24"/>
        </w:rPr>
        <w:t xml:space="preserve"> can be detrimental (Baker, 2013</w:t>
      </w:r>
      <w:r w:rsidR="00AA7129">
        <w:rPr>
          <w:sz w:val="24"/>
          <w:szCs w:val="24"/>
        </w:rPr>
        <w:t>). Sufferers are typically call</w:t>
      </w:r>
      <w:r w:rsidR="00274985">
        <w:rPr>
          <w:sz w:val="24"/>
          <w:szCs w:val="24"/>
        </w:rPr>
        <w:t>ous and unemotional (Baker, 2013</w:t>
      </w:r>
      <w:r w:rsidR="00AA7129">
        <w:rPr>
          <w:sz w:val="24"/>
          <w:szCs w:val="24"/>
        </w:rPr>
        <w:t>), and exhibit behaviours such as hatred and bullying (Miller, 2006). Impulsive behaviour is a common trait and characteristics include a lack of control, empathy and guilt (Miller, 2006). CD may develop in early childhood but in such circumstances is usually confined to the family context (</w:t>
      </w:r>
      <w:proofErr w:type="spellStart"/>
      <w:r w:rsidR="00AA7129">
        <w:rPr>
          <w:sz w:val="24"/>
          <w:szCs w:val="24"/>
        </w:rPr>
        <w:t>Ammerman</w:t>
      </w:r>
      <w:proofErr w:type="spellEnd"/>
      <w:r w:rsidR="00AA7129">
        <w:rPr>
          <w:sz w:val="24"/>
          <w:szCs w:val="24"/>
        </w:rPr>
        <w:t>, Ed., 2006). However, adolescence is the period during which CD rates are more prevalent (</w:t>
      </w:r>
      <w:proofErr w:type="spellStart"/>
      <w:r w:rsidR="00AA7129">
        <w:rPr>
          <w:sz w:val="24"/>
          <w:szCs w:val="24"/>
        </w:rPr>
        <w:t>Ammerman</w:t>
      </w:r>
      <w:proofErr w:type="spellEnd"/>
      <w:r w:rsidR="00AA7129">
        <w:rPr>
          <w:sz w:val="24"/>
          <w:szCs w:val="24"/>
        </w:rPr>
        <w:t>, Ed., 2006).</w:t>
      </w:r>
      <w:r w:rsidR="0039493E">
        <w:rPr>
          <w:sz w:val="24"/>
          <w:szCs w:val="24"/>
        </w:rPr>
        <w:t xml:space="preserve"> The likelihood is that similar patterns of behaviour will contin</w:t>
      </w:r>
      <w:r w:rsidR="003B1E74">
        <w:rPr>
          <w:sz w:val="24"/>
          <w:szCs w:val="24"/>
        </w:rPr>
        <w:t>ue through adulthood (</w:t>
      </w:r>
      <w:proofErr w:type="spellStart"/>
      <w:r w:rsidR="003B1E74">
        <w:rPr>
          <w:sz w:val="24"/>
          <w:szCs w:val="24"/>
        </w:rPr>
        <w:t>Renk</w:t>
      </w:r>
      <w:proofErr w:type="spellEnd"/>
      <w:r w:rsidR="003B1E74">
        <w:rPr>
          <w:sz w:val="24"/>
          <w:szCs w:val="24"/>
        </w:rPr>
        <w:t>, 2008</w:t>
      </w:r>
      <w:r w:rsidR="0039493E">
        <w:rPr>
          <w:sz w:val="24"/>
          <w:szCs w:val="24"/>
        </w:rPr>
        <w:t>), accompanied by a probability of violent offending (</w:t>
      </w:r>
      <w:proofErr w:type="spellStart"/>
      <w:r w:rsidR="0039493E">
        <w:rPr>
          <w:sz w:val="24"/>
          <w:szCs w:val="24"/>
        </w:rPr>
        <w:t>Klinteberg</w:t>
      </w:r>
      <w:proofErr w:type="spellEnd"/>
      <w:r w:rsidR="0039493E">
        <w:rPr>
          <w:sz w:val="24"/>
          <w:szCs w:val="24"/>
        </w:rPr>
        <w:t xml:space="preserve">, </w:t>
      </w:r>
      <w:proofErr w:type="spellStart"/>
      <w:r w:rsidR="0039493E">
        <w:rPr>
          <w:sz w:val="24"/>
          <w:szCs w:val="24"/>
        </w:rPr>
        <w:t>Andersson</w:t>
      </w:r>
      <w:proofErr w:type="spellEnd"/>
      <w:r w:rsidR="0039493E">
        <w:rPr>
          <w:sz w:val="24"/>
          <w:szCs w:val="24"/>
        </w:rPr>
        <w:t xml:space="preserve">, Magnusson, &amp; </w:t>
      </w:r>
      <w:proofErr w:type="spellStart"/>
      <w:r w:rsidR="0039493E">
        <w:rPr>
          <w:sz w:val="24"/>
          <w:szCs w:val="24"/>
        </w:rPr>
        <w:t>Stattin</w:t>
      </w:r>
      <w:proofErr w:type="spellEnd"/>
      <w:r w:rsidR="0039493E">
        <w:rPr>
          <w:sz w:val="24"/>
          <w:szCs w:val="24"/>
        </w:rPr>
        <w:t xml:space="preserve">, 1993, cited in </w:t>
      </w:r>
      <w:proofErr w:type="spellStart"/>
      <w:r w:rsidR="0039493E">
        <w:rPr>
          <w:sz w:val="24"/>
          <w:szCs w:val="24"/>
        </w:rPr>
        <w:t>Ammerman</w:t>
      </w:r>
      <w:proofErr w:type="spellEnd"/>
      <w:r w:rsidR="0039493E">
        <w:rPr>
          <w:sz w:val="24"/>
          <w:szCs w:val="24"/>
        </w:rPr>
        <w:t>, Ed., 2006, p.300). CD also exhibits different characteristics between sexes. During early childhood, prevalence rates are much higher amongst boys but during adolescence the percentage of girl</w:t>
      </w:r>
      <w:r w:rsidR="00274985">
        <w:rPr>
          <w:sz w:val="24"/>
          <w:szCs w:val="24"/>
        </w:rPr>
        <w:t>s with CD increases (Baker, 2013</w:t>
      </w:r>
      <w:r w:rsidR="0039493E">
        <w:rPr>
          <w:sz w:val="24"/>
          <w:szCs w:val="24"/>
        </w:rPr>
        <w:t>). Ag</w:t>
      </w:r>
      <w:r w:rsidR="00B80873">
        <w:rPr>
          <w:sz w:val="24"/>
          <w:szCs w:val="24"/>
        </w:rPr>
        <w:t>g</w:t>
      </w:r>
      <w:r w:rsidR="0039493E">
        <w:rPr>
          <w:sz w:val="24"/>
          <w:szCs w:val="24"/>
        </w:rPr>
        <w:t>ression is a feature common amongst males (</w:t>
      </w:r>
      <w:proofErr w:type="spellStart"/>
      <w:r w:rsidR="0039493E">
        <w:rPr>
          <w:sz w:val="24"/>
          <w:szCs w:val="24"/>
        </w:rPr>
        <w:t>Coie</w:t>
      </w:r>
      <w:proofErr w:type="spellEnd"/>
      <w:r w:rsidR="0039493E">
        <w:rPr>
          <w:sz w:val="24"/>
          <w:szCs w:val="24"/>
        </w:rPr>
        <w:t xml:space="preserve"> &amp; Dodge, 1998, cited in </w:t>
      </w:r>
      <w:proofErr w:type="spellStart"/>
      <w:r w:rsidR="0039493E">
        <w:rPr>
          <w:sz w:val="24"/>
          <w:szCs w:val="24"/>
        </w:rPr>
        <w:t>Ammerman</w:t>
      </w:r>
      <w:proofErr w:type="spellEnd"/>
      <w:r w:rsidR="0039493E">
        <w:rPr>
          <w:sz w:val="24"/>
          <w:szCs w:val="24"/>
        </w:rPr>
        <w:t>, Ed., 2006, p.299), whereas in contrast females are more spiteful and malicious (Crick, Casas, &amp;</w:t>
      </w:r>
      <w:r w:rsidR="000C0666">
        <w:rPr>
          <w:sz w:val="24"/>
          <w:szCs w:val="24"/>
        </w:rPr>
        <w:t xml:space="preserve"> Mosher, 1997; Crick &amp; </w:t>
      </w:r>
      <w:proofErr w:type="spellStart"/>
      <w:r w:rsidR="000C0666">
        <w:rPr>
          <w:sz w:val="24"/>
          <w:szCs w:val="24"/>
        </w:rPr>
        <w:t>Grotpeter</w:t>
      </w:r>
      <w:proofErr w:type="spellEnd"/>
      <w:r w:rsidR="000C0666">
        <w:rPr>
          <w:sz w:val="24"/>
          <w:szCs w:val="24"/>
        </w:rPr>
        <w:t xml:space="preserve">, 1995; Crick </w:t>
      </w:r>
      <w:r w:rsidR="000C0666">
        <w:rPr>
          <w:i/>
          <w:sz w:val="24"/>
          <w:szCs w:val="24"/>
        </w:rPr>
        <w:t>et al</w:t>
      </w:r>
      <w:r w:rsidR="000C0666">
        <w:rPr>
          <w:sz w:val="24"/>
          <w:szCs w:val="24"/>
        </w:rPr>
        <w:t xml:space="preserve">., 1999, cited in </w:t>
      </w:r>
      <w:proofErr w:type="spellStart"/>
      <w:r w:rsidR="000C0666">
        <w:rPr>
          <w:sz w:val="24"/>
          <w:szCs w:val="24"/>
        </w:rPr>
        <w:t>Ammerman</w:t>
      </w:r>
      <w:proofErr w:type="spellEnd"/>
      <w:r w:rsidR="000C0666">
        <w:rPr>
          <w:sz w:val="24"/>
          <w:szCs w:val="24"/>
        </w:rPr>
        <w:t>, Ed., 2006, p.299). Girls may also become sexually active at a younger age, often making a poor choice of partner, and teenage pregnancy rates are high (</w:t>
      </w:r>
      <w:proofErr w:type="spellStart"/>
      <w:r w:rsidR="000C0666">
        <w:rPr>
          <w:sz w:val="24"/>
          <w:szCs w:val="24"/>
        </w:rPr>
        <w:t>Serbin</w:t>
      </w:r>
      <w:proofErr w:type="spellEnd"/>
      <w:r w:rsidR="000C0666">
        <w:rPr>
          <w:sz w:val="24"/>
          <w:szCs w:val="24"/>
        </w:rPr>
        <w:t xml:space="preserve"> </w:t>
      </w:r>
      <w:r w:rsidR="000C0666">
        <w:rPr>
          <w:i/>
          <w:sz w:val="24"/>
          <w:szCs w:val="24"/>
        </w:rPr>
        <w:t>et al</w:t>
      </w:r>
      <w:r w:rsidR="000C0666">
        <w:rPr>
          <w:sz w:val="24"/>
          <w:szCs w:val="24"/>
        </w:rPr>
        <w:t xml:space="preserve">., 1998, cited in </w:t>
      </w:r>
      <w:proofErr w:type="spellStart"/>
      <w:r w:rsidR="000C0666">
        <w:rPr>
          <w:sz w:val="24"/>
          <w:szCs w:val="24"/>
        </w:rPr>
        <w:t>Ciccetti</w:t>
      </w:r>
      <w:proofErr w:type="spellEnd"/>
      <w:r w:rsidR="000C0666">
        <w:rPr>
          <w:sz w:val="24"/>
          <w:szCs w:val="24"/>
        </w:rPr>
        <w:t xml:space="preserve"> &amp; Cohen, Eds., 2006, p.97).</w:t>
      </w:r>
    </w:p>
    <w:p w:rsidR="001B6B8E" w:rsidRDefault="00F31316" w:rsidP="00FD7055">
      <w:pPr>
        <w:spacing w:line="360" w:lineRule="auto"/>
        <w:rPr>
          <w:sz w:val="24"/>
          <w:szCs w:val="24"/>
        </w:rPr>
      </w:pPr>
      <w:r>
        <w:rPr>
          <w:sz w:val="24"/>
          <w:szCs w:val="24"/>
        </w:rPr>
        <w:lastRenderedPageBreak/>
        <w:tab/>
        <w:t xml:space="preserve">Numerous theories have been offered regarding the causes of CD. </w:t>
      </w:r>
      <w:proofErr w:type="spellStart"/>
      <w:r>
        <w:rPr>
          <w:sz w:val="24"/>
          <w:szCs w:val="24"/>
        </w:rPr>
        <w:t>Ammerman</w:t>
      </w:r>
      <w:proofErr w:type="spellEnd"/>
      <w:r>
        <w:rPr>
          <w:sz w:val="24"/>
          <w:szCs w:val="24"/>
        </w:rPr>
        <w:t xml:space="preserve"> Ed., (2006) and Baker (2013) argue that a difficult temperament due to a clash with parents or negative parenting may consequentially lead t</w:t>
      </w:r>
      <w:r w:rsidR="00910DF5">
        <w:rPr>
          <w:sz w:val="24"/>
          <w:szCs w:val="24"/>
        </w:rPr>
        <w:t xml:space="preserve">o CD. Furthermore, </w:t>
      </w:r>
      <w:proofErr w:type="spellStart"/>
      <w:r w:rsidR="00910DF5">
        <w:rPr>
          <w:sz w:val="24"/>
          <w:szCs w:val="24"/>
        </w:rPr>
        <w:t>Cicchetti</w:t>
      </w:r>
      <w:proofErr w:type="spellEnd"/>
      <w:r w:rsidR="00910DF5">
        <w:rPr>
          <w:sz w:val="24"/>
          <w:szCs w:val="24"/>
        </w:rPr>
        <w:t xml:space="preserve"> &amp;</w:t>
      </w:r>
      <w:r>
        <w:rPr>
          <w:sz w:val="24"/>
          <w:szCs w:val="24"/>
        </w:rPr>
        <w:t xml:space="preserve"> Cohen (2006) argue that harsh or permissive parenting and a lack of parental supervision may be a possible cause. They stress the possible influence of angry or depressed parents, adding that parental relationship difficulties could exacerbate the condi</w:t>
      </w:r>
      <w:r w:rsidR="0027125C">
        <w:rPr>
          <w:sz w:val="24"/>
          <w:szCs w:val="24"/>
        </w:rPr>
        <w:t>tion. The American Psychiatric</w:t>
      </w:r>
      <w:r>
        <w:rPr>
          <w:sz w:val="24"/>
          <w:szCs w:val="24"/>
        </w:rPr>
        <w:t xml:space="preserve"> Association (2000, cited in Wilmshurst, 2005, p.147) propose that children are more likely to </w:t>
      </w:r>
      <w:r w:rsidR="000D3469">
        <w:rPr>
          <w:sz w:val="24"/>
          <w:szCs w:val="24"/>
        </w:rPr>
        <w:t>suffer from CD, where a parent suffers from a disorder such as alcohol dependence or schizophrenia. Heritability has also been linked to the condition (Baker, 2013), and the theories discussed suggest both social and biological links between parents and sufferers. Family poverty (</w:t>
      </w:r>
      <w:proofErr w:type="spellStart"/>
      <w:r w:rsidR="000D3469">
        <w:rPr>
          <w:sz w:val="24"/>
          <w:szCs w:val="24"/>
        </w:rPr>
        <w:t>Lynam</w:t>
      </w:r>
      <w:proofErr w:type="spellEnd"/>
      <w:r w:rsidR="000D3469">
        <w:rPr>
          <w:sz w:val="24"/>
          <w:szCs w:val="24"/>
        </w:rPr>
        <w:t xml:space="preserve"> </w:t>
      </w:r>
      <w:r w:rsidR="000D3469">
        <w:rPr>
          <w:i/>
          <w:sz w:val="24"/>
          <w:szCs w:val="24"/>
        </w:rPr>
        <w:t>et al</w:t>
      </w:r>
      <w:r w:rsidR="000D3469">
        <w:rPr>
          <w:sz w:val="24"/>
          <w:szCs w:val="24"/>
        </w:rPr>
        <w:t xml:space="preserve">., 2000, cited in </w:t>
      </w:r>
      <w:proofErr w:type="spellStart"/>
      <w:r w:rsidR="000D3469">
        <w:rPr>
          <w:sz w:val="24"/>
          <w:szCs w:val="24"/>
        </w:rPr>
        <w:t>Ammerman</w:t>
      </w:r>
      <w:proofErr w:type="spellEnd"/>
      <w:r w:rsidR="000D3469">
        <w:rPr>
          <w:sz w:val="24"/>
          <w:szCs w:val="24"/>
        </w:rPr>
        <w:t>, Ed., 2006, p.300), alongside external environmental factors such as poor schools and a harsh neighbourhood have also been attributed to CD (</w:t>
      </w:r>
      <w:proofErr w:type="spellStart"/>
      <w:r w:rsidR="000D3469">
        <w:rPr>
          <w:sz w:val="24"/>
          <w:szCs w:val="24"/>
        </w:rPr>
        <w:t>Ammerman</w:t>
      </w:r>
      <w:proofErr w:type="spellEnd"/>
      <w:r w:rsidR="000D3469">
        <w:rPr>
          <w:sz w:val="24"/>
          <w:szCs w:val="24"/>
        </w:rPr>
        <w:t xml:space="preserve">, Ed., 2006). The aforementioned social circumstances have led Miller (2006) to argue that CD is a learned pathway as opposed to a biological one. Regarding differences between male and female sufferers of CD, </w:t>
      </w:r>
      <w:proofErr w:type="spellStart"/>
      <w:r w:rsidR="000D3469">
        <w:rPr>
          <w:sz w:val="24"/>
          <w:szCs w:val="24"/>
        </w:rPr>
        <w:t>Kroneman</w:t>
      </w:r>
      <w:proofErr w:type="spellEnd"/>
      <w:r w:rsidR="000D3469">
        <w:rPr>
          <w:sz w:val="24"/>
          <w:szCs w:val="24"/>
        </w:rPr>
        <w:t xml:space="preserve">, </w:t>
      </w:r>
      <w:proofErr w:type="spellStart"/>
      <w:r w:rsidR="000D3469">
        <w:rPr>
          <w:sz w:val="24"/>
          <w:szCs w:val="24"/>
        </w:rPr>
        <w:t>Loeber</w:t>
      </w:r>
      <w:proofErr w:type="spellEnd"/>
      <w:r w:rsidR="000D3469">
        <w:rPr>
          <w:sz w:val="24"/>
          <w:szCs w:val="24"/>
        </w:rPr>
        <w:t xml:space="preserve">, &amp; </w:t>
      </w:r>
      <w:proofErr w:type="spellStart"/>
      <w:r w:rsidR="000D3469">
        <w:rPr>
          <w:sz w:val="24"/>
          <w:szCs w:val="24"/>
        </w:rPr>
        <w:t>Hipwell</w:t>
      </w:r>
      <w:proofErr w:type="spellEnd"/>
      <w:r w:rsidR="000D3469">
        <w:rPr>
          <w:sz w:val="24"/>
          <w:szCs w:val="24"/>
        </w:rPr>
        <w:t xml:space="preserve"> </w:t>
      </w:r>
      <w:r w:rsidR="00C017E5">
        <w:rPr>
          <w:sz w:val="24"/>
          <w:szCs w:val="24"/>
        </w:rPr>
        <w:t xml:space="preserve">(2004, cited in </w:t>
      </w:r>
      <w:proofErr w:type="spellStart"/>
      <w:r w:rsidR="00C017E5">
        <w:rPr>
          <w:sz w:val="24"/>
          <w:szCs w:val="24"/>
        </w:rPr>
        <w:t>Cicchetti</w:t>
      </w:r>
      <w:proofErr w:type="spellEnd"/>
      <w:r w:rsidR="00C017E5">
        <w:rPr>
          <w:sz w:val="24"/>
          <w:szCs w:val="24"/>
        </w:rPr>
        <w:t xml:space="preserve"> &amp; Cohen, 2006, p.100) suggest that boys are more susceptible to external influences, while girls tend to be affected from within the family context (</w:t>
      </w:r>
      <w:proofErr w:type="spellStart"/>
      <w:r w:rsidR="00C017E5">
        <w:rPr>
          <w:sz w:val="24"/>
          <w:szCs w:val="24"/>
        </w:rPr>
        <w:t>Cicchetti</w:t>
      </w:r>
      <w:proofErr w:type="spellEnd"/>
      <w:r w:rsidR="00C017E5">
        <w:rPr>
          <w:sz w:val="24"/>
          <w:szCs w:val="24"/>
        </w:rPr>
        <w:t xml:space="preserve"> &amp; Cohen, 2006). </w:t>
      </w:r>
      <w:proofErr w:type="spellStart"/>
      <w:r w:rsidR="00C017E5">
        <w:rPr>
          <w:sz w:val="24"/>
          <w:szCs w:val="24"/>
        </w:rPr>
        <w:t>Ammerman</w:t>
      </w:r>
      <w:proofErr w:type="spellEnd"/>
      <w:r w:rsidR="00C017E5">
        <w:rPr>
          <w:sz w:val="24"/>
          <w:szCs w:val="24"/>
        </w:rPr>
        <w:t xml:space="preserve"> Ed., (2006) argues that biological abnormalities have been linked to CD and Eysenck (1964, cited in Miller, 2006, p.5) has also noted a biological correlation. Foster, 2005; Jacobson, Prescott, &amp; </w:t>
      </w:r>
      <w:proofErr w:type="spellStart"/>
      <w:r w:rsidR="00C017E5">
        <w:rPr>
          <w:sz w:val="24"/>
          <w:szCs w:val="24"/>
        </w:rPr>
        <w:t>Kendler</w:t>
      </w:r>
      <w:proofErr w:type="spellEnd"/>
      <w:r w:rsidR="00C017E5">
        <w:rPr>
          <w:sz w:val="24"/>
          <w:szCs w:val="24"/>
        </w:rPr>
        <w:t xml:space="preserve"> (2002, cited in </w:t>
      </w:r>
      <w:proofErr w:type="spellStart"/>
      <w:r w:rsidR="00C017E5">
        <w:rPr>
          <w:sz w:val="24"/>
          <w:szCs w:val="24"/>
        </w:rPr>
        <w:t>Cicchetti</w:t>
      </w:r>
      <w:proofErr w:type="spellEnd"/>
      <w:r w:rsidR="00C017E5">
        <w:rPr>
          <w:sz w:val="24"/>
          <w:szCs w:val="24"/>
        </w:rPr>
        <w:t xml:space="preserve"> &amp; Cohen, 2006, p.98) suggest that there is a genetic link with CD in both sexes. Testosterone levels have been</w:t>
      </w:r>
      <w:r w:rsidR="00910DF5">
        <w:rPr>
          <w:sz w:val="24"/>
          <w:szCs w:val="24"/>
        </w:rPr>
        <w:t xml:space="preserve"> looked at as an influencing factor amongst boys (</w:t>
      </w:r>
      <w:proofErr w:type="spellStart"/>
      <w:r w:rsidR="00910DF5">
        <w:rPr>
          <w:sz w:val="24"/>
          <w:szCs w:val="24"/>
        </w:rPr>
        <w:t>Cicchetti</w:t>
      </w:r>
      <w:proofErr w:type="spellEnd"/>
      <w:r w:rsidR="00910DF5">
        <w:rPr>
          <w:sz w:val="24"/>
          <w:szCs w:val="24"/>
        </w:rPr>
        <w:t xml:space="preserve"> &amp; Cohen, 2006), and girls reaching puberty at an early age are possibly at higher risk of the condition (</w:t>
      </w:r>
      <w:proofErr w:type="spellStart"/>
      <w:r w:rsidR="00910DF5">
        <w:rPr>
          <w:sz w:val="24"/>
          <w:szCs w:val="24"/>
        </w:rPr>
        <w:t>Caspi</w:t>
      </w:r>
      <w:proofErr w:type="spellEnd"/>
      <w:r w:rsidR="00910DF5">
        <w:rPr>
          <w:sz w:val="24"/>
          <w:szCs w:val="24"/>
        </w:rPr>
        <w:t xml:space="preserve">, </w:t>
      </w:r>
      <w:proofErr w:type="spellStart"/>
      <w:r w:rsidR="00910DF5">
        <w:rPr>
          <w:sz w:val="24"/>
          <w:szCs w:val="24"/>
        </w:rPr>
        <w:t>Lynam</w:t>
      </w:r>
      <w:proofErr w:type="spellEnd"/>
      <w:r w:rsidR="00910DF5">
        <w:rPr>
          <w:sz w:val="24"/>
          <w:szCs w:val="24"/>
        </w:rPr>
        <w:t xml:space="preserve">, Moffitt, &amp; Silva, 1993, cited in </w:t>
      </w:r>
      <w:proofErr w:type="spellStart"/>
      <w:r w:rsidR="00910DF5">
        <w:rPr>
          <w:sz w:val="24"/>
          <w:szCs w:val="24"/>
        </w:rPr>
        <w:t>Cicchetti</w:t>
      </w:r>
      <w:proofErr w:type="spellEnd"/>
      <w:r w:rsidR="00910DF5">
        <w:rPr>
          <w:sz w:val="24"/>
          <w:szCs w:val="24"/>
        </w:rPr>
        <w:t xml:space="preserve"> &amp; Cohen, 2006, p.100).</w:t>
      </w:r>
    </w:p>
    <w:p w:rsidR="00F079BE" w:rsidRDefault="001B6B8E" w:rsidP="001B6B8E">
      <w:pPr>
        <w:spacing w:line="360" w:lineRule="auto"/>
        <w:rPr>
          <w:sz w:val="24"/>
          <w:szCs w:val="24"/>
        </w:rPr>
      </w:pPr>
      <w:r>
        <w:rPr>
          <w:sz w:val="24"/>
          <w:szCs w:val="24"/>
        </w:rPr>
        <w:tab/>
        <w:t xml:space="preserve">Statistical figures contrast regarding the prevalence of CD. </w:t>
      </w:r>
      <w:proofErr w:type="spellStart"/>
      <w:r>
        <w:rPr>
          <w:sz w:val="24"/>
          <w:szCs w:val="24"/>
        </w:rPr>
        <w:t>Loeber</w:t>
      </w:r>
      <w:proofErr w:type="spellEnd"/>
      <w:r>
        <w:rPr>
          <w:sz w:val="24"/>
          <w:szCs w:val="24"/>
        </w:rPr>
        <w:t xml:space="preserve">, Burke, </w:t>
      </w:r>
      <w:proofErr w:type="spellStart"/>
      <w:r>
        <w:rPr>
          <w:sz w:val="24"/>
          <w:szCs w:val="24"/>
        </w:rPr>
        <w:t>Lahey</w:t>
      </w:r>
      <w:proofErr w:type="spellEnd"/>
      <w:r>
        <w:rPr>
          <w:sz w:val="24"/>
          <w:szCs w:val="24"/>
        </w:rPr>
        <w:t xml:space="preserve">, Winters &amp; </w:t>
      </w:r>
      <w:proofErr w:type="spellStart"/>
      <w:r>
        <w:rPr>
          <w:sz w:val="24"/>
          <w:szCs w:val="24"/>
        </w:rPr>
        <w:t>Zera</w:t>
      </w:r>
      <w:proofErr w:type="spellEnd"/>
      <w:r>
        <w:rPr>
          <w:sz w:val="24"/>
          <w:szCs w:val="24"/>
        </w:rPr>
        <w:t xml:space="preserve"> (2006, cited in </w:t>
      </w:r>
      <w:proofErr w:type="spellStart"/>
      <w:r>
        <w:rPr>
          <w:sz w:val="24"/>
          <w:szCs w:val="24"/>
        </w:rPr>
        <w:t>Ammerman</w:t>
      </w:r>
      <w:proofErr w:type="spellEnd"/>
      <w:r>
        <w:rPr>
          <w:sz w:val="24"/>
          <w:szCs w:val="24"/>
        </w:rPr>
        <w:t>, Ed., 2006, p.301) state that prevalence rates range from 2 to 4 per cent, whereas Wilmshurst (2005) claims that the figure is between 1 to 10 per cent. Baker (2013) states that CD</w:t>
      </w:r>
      <w:r w:rsidR="00A1319C">
        <w:rPr>
          <w:sz w:val="24"/>
          <w:szCs w:val="24"/>
        </w:rPr>
        <w:t xml:space="preserve"> is highly prevalent and The American Psychiatric Association (2000, cited in Wilmshurst, 2005, p.145) add that the number of sufferers has increased in recent years.</w:t>
      </w:r>
      <w:r w:rsidR="009570D0">
        <w:rPr>
          <w:sz w:val="24"/>
          <w:szCs w:val="24"/>
        </w:rPr>
        <w:t xml:space="preserve"> Baker (2013) argues that prevalence is higher amongst low socioeconomic groups and </w:t>
      </w:r>
      <w:proofErr w:type="spellStart"/>
      <w:r w:rsidR="009570D0">
        <w:rPr>
          <w:sz w:val="24"/>
          <w:szCs w:val="24"/>
        </w:rPr>
        <w:t>Lahey</w:t>
      </w:r>
      <w:proofErr w:type="spellEnd"/>
      <w:r w:rsidR="009570D0">
        <w:rPr>
          <w:sz w:val="24"/>
          <w:szCs w:val="24"/>
        </w:rPr>
        <w:t xml:space="preserve">, Miller, Gordon, &amp; Riley (1999); </w:t>
      </w:r>
      <w:proofErr w:type="spellStart"/>
      <w:r w:rsidR="009570D0">
        <w:rPr>
          <w:sz w:val="24"/>
          <w:szCs w:val="24"/>
        </w:rPr>
        <w:t>Peeples</w:t>
      </w:r>
      <w:proofErr w:type="spellEnd"/>
      <w:r w:rsidR="009570D0">
        <w:rPr>
          <w:sz w:val="24"/>
          <w:szCs w:val="24"/>
        </w:rPr>
        <w:t xml:space="preserve"> &amp; </w:t>
      </w:r>
      <w:proofErr w:type="spellStart"/>
      <w:r w:rsidR="009570D0">
        <w:rPr>
          <w:sz w:val="24"/>
          <w:szCs w:val="24"/>
        </w:rPr>
        <w:t>Loeber</w:t>
      </w:r>
      <w:proofErr w:type="spellEnd"/>
      <w:r w:rsidR="009570D0">
        <w:rPr>
          <w:sz w:val="24"/>
          <w:szCs w:val="24"/>
        </w:rPr>
        <w:t xml:space="preserve"> (1994, </w:t>
      </w:r>
      <w:r w:rsidR="009570D0">
        <w:rPr>
          <w:sz w:val="24"/>
          <w:szCs w:val="24"/>
        </w:rPr>
        <w:lastRenderedPageBreak/>
        <w:t xml:space="preserve">cited in </w:t>
      </w:r>
      <w:proofErr w:type="spellStart"/>
      <w:r w:rsidR="009570D0">
        <w:rPr>
          <w:sz w:val="24"/>
          <w:szCs w:val="24"/>
        </w:rPr>
        <w:t>Ammerman</w:t>
      </w:r>
      <w:proofErr w:type="spellEnd"/>
      <w:r w:rsidR="009570D0">
        <w:rPr>
          <w:sz w:val="24"/>
          <w:szCs w:val="24"/>
        </w:rPr>
        <w:t>, Ed., 2006, p.301) agree that the condition is more common in poorer areas blighted by violence and crime. This may explain the higher rates within the African American community (</w:t>
      </w:r>
      <w:proofErr w:type="spellStart"/>
      <w:r w:rsidR="009570D0">
        <w:rPr>
          <w:sz w:val="24"/>
          <w:szCs w:val="24"/>
        </w:rPr>
        <w:t>Fabrega</w:t>
      </w:r>
      <w:proofErr w:type="spellEnd"/>
      <w:r w:rsidR="009570D0">
        <w:rPr>
          <w:sz w:val="24"/>
          <w:szCs w:val="24"/>
        </w:rPr>
        <w:t xml:space="preserve">, Ulrich, &amp; </w:t>
      </w:r>
      <w:proofErr w:type="spellStart"/>
      <w:r w:rsidR="009570D0">
        <w:rPr>
          <w:sz w:val="24"/>
          <w:szCs w:val="24"/>
        </w:rPr>
        <w:t>Mezzick</w:t>
      </w:r>
      <w:proofErr w:type="spellEnd"/>
      <w:r w:rsidR="009570D0">
        <w:rPr>
          <w:sz w:val="24"/>
          <w:szCs w:val="24"/>
        </w:rPr>
        <w:t xml:space="preserve">; </w:t>
      </w:r>
      <w:proofErr w:type="spellStart"/>
      <w:r w:rsidR="009570D0">
        <w:rPr>
          <w:sz w:val="24"/>
          <w:szCs w:val="24"/>
        </w:rPr>
        <w:t>Lahey</w:t>
      </w:r>
      <w:proofErr w:type="spellEnd"/>
      <w:r w:rsidR="009570D0">
        <w:rPr>
          <w:sz w:val="24"/>
          <w:szCs w:val="24"/>
        </w:rPr>
        <w:t xml:space="preserve"> </w:t>
      </w:r>
      <w:r w:rsidR="009570D0" w:rsidRPr="009570D0">
        <w:rPr>
          <w:i/>
          <w:sz w:val="24"/>
          <w:szCs w:val="24"/>
        </w:rPr>
        <w:t>et al</w:t>
      </w:r>
      <w:r w:rsidR="009570D0">
        <w:rPr>
          <w:sz w:val="24"/>
          <w:szCs w:val="24"/>
        </w:rPr>
        <w:t xml:space="preserve">., 1995, cited in </w:t>
      </w:r>
      <w:proofErr w:type="spellStart"/>
      <w:r w:rsidR="009570D0">
        <w:rPr>
          <w:sz w:val="24"/>
          <w:szCs w:val="24"/>
        </w:rPr>
        <w:t>Ammerman</w:t>
      </w:r>
      <w:proofErr w:type="spellEnd"/>
      <w:r w:rsidR="009570D0">
        <w:rPr>
          <w:sz w:val="24"/>
          <w:szCs w:val="24"/>
        </w:rPr>
        <w:t>, Ed., 2006, p.301), where citizens generally reside in more deprived areas. CD is more prevalent during adolescence (</w:t>
      </w:r>
      <w:proofErr w:type="spellStart"/>
      <w:r w:rsidR="009570D0">
        <w:rPr>
          <w:sz w:val="24"/>
          <w:szCs w:val="24"/>
        </w:rPr>
        <w:t>Ammerman</w:t>
      </w:r>
      <w:proofErr w:type="spellEnd"/>
      <w:r w:rsidR="009570D0">
        <w:rPr>
          <w:sz w:val="24"/>
          <w:szCs w:val="24"/>
        </w:rPr>
        <w:t>, Ed., 2006), and Baker (2013)</w:t>
      </w:r>
      <w:r w:rsidR="005C6696">
        <w:rPr>
          <w:sz w:val="24"/>
          <w:szCs w:val="24"/>
        </w:rPr>
        <w:t xml:space="preserve"> states that it is the cause of 30 to 40 per cent of all referrals to the Child and Adolescent Mental Health Service (CAMHS). Gender differences have been noted regarding the prevalence of CD. There are more males than females suffering from the condition (Wilmshurst, 2005) although the gender gap has decreased during recent years (Baker, 2013). Baker (2013) suggests that CD is more common in boys during pre-adolescence, and </w:t>
      </w:r>
      <w:proofErr w:type="spellStart"/>
      <w:r w:rsidR="005C6696">
        <w:rPr>
          <w:sz w:val="24"/>
          <w:szCs w:val="24"/>
        </w:rPr>
        <w:t>Silverthorn</w:t>
      </w:r>
      <w:proofErr w:type="spellEnd"/>
      <w:r w:rsidR="005C6696">
        <w:rPr>
          <w:sz w:val="24"/>
          <w:szCs w:val="24"/>
        </w:rPr>
        <w:t xml:space="preserve"> &amp; Frick (1999, cited in </w:t>
      </w:r>
      <w:proofErr w:type="spellStart"/>
      <w:r w:rsidR="005C6696">
        <w:rPr>
          <w:sz w:val="24"/>
          <w:szCs w:val="24"/>
        </w:rPr>
        <w:t>Ammerman</w:t>
      </w:r>
      <w:proofErr w:type="spellEnd"/>
      <w:r w:rsidR="005C6696">
        <w:rPr>
          <w:sz w:val="24"/>
          <w:szCs w:val="24"/>
        </w:rPr>
        <w:t>, Ed., 2006) have noted an increase</w:t>
      </w:r>
      <w:r w:rsidR="00C12BA9">
        <w:rPr>
          <w:sz w:val="24"/>
          <w:szCs w:val="24"/>
        </w:rPr>
        <w:t xml:space="preserve"> in the number of girls with the condition during adolescence. However, it must be taken into account that considerably more research has been conducted on males than females (</w:t>
      </w:r>
      <w:proofErr w:type="spellStart"/>
      <w:r w:rsidR="00C12BA9">
        <w:rPr>
          <w:sz w:val="24"/>
          <w:szCs w:val="24"/>
        </w:rPr>
        <w:t>Ehrensaft</w:t>
      </w:r>
      <w:proofErr w:type="spellEnd"/>
      <w:r w:rsidR="00C12BA9">
        <w:rPr>
          <w:sz w:val="24"/>
          <w:szCs w:val="24"/>
        </w:rPr>
        <w:t xml:space="preserve">, 2005, cited in </w:t>
      </w:r>
      <w:proofErr w:type="spellStart"/>
      <w:r w:rsidR="00C12BA9">
        <w:rPr>
          <w:sz w:val="24"/>
          <w:szCs w:val="24"/>
        </w:rPr>
        <w:t>Berkout</w:t>
      </w:r>
      <w:proofErr w:type="spellEnd"/>
      <w:r w:rsidR="00C12BA9">
        <w:rPr>
          <w:sz w:val="24"/>
          <w:szCs w:val="24"/>
        </w:rPr>
        <w:t xml:space="preserve">, Young, &amp; Gross, 2011). As previously discussed, behaviour associated with CD is likely to continue through adulthood and figures suggest a lifetime prevalence of 1 to 10 per cent (American Psychiatric Association, 2000, cited in </w:t>
      </w:r>
      <w:proofErr w:type="spellStart"/>
      <w:r w:rsidR="00C12BA9">
        <w:rPr>
          <w:sz w:val="24"/>
          <w:szCs w:val="24"/>
        </w:rPr>
        <w:t>Berkout</w:t>
      </w:r>
      <w:proofErr w:type="spellEnd"/>
      <w:r w:rsidR="00C12BA9">
        <w:rPr>
          <w:sz w:val="24"/>
          <w:szCs w:val="24"/>
        </w:rPr>
        <w:t>, Young, &amp; Gross, 2011). Much research regarding the prevalence of CD has been conducted and this is a continuous process.</w:t>
      </w:r>
    </w:p>
    <w:p w:rsidR="00490776" w:rsidRDefault="00F079BE" w:rsidP="001B6B8E">
      <w:pPr>
        <w:spacing w:line="360" w:lineRule="auto"/>
        <w:rPr>
          <w:sz w:val="24"/>
          <w:szCs w:val="24"/>
        </w:rPr>
      </w:pPr>
      <w:r>
        <w:rPr>
          <w:sz w:val="24"/>
          <w:szCs w:val="24"/>
        </w:rPr>
        <w:tab/>
        <w:t>Extensive research has been conducted into interventions and treatments for CD. Many have been implemented with varying degrees of success. Wilmshurst (2005) has commented on the difficulty in treating CD due to the broad categorization of</w:t>
      </w:r>
      <w:r w:rsidR="00071019">
        <w:rPr>
          <w:sz w:val="24"/>
          <w:szCs w:val="24"/>
        </w:rPr>
        <w:t xml:space="preserve"> Disruptive Behaviour Disorders. For example, research has shown that CD is comorbid with other conditions such as Attention Deficit Hyperactivity Disorder (ADHD), anxiety and depression (Baker, 2013) and ODD. Connor (2002) argues that treatments such as Psychiatric detention and psychotherapy are expensive and inefficient, and imprisonment is also considered unhelpful (</w:t>
      </w:r>
      <w:proofErr w:type="spellStart"/>
      <w:r w:rsidR="00071019">
        <w:rPr>
          <w:sz w:val="24"/>
          <w:szCs w:val="24"/>
        </w:rPr>
        <w:t>Kazdin</w:t>
      </w:r>
      <w:proofErr w:type="spellEnd"/>
      <w:r w:rsidR="00071019">
        <w:rPr>
          <w:sz w:val="24"/>
          <w:szCs w:val="24"/>
        </w:rPr>
        <w:t xml:space="preserve">, 1997; Rutter </w:t>
      </w:r>
      <w:r w:rsidR="00071019">
        <w:rPr>
          <w:i/>
          <w:sz w:val="24"/>
          <w:szCs w:val="24"/>
        </w:rPr>
        <w:t>et al</w:t>
      </w:r>
      <w:r w:rsidR="00071019">
        <w:rPr>
          <w:sz w:val="24"/>
          <w:szCs w:val="24"/>
        </w:rPr>
        <w:t>., 1998, cited in Connor, 2002, p.344).</w:t>
      </w:r>
      <w:r w:rsidR="00E51962">
        <w:rPr>
          <w:sz w:val="24"/>
          <w:szCs w:val="24"/>
        </w:rPr>
        <w:t xml:space="preserve"> Wilmshurst (2005) describes the treatment of CD in outpatients departments and Residential Treatment Centres (RTC’s). However, </w:t>
      </w:r>
      <w:proofErr w:type="spellStart"/>
      <w:r w:rsidR="00E51962">
        <w:rPr>
          <w:sz w:val="24"/>
          <w:szCs w:val="24"/>
        </w:rPr>
        <w:t>Henggeler</w:t>
      </w:r>
      <w:proofErr w:type="spellEnd"/>
      <w:r w:rsidR="00E51962">
        <w:rPr>
          <w:sz w:val="24"/>
          <w:szCs w:val="24"/>
        </w:rPr>
        <w:t xml:space="preserve"> and </w:t>
      </w:r>
      <w:proofErr w:type="spellStart"/>
      <w:r w:rsidR="00E51962">
        <w:rPr>
          <w:sz w:val="24"/>
          <w:szCs w:val="24"/>
        </w:rPr>
        <w:t>Borduin</w:t>
      </w:r>
      <w:proofErr w:type="spellEnd"/>
      <w:r w:rsidR="00E51962">
        <w:rPr>
          <w:sz w:val="24"/>
          <w:szCs w:val="24"/>
        </w:rPr>
        <w:t xml:space="preserve"> (1990, cited in Wilmshurst, 2005, p.150) advocate the provision of community services as a more effective measure. </w:t>
      </w:r>
      <w:proofErr w:type="spellStart"/>
      <w:r w:rsidR="00E51962">
        <w:rPr>
          <w:sz w:val="24"/>
          <w:szCs w:val="24"/>
        </w:rPr>
        <w:t>Renk</w:t>
      </w:r>
      <w:proofErr w:type="spellEnd"/>
      <w:r w:rsidR="00E51962">
        <w:rPr>
          <w:sz w:val="24"/>
          <w:szCs w:val="24"/>
        </w:rPr>
        <w:t xml:space="preserve"> (2007) has highlighted</w:t>
      </w:r>
      <w:r w:rsidR="00812E57">
        <w:rPr>
          <w:sz w:val="24"/>
          <w:szCs w:val="24"/>
        </w:rPr>
        <w:t xml:space="preserve"> the need for a thorough understanding of CD and the importance of intervention. However, it is possible that children and their families may resist treatment </w:t>
      </w:r>
      <w:r w:rsidR="00812E57">
        <w:rPr>
          <w:sz w:val="24"/>
          <w:szCs w:val="24"/>
        </w:rPr>
        <w:lastRenderedPageBreak/>
        <w:t>and intervention (</w:t>
      </w:r>
      <w:proofErr w:type="spellStart"/>
      <w:r w:rsidR="00812E57">
        <w:rPr>
          <w:sz w:val="24"/>
          <w:szCs w:val="24"/>
        </w:rPr>
        <w:t>Renk</w:t>
      </w:r>
      <w:proofErr w:type="spellEnd"/>
      <w:r w:rsidR="00812E57">
        <w:rPr>
          <w:sz w:val="24"/>
          <w:szCs w:val="24"/>
        </w:rPr>
        <w:t xml:space="preserve">, 2007), and </w:t>
      </w:r>
      <w:proofErr w:type="spellStart"/>
      <w:r w:rsidR="00812E57">
        <w:rPr>
          <w:sz w:val="24"/>
          <w:szCs w:val="24"/>
        </w:rPr>
        <w:t>Kazdin</w:t>
      </w:r>
      <w:proofErr w:type="spellEnd"/>
      <w:r w:rsidR="00812E57">
        <w:rPr>
          <w:sz w:val="24"/>
          <w:szCs w:val="24"/>
        </w:rPr>
        <w:t xml:space="preserve"> (1995, cited in </w:t>
      </w:r>
      <w:proofErr w:type="spellStart"/>
      <w:r w:rsidR="00812E57">
        <w:rPr>
          <w:sz w:val="24"/>
          <w:szCs w:val="24"/>
        </w:rPr>
        <w:t>Renk</w:t>
      </w:r>
      <w:proofErr w:type="spellEnd"/>
      <w:r w:rsidR="00812E57">
        <w:rPr>
          <w:sz w:val="24"/>
          <w:szCs w:val="24"/>
        </w:rPr>
        <w:t>, 2007, p.332) argues that they are not always effective.</w:t>
      </w:r>
      <w:r w:rsidR="005D17BA">
        <w:rPr>
          <w:sz w:val="24"/>
          <w:szCs w:val="24"/>
        </w:rPr>
        <w:t xml:space="preserve"> Connor (2002) also emphasizes the negative impact that interventions can have on society in terms of costs and the strain that is placed on services. The majority of evidence suggests that therapy based interventions are considered more appropriate than medication or disciplinary measures. Interventions usually take the form of cognitive behaviour methods (Wilmshurst, 2005) and different techniques are applied in accordance with the age of the child. Connor (2002) describes the implementation of several prevention programmes, explaining how they began in the 1980’s and have evolved to become more comprehensive. Prior to intervention, an assessment of the individual case is required and Baker (2013) discusses this in great detail. Assessment is conducted by an influential figure associated with the child, such as a carer or social worker</w:t>
      </w:r>
      <w:r w:rsidR="00DF2FA9">
        <w:rPr>
          <w:sz w:val="24"/>
          <w:szCs w:val="24"/>
        </w:rPr>
        <w:t xml:space="preserve"> and the perspective of the sufferer is considered extremely important (Baker, 2013). Behaviour is analysed in a number of distinct environments such as home, school and neighbourhood to gain an insight into the individual’s relationships with others including peers, family and teachers (Baker, 2013). Parental descriptions of behaviour need to be taken into consideration and observations made by therapists (Baker, 2013). Relationships with peers are monitored to evaluate how the child interacts, and what activities they indulge in (Baker, 2013). Therapists would also require reports from schools to establish the conduct of the patient, their academic performance and whether or not they have any specific learning difficulties (Baker, 2013). Family relationships are also assessed and parental style examined, again focusing on interaction, together with issues such as parental conflict</w:t>
      </w:r>
      <w:r w:rsidR="00490776">
        <w:rPr>
          <w:sz w:val="24"/>
          <w:szCs w:val="24"/>
        </w:rPr>
        <w:t xml:space="preserve"> (Baker, 2013). It has been argued that early intervention is vital in the treatment of CD (Conduct Problems Prevention Research Group, 1992, cited in </w:t>
      </w:r>
      <w:proofErr w:type="spellStart"/>
      <w:r w:rsidR="00490776">
        <w:rPr>
          <w:sz w:val="24"/>
          <w:szCs w:val="24"/>
        </w:rPr>
        <w:t>Renk</w:t>
      </w:r>
      <w:proofErr w:type="spellEnd"/>
      <w:r w:rsidR="00490776">
        <w:rPr>
          <w:sz w:val="24"/>
          <w:szCs w:val="24"/>
        </w:rPr>
        <w:t>, 2007, p.332), and as previously mentioned, different interventions are available for children and adolescents. It is worthwhile analysing such interventions in more detail at this point, in the case of both younger children and adolescents.</w:t>
      </w:r>
    </w:p>
    <w:p w:rsidR="00F31316" w:rsidRDefault="00490776" w:rsidP="001B6B8E">
      <w:pPr>
        <w:spacing w:line="360" w:lineRule="auto"/>
        <w:rPr>
          <w:sz w:val="24"/>
          <w:szCs w:val="24"/>
        </w:rPr>
      </w:pPr>
      <w:r>
        <w:rPr>
          <w:sz w:val="24"/>
          <w:szCs w:val="24"/>
        </w:rPr>
        <w:tab/>
        <w:t>Parent Management Training (PMT) is an intervention used in treating children with CD and Baker (2013) suggests that this is most effective for those under the age of 8 years old. Wilmshurst (2005) also argues that PMT is tailored more for younger children and the theory is to educate parents in development and implementation techniques and also to improve family interactions (</w:t>
      </w:r>
      <w:proofErr w:type="spellStart"/>
      <w:r>
        <w:rPr>
          <w:sz w:val="24"/>
          <w:szCs w:val="24"/>
        </w:rPr>
        <w:t>Ammerman</w:t>
      </w:r>
      <w:proofErr w:type="spellEnd"/>
      <w:r>
        <w:rPr>
          <w:sz w:val="24"/>
          <w:szCs w:val="24"/>
        </w:rPr>
        <w:t>, Ed., 2006). It is widely believed that</w:t>
      </w:r>
      <w:r w:rsidR="00A751A6">
        <w:rPr>
          <w:sz w:val="24"/>
          <w:szCs w:val="24"/>
        </w:rPr>
        <w:t xml:space="preserve"> CD in younger </w:t>
      </w:r>
      <w:r w:rsidR="00A751A6">
        <w:rPr>
          <w:sz w:val="24"/>
          <w:szCs w:val="24"/>
        </w:rPr>
        <w:lastRenderedPageBreak/>
        <w:t>children arises within the family context (Baker, 2013) and as sufferers within this age group typically spend a great deal of time with their parents, PMT is arguably one of the more favourable interventions. Connor (2002) argues that PMT is beneficial long term and this argument is supported by Baker (2013). The initial phase of PMT involves the training of parents to interact differently with their children (Baker, 2013). Parents are encouraged to set rules with an emphasis on positive reinforcement (Wilmshurst, 2005), mild punishment and also compromise (Connor, 2002), and strategies are devised to deal with negative behaviour (Baker, 2013). PMT typically begins within the home environment (Connor, 2002) because as aforementioned this is where younger children usually spend the majority of their time, and it is widely believed that the</w:t>
      </w:r>
      <w:r w:rsidR="00300A93">
        <w:rPr>
          <w:sz w:val="24"/>
          <w:szCs w:val="24"/>
        </w:rPr>
        <w:t xml:space="preserve"> origins of CD are in the family context. Parents are taught to focus on goals for the child and family (Connor, 2002) through social skills training and the use of role play (Baker, 2013).</w:t>
      </w:r>
      <w:r w:rsidR="00461583">
        <w:rPr>
          <w:sz w:val="24"/>
          <w:szCs w:val="24"/>
        </w:rPr>
        <w:t xml:space="preserve"> Positive reinforcement is a continuous theme (Connor, 2002), with the aim of eradicating negative and permissive parenting (Baker, 2013). An example of PMT studied by Connor (2002) is the Family </w:t>
      </w:r>
      <w:proofErr w:type="gramStart"/>
      <w:r w:rsidR="00461583">
        <w:rPr>
          <w:sz w:val="24"/>
          <w:szCs w:val="24"/>
        </w:rPr>
        <w:t>And</w:t>
      </w:r>
      <w:proofErr w:type="gramEnd"/>
      <w:r w:rsidR="00461583">
        <w:rPr>
          <w:sz w:val="24"/>
          <w:szCs w:val="24"/>
        </w:rPr>
        <w:t xml:space="preserve"> Schools Together (FAST) track programme implemented in the United States of America. The programme was designed with the intention of preventing CD amongst children considered high risk (Connor, 2002). High risk children are identified as being from disadvantaged families, where parents may suffer from mental health conditions such as anxiety and depression or drug and alcohol abuse (Baker, 2013). Intervention is applied at the point a child begins school and consists of PMT over 22 sessions (Connor, 2002). Parents and children participating in the programme receive a home visit from a therapist</w:t>
      </w:r>
      <w:r w:rsidR="004614E5">
        <w:rPr>
          <w:sz w:val="24"/>
          <w:szCs w:val="24"/>
        </w:rPr>
        <w:t xml:space="preserve"> fortnightly and Cognitive Behaviour Therapy (CBT) is used (Connor, 2002). A focus is placed on friendship and playing, together with anger management and problem solving skills (Connor, 2002). Therapy then proceeds to the classroom environment where reading skills are taught, alongside education on emotional issues, self-control and again problem solving skills (Connor, 2002). </w:t>
      </w:r>
      <w:proofErr w:type="spellStart"/>
      <w:r w:rsidR="004614E5">
        <w:rPr>
          <w:sz w:val="24"/>
          <w:szCs w:val="24"/>
        </w:rPr>
        <w:t>Brestan</w:t>
      </w:r>
      <w:proofErr w:type="spellEnd"/>
      <w:r w:rsidR="004614E5">
        <w:rPr>
          <w:sz w:val="24"/>
          <w:szCs w:val="24"/>
        </w:rPr>
        <w:t xml:space="preserve"> &amp; </w:t>
      </w:r>
      <w:proofErr w:type="spellStart"/>
      <w:r w:rsidR="004614E5">
        <w:rPr>
          <w:sz w:val="24"/>
          <w:szCs w:val="24"/>
        </w:rPr>
        <w:t>Eyberg</w:t>
      </w:r>
      <w:proofErr w:type="spellEnd"/>
      <w:r w:rsidR="004614E5">
        <w:rPr>
          <w:sz w:val="24"/>
          <w:szCs w:val="24"/>
        </w:rPr>
        <w:t xml:space="preserve"> (1998, cited in </w:t>
      </w:r>
      <w:proofErr w:type="spellStart"/>
      <w:r w:rsidR="004614E5">
        <w:rPr>
          <w:sz w:val="24"/>
          <w:szCs w:val="24"/>
        </w:rPr>
        <w:t>Renk</w:t>
      </w:r>
      <w:proofErr w:type="spellEnd"/>
      <w:r w:rsidR="004614E5">
        <w:rPr>
          <w:sz w:val="24"/>
          <w:szCs w:val="24"/>
        </w:rPr>
        <w:t xml:space="preserve">, 2007, p.332) argue that PMT is the most successful and effective intervention for CD in younger children, and </w:t>
      </w:r>
      <w:proofErr w:type="spellStart"/>
      <w:r w:rsidR="004614E5">
        <w:rPr>
          <w:sz w:val="24"/>
          <w:szCs w:val="24"/>
        </w:rPr>
        <w:t>Kazdin</w:t>
      </w:r>
      <w:proofErr w:type="spellEnd"/>
      <w:r w:rsidR="004614E5">
        <w:rPr>
          <w:sz w:val="24"/>
          <w:szCs w:val="24"/>
        </w:rPr>
        <w:t xml:space="preserve"> &amp; </w:t>
      </w:r>
      <w:proofErr w:type="spellStart"/>
      <w:r w:rsidR="004614E5">
        <w:rPr>
          <w:sz w:val="24"/>
          <w:szCs w:val="24"/>
        </w:rPr>
        <w:t>Wassell</w:t>
      </w:r>
      <w:proofErr w:type="spellEnd"/>
      <w:r w:rsidR="004614E5">
        <w:rPr>
          <w:sz w:val="24"/>
          <w:szCs w:val="24"/>
        </w:rPr>
        <w:t xml:space="preserve"> (1999, cited in </w:t>
      </w:r>
      <w:proofErr w:type="spellStart"/>
      <w:r w:rsidR="004614E5">
        <w:rPr>
          <w:sz w:val="24"/>
          <w:szCs w:val="24"/>
        </w:rPr>
        <w:t>Renk</w:t>
      </w:r>
      <w:proofErr w:type="spellEnd"/>
      <w:r w:rsidR="004614E5">
        <w:rPr>
          <w:sz w:val="24"/>
          <w:szCs w:val="24"/>
        </w:rPr>
        <w:t>, 2007, p.332) emphasize the positive impact this has upon family life for both parents and children. However, commentators have noted that PMT is not without limitations</w:t>
      </w:r>
      <w:r w:rsidR="00E1256F">
        <w:rPr>
          <w:sz w:val="24"/>
          <w:szCs w:val="24"/>
        </w:rPr>
        <w:t xml:space="preserve">. </w:t>
      </w:r>
      <w:proofErr w:type="spellStart"/>
      <w:r w:rsidR="00E1256F">
        <w:rPr>
          <w:sz w:val="24"/>
          <w:szCs w:val="24"/>
        </w:rPr>
        <w:t>Kazdin</w:t>
      </w:r>
      <w:proofErr w:type="spellEnd"/>
      <w:r w:rsidR="00E1256F">
        <w:rPr>
          <w:sz w:val="24"/>
          <w:szCs w:val="24"/>
        </w:rPr>
        <w:t xml:space="preserve"> (1995; Miller &amp; </w:t>
      </w:r>
      <w:proofErr w:type="spellStart"/>
      <w:r w:rsidR="00E1256F">
        <w:rPr>
          <w:sz w:val="24"/>
          <w:szCs w:val="24"/>
        </w:rPr>
        <w:t>Prinz</w:t>
      </w:r>
      <w:proofErr w:type="spellEnd"/>
      <w:r w:rsidR="00E1256F">
        <w:rPr>
          <w:sz w:val="24"/>
          <w:szCs w:val="24"/>
        </w:rPr>
        <w:t xml:space="preserve">, 1990, cited in </w:t>
      </w:r>
      <w:proofErr w:type="spellStart"/>
      <w:r w:rsidR="00E1256F">
        <w:rPr>
          <w:sz w:val="24"/>
          <w:szCs w:val="24"/>
        </w:rPr>
        <w:t>Ammerman</w:t>
      </w:r>
      <w:proofErr w:type="spellEnd"/>
      <w:r w:rsidR="00E1256F">
        <w:rPr>
          <w:sz w:val="24"/>
          <w:szCs w:val="24"/>
        </w:rPr>
        <w:t xml:space="preserve">, Ed., 2006) states that some parents, usually from the most dysfunctional families, do not complete the </w:t>
      </w:r>
      <w:r w:rsidR="00E1256F">
        <w:rPr>
          <w:sz w:val="24"/>
          <w:szCs w:val="24"/>
        </w:rPr>
        <w:lastRenderedPageBreak/>
        <w:t>programme, resulting in low effectiveness. Furthermore, Baker (2013) argues that comorbidity with other disorders, as discussed previously, reduces effectiveness.</w:t>
      </w:r>
    </w:p>
    <w:p w:rsidR="0084689B" w:rsidRDefault="0084689B" w:rsidP="001B6B8E">
      <w:pPr>
        <w:spacing w:line="360" w:lineRule="auto"/>
        <w:rPr>
          <w:sz w:val="24"/>
          <w:szCs w:val="24"/>
        </w:rPr>
      </w:pPr>
      <w:r>
        <w:rPr>
          <w:sz w:val="24"/>
          <w:szCs w:val="24"/>
        </w:rPr>
        <w:tab/>
        <w:t xml:space="preserve">An intervention applied to adolescents with CD is </w:t>
      </w:r>
      <w:proofErr w:type="spellStart"/>
      <w:r>
        <w:rPr>
          <w:sz w:val="24"/>
          <w:szCs w:val="24"/>
        </w:rPr>
        <w:t>Multisystemic</w:t>
      </w:r>
      <w:proofErr w:type="spellEnd"/>
      <w:r>
        <w:rPr>
          <w:sz w:val="24"/>
          <w:szCs w:val="24"/>
        </w:rPr>
        <w:t xml:space="preserve"> Therapy (MST). Although MST operates within the familial context, parallel to PMT, it extends to include multiple systems such as schools and the social environment (Connor, 2002). Thus, numerous components are considered to be influential (Connor, 2002), and the spheres of influence supposedly interact (</w:t>
      </w:r>
      <w:proofErr w:type="spellStart"/>
      <w:r>
        <w:rPr>
          <w:sz w:val="24"/>
          <w:szCs w:val="24"/>
        </w:rPr>
        <w:t>Henggeler</w:t>
      </w:r>
      <w:proofErr w:type="spellEnd"/>
      <w:r>
        <w:rPr>
          <w:sz w:val="24"/>
          <w:szCs w:val="24"/>
        </w:rPr>
        <w:t xml:space="preserve"> &amp; </w:t>
      </w:r>
      <w:proofErr w:type="spellStart"/>
      <w:r>
        <w:rPr>
          <w:sz w:val="24"/>
          <w:szCs w:val="24"/>
        </w:rPr>
        <w:t>Borduin</w:t>
      </w:r>
      <w:proofErr w:type="spellEnd"/>
      <w:r>
        <w:rPr>
          <w:sz w:val="24"/>
          <w:szCs w:val="24"/>
        </w:rPr>
        <w:t>, 1990, cited in Connor, 2002, p.336). Therefore, unlike PMT, MST is not confined to the family context, but also encompasses the wider environment (</w:t>
      </w:r>
      <w:proofErr w:type="spellStart"/>
      <w:r>
        <w:rPr>
          <w:sz w:val="24"/>
          <w:szCs w:val="24"/>
        </w:rPr>
        <w:t>Ammerman</w:t>
      </w:r>
      <w:proofErr w:type="spellEnd"/>
      <w:r>
        <w:rPr>
          <w:sz w:val="24"/>
          <w:szCs w:val="24"/>
        </w:rPr>
        <w:t>, Ed., 2006)</w:t>
      </w:r>
      <w:r w:rsidR="00175DE8">
        <w:rPr>
          <w:sz w:val="24"/>
          <w:szCs w:val="24"/>
        </w:rPr>
        <w:t>. Comparable with PMT, each case is individually assessed (</w:t>
      </w:r>
      <w:proofErr w:type="spellStart"/>
      <w:r w:rsidR="00175DE8">
        <w:rPr>
          <w:sz w:val="24"/>
          <w:szCs w:val="24"/>
        </w:rPr>
        <w:t>Ammerman</w:t>
      </w:r>
      <w:proofErr w:type="spellEnd"/>
      <w:r w:rsidR="00175DE8">
        <w:rPr>
          <w:sz w:val="24"/>
          <w:szCs w:val="24"/>
        </w:rPr>
        <w:t>, Ed., 2006) and treatment focuses on the interactions of the adolescent within their numerous environments (Connor, 2002). Many techniques and intervention packages are created and implemented (Connor, 2002) and are tailored specifically for the individual (</w:t>
      </w:r>
      <w:proofErr w:type="spellStart"/>
      <w:r w:rsidR="00175DE8">
        <w:rPr>
          <w:sz w:val="24"/>
          <w:szCs w:val="24"/>
        </w:rPr>
        <w:t>Ammerman</w:t>
      </w:r>
      <w:proofErr w:type="spellEnd"/>
      <w:r w:rsidR="00175DE8">
        <w:rPr>
          <w:sz w:val="24"/>
          <w:szCs w:val="24"/>
        </w:rPr>
        <w:t>, Ed., 2006). Family therapy remains an important component of the intervention and Baker (2013) again discusses parent training skills and marital conflict resolutions. Emphasis is placed upon communication and cohesion, and wider social issues such as unemployment and school life are taken into consideration (Connor, 2002). There is a strong focus upon individual strengths within each targeted environment</w:t>
      </w:r>
      <w:r w:rsidR="00370679">
        <w:rPr>
          <w:sz w:val="24"/>
          <w:szCs w:val="24"/>
        </w:rPr>
        <w:t xml:space="preserve"> and appropriate interventions involve the integration of treatments, as previously termed packages (Connor, 2002). Therefore, MST is usually packaged in the form of numerous different therapies (Connor, 2002). MST is considered extremely effective in the treatment of CD (</w:t>
      </w:r>
      <w:proofErr w:type="spellStart"/>
      <w:r w:rsidR="00370679">
        <w:rPr>
          <w:sz w:val="24"/>
          <w:szCs w:val="24"/>
        </w:rPr>
        <w:t>Ammerman</w:t>
      </w:r>
      <w:proofErr w:type="spellEnd"/>
      <w:r w:rsidR="00370679">
        <w:rPr>
          <w:sz w:val="24"/>
          <w:szCs w:val="24"/>
        </w:rPr>
        <w:t>, Ed., 2006).</w:t>
      </w:r>
      <w:r w:rsidR="00FA1955">
        <w:rPr>
          <w:sz w:val="24"/>
          <w:szCs w:val="24"/>
        </w:rPr>
        <w:t xml:space="preserve"> </w:t>
      </w:r>
      <w:proofErr w:type="spellStart"/>
      <w:r w:rsidR="00FA1955">
        <w:rPr>
          <w:sz w:val="24"/>
          <w:szCs w:val="24"/>
        </w:rPr>
        <w:t>Henggeler</w:t>
      </w:r>
      <w:proofErr w:type="spellEnd"/>
      <w:r w:rsidR="00FA1955">
        <w:rPr>
          <w:sz w:val="24"/>
          <w:szCs w:val="24"/>
        </w:rPr>
        <w:t xml:space="preserve"> </w:t>
      </w:r>
      <w:r w:rsidR="00FA1955">
        <w:rPr>
          <w:i/>
          <w:sz w:val="24"/>
          <w:szCs w:val="24"/>
        </w:rPr>
        <w:t>et al</w:t>
      </w:r>
      <w:r w:rsidR="00FA1955">
        <w:rPr>
          <w:sz w:val="24"/>
          <w:szCs w:val="24"/>
        </w:rPr>
        <w:t xml:space="preserve">., (1992, cited in </w:t>
      </w:r>
      <w:proofErr w:type="spellStart"/>
      <w:r w:rsidR="00FA1955">
        <w:rPr>
          <w:sz w:val="24"/>
          <w:szCs w:val="24"/>
        </w:rPr>
        <w:t>Ammerman</w:t>
      </w:r>
      <w:proofErr w:type="spellEnd"/>
      <w:r w:rsidR="00FA1955">
        <w:rPr>
          <w:sz w:val="24"/>
          <w:szCs w:val="24"/>
        </w:rPr>
        <w:t>, Ed., 2006, p.308) argue that MST is one of the most successful interventions. Wilmshurst (2005) suggests that the success of MST is in large part due to the implementation of CBT. Baker (2013) states that MST is most effective in serious instances of CD, and Connor (2002) supports this, citing the efficiency of the treatment amongst adolescents exhibiting extreme behaviours such as violent crime. One study shows that of offenders receiving the treatment, only 26% were re-arrested in comparison to 71% in receipt of other treatments such as outpatient services (</w:t>
      </w:r>
      <w:proofErr w:type="spellStart"/>
      <w:r w:rsidR="00FA1955">
        <w:rPr>
          <w:sz w:val="24"/>
          <w:szCs w:val="24"/>
        </w:rPr>
        <w:t>Ammerman</w:t>
      </w:r>
      <w:proofErr w:type="spellEnd"/>
      <w:r w:rsidR="00FA1955">
        <w:rPr>
          <w:sz w:val="24"/>
          <w:szCs w:val="24"/>
        </w:rPr>
        <w:t>, Ed., 2006). There is also evidence suggesting that MST</w:t>
      </w:r>
      <w:r w:rsidR="00B47CA4">
        <w:rPr>
          <w:sz w:val="24"/>
          <w:szCs w:val="24"/>
        </w:rPr>
        <w:t xml:space="preserve"> is more successful in reducing rates of alcohol, cannabis and substance abuse compared with other treatments (</w:t>
      </w:r>
      <w:proofErr w:type="spellStart"/>
      <w:r w:rsidR="00B47CA4">
        <w:rPr>
          <w:sz w:val="24"/>
          <w:szCs w:val="24"/>
        </w:rPr>
        <w:t>Henggeler</w:t>
      </w:r>
      <w:proofErr w:type="spellEnd"/>
      <w:r w:rsidR="00B47CA4">
        <w:rPr>
          <w:sz w:val="24"/>
          <w:szCs w:val="24"/>
        </w:rPr>
        <w:t xml:space="preserve"> </w:t>
      </w:r>
      <w:r w:rsidR="00B47CA4">
        <w:rPr>
          <w:i/>
          <w:sz w:val="24"/>
          <w:szCs w:val="24"/>
        </w:rPr>
        <w:t>et al</w:t>
      </w:r>
      <w:r w:rsidR="00B47CA4">
        <w:rPr>
          <w:sz w:val="24"/>
          <w:szCs w:val="24"/>
        </w:rPr>
        <w:t xml:space="preserve">., 1992, cited in Connor, 2002, p.337). While many adolescents treated by MST are known to be severely impaired (Connor, 2002), </w:t>
      </w:r>
      <w:r w:rsidR="00B47CA4">
        <w:rPr>
          <w:sz w:val="24"/>
          <w:szCs w:val="24"/>
        </w:rPr>
        <w:lastRenderedPageBreak/>
        <w:t>Baker (2013) has highlighted the improvements to family relationships and decrease in delinquent behaviour resulting from the implementation of the treatment.</w:t>
      </w:r>
    </w:p>
    <w:p w:rsidR="00B47CA4" w:rsidRPr="00B47CA4" w:rsidRDefault="00B47CA4" w:rsidP="001B6B8E">
      <w:pPr>
        <w:spacing w:line="360" w:lineRule="auto"/>
        <w:rPr>
          <w:sz w:val="24"/>
          <w:szCs w:val="24"/>
        </w:rPr>
      </w:pPr>
      <w:r>
        <w:rPr>
          <w:sz w:val="24"/>
          <w:szCs w:val="24"/>
        </w:rPr>
        <w:tab/>
        <w:t>Interventions and treatments for CD have been discussed in some detail and research shows that PMT and MST are seen to be effective. PMT is considered a particularly positive intervention in children under the age of 5 and MST has resulted in a decrease in crime, drug use, alcohol abuse and teenage pregnancy amongst adolescents (Baker, 2013). However, Baker (2013) also argues that anger management</w:t>
      </w:r>
      <w:r w:rsidR="009C54A1">
        <w:rPr>
          <w:sz w:val="24"/>
          <w:szCs w:val="24"/>
        </w:rPr>
        <w:t xml:space="preserve"> training, social skills training and group therapy are not without limitations. Such limitations are most evident in deprived, dysfunctional families unable to access or failing to complete the treatment programmes (Baker, 2013). Research and implementation of treatments and interventions for CD </w:t>
      </w:r>
      <w:bookmarkStart w:id="0" w:name="_GoBack"/>
      <w:bookmarkEnd w:id="0"/>
      <w:r w:rsidR="009C54A1">
        <w:rPr>
          <w:sz w:val="24"/>
          <w:szCs w:val="24"/>
        </w:rPr>
        <w:t>remains a continuous process.</w:t>
      </w:r>
    </w:p>
    <w:p w:rsidR="008676EF" w:rsidRPr="00DE7064" w:rsidRDefault="000A6CE3" w:rsidP="00FD7055">
      <w:pPr>
        <w:spacing w:line="360" w:lineRule="auto"/>
        <w:rPr>
          <w:b/>
          <w:sz w:val="24"/>
          <w:szCs w:val="24"/>
        </w:rPr>
      </w:pPr>
      <w:r>
        <w:rPr>
          <w:b/>
          <w:sz w:val="24"/>
          <w:szCs w:val="24"/>
        </w:rPr>
        <w:t>References</w:t>
      </w:r>
    </w:p>
    <w:p w:rsidR="0037573E" w:rsidRDefault="0037573E" w:rsidP="00FD7055">
      <w:pPr>
        <w:spacing w:line="360" w:lineRule="auto"/>
        <w:rPr>
          <w:sz w:val="24"/>
          <w:szCs w:val="24"/>
        </w:rPr>
      </w:pPr>
      <w:proofErr w:type="spellStart"/>
      <w:r w:rsidRPr="0037573E">
        <w:rPr>
          <w:sz w:val="24"/>
          <w:szCs w:val="24"/>
        </w:rPr>
        <w:t>Ammerman</w:t>
      </w:r>
      <w:proofErr w:type="spellEnd"/>
      <w:r w:rsidRPr="0037573E">
        <w:rPr>
          <w:sz w:val="24"/>
          <w:szCs w:val="24"/>
        </w:rPr>
        <w:t>, R.</w:t>
      </w:r>
      <w:r w:rsidR="00DE7064">
        <w:rPr>
          <w:sz w:val="24"/>
          <w:szCs w:val="24"/>
        </w:rPr>
        <w:t xml:space="preserve"> Ed.,</w:t>
      </w:r>
      <w:r w:rsidRPr="0037573E">
        <w:rPr>
          <w:sz w:val="24"/>
          <w:szCs w:val="24"/>
        </w:rPr>
        <w:t xml:space="preserve"> (2006). </w:t>
      </w:r>
      <w:r w:rsidRPr="0037573E">
        <w:rPr>
          <w:i/>
          <w:iCs/>
          <w:sz w:val="24"/>
          <w:szCs w:val="24"/>
        </w:rPr>
        <w:t>Comprehensive Handbook of Personality and Psychopathology Volume 3</w:t>
      </w:r>
      <w:r w:rsidRPr="0037573E">
        <w:rPr>
          <w:sz w:val="24"/>
          <w:szCs w:val="24"/>
        </w:rPr>
        <w:t>. Hoboken: John Wiley &amp; Sons.</w:t>
      </w:r>
    </w:p>
    <w:p w:rsidR="005912FA" w:rsidRDefault="00274985" w:rsidP="005912FA">
      <w:pPr>
        <w:spacing w:line="360" w:lineRule="auto"/>
        <w:rPr>
          <w:sz w:val="24"/>
          <w:szCs w:val="24"/>
        </w:rPr>
      </w:pPr>
      <w:r w:rsidRPr="00274985">
        <w:rPr>
          <w:sz w:val="24"/>
          <w:szCs w:val="24"/>
        </w:rPr>
        <w:t>Baker, K. (2013). Conduct disorders in children and adolescents. </w:t>
      </w:r>
      <w:r w:rsidRPr="00274985">
        <w:rPr>
          <w:i/>
          <w:iCs/>
          <w:sz w:val="24"/>
          <w:szCs w:val="24"/>
        </w:rPr>
        <w:t>Paediatrics and Child Health</w:t>
      </w:r>
      <w:r w:rsidRPr="00274985">
        <w:rPr>
          <w:sz w:val="24"/>
          <w:szCs w:val="24"/>
        </w:rPr>
        <w:t>, 23(1), pp.24-29.</w:t>
      </w:r>
    </w:p>
    <w:p w:rsidR="00DD2FD1" w:rsidRPr="00681EAF" w:rsidRDefault="00DD2FD1" w:rsidP="005912FA">
      <w:pPr>
        <w:spacing w:line="360" w:lineRule="auto"/>
        <w:rPr>
          <w:sz w:val="24"/>
          <w:szCs w:val="24"/>
        </w:rPr>
      </w:pPr>
      <w:r>
        <w:rPr>
          <w:sz w:val="24"/>
          <w:szCs w:val="24"/>
        </w:rPr>
        <w:t xml:space="preserve">Connor, D. F. </w:t>
      </w:r>
      <w:r w:rsidR="00681EAF">
        <w:rPr>
          <w:sz w:val="24"/>
          <w:szCs w:val="24"/>
        </w:rPr>
        <w:t xml:space="preserve">(2002). </w:t>
      </w:r>
      <w:r w:rsidR="00681EAF">
        <w:rPr>
          <w:i/>
          <w:sz w:val="24"/>
          <w:szCs w:val="24"/>
        </w:rPr>
        <w:t>Aggression and Antisocial Behaviour in Children and Adolescents. Research and Treatment</w:t>
      </w:r>
      <w:r w:rsidR="00681EAF">
        <w:rPr>
          <w:sz w:val="24"/>
          <w:szCs w:val="24"/>
        </w:rPr>
        <w:t>. The Guildford Press. New York.</w:t>
      </w:r>
    </w:p>
    <w:p w:rsidR="004B124B" w:rsidRPr="00DE7064" w:rsidRDefault="00784677" w:rsidP="004B124B">
      <w:pPr>
        <w:spacing w:line="360" w:lineRule="auto"/>
        <w:rPr>
          <w:sz w:val="24"/>
          <w:szCs w:val="24"/>
        </w:rPr>
      </w:pPr>
      <w:proofErr w:type="spellStart"/>
      <w:r w:rsidRPr="00784677">
        <w:rPr>
          <w:sz w:val="24"/>
          <w:szCs w:val="24"/>
        </w:rPr>
        <w:t>Cicchetti</w:t>
      </w:r>
      <w:proofErr w:type="spellEnd"/>
      <w:r w:rsidRPr="00784677">
        <w:rPr>
          <w:sz w:val="24"/>
          <w:szCs w:val="24"/>
        </w:rPr>
        <w:t>, D. and Cohen, D. (2006). </w:t>
      </w:r>
      <w:r w:rsidRPr="00784677">
        <w:rPr>
          <w:i/>
          <w:iCs/>
          <w:sz w:val="24"/>
          <w:szCs w:val="24"/>
        </w:rPr>
        <w:t>Developmental psychopathology</w:t>
      </w:r>
      <w:r w:rsidRPr="00784677">
        <w:rPr>
          <w:sz w:val="24"/>
          <w:szCs w:val="24"/>
        </w:rPr>
        <w:t>. H</w:t>
      </w:r>
      <w:r w:rsidR="00DE7064">
        <w:rPr>
          <w:sz w:val="24"/>
          <w:szCs w:val="24"/>
        </w:rPr>
        <w:t>oboken, N.J.: John Wiley &amp; Sons.</w:t>
      </w:r>
    </w:p>
    <w:p w:rsidR="00211682" w:rsidRDefault="007815BE" w:rsidP="00F65400">
      <w:pPr>
        <w:spacing w:line="360" w:lineRule="auto"/>
        <w:rPr>
          <w:sz w:val="24"/>
          <w:szCs w:val="24"/>
        </w:rPr>
      </w:pPr>
      <w:r w:rsidRPr="007815BE">
        <w:rPr>
          <w:sz w:val="24"/>
          <w:szCs w:val="24"/>
        </w:rPr>
        <w:t>Miller, B. (2006). </w:t>
      </w:r>
      <w:r w:rsidRPr="007815BE">
        <w:rPr>
          <w:i/>
          <w:iCs/>
          <w:sz w:val="24"/>
          <w:szCs w:val="24"/>
        </w:rPr>
        <w:t>CONDUCT DISORDER—A NEUROBIOLOGICAL, BIOPSYCHOSOCIAL, AND PSYCHOLOGICAL PERSPECTIVE: A CRITICAL REVIEW OF THE LITERATURE</w:t>
      </w:r>
      <w:r w:rsidRPr="007815BE">
        <w:rPr>
          <w:sz w:val="24"/>
          <w:szCs w:val="24"/>
        </w:rPr>
        <w:t xml:space="preserve">. </w:t>
      </w:r>
      <w:proofErr w:type="spellStart"/>
      <w:r w:rsidRPr="007815BE">
        <w:rPr>
          <w:sz w:val="24"/>
          <w:szCs w:val="24"/>
        </w:rPr>
        <w:t>Psy</w:t>
      </w:r>
      <w:proofErr w:type="spellEnd"/>
      <w:r w:rsidRPr="007815BE">
        <w:rPr>
          <w:sz w:val="24"/>
          <w:szCs w:val="24"/>
        </w:rPr>
        <w:t>. D. San Diego.</w:t>
      </w:r>
    </w:p>
    <w:p w:rsidR="00940F12" w:rsidRPr="00681EAF" w:rsidRDefault="003B1E74" w:rsidP="00940F12">
      <w:pPr>
        <w:spacing w:line="360" w:lineRule="auto"/>
        <w:rPr>
          <w:sz w:val="24"/>
          <w:szCs w:val="24"/>
        </w:rPr>
      </w:pPr>
      <w:proofErr w:type="spellStart"/>
      <w:r w:rsidRPr="003B1E74">
        <w:rPr>
          <w:sz w:val="24"/>
          <w:szCs w:val="24"/>
        </w:rPr>
        <w:t>Renk</w:t>
      </w:r>
      <w:proofErr w:type="spellEnd"/>
      <w:r w:rsidRPr="003B1E74">
        <w:rPr>
          <w:sz w:val="24"/>
          <w:szCs w:val="24"/>
        </w:rPr>
        <w:t>, K. (2008). Disorders of conduct in young children: Developmental considerations, diagnoses, and other characteristics. </w:t>
      </w:r>
      <w:r w:rsidRPr="003B1E74">
        <w:rPr>
          <w:i/>
          <w:iCs/>
          <w:sz w:val="24"/>
          <w:szCs w:val="24"/>
        </w:rPr>
        <w:t>Developmental Review</w:t>
      </w:r>
      <w:r w:rsidRPr="003B1E74">
        <w:rPr>
          <w:sz w:val="24"/>
          <w:szCs w:val="24"/>
        </w:rPr>
        <w:t>, 28(3), pp.316-341.</w:t>
      </w:r>
    </w:p>
    <w:p w:rsidR="0032741E" w:rsidRPr="00FB5541" w:rsidRDefault="0032741E" w:rsidP="00FD7055">
      <w:pPr>
        <w:spacing w:line="360" w:lineRule="auto"/>
        <w:rPr>
          <w:sz w:val="24"/>
          <w:szCs w:val="24"/>
        </w:rPr>
      </w:pPr>
      <w:r w:rsidRPr="0032741E">
        <w:rPr>
          <w:sz w:val="24"/>
          <w:szCs w:val="24"/>
        </w:rPr>
        <w:t>Wilmshurst, L. (2005). </w:t>
      </w:r>
      <w:r w:rsidRPr="0032741E">
        <w:rPr>
          <w:i/>
          <w:iCs/>
          <w:sz w:val="24"/>
          <w:szCs w:val="24"/>
        </w:rPr>
        <w:t>Essentials of child psychopathology</w:t>
      </w:r>
      <w:r w:rsidRPr="0032741E">
        <w:rPr>
          <w:sz w:val="24"/>
          <w:szCs w:val="24"/>
        </w:rPr>
        <w:t>. Hoboken, N.J.: John Wiley &amp; Sons.</w:t>
      </w:r>
    </w:p>
    <w:p w:rsidR="000A6CE3" w:rsidRPr="000A6CE3" w:rsidRDefault="000A6CE3" w:rsidP="00FD7055">
      <w:pPr>
        <w:spacing w:line="360" w:lineRule="auto"/>
        <w:rPr>
          <w:b/>
          <w:sz w:val="24"/>
          <w:szCs w:val="24"/>
        </w:rPr>
      </w:pPr>
    </w:p>
    <w:sectPr w:rsidR="000A6CE3" w:rsidRPr="000A6CE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D7055"/>
    <w:rsid w:val="00071019"/>
    <w:rsid w:val="000A6CE3"/>
    <w:rsid w:val="000C0666"/>
    <w:rsid w:val="000D3469"/>
    <w:rsid w:val="001319A8"/>
    <w:rsid w:val="00175DE8"/>
    <w:rsid w:val="001B6B8E"/>
    <w:rsid w:val="00211682"/>
    <w:rsid w:val="0027125C"/>
    <w:rsid w:val="00274985"/>
    <w:rsid w:val="002D7AA5"/>
    <w:rsid w:val="00300A93"/>
    <w:rsid w:val="0032741E"/>
    <w:rsid w:val="00370679"/>
    <w:rsid w:val="0037573E"/>
    <w:rsid w:val="0039493E"/>
    <w:rsid w:val="003B1E74"/>
    <w:rsid w:val="004614E5"/>
    <w:rsid w:val="00461583"/>
    <w:rsid w:val="00490776"/>
    <w:rsid w:val="004B124B"/>
    <w:rsid w:val="005912FA"/>
    <w:rsid w:val="005C6696"/>
    <w:rsid w:val="005D17BA"/>
    <w:rsid w:val="00634D73"/>
    <w:rsid w:val="00681EAF"/>
    <w:rsid w:val="006A151A"/>
    <w:rsid w:val="007427D8"/>
    <w:rsid w:val="007554AE"/>
    <w:rsid w:val="007815BE"/>
    <w:rsid w:val="00784677"/>
    <w:rsid w:val="00812E57"/>
    <w:rsid w:val="00813AD4"/>
    <w:rsid w:val="0084689B"/>
    <w:rsid w:val="008676EF"/>
    <w:rsid w:val="00910DF5"/>
    <w:rsid w:val="009160AC"/>
    <w:rsid w:val="0093137E"/>
    <w:rsid w:val="00940F12"/>
    <w:rsid w:val="009570D0"/>
    <w:rsid w:val="009C54A1"/>
    <w:rsid w:val="009D630E"/>
    <w:rsid w:val="00A1319C"/>
    <w:rsid w:val="00A751A6"/>
    <w:rsid w:val="00AA7129"/>
    <w:rsid w:val="00B47CA4"/>
    <w:rsid w:val="00B80873"/>
    <w:rsid w:val="00BA74EB"/>
    <w:rsid w:val="00C017E5"/>
    <w:rsid w:val="00C07848"/>
    <w:rsid w:val="00C12BA9"/>
    <w:rsid w:val="00CA436B"/>
    <w:rsid w:val="00CC0164"/>
    <w:rsid w:val="00CF2B78"/>
    <w:rsid w:val="00D0366F"/>
    <w:rsid w:val="00D201BF"/>
    <w:rsid w:val="00DB748D"/>
    <w:rsid w:val="00DD2FD1"/>
    <w:rsid w:val="00DE7064"/>
    <w:rsid w:val="00DF2FA9"/>
    <w:rsid w:val="00E1256F"/>
    <w:rsid w:val="00E51323"/>
    <w:rsid w:val="00E51962"/>
    <w:rsid w:val="00E66D55"/>
    <w:rsid w:val="00EC60F2"/>
    <w:rsid w:val="00F079BE"/>
    <w:rsid w:val="00F157DC"/>
    <w:rsid w:val="00F31316"/>
    <w:rsid w:val="00F65400"/>
    <w:rsid w:val="00FA1955"/>
    <w:rsid w:val="00FB5541"/>
    <w:rsid w:val="00FD7055"/>
    <w:rsid w:val="00FE056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0369BC4F-92A0-40F9-AA88-8A62DA2179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2667</Words>
  <Characters>15207</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17839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University of Wales</dc:creator>
  <cp:keywords/>
  <dc:description/>
  <cp:lastModifiedBy>University of Wales </cp:lastModifiedBy>
  <cp:revision>2</cp:revision>
  <dcterms:created xsi:type="dcterms:W3CDTF">2017-11-30T16:40:00Z</dcterms:created>
  <dcterms:modified xsi:type="dcterms:W3CDTF">2017-11-30T16:40:00Z</dcterms:modified>
</cp:coreProperties>
</file>