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hAnsiTheme="minorBidi"/>
          <w:sz w:val="22"/>
          <w:szCs w:val="22"/>
        </w:rPr>
        <w:id w:val="-441920860"/>
        <w:docPartObj>
          <w:docPartGallery w:val="Cover Pages"/>
          <w:docPartUnique/>
        </w:docPartObj>
      </w:sdtPr>
      <w:sdtEndPr>
        <w:rPr>
          <w:rStyle w:val="Strong"/>
          <w:b/>
          <w:bCs/>
          <w:color w:val="000000" w:themeColor="text1"/>
        </w:rPr>
      </w:sdtEndPr>
      <w:sdtContent>
        <w:p w14:paraId="213C2EE8" w14:textId="3FD89608" w:rsidR="00C17272" w:rsidRPr="006C3F9E" w:rsidRDefault="0067747A" w:rsidP="71429B68">
          <w:pPr>
            <w:spacing w:line="360" w:lineRule="auto"/>
            <w:rPr>
              <w:rStyle w:val="Strong"/>
              <w:rFonts w:asciiTheme="minorBidi" w:hAnsiTheme="minorBidi"/>
              <w:b w:val="0"/>
              <w:bCs w:val="0"/>
              <w:sz w:val="22"/>
              <w:szCs w:val="22"/>
            </w:rPr>
          </w:pPr>
          <w:r w:rsidRPr="004B1C26">
            <w:rPr>
              <w:rFonts w:asciiTheme="minorBidi" w:hAnsiTheme="minorBidi"/>
              <w:noProof/>
              <w:sz w:val="22"/>
              <w:szCs w:val="22"/>
            </w:rPr>
            <mc:AlternateContent>
              <mc:Choice Requires="wps">
                <w:drawing>
                  <wp:anchor distT="0" distB="0" distL="114300" distR="114300" simplePos="0" relativeHeight="251658244" behindDoc="0" locked="0" layoutInCell="1" allowOverlap="1" wp14:anchorId="77EF60AB" wp14:editId="355C6CC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4932773" w14:textId="48D24DE6" w:rsidR="0067747A" w:rsidRDefault="00704F4F">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7747A">
                                      <w:rPr>
                                        <w:noProof/>
                                        <w:color w:val="0E2841" w:themeColor="text2"/>
                                      </w:rPr>
                                      <w:t>Chakira M'Houmadi (2322832)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a="http://schemas.openxmlformats.org/drawingml/2006/main" xmlns:arto="http://schemas.microsoft.com/office/word/2006/arto">
                <w:pict>
                  <v:shapetype id="_x0000_t202" coordsize="21600,21600" o:spt="202" path="m,l,21600r21600,l21600,xe" w14:anchorId="77EF60AB">
                    <v:stroke joinstyle="miter"/>
                    <v:path gradientshapeok="t" o:connecttype="rect"/>
                  </v:shapetype>
                  <v:shape id="Text Box 2" style="position:absolute;margin-left:0;margin-top:0;width:220.3pt;height:21.15pt;z-index:25165824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v:textbox style="mso-fit-shape-to-text:t">
                      <w:txbxContent>
                        <w:p w:rsidR="0067747A" w:rsidRDefault="00182B18" w14:paraId="24932773" w14:textId="48D24DE6">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7747A">
                                <w:rPr>
                                  <w:noProof/>
                                  <w:color w:val="0E2841" w:themeColor="text2"/>
                                </w:rPr>
                                <w:t>Chakira M'Houmadi (2322832)</w:t>
                              </w:r>
                            </w:sdtContent>
                          </w:sdt>
                        </w:p>
                      </w:txbxContent>
                    </v:textbox>
                    <w10:wrap type="square" anchorx="page" anchory="page"/>
                  </v:shape>
                </w:pict>
              </mc:Fallback>
            </mc:AlternateContent>
          </w:r>
          <w:r w:rsidRPr="004B1C26">
            <w:rPr>
              <w:rFonts w:asciiTheme="minorBidi" w:hAnsiTheme="minorBidi"/>
              <w:noProof/>
              <w:sz w:val="22"/>
              <w:szCs w:val="22"/>
            </w:rPr>
            <mc:AlternateContent>
              <mc:Choice Requires="wps">
                <w:drawing>
                  <wp:anchor distT="0" distB="0" distL="114300" distR="114300" simplePos="0" relativeHeight="251658243" behindDoc="1" locked="0" layoutInCell="1" allowOverlap="1" wp14:anchorId="35C58394" wp14:editId="75559F93">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97D4070" w14:textId="10AAD567" w:rsidR="00F05A8D" w:rsidRPr="00FC2586" w:rsidRDefault="005022AF">
                                <w:pPr>
                                  <w:rPr>
                                    <w:rFonts w:ascii="Arial" w:hAnsi="Arial" w:cs="Arial"/>
                                    <w:b/>
                                    <w:color w:val="000000" w:themeColor="text1"/>
                                    <w:sz w:val="22"/>
                                    <w:szCs w:val="22"/>
                                  </w:rPr>
                                </w:pPr>
                                <w:r>
                                  <w:rPr>
                                    <w:rFonts w:ascii="Arial" w:hAnsi="Arial" w:cs="Arial"/>
                                    <w:b/>
                                    <w:color w:val="000000" w:themeColor="text1"/>
                                    <w:sz w:val="22"/>
                                    <w:szCs w:val="22"/>
                                  </w:rPr>
                                  <w:t xml:space="preserve">Student </w:t>
                                </w:r>
                                <w:r w:rsidR="00F05A8D" w:rsidRPr="00FC2586">
                                  <w:rPr>
                                    <w:rFonts w:ascii="Arial" w:hAnsi="Arial" w:cs="Arial"/>
                                    <w:b/>
                                    <w:color w:val="000000" w:themeColor="text1"/>
                                    <w:sz w:val="22"/>
                                    <w:szCs w:val="22"/>
                                  </w:rPr>
                                  <w:t>N</w:t>
                                </w:r>
                                <w:r w:rsidR="005271D8" w:rsidRPr="00FC2586">
                                  <w:rPr>
                                    <w:rFonts w:ascii="Arial" w:hAnsi="Arial" w:cs="Arial"/>
                                    <w:b/>
                                    <w:color w:val="000000" w:themeColor="text1"/>
                                    <w:sz w:val="22"/>
                                    <w:szCs w:val="22"/>
                                  </w:rPr>
                                  <w:t>ame</w:t>
                                </w:r>
                                <w:r w:rsidR="00F05A8D" w:rsidRPr="00FC2586">
                                  <w:rPr>
                                    <w:rFonts w:ascii="Arial" w:hAnsi="Arial" w:cs="Arial"/>
                                    <w:b/>
                                    <w:color w:val="000000" w:themeColor="text1"/>
                                    <w:sz w:val="22"/>
                                    <w:szCs w:val="22"/>
                                  </w:rPr>
                                  <w:t>: Chakira</w:t>
                                </w:r>
                              </w:p>
                              <w:p w14:paraId="3B8ADD1A" w14:textId="6F821882" w:rsidR="00F05A8D" w:rsidRPr="00FC2586" w:rsidRDefault="005022AF">
                                <w:pPr>
                                  <w:rPr>
                                    <w:rFonts w:ascii="Arial" w:hAnsi="Arial" w:cs="Arial"/>
                                    <w:b/>
                                    <w:color w:val="000000" w:themeColor="text1"/>
                                    <w:sz w:val="22"/>
                                    <w:szCs w:val="22"/>
                                  </w:rPr>
                                </w:pPr>
                                <w:r>
                                  <w:rPr>
                                    <w:rFonts w:ascii="Arial" w:hAnsi="Arial" w:cs="Arial"/>
                                    <w:b/>
                                    <w:color w:val="000000" w:themeColor="text1"/>
                                    <w:sz w:val="22"/>
                                    <w:szCs w:val="22"/>
                                  </w:rPr>
                                  <w:t xml:space="preserve">Student </w:t>
                                </w:r>
                                <w:r w:rsidR="00F05A8D" w:rsidRPr="00FC2586">
                                  <w:rPr>
                                    <w:rFonts w:ascii="Arial" w:hAnsi="Arial" w:cs="Arial"/>
                                    <w:b/>
                                    <w:color w:val="000000" w:themeColor="text1"/>
                                    <w:sz w:val="22"/>
                                    <w:szCs w:val="22"/>
                                  </w:rPr>
                                  <w:t>Surname: M’</w:t>
                                </w:r>
                                <w:r w:rsidR="0029102E" w:rsidRPr="00FC2586">
                                  <w:rPr>
                                    <w:rFonts w:ascii="Arial" w:hAnsi="Arial" w:cs="Arial"/>
                                    <w:b/>
                                    <w:color w:val="000000" w:themeColor="text1"/>
                                    <w:sz w:val="22"/>
                                    <w:szCs w:val="22"/>
                                  </w:rPr>
                                  <w:t>HOUMADI</w:t>
                                </w:r>
                              </w:p>
                              <w:p w14:paraId="3C5D33A8" w14:textId="336D770F" w:rsidR="0067747A" w:rsidRPr="00FC2586" w:rsidRDefault="00CA0FAE">
                                <w:pPr>
                                  <w:rPr>
                                    <w:rFonts w:ascii="Arial" w:hAnsi="Arial" w:cs="Arial"/>
                                    <w:b/>
                                    <w:color w:val="000000" w:themeColor="text1"/>
                                    <w:sz w:val="22"/>
                                    <w:szCs w:val="22"/>
                                  </w:rPr>
                                </w:pPr>
                                <w:r w:rsidRPr="00FC2586">
                                  <w:rPr>
                                    <w:rFonts w:ascii="Arial" w:hAnsi="Arial" w:cs="Arial"/>
                                    <w:b/>
                                    <w:color w:val="000000" w:themeColor="text1"/>
                                    <w:sz w:val="22"/>
                                    <w:szCs w:val="22"/>
                                  </w:rPr>
                                  <w:t>Programme:</w:t>
                                </w:r>
                                <w:r w:rsidR="007C20DB" w:rsidRPr="00FC2586">
                                  <w:rPr>
                                    <w:rFonts w:ascii="Arial" w:hAnsi="Arial" w:cs="Arial"/>
                                    <w:b/>
                                    <w:color w:val="000000" w:themeColor="text1"/>
                                    <w:sz w:val="22"/>
                                    <w:szCs w:val="22"/>
                                  </w:rPr>
                                  <w:t xml:space="preserve"> BSc (Hons) Health and Social Care</w:t>
                                </w:r>
                              </w:p>
                              <w:p w14:paraId="16648409" w14:textId="505C749D" w:rsidR="009C5EAF" w:rsidRPr="00365D73" w:rsidRDefault="00A7160F">
                                <w:pPr>
                                  <w:rPr>
                                    <w:rFonts w:ascii="Arial" w:hAnsi="Arial" w:cs="Arial"/>
                                    <w:b/>
                                    <w:color w:val="000000" w:themeColor="text1"/>
                                    <w:sz w:val="22"/>
                                    <w:szCs w:val="22"/>
                                  </w:rPr>
                                </w:pPr>
                                <w:r>
                                  <w:rPr>
                                    <w:rFonts w:ascii="Arial" w:hAnsi="Arial" w:cs="Arial"/>
                                    <w:b/>
                                    <w:color w:val="000000" w:themeColor="text1"/>
                                    <w:sz w:val="22"/>
                                    <w:szCs w:val="22"/>
                                  </w:rPr>
                                  <w:t>Student</w:t>
                                </w:r>
                                <w:r w:rsidR="00FA0857">
                                  <w:rPr>
                                    <w:rFonts w:ascii="Arial" w:hAnsi="Arial" w:cs="Arial"/>
                                    <w:b/>
                                    <w:color w:val="000000" w:themeColor="text1"/>
                                    <w:sz w:val="22"/>
                                    <w:szCs w:val="22"/>
                                  </w:rPr>
                                  <w:t xml:space="preserve"> </w:t>
                                </w:r>
                                <w:r w:rsidR="00ED3017">
                                  <w:rPr>
                                    <w:rFonts w:ascii="Arial" w:hAnsi="Arial" w:cs="Arial"/>
                                    <w:b/>
                                    <w:color w:val="000000" w:themeColor="text1"/>
                                    <w:sz w:val="22"/>
                                    <w:szCs w:val="22"/>
                                  </w:rPr>
                                  <w:t>Ref</w:t>
                                </w:r>
                                <w:r w:rsidR="00BB768D">
                                  <w:rPr>
                                    <w:rFonts w:ascii="Arial" w:hAnsi="Arial" w:cs="Arial"/>
                                    <w:b/>
                                    <w:color w:val="000000" w:themeColor="text1"/>
                                    <w:sz w:val="22"/>
                                    <w:szCs w:val="22"/>
                                  </w:rPr>
                                  <w:t>:</w:t>
                                </w:r>
                                <w:r>
                                  <w:rPr>
                                    <w:rFonts w:ascii="Arial" w:hAnsi="Arial" w:cs="Arial"/>
                                    <w:b/>
                                    <w:color w:val="000000" w:themeColor="text1"/>
                                    <w:sz w:val="22"/>
                                    <w:szCs w:val="22"/>
                                  </w:rPr>
                                  <w:t xml:space="preserve"> </w:t>
                                </w:r>
                                <w:r w:rsidR="00311746">
                                  <w:rPr>
                                    <w:rFonts w:ascii="Arial" w:hAnsi="Arial" w:cs="Arial"/>
                                    <w:b/>
                                    <w:color w:val="000000" w:themeColor="text1"/>
                                    <w:sz w:val="22"/>
                                    <w:szCs w:val="22"/>
                                  </w:rPr>
                                  <w:t>Number: 2322</w:t>
                                </w:r>
                                <w:r w:rsidR="00117CEC">
                                  <w:rPr>
                                    <w:rFonts w:ascii="Arial" w:hAnsi="Arial" w:cs="Arial"/>
                                    <w:b/>
                                    <w:color w:val="000000" w:themeColor="text1"/>
                                    <w:sz w:val="22"/>
                                    <w:szCs w:val="22"/>
                                  </w:rPr>
                                  <w:t>832</w:t>
                                </w:r>
                              </w:p>
                              <w:p w14:paraId="7D9BB6A2" w14:textId="14B4D1A3" w:rsidR="00AB0B97" w:rsidRPr="00FC2586" w:rsidRDefault="00AB0B97">
                                <w:pPr>
                                  <w:rPr>
                                    <w:rFonts w:ascii="Arial" w:hAnsi="Arial" w:cs="Arial"/>
                                    <w:b/>
                                    <w:color w:val="000000" w:themeColor="text1"/>
                                    <w:sz w:val="22"/>
                                    <w:szCs w:val="22"/>
                                  </w:rPr>
                                </w:pPr>
                                <w:r w:rsidRPr="00FC2586">
                                  <w:rPr>
                                    <w:rFonts w:ascii="Arial" w:hAnsi="Arial" w:cs="Arial"/>
                                    <w:b/>
                                    <w:color w:val="000000" w:themeColor="text1"/>
                                    <w:sz w:val="22"/>
                                    <w:szCs w:val="22"/>
                                  </w:rPr>
                                  <w:t>Module code:</w:t>
                                </w:r>
                                <w:r w:rsidR="00EC3B38" w:rsidRPr="00FC2586">
                                  <w:rPr>
                                    <w:rFonts w:ascii="Arial" w:hAnsi="Arial" w:cs="Arial"/>
                                    <w:b/>
                                    <w:color w:val="000000" w:themeColor="text1"/>
                                    <w:sz w:val="22"/>
                                    <w:szCs w:val="22"/>
                                  </w:rPr>
                                  <w:t xml:space="preserve"> BMHP6029</w:t>
                                </w:r>
                              </w:p>
                              <w:p w14:paraId="07B19F9C" w14:textId="6D84BC4D" w:rsidR="00444255" w:rsidRPr="00FC2586" w:rsidRDefault="00444255">
                                <w:pPr>
                                  <w:rPr>
                                    <w:color w:val="000000" w:themeColor="text1"/>
                                  </w:rPr>
                                </w:pPr>
                                <w:r w:rsidRPr="00FC2586">
                                  <w:rPr>
                                    <w:rFonts w:ascii="Arial" w:hAnsi="Arial" w:cs="Arial"/>
                                    <w:b/>
                                    <w:color w:val="000000" w:themeColor="text1"/>
                                    <w:sz w:val="22"/>
                                    <w:szCs w:val="22"/>
                                  </w:rPr>
                                  <w:t>Lecturer</w:t>
                                </w:r>
                                <w:r w:rsidR="00BB768D">
                                  <w:rPr>
                                    <w:rFonts w:ascii="Arial" w:hAnsi="Arial" w:cs="Arial"/>
                                    <w:b/>
                                    <w:color w:val="000000" w:themeColor="text1"/>
                                    <w:sz w:val="22"/>
                                    <w:szCs w:val="22"/>
                                  </w:rPr>
                                  <w:t xml:space="preserve"> Name</w:t>
                                </w:r>
                                <w:r w:rsidR="00720961">
                                  <w:rPr>
                                    <w:rFonts w:ascii="Arial" w:hAnsi="Arial" w:cs="Arial"/>
                                    <w:b/>
                                    <w:color w:val="000000" w:themeColor="text1"/>
                                    <w:sz w:val="22"/>
                                    <w:szCs w:val="22"/>
                                  </w:rPr>
                                  <w:t>:</w:t>
                                </w:r>
                                <w:r w:rsidR="00AF7DCD">
                                  <w:rPr>
                                    <w:rFonts w:ascii="Arial" w:hAnsi="Arial" w:cs="Arial"/>
                                    <w:b/>
                                    <w:color w:val="000000" w:themeColor="text1"/>
                                    <w:sz w:val="22"/>
                                    <w:szCs w:val="22"/>
                                  </w:rPr>
                                  <w:t xml:space="preserve"> N</w:t>
                                </w:r>
                                <w:r w:rsidR="006F78FE">
                                  <w:rPr>
                                    <w:rFonts w:ascii="Arial" w:hAnsi="Arial" w:cs="Arial"/>
                                    <w:b/>
                                    <w:color w:val="000000" w:themeColor="text1"/>
                                    <w:sz w:val="22"/>
                                    <w:szCs w:val="22"/>
                                  </w:rPr>
                                  <w:t>eale Haddon</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http://schemas.openxmlformats.org/drawingml/2006/main" xmlns:arto="http://schemas.microsoft.com/office/word/2006/arto">
                <w:pict xmlns:w="http://schemas.openxmlformats.org/wordprocessingml/2006/main">
                  <v:rect xmlns:w14="http://schemas.microsoft.com/office/word/2010/wordml" xmlns:o="urn:schemas-microsoft-com:office:office" xmlns:v="urn:schemas-microsoft-com:vml" id="Rectangle 3" style="position:absolute;margin-left:0;margin-top:0;width:581.4pt;height:752.4pt;z-index:-251658237;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7" fillcolor="#c1e4f5 [660]" stroked="f" strokeweight="1pt" w14:anchorId="35C583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v:fill type="gradient" color2="#45b0e1 [1940]" focus="100%" rotate="t">
                      <o:fill v:ext="view" type="gradientUnscaled"/>
                    </v:fill>
                    <v:textbox inset="21.6pt,,21.6pt">
                      <w:txbxContent>
                        <w:p w:rsidRPr="00FC2586" w:rsidR="00F05A8D" w:rsidRDefault="005022AF" w14:paraId="097D4070" w14:textId="10AAD567">
                          <w:pPr>
                            <w:rPr>
                              <w:rFonts w:ascii="Arial" w:hAnsi="Arial" w:cs="Arial"/>
                              <w:b/>
                              <w:color w:val="000000" w:themeColor="text1"/>
                              <w:sz w:val="22"/>
                              <w:szCs w:val="22"/>
                            </w:rPr>
                          </w:pPr>
                          <w:r>
                            <w:rPr>
                              <w:rFonts w:ascii="Arial" w:hAnsi="Arial" w:cs="Arial"/>
                              <w:b/>
                              <w:color w:val="000000" w:themeColor="text1"/>
                              <w:sz w:val="22"/>
                              <w:szCs w:val="22"/>
                            </w:rPr>
                            <w:t xml:space="preserve">Student </w:t>
                          </w:r>
                          <w:r w:rsidRPr="00FC2586" w:rsidR="00F05A8D">
                            <w:rPr>
                              <w:rFonts w:ascii="Arial" w:hAnsi="Arial" w:cs="Arial"/>
                              <w:b/>
                              <w:color w:val="000000" w:themeColor="text1"/>
                              <w:sz w:val="22"/>
                              <w:szCs w:val="22"/>
                            </w:rPr>
                            <w:t>N</w:t>
                          </w:r>
                          <w:r w:rsidRPr="00FC2586" w:rsidR="005271D8">
                            <w:rPr>
                              <w:rFonts w:ascii="Arial" w:hAnsi="Arial" w:cs="Arial"/>
                              <w:b/>
                              <w:color w:val="000000" w:themeColor="text1"/>
                              <w:sz w:val="22"/>
                              <w:szCs w:val="22"/>
                            </w:rPr>
                            <w:t>ame</w:t>
                          </w:r>
                          <w:r w:rsidRPr="00FC2586" w:rsidR="00F05A8D">
                            <w:rPr>
                              <w:rFonts w:ascii="Arial" w:hAnsi="Arial" w:cs="Arial"/>
                              <w:b/>
                              <w:color w:val="000000" w:themeColor="text1"/>
                              <w:sz w:val="22"/>
                              <w:szCs w:val="22"/>
                            </w:rPr>
                            <w:t>: Chakira</w:t>
                          </w:r>
                        </w:p>
                        <w:p w:rsidRPr="00FC2586" w:rsidR="00F05A8D" w:rsidRDefault="005022AF" w14:paraId="3B8ADD1A" w14:textId="6F821882">
                          <w:pPr>
                            <w:rPr>
                              <w:rFonts w:ascii="Arial" w:hAnsi="Arial" w:cs="Arial"/>
                              <w:b/>
                              <w:color w:val="000000" w:themeColor="text1"/>
                              <w:sz w:val="22"/>
                              <w:szCs w:val="22"/>
                            </w:rPr>
                          </w:pPr>
                          <w:r>
                            <w:rPr>
                              <w:rFonts w:ascii="Arial" w:hAnsi="Arial" w:cs="Arial"/>
                              <w:b/>
                              <w:color w:val="000000" w:themeColor="text1"/>
                              <w:sz w:val="22"/>
                              <w:szCs w:val="22"/>
                            </w:rPr>
                            <w:t xml:space="preserve">Student </w:t>
                          </w:r>
                          <w:r w:rsidRPr="00FC2586" w:rsidR="00F05A8D">
                            <w:rPr>
                              <w:rFonts w:ascii="Arial" w:hAnsi="Arial" w:cs="Arial"/>
                              <w:b/>
                              <w:color w:val="000000" w:themeColor="text1"/>
                              <w:sz w:val="22"/>
                              <w:szCs w:val="22"/>
                            </w:rPr>
                            <w:t>Surname: M’</w:t>
                          </w:r>
                          <w:r w:rsidRPr="00FC2586" w:rsidR="0029102E">
                            <w:rPr>
                              <w:rFonts w:ascii="Arial" w:hAnsi="Arial" w:cs="Arial"/>
                              <w:b/>
                              <w:color w:val="000000" w:themeColor="text1"/>
                              <w:sz w:val="22"/>
                              <w:szCs w:val="22"/>
                            </w:rPr>
                            <w:t>HOUMADI</w:t>
                          </w:r>
                        </w:p>
                        <w:p w:rsidRPr="00FC2586" w:rsidR="0067747A" w:rsidRDefault="00CA0FAE" w14:paraId="3C5D33A8" w14:textId="336D770F">
                          <w:pPr>
                            <w:rPr>
                              <w:rFonts w:ascii="Arial" w:hAnsi="Arial" w:cs="Arial"/>
                              <w:b/>
                              <w:color w:val="000000" w:themeColor="text1"/>
                              <w:sz w:val="22"/>
                              <w:szCs w:val="22"/>
                            </w:rPr>
                          </w:pPr>
                          <w:r w:rsidRPr="00FC2586">
                            <w:rPr>
                              <w:rFonts w:ascii="Arial" w:hAnsi="Arial" w:cs="Arial"/>
                              <w:b/>
                              <w:color w:val="000000" w:themeColor="text1"/>
                              <w:sz w:val="22"/>
                              <w:szCs w:val="22"/>
                            </w:rPr>
                            <w:t>Programme:</w:t>
                          </w:r>
                          <w:r w:rsidRPr="00FC2586" w:rsidR="007C20DB">
                            <w:rPr>
                              <w:rFonts w:ascii="Arial" w:hAnsi="Arial" w:cs="Arial"/>
                              <w:b/>
                              <w:color w:val="000000" w:themeColor="text1"/>
                              <w:sz w:val="22"/>
                              <w:szCs w:val="22"/>
                            </w:rPr>
                            <w:t xml:space="preserve"> BSc (Hons) Health and Social Care</w:t>
                          </w:r>
                        </w:p>
                        <w:p w:rsidRPr="00365D73" w:rsidR="009C5EAF" w:rsidRDefault="00A7160F" w14:paraId="16648409" w14:textId="505C749D">
                          <w:pPr>
                            <w:rPr>
                              <w:rFonts w:ascii="Arial" w:hAnsi="Arial" w:cs="Arial"/>
                              <w:b/>
                              <w:color w:val="000000" w:themeColor="text1"/>
                              <w:sz w:val="22"/>
                              <w:szCs w:val="22"/>
                            </w:rPr>
                          </w:pPr>
                          <w:r>
                            <w:rPr>
                              <w:rFonts w:ascii="Arial" w:hAnsi="Arial" w:cs="Arial"/>
                              <w:b/>
                              <w:color w:val="000000" w:themeColor="text1"/>
                              <w:sz w:val="22"/>
                              <w:szCs w:val="22"/>
                            </w:rPr>
                            <w:t>Student</w:t>
                          </w:r>
                          <w:r w:rsidR="00FA0857">
                            <w:rPr>
                              <w:rFonts w:ascii="Arial" w:hAnsi="Arial" w:cs="Arial"/>
                              <w:b/>
                              <w:color w:val="000000" w:themeColor="text1"/>
                              <w:sz w:val="22"/>
                              <w:szCs w:val="22"/>
                            </w:rPr>
                            <w:t xml:space="preserve"> </w:t>
                          </w:r>
                          <w:r w:rsidR="00ED3017">
                            <w:rPr>
                              <w:rFonts w:ascii="Arial" w:hAnsi="Arial" w:cs="Arial"/>
                              <w:b/>
                              <w:color w:val="000000" w:themeColor="text1"/>
                              <w:sz w:val="22"/>
                              <w:szCs w:val="22"/>
                            </w:rPr>
                            <w:t>Ref</w:t>
                          </w:r>
                          <w:r w:rsidR="00BB768D">
                            <w:rPr>
                              <w:rFonts w:ascii="Arial" w:hAnsi="Arial" w:cs="Arial"/>
                              <w:b/>
                              <w:color w:val="000000" w:themeColor="text1"/>
                              <w:sz w:val="22"/>
                              <w:szCs w:val="22"/>
                            </w:rPr>
                            <w:t>:</w:t>
                          </w:r>
                          <w:r>
                            <w:rPr>
                              <w:rFonts w:ascii="Arial" w:hAnsi="Arial" w:cs="Arial"/>
                              <w:b/>
                              <w:color w:val="000000" w:themeColor="text1"/>
                              <w:sz w:val="22"/>
                              <w:szCs w:val="22"/>
                            </w:rPr>
                            <w:t xml:space="preserve"> </w:t>
                          </w:r>
                          <w:r w:rsidR="00311746">
                            <w:rPr>
                              <w:rFonts w:ascii="Arial" w:hAnsi="Arial" w:cs="Arial"/>
                              <w:b/>
                              <w:color w:val="000000" w:themeColor="text1"/>
                              <w:sz w:val="22"/>
                              <w:szCs w:val="22"/>
                            </w:rPr>
                            <w:t>Number: 2322</w:t>
                          </w:r>
                          <w:r w:rsidR="00117CEC">
                            <w:rPr>
                              <w:rFonts w:ascii="Arial" w:hAnsi="Arial" w:cs="Arial"/>
                              <w:b/>
                              <w:color w:val="000000" w:themeColor="text1"/>
                              <w:sz w:val="22"/>
                              <w:szCs w:val="22"/>
                            </w:rPr>
                            <w:t>832</w:t>
                          </w:r>
                        </w:p>
                        <w:p w:rsidRPr="00FC2586" w:rsidR="00AB0B97" w:rsidRDefault="00AB0B97" w14:paraId="7D9BB6A2" w14:textId="14B4D1A3">
                          <w:pPr>
                            <w:rPr>
                              <w:rFonts w:ascii="Arial" w:hAnsi="Arial" w:cs="Arial"/>
                              <w:b/>
                              <w:color w:val="000000" w:themeColor="text1"/>
                              <w:sz w:val="22"/>
                              <w:szCs w:val="22"/>
                            </w:rPr>
                          </w:pPr>
                          <w:r w:rsidRPr="00FC2586">
                            <w:rPr>
                              <w:rFonts w:ascii="Arial" w:hAnsi="Arial" w:cs="Arial"/>
                              <w:b/>
                              <w:color w:val="000000" w:themeColor="text1"/>
                              <w:sz w:val="22"/>
                              <w:szCs w:val="22"/>
                            </w:rPr>
                            <w:t>Module code:</w:t>
                          </w:r>
                          <w:r w:rsidRPr="00FC2586" w:rsidR="00EC3B38">
                            <w:rPr>
                              <w:rFonts w:ascii="Arial" w:hAnsi="Arial" w:cs="Arial"/>
                              <w:b/>
                              <w:color w:val="000000" w:themeColor="text1"/>
                              <w:sz w:val="22"/>
                              <w:szCs w:val="22"/>
                            </w:rPr>
                            <w:t xml:space="preserve"> BMHP6029</w:t>
                          </w:r>
                        </w:p>
                        <w:p w:rsidRPr="00FC2586" w:rsidR="00444255" w:rsidRDefault="00444255" w14:paraId="07B19F9C" w14:textId="6D84BC4D">
                          <w:pPr>
                            <w:rPr>
                              <w:color w:val="000000" w:themeColor="text1"/>
                            </w:rPr>
                          </w:pPr>
                          <w:r w:rsidRPr="00FC2586">
                            <w:rPr>
                              <w:rFonts w:ascii="Arial" w:hAnsi="Arial" w:cs="Arial"/>
                              <w:b/>
                              <w:color w:val="000000" w:themeColor="text1"/>
                              <w:sz w:val="22"/>
                              <w:szCs w:val="22"/>
                            </w:rPr>
                            <w:t>Lecturer</w:t>
                          </w:r>
                          <w:r w:rsidR="00BB768D">
                            <w:rPr>
                              <w:rFonts w:ascii="Arial" w:hAnsi="Arial" w:cs="Arial"/>
                              <w:b/>
                              <w:color w:val="000000" w:themeColor="text1"/>
                              <w:sz w:val="22"/>
                              <w:szCs w:val="22"/>
                            </w:rPr>
                            <w:t xml:space="preserve"> </w:t>
                          </w:r>
                          <w:r w:rsidR="00BB768D">
                            <w:rPr>
                              <w:rFonts w:ascii="Arial" w:hAnsi="Arial" w:cs="Arial"/>
                              <w:b/>
                              <w:color w:val="000000" w:themeColor="text1"/>
                              <w:sz w:val="22"/>
                              <w:szCs w:val="22"/>
                            </w:rPr>
                            <w:t>Name</w:t>
                          </w:r>
                          <w:r w:rsidR="00720961">
                            <w:rPr>
                              <w:rFonts w:ascii="Arial" w:hAnsi="Arial" w:cs="Arial"/>
                              <w:b/>
                              <w:color w:val="000000" w:themeColor="text1"/>
                              <w:sz w:val="22"/>
                              <w:szCs w:val="22"/>
                            </w:rPr>
                            <w:t>:</w:t>
                          </w:r>
                          <w:r w:rsidR="00AF7DCD">
                            <w:rPr>
                              <w:rFonts w:ascii="Arial" w:hAnsi="Arial" w:cs="Arial"/>
                              <w:b/>
                              <w:color w:val="000000" w:themeColor="text1"/>
                              <w:sz w:val="22"/>
                              <w:szCs w:val="22"/>
                            </w:rPr>
                            <w:t xml:space="preserve"> N</w:t>
                          </w:r>
                          <w:r w:rsidR="006F78FE">
                            <w:rPr>
                              <w:rFonts w:ascii="Arial" w:hAnsi="Arial" w:cs="Arial"/>
                              <w:b/>
                              <w:color w:val="000000" w:themeColor="text1"/>
                              <w:sz w:val="22"/>
                              <w:szCs w:val="22"/>
                            </w:rPr>
                            <w:t>eale Haddon</w:t>
                          </w:r>
                        </w:p>
                      </w:txbxContent>
                    </v:textbox>
                    <w10:wrap xmlns:w10="urn:schemas-microsoft-com:office:word" anchorx="page" anchory="page"/>
                  </v:rect>
                </w:pict>
              </mc:Fallback>
            </mc:AlternateContent>
          </w:r>
          <w:r w:rsidRPr="004B1C26">
            <w:rPr>
              <w:rFonts w:asciiTheme="minorBidi" w:hAnsiTheme="minorBidi"/>
              <w:noProof/>
              <w:sz w:val="22"/>
              <w:szCs w:val="22"/>
            </w:rPr>
            <mc:AlternateContent>
              <mc:Choice Requires="wps">
                <w:drawing>
                  <wp:anchor distT="0" distB="0" distL="114300" distR="114300" simplePos="0" relativeHeight="251658241" behindDoc="0" locked="0" layoutInCell="1" allowOverlap="1" wp14:anchorId="70D7D04C" wp14:editId="225EE43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937571" w14:textId="01B92B94" w:rsidR="0067747A" w:rsidRDefault="00704F4F">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A55CD">
                                      <w:rPr>
                                        <w:color w:val="FFFFFF" w:themeColor="background1"/>
                                      </w:rPr>
                                      <w:t xml:space="preserve">Title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xmlns:a="http://schemas.openxmlformats.org/drawingml/2006/main" xmlns:arto="http://schemas.microsoft.com/office/word/2006/arto">
                <w:pict>
                  <v:rect id="Rectangle 4"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spid="_x0000_s1028" fillcolor="#0e2841 [3215]" stroked="f" strokeweight="1pt" w14:anchorId="70D7D0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v:textbox inset="14.4pt,14.4pt,14.4pt,28.8pt">
                      <w:txbxContent>
                        <w:p w:rsidR="0067747A" w:rsidRDefault="00182B18" w14:paraId="5E937571" w14:textId="01B92B94">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2A55CD">
                                <w:rPr>
                                  <w:color w:val="FFFFFF" w:themeColor="background1"/>
                                </w:rPr>
                                <w:t xml:space="preserve">Title </w:t>
                              </w:r>
                            </w:sdtContent>
                          </w:sdt>
                        </w:p>
                      </w:txbxContent>
                    </v:textbox>
                    <w10:wrap anchorx="page" anchory="page"/>
                  </v:rect>
                </w:pict>
              </mc:Fallback>
            </mc:AlternateContent>
          </w:r>
          <w:r w:rsidRPr="004B1C26">
            <w:rPr>
              <w:rFonts w:asciiTheme="minorBidi" w:hAnsiTheme="minorBidi"/>
              <w:noProof/>
              <w:sz w:val="22"/>
              <w:szCs w:val="22"/>
            </w:rPr>
            <mc:AlternateContent>
              <mc:Choice Requires="wps">
                <w:drawing>
                  <wp:anchor distT="0" distB="0" distL="114300" distR="114300" simplePos="0" relativeHeight="251658240" behindDoc="0" locked="0" layoutInCell="1" allowOverlap="1" wp14:anchorId="2D665F36" wp14:editId="263FB8F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11430" b="8255"/>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CC7040" w14:textId="77777777" w:rsidR="00E2214E" w:rsidRPr="008A7CF8" w:rsidRDefault="00E2214E" w:rsidP="00E2214E">
                                <w:pPr>
                                  <w:pStyle w:val="Heading1"/>
                                  <w:rPr>
                                    <w:rFonts w:asciiTheme="minorBidi" w:hAnsiTheme="minorBidi" w:cstheme="minorBidi"/>
                                    <w:color w:val="000000" w:themeColor="text1"/>
                                    <w:sz w:val="22"/>
                                    <w:szCs w:val="22"/>
                                  </w:rPr>
                                </w:pPr>
                                <w:bookmarkStart w:id="0" w:name="_Toc223522615"/>
                                <w:r w:rsidRPr="008A7CF8">
                                  <w:rPr>
                                    <w:rStyle w:val="Strong"/>
                                    <w:rFonts w:asciiTheme="minorBidi" w:hAnsiTheme="minorBidi" w:cstheme="minorBidi"/>
                                    <w:b w:val="0"/>
                                    <w:bCs w:val="0"/>
                                    <w:color w:val="000000" w:themeColor="text1"/>
                                    <w:sz w:val="22"/>
                                    <w:szCs w:val="22"/>
                                  </w:rPr>
                                  <w:t>A Critical Examination of Health Anxiety: Classification, Diagnosis, Treatment and Contemporary Debates within ICD-11</w:t>
                                </w:r>
                                <w:bookmarkEnd w:id="0"/>
                              </w:p>
                              <w:p w14:paraId="5F555F45" w14:textId="699FD572" w:rsidR="00293EB2" w:rsidRDefault="00293EB2" w:rsidP="0029102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http://schemas.openxmlformats.org/drawingml/2006/main" xmlns:arto="http://schemas.microsoft.com/office/word/2006/arto">
                <w:pict>
                  <v:rect id="Rectangle 5"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9" fillcolor="white [3212]" strokecolor="#737373 [1614]" strokeweight="1.25pt" w14:anchorId="2D665F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">
                    <v:textbox>
                      <w:txbxContent>
                        <w:p w:rsidRPr="008A7CF8" w:rsidR="00E2214E" w:rsidP="00E2214E" w:rsidRDefault="00E2214E" w14:paraId="33CC7040" w14:textId="77777777">
                          <w:pPr>
                            <w:pStyle w:val="Heading1"/>
                            <w:rPr>
                              <w:rFonts w:asciiTheme="minorBidi" w:hAnsiTheme="minorBidi" w:cstheme="minorBidi"/>
                              <w:color w:val="000000" w:themeColor="text1"/>
                              <w:sz w:val="22"/>
                              <w:szCs w:val="22"/>
                            </w:rPr>
                          </w:pPr>
                          <w:r w:rsidRPr="008A7CF8">
                            <w:rPr>
                              <w:rStyle w:val="Strong"/>
                              <w:rFonts w:asciiTheme="minorBidi" w:hAnsiTheme="minorBidi" w:cstheme="minorBidi"/>
                              <w:b w:val="0"/>
                              <w:bCs w:val="0"/>
                              <w:color w:val="000000" w:themeColor="text1"/>
                              <w:sz w:val="22"/>
                              <w:szCs w:val="22"/>
                            </w:rPr>
                            <w:t>A Critical Examination of Health Anxiety: Classification, Diagnosis, Treatment and Contemporary Debates within ICD-11</w:t>
                          </w:r>
                        </w:p>
                        <w:p w:rsidR="00293EB2" w:rsidP="0029102E" w:rsidRDefault="00293EB2" w14:paraId="5F555F45" w14:textId="699FD572"/>
                      </w:txbxContent>
                    </v:textbox>
                    <w10:wrap anchorx="page" anchory="page"/>
                  </v:rect>
                </w:pict>
              </mc:Fallback>
            </mc:AlternateContent>
          </w:r>
          <w:r w:rsidRPr="004B1C26">
            <w:rPr>
              <w:rFonts w:asciiTheme="minorBidi" w:hAnsiTheme="minorBidi"/>
              <w:noProof/>
              <w:sz w:val="22"/>
              <w:szCs w:val="22"/>
            </w:rPr>
            <mc:AlternateContent>
              <mc:Choice Requires="wps">
                <w:drawing>
                  <wp:anchor distT="0" distB="0" distL="114300" distR="114300" simplePos="0" relativeHeight="251658242" behindDoc="0" locked="0" layoutInCell="1" allowOverlap="1" wp14:anchorId="2537BE61" wp14:editId="668F5EF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http://schemas.openxmlformats.org/drawingml/2006/main" xmlns:arto="http://schemas.microsoft.com/office/word/2006/arto">
                <w:pict>
                  <v:rect id="Rectangle 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156082 [3204]" stroked="f" strokeweight="1pt" w14:anchorId="0DA8BCA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">
                    <w10:wrap anchorx="page" anchory="page"/>
                  </v:rect>
                </w:pict>
              </mc:Fallback>
            </mc:AlternateContent>
          </w:r>
          <w:r w:rsidRPr="71429B68">
            <w:rPr>
              <w:rStyle w:val="Strong"/>
              <w:rFonts w:asciiTheme="minorBidi" w:hAnsiTheme="minorBidi"/>
              <w:color w:val="000000" w:themeColor="text1"/>
              <w:sz w:val="22"/>
              <w:szCs w:val="22"/>
            </w:rPr>
            <w:br w:type="page"/>
          </w:r>
        </w:p>
        <w:sdt>
          <w:sdtPr>
            <w:rPr>
              <w:rFonts w:asciiTheme="minorBidi" w:eastAsiaTheme="minorEastAsia" w:hAnsiTheme="minorBidi" w:cstheme="minorBidi"/>
              <w:b w:val="0"/>
              <w:bCs w:val="0"/>
              <w:color w:val="auto"/>
              <w:kern w:val="2"/>
              <w:sz w:val="22"/>
              <w:szCs w:val="22"/>
              <w:lang w:val="en-GB"/>
              <w14:ligatures w14:val="standardContextual"/>
            </w:rPr>
            <w:id w:val="43270505"/>
            <w:docPartObj>
              <w:docPartGallery w:val="Table of Contents"/>
              <w:docPartUnique/>
            </w:docPartObj>
          </w:sdtPr>
          <w:sdtContent>
            <w:p w14:paraId="183BE0A2" w14:textId="2A0664E9" w:rsidR="00522D85" w:rsidRPr="004B1C26" w:rsidRDefault="00C17272" w:rsidP="004B1C26">
              <w:pPr>
                <w:pStyle w:val="TOCHeading"/>
                <w:spacing w:line="360" w:lineRule="auto"/>
                <w:rPr>
                  <w:rFonts w:asciiTheme="minorBidi" w:hAnsiTheme="minorBidi" w:cstheme="minorBidi"/>
                  <w:sz w:val="22"/>
                  <w:szCs w:val="22"/>
                </w:rPr>
              </w:pPr>
              <w:r w:rsidRPr="004B1C26">
                <w:rPr>
                  <w:rFonts w:asciiTheme="minorBidi" w:hAnsiTheme="minorBidi" w:cstheme="minorBidi"/>
                  <w:sz w:val="22"/>
                  <w:szCs w:val="22"/>
                </w:rPr>
                <w:t>Table of Contents</w:t>
              </w:r>
            </w:p>
            <w:p w14:paraId="13D40C63" w14:textId="72D3809C" w:rsidR="004438D0" w:rsidRPr="004B1C26" w:rsidRDefault="00C17272" w:rsidP="004B1C26">
              <w:pPr>
                <w:pStyle w:val="TOC1"/>
                <w:tabs>
                  <w:tab w:val="right" w:leader="dot" w:pos="9016"/>
                </w:tabs>
                <w:spacing w:line="360" w:lineRule="auto"/>
                <w:rPr>
                  <w:rFonts w:asciiTheme="minorBidi" w:eastAsiaTheme="minorEastAsia" w:hAnsiTheme="minorBidi" w:cstheme="minorBidi"/>
                  <w:b w:val="0"/>
                  <w:bCs w:val="0"/>
                  <w:i w:val="0"/>
                  <w:iCs w:val="0"/>
                  <w:noProof/>
                  <w:sz w:val="22"/>
                  <w:szCs w:val="22"/>
                  <w:lang w:eastAsia="en-GB"/>
                </w:rPr>
              </w:pPr>
              <w:r w:rsidRPr="004B1C26">
                <w:rPr>
                  <w:rFonts w:asciiTheme="minorBidi" w:hAnsiTheme="minorBidi" w:cstheme="minorBidi"/>
                  <w:b w:val="0"/>
                  <w:bCs w:val="0"/>
                  <w:sz w:val="22"/>
                  <w:szCs w:val="22"/>
                </w:rPr>
                <w:fldChar w:fldCharType="begin"/>
              </w:r>
              <w:r w:rsidRPr="004B1C26">
                <w:rPr>
                  <w:rFonts w:asciiTheme="minorBidi" w:hAnsiTheme="minorBidi" w:cstheme="minorBidi"/>
                  <w:sz w:val="22"/>
                  <w:szCs w:val="22"/>
                </w:rPr>
                <w:instrText xml:space="preserve"> TOC \o "1-3" \h \z \u </w:instrText>
              </w:r>
              <w:r w:rsidRPr="004B1C26">
                <w:rPr>
                  <w:rFonts w:asciiTheme="minorBidi" w:hAnsiTheme="minorBidi" w:cstheme="minorBidi"/>
                  <w:b w:val="0"/>
                  <w:bCs w:val="0"/>
                  <w:sz w:val="22"/>
                  <w:szCs w:val="22"/>
                </w:rPr>
                <w:fldChar w:fldCharType="separate"/>
              </w:r>
              <w:hyperlink w:anchor="_Toc223522615" w:history="1">
                <w:r w:rsidR="004438D0" w:rsidRPr="004B1C26">
                  <w:rPr>
                    <w:rStyle w:val="Hyperlink"/>
                    <w:rFonts w:asciiTheme="minorBidi" w:hAnsiTheme="minorBidi" w:cstheme="minorBidi"/>
                    <w:noProof/>
                    <w:sz w:val="22"/>
                    <w:szCs w:val="22"/>
                  </w:rPr>
                  <w:t>A Critical Examination of Health Anxiety: Classification, Diagnosis, Treatment and Contemporary Debates within ICD-11</w:t>
                </w:r>
                <w:r w:rsidR="004438D0" w:rsidRPr="004B1C26">
                  <w:rPr>
                    <w:rFonts w:asciiTheme="minorBidi" w:hAnsiTheme="minorBidi" w:cstheme="minorBidi"/>
                    <w:noProof/>
                    <w:webHidden/>
                    <w:sz w:val="22"/>
                    <w:szCs w:val="22"/>
                  </w:rPr>
                  <w:tab/>
                </w:r>
                <w:r w:rsidR="004438D0" w:rsidRPr="004B1C26">
                  <w:rPr>
                    <w:rFonts w:asciiTheme="minorBidi" w:hAnsiTheme="minorBidi" w:cstheme="minorBidi"/>
                    <w:noProof/>
                    <w:webHidden/>
                    <w:sz w:val="22"/>
                    <w:szCs w:val="22"/>
                  </w:rPr>
                  <w:fldChar w:fldCharType="begin"/>
                </w:r>
                <w:r w:rsidR="004438D0" w:rsidRPr="004B1C26">
                  <w:rPr>
                    <w:rFonts w:asciiTheme="minorBidi" w:hAnsiTheme="minorBidi" w:cstheme="minorBidi"/>
                    <w:noProof/>
                    <w:webHidden/>
                    <w:sz w:val="22"/>
                    <w:szCs w:val="22"/>
                  </w:rPr>
                  <w:instrText xml:space="preserve"> PAGEREF _Toc223522615 \h </w:instrText>
                </w:r>
                <w:r w:rsidR="004438D0" w:rsidRPr="004B1C26">
                  <w:rPr>
                    <w:rFonts w:asciiTheme="minorBidi" w:hAnsiTheme="minorBidi" w:cstheme="minorBidi"/>
                    <w:noProof/>
                    <w:webHidden/>
                    <w:sz w:val="22"/>
                    <w:szCs w:val="22"/>
                  </w:rPr>
                </w:r>
                <w:r w:rsidR="004438D0" w:rsidRPr="004B1C26">
                  <w:rPr>
                    <w:rFonts w:asciiTheme="minorBidi" w:hAnsiTheme="minorBidi" w:cstheme="minorBidi"/>
                    <w:noProof/>
                    <w:webHidden/>
                    <w:sz w:val="22"/>
                    <w:szCs w:val="22"/>
                  </w:rPr>
                  <w:fldChar w:fldCharType="separate"/>
                </w:r>
                <w:r w:rsidR="004438D0" w:rsidRPr="004B1C26">
                  <w:rPr>
                    <w:rFonts w:asciiTheme="minorBidi" w:hAnsiTheme="minorBidi" w:cstheme="minorBidi"/>
                    <w:noProof/>
                    <w:webHidden/>
                    <w:sz w:val="22"/>
                    <w:szCs w:val="22"/>
                  </w:rPr>
                  <w:t>0</w:t>
                </w:r>
                <w:r w:rsidR="004438D0" w:rsidRPr="004B1C26">
                  <w:rPr>
                    <w:rFonts w:asciiTheme="minorBidi" w:hAnsiTheme="minorBidi" w:cstheme="minorBidi"/>
                    <w:noProof/>
                    <w:webHidden/>
                    <w:sz w:val="22"/>
                    <w:szCs w:val="22"/>
                  </w:rPr>
                  <w:fldChar w:fldCharType="end"/>
                </w:r>
              </w:hyperlink>
            </w:p>
            <w:p w14:paraId="48EBE60A" w14:textId="12F73C1D" w:rsidR="004438D0" w:rsidRPr="004B1C26" w:rsidRDefault="004438D0" w:rsidP="004B1C26">
              <w:pPr>
                <w:pStyle w:val="TOC1"/>
                <w:tabs>
                  <w:tab w:val="right" w:leader="dot" w:pos="9016"/>
                </w:tabs>
                <w:spacing w:line="360" w:lineRule="auto"/>
                <w:rPr>
                  <w:rFonts w:asciiTheme="minorBidi" w:eastAsiaTheme="minorEastAsia" w:hAnsiTheme="minorBidi" w:cstheme="minorBidi"/>
                  <w:b w:val="0"/>
                  <w:bCs w:val="0"/>
                  <w:i w:val="0"/>
                  <w:iCs w:val="0"/>
                  <w:noProof/>
                  <w:sz w:val="22"/>
                  <w:szCs w:val="22"/>
                  <w:lang w:eastAsia="en-GB"/>
                </w:rPr>
              </w:pPr>
              <w:hyperlink w:anchor="_Toc223522616" w:history="1">
                <w:r w:rsidRPr="004B1C26">
                  <w:rPr>
                    <w:rStyle w:val="Hyperlink"/>
                    <w:rFonts w:asciiTheme="minorBidi" w:hAnsiTheme="minorBidi" w:cstheme="minorBidi"/>
                    <w:noProof/>
                    <w:sz w:val="22"/>
                    <w:szCs w:val="22"/>
                  </w:rPr>
                  <w:t>Introduction</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_Toc223522616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1</w:t>
                </w:r>
                <w:r w:rsidRPr="004B1C26">
                  <w:rPr>
                    <w:rFonts w:asciiTheme="minorBidi" w:hAnsiTheme="minorBidi" w:cstheme="minorBidi"/>
                    <w:noProof/>
                    <w:webHidden/>
                    <w:sz w:val="22"/>
                    <w:szCs w:val="22"/>
                  </w:rPr>
                  <w:fldChar w:fldCharType="end"/>
                </w:r>
              </w:hyperlink>
            </w:p>
            <w:p w14:paraId="1CE4F0B1" w14:textId="0FAB36B2" w:rsidR="004438D0" w:rsidRPr="004B1C26" w:rsidRDefault="004438D0" w:rsidP="004B1C26">
              <w:pPr>
                <w:pStyle w:val="TOC2"/>
                <w:tabs>
                  <w:tab w:val="right" w:leader="dot" w:pos="9016"/>
                </w:tabs>
                <w:spacing w:line="360" w:lineRule="auto"/>
                <w:rPr>
                  <w:rFonts w:asciiTheme="minorBidi" w:eastAsiaTheme="minorEastAsia" w:hAnsiTheme="minorBidi" w:cstheme="minorBidi"/>
                  <w:b w:val="0"/>
                  <w:bCs w:val="0"/>
                  <w:noProof/>
                  <w:szCs w:val="22"/>
                  <w:lang w:eastAsia="en-GB"/>
                </w:rPr>
              </w:pPr>
              <w:hyperlink w:anchor="_Toc223522617" w:history="1">
                <w:r w:rsidRPr="004B1C26">
                  <w:rPr>
                    <w:rStyle w:val="Hyperlink"/>
                    <w:rFonts w:asciiTheme="minorBidi" w:hAnsiTheme="minorBidi" w:cstheme="minorBidi"/>
                    <w:noProof/>
                    <w:szCs w:val="22"/>
                  </w:rPr>
                  <w:t>Classification and Diagnosis</w:t>
                </w:r>
                <w:r w:rsidRPr="004B1C26">
                  <w:rPr>
                    <w:rFonts w:asciiTheme="minorBidi" w:hAnsiTheme="minorBidi" w:cstheme="minorBidi"/>
                    <w:noProof/>
                    <w:webHidden/>
                    <w:szCs w:val="22"/>
                  </w:rPr>
                  <w:tab/>
                </w:r>
                <w:r w:rsidRPr="004B1C26">
                  <w:rPr>
                    <w:rFonts w:asciiTheme="minorBidi" w:hAnsiTheme="minorBidi" w:cstheme="minorBidi"/>
                    <w:noProof/>
                    <w:webHidden/>
                    <w:szCs w:val="22"/>
                  </w:rPr>
                  <w:fldChar w:fldCharType="begin"/>
                </w:r>
                <w:r w:rsidRPr="004B1C26">
                  <w:rPr>
                    <w:rFonts w:asciiTheme="minorBidi" w:hAnsiTheme="minorBidi" w:cstheme="minorBidi"/>
                    <w:noProof/>
                    <w:webHidden/>
                    <w:szCs w:val="22"/>
                  </w:rPr>
                  <w:instrText xml:space="preserve"> PAGEREF _Toc223522617 \h </w:instrText>
                </w:r>
                <w:r w:rsidRPr="004B1C26">
                  <w:rPr>
                    <w:rFonts w:asciiTheme="minorBidi" w:hAnsiTheme="minorBidi" w:cstheme="minorBidi"/>
                    <w:noProof/>
                    <w:webHidden/>
                    <w:szCs w:val="22"/>
                  </w:rPr>
                </w:r>
                <w:r w:rsidRPr="004B1C26">
                  <w:rPr>
                    <w:rFonts w:asciiTheme="minorBidi" w:hAnsiTheme="minorBidi" w:cstheme="minorBidi"/>
                    <w:noProof/>
                    <w:webHidden/>
                    <w:szCs w:val="22"/>
                  </w:rPr>
                  <w:fldChar w:fldCharType="separate"/>
                </w:r>
                <w:r w:rsidRPr="004B1C26">
                  <w:rPr>
                    <w:rFonts w:asciiTheme="minorBidi" w:hAnsiTheme="minorBidi" w:cstheme="minorBidi"/>
                    <w:noProof/>
                    <w:webHidden/>
                    <w:szCs w:val="22"/>
                  </w:rPr>
                  <w:t>2</w:t>
                </w:r>
                <w:r w:rsidRPr="004B1C26">
                  <w:rPr>
                    <w:rFonts w:asciiTheme="minorBidi" w:hAnsiTheme="minorBidi" w:cstheme="minorBidi"/>
                    <w:noProof/>
                    <w:webHidden/>
                    <w:szCs w:val="22"/>
                  </w:rPr>
                  <w:fldChar w:fldCharType="end"/>
                </w:r>
              </w:hyperlink>
            </w:p>
            <w:p w14:paraId="15F26EBA" w14:textId="075B5874"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18" w:history="1">
                <w:r w:rsidRPr="004B1C26">
                  <w:rPr>
                    <w:rStyle w:val="Hyperlink"/>
                    <w:rFonts w:asciiTheme="minorBidi" w:hAnsiTheme="minorBidi" w:cstheme="minorBidi"/>
                    <w:noProof/>
                    <w:sz w:val="22"/>
                    <w:szCs w:val="22"/>
                  </w:rPr>
                  <w:t>ICD-11 Classification</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_Toc223522618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2</w:t>
                </w:r>
                <w:r w:rsidRPr="004B1C26">
                  <w:rPr>
                    <w:rFonts w:asciiTheme="minorBidi" w:hAnsiTheme="minorBidi" w:cstheme="minorBidi"/>
                    <w:noProof/>
                    <w:webHidden/>
                    <w:sz w:val="22"/>
                    <w:szCs w:val="22"/>
                  </w:rPr>
                  <w:fldChar w:fldCharType="end"/>
                </w:r>
              </w:hyperlink>
            </w:p>
            <w:p w14:paraId="108E806F" w14:textId="28EAD15C"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19" w:history="1">
                <w:r w:rsidRPr="004B1C26">
                  <w:rPr>
                    <w:rStyle w:val="Hyperlink"/>
                    <w:rFonts w:asciiTheme="minorBidi" w:hAnsiTheme="minorBidi" w:cstheme="minorBidi"/>
                    <w:noProof/>
                    <w:sz w:val="22"/>
                    <w:szCs w:val="22"/>
                  </w:rPr>
                  <w:t>Diagnostic Criteria and Features</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_Toc223522619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2</w:t>
                </w:r>
                <w:r w:rsidRPr="004B1C26">
                  <w:rPr>
                    <w:rFonts w:asciiTheme="minorBidi" w:hAnsiTheme="minorBidi" w:cstheme="minorBidi"/>
                    <w:noProof/>
                    <w:webHidden/>
                    <w:sz w:val="22"/>
                    <w:szCs w:val="22"/>
                  </w:rPr>
                  <w:fldChar w:fldCharType="end"/>
                </w:r>
              </w:hyperlink>
            </w:p>
            <w:p w14:paraId="45E1D1E7" w14:textId="189A5E9E"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20" w:history="1">
                <w:r w:rsidRPr="004B1C26">
                  <w:rPr>
                    <w:rStyle w:val="Hyperlink"/>
                    <w:rFonts w:asciiTheme="minorBidi" w:hAnsiTheme="minorBidi" w:cstheme="minorBidi"/>
                    <w:b/>
                    <w:bCs/>
                    <w:noProof/>
                    <w:sz w:val="22"/>
                    <w:szCs w:val="22"/>
                  </w:rPr>
                  <w:t>Diagnostic Processes</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_Toc223522620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3</w:t>
                </w:r>
                <w:r w:rsidRPr="004B1C26">
                  <w:rPr>
                    <w:rFonts w:asciiTheme="minorBidi" w:hAnsiTheme="minorBidi" w:cstheme="minorBidi"/>
                    <w:noProof/>
                    <w:webHidden/>
                    <w:sz w:val="22"/>
                    <w:szCs w:val="22"/>
                  </w:rPr>
                  <w:fldChar w:fldCharType="end"/>
                </w:r>
              </w:hyperlink>
            </w:p>
            <w:p w14:paraId="033E71E0" w14:textId="78DBB46A"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21" w:history="1">
                <w:r w:rsidRPr="004B1C26">
                  <w:rPr>
                    <w:rStyle w:val="Hyperlink"/>
                    <w:rFonts w:asciiTheme="minorBidi" w:hAnsiTheme="minorBidi" w:cstheme="minorBidi"/>
                    <w:b/>
                    <w:bCs/>
                    <w:noProof/>
                    <w:sz w:val="22"/>
                    <w:szCs w:val="22"/>
                  </w:rPr>
                  <w:t>Critical Evaluation of Classification</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_Toc223522621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3</w:t>
                </w:r>
                <w:r w:rsidRPr="004B1C26">
                  <w:rPr>
                    <w:rFonts w:asciiTheme="minorBidi" w:hAnsiTheme="minorBidi" w:cstheme="minorBidi"/>
                    <w:noProof/>
                    <w:webHidden/>
                    <w:sz w:val="22"/>
                    <w:szCs w:val="22"/>
                  </w:rPr>
                  <w:fldChar w:fldCharType="end"/>
                </w:r>
              </w:hyperlink>
            </w:p>
            <w:p w14:paraId="0DA34185" w14:textId="644F6300" w:rsidR="004438D0" w:rsidRPr="004B1C26" w:rsidRDefault="004438D0" w:rsidP="004B1C26">
              <w:pPr>
                <w:pStyle w:val="TOC2"/>
                <w:tabs>
                  <w:tab w:val="right" w:leader="dot" w:pos="9016"/>
                </w:tabs>
                <w:spacing w:line="360" w:lineRule="auto"/>
                <w:rPr>
                  <w:rFonts w:asciiTheme="minorBidi" w:eastAsiaTheme="minorEastAsia" w:hAnsiTheme="minorBidi" w:cstheme="minorBidi"/>
                  <w:b w:val="0"/>
                  <w:bCs w:val="0"/>
                  <w:noProof/>
                  <w:szCs w:val="22"/>
                  <w:lang w:eastAsia="en-GB"/>
                </w:rPr>
              </w:pPr>
              <w:hyperlink w:anchor="_Toc223522622" w:history="1">
                <w:r w:rsidRPr="004B1C26">
                  <w:rPr>
                    <w:rStyle w:val="Hyperlink"/>
                    <w:rFonts w:asciiTheme="minorBidi" w:hAnsiTheme="minorBidi" w:cstheme="minorBidi"/>
                    <w:noProof/>
                    <w:szCs w:val="22"/>
                  </w:rPr>
                  <w:t>Treatment and Rehabilitation</w:t>
                </w:r>
                <w:r w:rsidRPr="004B1C26">
                  <w:rPr>
                    <w:rFonts w:asciiTheme="minorBidi" w:hAnsiTheme="minorBidi" w:cstheme="minorBidi"/>
                    <w:noProof/>
                    <w:webHidden/>
                    <w:szCs w:val="22"/>
                  </w:rPr>
                  <w:tab/>
                </w:r>
                <w:r w:rsidRPr="004B1C26">
                  <w:rPr>
                    <w:rFonts w:asciiTheme="minorBidi" w:hAnsiTheme="minorBidi" w:cstheme="minorBidi"/>
                    <w:noProof/>
                    <w:webHidden/>
                    <w:szCs w:val="22"/>
                  </w:rPr>
                  <w:fldChar w:fldCharType="begin"/>
                </w:r>
                <w:r w:rsidRPr="004B1C26">
                  <w:rPr>
                    <w:rFonts w:asciiTheme="minorBidi" w:hAnsiTheme="minorBidi" w:cstheme="minorBidi"/>
                    <w:noProof/>
                    <w:webHidden/>
                    <w:szCs w:val="22"/>
                  </w:rPr>
                  <w:instrText xml:space="preserve"> PAGEREF _Toc223522622 \h </w:instrText>
                </w:r>
                <w:r w:rsidRPr="004B1C26">
                  <w:rPr>
                    <w:rFonts w:asciiTheme="minorBidi" w:hAnsiTheme="minorBidi" w:cstheme="minorBidi"/>
                    <w:noProof/>
                    <w:webHidden/>
                    <w:szCs w:val="22"/>
                  </w:rPr>
                </w:r>
                <w:r w:rsidRPr="004B1C26">
                  <w:rPr>
                    <w:rFonts w:asciiTheme="minorBidi" w:hAnsiTheme="minorBidi" w:cstheme="minorBidi"/>
                    <w:noProof/>
                    <w:webHidden/>
                    <w:szCs w:val="22"/>
                  </w:rPr>
                  <w:fldChar w:fldCharType="separate"/>
                </w:r>
                <w:r w:rsidRPr="004B1C26">
                  <w:rPr>
                    <w:rFonts w:asciiTheme="minorBidi" w:hAnsiTheme="minorBidi" w:cstheme="minorBidi"/>
                    <w:noProof/>
                    <w:webHidden/>
                    <w:szCs w:val="22"/>
                  </w:rPr>
                  <w:t>3</w:t>
                </w:r>
                <w:r w:rsidRPr="004B1C26">
                  <w:rPr>
                    <w:rFonts w:asciiTheme="minorBidi" w:hAnsiTheme="minorBidi" w:cstheme="minorBidi"/>
                    <w:noProof/>
                    <w:webHidden/>
                    <w:szCs w:val="22"/>
                  </w:rPr>
                  <w:fldChar w:fldCharType="end"/>
                </w:r>
              </w:hyperlink>
            </w:p>
            <w:p w14:paraId="4B154610" w14:textId="16AA73D2" w:rsidR="004438D0" w:rsidRPr="004B1C26" w:rsidRDefault="004438D0" w:rsidP="004B1C26">
              <w:pPr>
                <w:pStyle w:val="TOC2"/>
                <w:tabs>
                  <w:tab w:val="right" w:leader="dot" w:pos="9016"/>
                </w:tabs>
                <w:spacing w:line="360" w:lineRule="auto"/>
                <w:rPr>
                  <w:rFonts w:asciiTheme="minorBidi" w:eastAsiaTheme="minorEastAsia" w:hAnsiTheme="minorBidi" w:cstheme="minorBidi"/>
                  <w:b w:val="0"/>
                  <w:bCs w:val="0"/>
                  <w:noProof/>
                  <w:szCs w:val="22"/>
                  <w:lang w:eastAsia="en-GB"/>
                </w:rPr>
              </w:pPr>
              <w:hyperlink w:anchor="_Toc223522623" w:history="1">
                <w:r w:rsidRPr="004B1C26">
                  <w:rPr>
                    <w:rStyle w:val="Hyperlink"/>
                    <w:rFonts w:asciiTheme="minorBidi" w:hAnsiTheme="minorBidi" w:cstheme="minorBidi"/>
                    <w:noProof/>
                    <w:szCs w:val="22"/>
                  </w:rPr>
                  <w:t>Cognitive Behavioural Therapy (CBT)</w:t>
                </w:r>
                <w:r w:rsidRPr="004B1C26">
                  <w:rPr>
                    <w:rFonts w:asciiTheme="minorBidi" w:hAnsiTheme="minorBidi" w:cstheme="minorBidi"/>
                    <w:noProof/>
                    <w:webHidden/>
                    <w:szCs w:val="22"/>
                  </w:rPr>
                  <w:tab/>
                </w:r>
                <w:r w:rsidRPr="004B1C26">
                  <w:rPr>
                    <w:rFonts w:asciiTheme="minorBidi" w:hAnsiTheme="minorBidi" w:cstheme="minorBidi"/>
                    <w:noProof/>
                    <w:webHidden/>
                    <w:szCs w:val="22"/>
                  </w:rPr>
                  <w:fldChar w:fldCharType="begin"/>
                </w:r>
                <w:r w:rsidRPr="004B1C26">
                  <w:rPr>
                    <w:rFonts w:asciiTheme="minorBidi" w:hAnsiTheme="minorBidi" w:cstheme="minorBidi"/>
                    <w:noProof/>
                    <w:webHidden/>
                    <w:szCs w:val="22"/>
                  </w:rPr>
                  <w:instrText xml:space="preserve"> PAGEREF _Toc223522623 \h </w:instrText>
                </w:r>
                <w:r w:rsidRPr="004B1C26">
                  <w:rPr>
                    <w:rFonts w:asciiTheme="minorBidi" w:hAnsiTheme="minorBidi" w:cstheme="minorBidi"/>
                    <w:noProof/>
                    <w:webHidden/>
                    <w:szCs w:val="22"/>
                  </w:rPr>
                </w:r>
                <w:r w:rsidRPr="004B1C26">
                  <w:rPr>
                    <w:rFonts w:asciiTheme="minorBidi" w:hAnsiTheme="minorBidi" w:cstheme="minorBidi"/>
                    <w:noProof/>
                    <w:webHidden/>
                    <w:szCs w:val="22"/>
                  </w:rPr>
                  <w:fldChar w:fldCharType="separate"/>
                </w:r>
                <w:r w:rsidRPr="004B1C26">
                  <w:rPr>
                    <w:rFonts w:asciiTheme="minorBidi" w:hAnsiTheme="minorBidi" w:cstheme="minorBidi"/>
                    <w:noProof/>
                    <w:webHidden/>
                    <w:szCs w:val="22"/>
                  </w:rPr>
                  <w:t>3</w:t>
                </w:r>
                <w:r w:rsidRPr="004B1C26">
                  <w:rPr>
                    <w:rFonts w:asciiTheme="minorBidi" w:hAnsiTheme="minorBidi" w:cstheme="minorBidi"/>
                    <w:noProof/>
                    <w:webHidden/>
                    <w:szCs w:val="22"/>
                  </w:rPr>
                  <w:fldChar w:fldCharType="end"/>
                </w:r>
              </w:hyperlink>
            </w:p>
            <w:p w14:paraId="0A2DADE1" w14:textId="64032F59"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24" w:history="1">
                <w:r w:rsidRPr="004B1C26">
                  <w:rPr>
                    <w:rStyle w:val="Hyperlink"/>
                    <w:rFonts w:asciiTheme="minorBidi" w:hAnsiTheme="minorBidi" w:cstheme="minorBidi"/>
                    <w:b/>
                    <w:bCs/>
                    <w:noProof/>
                    <w:sz w:val="22"/>
                    <w:szCs w:val="22"/>
                  </w:rPr>
                  <w:t>Pharmacological Interventions</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_Toc223522624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4</w:t>
                </w:r>
                <w:r w:rsidRPr="004B1C26">
                  <w:rPr>
                    <w:rFonts w:asciiTheme="minorBidi" w:hAnsiTheme="minorBidi" w:cstheme="minorBidi"/>
                    <w:noProof/>
                    <w:webHidden/>
                    <w:sz w:val="22"/>
                    <w:szCs w:val="22"/>
                  </w:rPr>
                  <w:fldChar w:fldCharType="end"/>
                </w:r>
              </w:hyperlink>
            </w:p>
            <w:p w14:paraId="157450F4" w14:textId="4C047E44"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25" w:history="1">
                <w:r w:rsidRPr="004B1C26">
                  <w:rPr>
                    <w:rStyle w:val="Hyperlink"/>
                    <w:rFonts w:asciiTheme="minorBidi" w:hAnsiTheme="minorBidi" w:cstheme="minorBidi"/>
                    <w:b/>
                    <w:bCs/>
                    <w:noProof/>
                    <w:sz w:val="22"/>
                    <w:szCs w:val="22"/>
                  </w:rPr>
                  <w:t>Psychoeducation and Self-Management</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_Toc223522625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4</w:t>
                </w:r>
                <w:r w:rsidRPr="004B1C26">
                  <w:rPr>
                    <w:rFonts w:asciiTheme="minorBidi" w:hAnsiTheme="minorBidi" w:cstheme="minorBidi"/>
                    <w:noProof/>
                    <w:webHidden/>
                    <w:sz w:val="22"/>
                    <w:szCs w:val="22"/>
                  </w:rPr>
                  <w:fldChar w:fldCharType="end"/>
                </w:r>
              </w:hyperlink>
            </w:p>
            <w:p w14:paraId="2A526DAB" w14:textId="1E906330"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26" w:history="1">
                <w:r w:rsidRPr="004B1C26">
                  <w:rPr>
                    <w:rStyle w:val="Hyperlink"/>
                    <w:rFonts w:asciiTheme="minorBidi" w:hAnsiTheme="minorBidi" w:cstheme="minorBidi"/>
                    <w:b/>
                    <w:bCs/>
                    <w:noProof/>
                    <w:sz w:val="22"/>
                    <w:szCs w:val="22"/>
                  </w:rPr>
                  <w:t>Rehabilitation and Long-Term Support</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_Toc223522626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4</w:t>
                </w:r>
                <w:r w:rsidRPr="004B1C26">
                  <w:rPr>
                    <w:rFonts w:asciiTheme="minorBidi" w:hAnsiTheme="minorBidi" w:cstheme="minorBidi"/>
                    <w:noProof/>
                    <w:webHidden/>
                    <w:sz w:val="22"/>
                    <w:szCs w:val="22"/>
                  </w:rPr>
                  <w:fldChar w:fldCharType="end"/>
                </w:r>
              </w:hyperlink>
            </w:p>
            <w:p w14:paraId="37460879" w14:textId="41B43F6A"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27" w:history="1">
                <w:r w:rsidRPr="004B1C26">
                  <w:rPr>
                    <w:rStyle w:val="Hyperlink"/>
                    <w:rFonts w:asciiTheme="minorBidi" w:hAnsiTheme="minorBidi" w:cstheme="minorBidi"/>
                    <w:noProof/>
                    <w:sz w:val="22"/>
                    <w:szCs w:val="22"/>
                  </w:rPr>
                  <w:t>Effectiveness and Limitations</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_Toc223522627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4</w:t>
                </w:r>
                <w:r w:rsidRPr="004B1C26">
                  <w:rPr>
                    <w:rFonts w:asciiTheme="minorBidi" w:hAnsiTheme="minorBidi" w:cstheme="minorBidi"/>
                    <w:noProof/>
                    <w:webHidden/>
                    <w:sz w:val="22"/>
                    <w:szCs w:val="22"/>
                  </w:rPr>
                  <w:fldChar w:fldCharType="end"/>
                </w:r>
              </w:hyperlink>
            </w:p>
            <w:p w14:paraId="14BFCB26" w14:textId="6F759EC4" w:rsidR="004438D0" w:rsidRPr="004B1C26" w:rsidRDefault="004438D0" w:rsidP="004B1C26">
              <w:pPr>
                <w:pStyle w:val="TOC2"/>
                <w:tabs>
                  <w:tab w:val="right" w:leader="dot" w:pos="9016"/>
                </w:tabs>
                <w:spacing w:line="360" w:lineRule="auto"/>
                <w:rPr>
                  <w:rFonts w:asciiTheme="minorBidi" w:eastAsiaTheme="minorEastAsia" w:hAnsiTheme="minorBidi" w:cstheme="minorBidi"/>
                  <w:b w:val="0"/>
                  <w:bCs w:val="0"/>
                  <w:noProof/>
                  <w:szCs w:val="22"/>
                  <w:lang w:eastAsia="en-GB"/>
                </w:rPr>
              </w:pPr>
              <w:hyperlink w:anchor="_Toc223522628" w:history="1">
                <w:r w:rsidRPr="004B1C26">
                  <w:rPr>
                    <w:rStyle w:val="Hyperlink"/>
                    <w:rFonts w:asciiTheme="minorBidi" w:hAnsiTheme="minorBidi" w:cstheme="minorBidi"/>
                    <w:noProof/>
                    <w:szCs w:val="22"/>
                  </w:rPr>
                  <w:t>Current Debates and Emerging Issues</w:t>
                </w:r>
                <w:r w:rsidRPr="004B1C26">
                  <w:rPr>
                    <w:rFonts w:asciiTheme="minorBidi" w:hAnsiTheme="minorBidi" w:cstheme="minorBidi"/>
                    <w:noProof/>
                    <w:webHidden/>
                    <w:szCs w:val="22"/>
                  </w:rPr>
                  <w:tab/>
                </w:r>
                <w:r w:rsidRPr="004B1C26">
                  <w:rPr>
                    <w:rFonts w:asciiTheme="minorBidi" w:hAnsiTheme="minorBidi" w:cstheme="minorBidi"/>
                    <w:noProof/>
                    <w:webHidden/>
                    <w:szCs w:val="22"/>
                  </w:rPr>
                  <w:fldChar w:fldCharType="begin"/>
                </w:r>
                <w:r w:rsidRPr="004B1C26">
                  <w:rPr>
                    <w:rFonts w:asciiTheme="minorBidi" w:hAnsiTheme="minorBidi" w:cstheme="minorBidi"/>
                    <w:noProof/>
                    <w:webHidden/>
                    <w:szCs w:val="22"/>
                  </w:rPr>
                  <w:instrText xml:space="preserve"> PAGEREF _Toc223522628 \h </w:instrText>
                </w:r>
                <w:r w:rsidRPr="004B1C26">
                  <w:rPr>
                    <w:rFonts w:asciiTheme="minorBidi" w:hAnsiTheme="minorBidi" w:cstheme="minorBidi"/>
                    <w:noProof/>
                    <w:webHidden/>
                    <w:szCs w:val="22"/>
                  </w:rPr>
                </w:r>
                <w:r w:rsidRPr="004B1C26">
                  <w:rPr>
                    <w:rFonts w:asciiTheme="minorBidi" w:hAnsiTheme="minorBidi" w:cstheme="minorBidi"/>
                    <w:noProof/>
                    <w:webHidden/>
                    <w:szCs w:val="22"/>
                  </w:rPr>
                  <w:fldChar w:fldCharType="separate"/>
                </w:r>
                <w:r w:rsidRPr="004B1C26">
                  <w:rPr>
                    <w:rFonts w:asciiTheme="minorBidi" w:hAnsiTheme="minorBidi" w:cstheme="minorBidi"/>
                    <w:noProof/>
                    <w:webHidden/>
                    <w:szCs w:val="22"/>
                  </w:rPr>
                  <w:t>5</w:t>
                </w:r>
                <w:r w:rsidRPr="004B1C26">
                  <w:rPr>
                    <w:rFonts w:asciiTheme="minorBidi" w:hAnsiTheme="minorBidi" w:cstheme="minorBidi"/>
                    <w:noProof/>
                    <w:webHidden/>
                    <w:szCs w:val="22"/>
                  </w:rPr>
                  <w:fldChar w:fldCharType="end"/>
                </w:r>
              </w:hyperlink>
            </w:p>
            <w:p w14:paraId="1CE12555" w14:textId="399A566B"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29" w:history="1">
                <w:r w:rsidRPr="004B1C26">
                  <w:rPr>
                    <w:rStyle w:val="Hyperlink"/>
                    <w:rFonts w:asciiTheme="minorBidi" w:hAnsiTheme="minorBidi" w:cstheme="minorBidi"/>
                    <w:b/>
                    <w:bCs/>
                    <w:noProof/>
                    <w:sz w:val="22"/>
                    <w:szCs w:val="22"/>
                  </w:rPr>
                  <w:t>Medical vs Psychological Interpretation</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_Toc223522629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5</w:t>
                </w:r>
                <w:r w:rsidRPr="004B1C26">
                  <w:rPr>
                    <w:rFonts w:asciiTheme="minorBidi" w:hAnsiTheme="minorBidi" w:cstheme="minorBidi"/>
                    <w:noProof/>
                    <w:webHidden/>
                    <w:sz w:val="22"/>
                    <w:szCs w:val="22"/>
                  </w:rPr>
                  <w:fldChar w:fldCharType="end"/>
                </w:r>
              </w:hyperlink>
            </w:p>
            <w:p w14:paraId="0461EE06" w14:textId="560F8BE2"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30" w:history="1">
                <w:r w:rsidRPr="004B1C26">
                  <w:rPr>
                    <w:rStyle w:val="Hyperlink"/>
                    <w:rFonts w:asciiTheme="minorBidi" w:hAnsiTheme="minorBidi" w:cstheme="minorBidi"/>
                    <w:b/>
                    <w:bCs/>
                    <w:noProof/>
                    <w:sz w:val="22"/>
                    <w:szCs w:val="22"/>
                  </w:rPr>
                  <w:t>Language and Stigma</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_Toc223522630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5</w:t>
                </w:r>
                <w:r w:rsidRPr="004B1C26">
                  <w:rPr>
                    <w:rFonts w:asciiTheme="minorBidi" w:hAnsiTheme="minorBidi" w:cstheme="minorBidi"/>
                    <w:noProof/>
                    <w:webHidden/>
                    <w:sz w:val="22"/>
                    <w:szCs w:val="22"/>
                  </w:rPr>
                  <w:fldChar w:fldCharType="end"/>
                </w:r>
              </w:hyperlink>
            </w:p>
            <w:p w14:paraId="3BF4FBE0" w14:textId="729C5AAF"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31" w:history="1">
                <w:r w:rsidRPr="004B1C26">
                  <w:rPr>
                    <w:rStyle w:val="Hyperlink"/>
                    <w:rFonts w:asciiTheme="minorBidi" w:hAnsiTheme="minorBidi" w:cstheme="minorBidi"/>
                    <w:b/>
                    <w:bCs/>
                    <w:noProof/>
                    <w:sz w:val="22"/>
                    <w:szCs w:val="22"/>
                  </w:rPr>
                  <w:t>Digital Culture and Cyberchondria</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_Toc223522631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5</w:t>
                </w:r>
                <w:r w:rsidRPr="004B1C26">
                  <w:rPr>
                    <w:rFonts w:asciiTheme="minorBidi" w:hAnsiTheme="minorBidi" w:cstheme="minorBidi"/>
                    <w:noProof/>
                    <w:webHidden/>
                    <w:sz w:val="22"/>
                    <w:szCs w:val="22"/>
                  </w:rPr>
                  <w:fldChar w:fldCharType="end"/>
                </w:r>
              </w:hyperlink>
            </w:p>
            <w:p w14:paraId="406F93D8" w14:textId="79FBB5E8"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32" w:history="1">
                <w:r w:rsidRPr="004B1C26">
                  <w:rPr>
                    <w:rStyle w:val="Hyperlink"/>
                    <w:rFonts w:asciiTheme="minorBidi" w:hAnsiTheme="minorBidi" w:cstheme="minorBidi"/>
                    <w:b/>
                    <w:bCs/>
                    <w:noProof/>
                    <w:sz w:val="22"/>
                    <w:szCs w:val="22"/>
                  </w:rPr>
                  <w:t>Neurodivergence and Diagnostic Overlap</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_Toc223522632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5</w:t>
                </w:r>
                <w:r w:rsidRPr="004B1C26">
                  <w:rPr>
                    <w:rFonts w:asciiTheme="minorBidi" w:hAnsiTheme="minorBidi" w:cstheme="minorBidi"/>
                    <w:noProof/>
                    <w:webHidden/>
                    <w:sz w:val="22"/>
                    <w:szCs w:val="22"/>
                  </w:rPr>
                  <w:fldChar w:fldCharType="end"/>
                </w:r>
              </w:hyperlink>
            </w:p>
            <w:p w14:paraId="1387ACA6" w14:textId="474BBC3D" w:rsidR="004438D0" w:rsidRPr="004B1C26" w:rsidRDefault="004438D0" w:rsidP="004B1C26">
              <w:pPr>
                <w:pStyle w:val="TOC3"/>
                <w:tabs>
                  <w:tab w:val="right" w:leader="dot" w:pos="9016"/>
                </w:tabs>
                <w:spacing w:line="360" w:lineRule="auto"/>
                <w:rPr>
                  <w:rFonts w:asciiTheme="minorBidi" w:eastAsiaTheme="minorEastAsia" w:hAnsiTheme="minorBidi" w:cstheme="minorBidi"/>
                  <w:noProof/>
                  <w:sz w:val="22"/>
                  <w:szCs w:val="22"/>
                  <w:lang w:eastAsia="en-GB"/>
                </w:rPr>
              </w:pPr>
              <w:hyperlink w:anchor="_Toc223522633" w:history="1">
                <w:r w:rsidRPr="004B1C26">
                  <w:rPr>
                    <w:rStyle w:val="Hyperlink"/>
                    <w:rFonts w:asciiTheme="minorBidi" w:hAnsiTheme="minorBidi" w:cstheme="minorBidi"/>
                    <w:b/>
                    <w:bCs/>
                    <w:noProof/>
                    <w:sz w:val="22"/>
                    <w:szCs w:val="22"/>
                  </w:rPr>
                  <w:t>Healthcare System Impact</w:t>
                </w:r>
                <w:r w:rsidRPr="004B1C26">
                  <w:rPr>
                    <w:rFonts w:asciiTheme="minorBidi" w:hAnsiTheme="minorBidi" w:cstheme="minorBidi"/>
                    <w:noProof/>
                    <w:webHidden/>
                    <w:sz w:val="22"/>
                    <w:szCs w:val="22"/>
                  </w:rPr>
                  <w:tab/>
                </w:r>
                <w:r w:rsidRPr="004B1C26">
                  <w:rPr>
                    <w:rFonts w:asciiTheme="minorBidi" w:hAnsiTheme="minorBidi" w:cstheme="minorBidi"/>
                    <w:noProof/>
                    <w:webHidden/>
                    <w:sz w:val="22"/>
                    <w:szCs w:val="22"/>
                  </w:rPr>
                  <w:fldChar w:fldCharType="begin"/>
                </w:r>
                <w:r w:rsidRPr="004B1C26">
                  <w:rPr>
                    <w:rFonts w:asciiTheme="minorBidi" w:hAnsiTheme="minorBidi" w:cstheme="minorBidi"/>
                    <w:noProof/>
                    <w:webHidden/>
                    <w:sz w:val="22"/>
                    <w:szCs w:val="22"/>
                  </w:rPr>
                  <w:instrText xml:space="preserve"> PAGEREF _Toc223522633 \h </w:instrText>
                </w:r>
                <w:r w:rsidRPr="004B1C26">
                  <w:rPr>
                    <w:rFonts w:asciiTheme="minorBidi" w:hAnsiTheme="minorBidi" w:cstheme="minorBidi"/>
                    <w:noProof/>
                    <w:webHidden/>
                    <w:sz w:val="22"/>
                    <w:szCs w:val="22"/>
                  </w:rPr>
                </w:r>
                <w:r w:rsidRPr="004B1C26">
                  <w:rPr>
                    <w:rFonts w:asciiTheme="minorBidi" w:hAnsiTheme="minorBidi" w:cstheme="minorBidi"/>
                    <w:noProof/>
                    <w:webHidden/>
                    <w:sz w:val="22"/>
                    <w:szCs w:val="22"/>
                  </w:rPr>
                  <w:fldChar w:fldCharType="separate"/>
                </w:r>
                <w:r w:rsidRPr="004B1C26">
                  <w:rPr>
                    <w:rFonts w:asciiTheme="minorBidi" w:hAnsiTheme="minorBidi" w:cstheme="minorBidi"/>
                    <w:noProof/>
                    <w:webHidden/>
                    <w:sz w:val="22"/>
                    <w:szCs w:val="22"/>
                  </w:rPr>
                  <w:t>6</w:t>
                </w:r>
                <w:r w:rsidRPr="004B1C26">
                  <w:rPr>
                    <w:rFonts w:asciiTheme="minorBidi" w:hAnsiTheme="minorBidi" w:cstheme="minorBidi"/>
                    <w:noProof/>
                    <w:webHidden/>
                    <w:sz w:val="22"/>
                    <w:szCs w:val="22"/>
                  </w:rPr>
                  <w:fldChar w:fldCharType="end"/>
                </w:r>
              </w:hyperlink>
            </w:p>
            <w:p w14:paraId="56F7145A" w14:textId="40220AE9" w:rsidR="004438D0" w:rsidRPr="004B1C26" w:rsidRDefault="004438D0" w:rsidP="004B1C26">
              <w:pPr>
                <w:pStyle w:val="TOC2"/>
                <w:tabs>
                  <w:tab w:val="right" w:leader="dot" w:pos="9016"/>
                </w:tabs>
                <w:spacing w:line="360" w:lineRule="auto"/>
                <w:rPr>
                  <w:rFonts w:asciiTheme="minorBidi" w:eastAsiaTheme="minorEastAsia" w:hAnsiTheme="minorBidi" w:cstheme="minorBidi"/>
                  <w:b w:val="0"/>
                  <w:bCs w:val="0"/>
                  <w:noProof/>
                  <w:szCs w:val="22"/>
                  <w:lang w:eastAsia="en-GB"/>
                </w:rPr>
              </w:pPr>
              <w:hyperlink w:anchor="_Toc223522634" w:history="1">
                <w:r w:rsidRPr="004B1C26">
                  <w:rPr>
                    <w:rStyle w:val="Hyperlink"/>
                    <w:rFonts w:asciiTheme="minorBidi" w:hAnsiTheme="minorBidi" w:cstheme="minorBidi"/>
                    <w:noProof/>
                    <w:szCs w:val="22"/>
                  </w:rPr>
                  <w:t>Recommendations</w:t>
                </w:r>
                <w:r w:rsidRPr="004B1C26">
                  <w:rPr>
                    <w:rFonts w:asciiTheme="minorBidi" w:hAnsiTheme="minorBidi" w:cstheme="minorBidi"/>
                    <w:noProof/>
                    <w:webHidden/>
                    <w:szCs w:val="22"/>
                  </w:rPr>
                  <w:tab/>
                </w:r>
                <w:r w:rsidRPr="004B1C26">
                  <w:rPr>
                    <w:rFonts w:asciiTheme="minorBidi" w:hAnsiTheme="minorBidi" w:cstheme="minorBidi"/>
                    <w:noProof/>
                    <w:webHidden/>
                    <w:szCs w:val="22"/>
                  </w:rPr>
                  <w:fldChar w:fldCharType="begin"/>
                </w:r>
                <w:r w:rsidRPr="004B1C26">
                  <w:rPr>
                    <w:rFonts w:asciiTheme="minorBidi" w:hAnsiTheme="minorBidi" w:cstheme="minorBidi"/>
                    <w:noProof/>
                    <w:webHidden/>
                    <w:szCs w:val="22"/>
                  </w:rPr>
                  <w:instrText xml:space="preserve"> PAGEREF _Toc223522634 \h </w:instrText>
                </w:r>
                <w:r w:rsidRPr="004B1C26">
                  <w:rPr>
                    <w:rFonts w:asciiTheme="minorBidi" w:hAnsiTheme="minorBidi" w:cstheme="minorBidi"/>
                    <w:noProof/>
                    <w:webHidden/>
                    <w:szCs w:val="22"/>
                  </w:rPr>
                </w:r>
                <w:r w:rsidRPr="004B1C26">
                  <w:rPr>
                    <w:rFonts w:asciiTheme="minorBidi" w:hAnsiTheme="minorBidi" w:cstheme="minorBidi"/>
                    <w:noProof/>
                    <w:webHidden/>
                    <w:szCs w:val="22"/>
                  </w:rPr>
                  <w:fldChar w:fldCharType="separate"/>
                </w:r>
                <w:r w:rsidRPr="004B1C26">
                  <w:rPr>
                    <w:rFonts w:asciiTheme="minorBidi" w:hAnsiTheme="minorBidi" w:cstheme="minorBidi"/>
                    <w:noProof/>
                    <w:webHidden/>
                    <w:szCs w:val="22"/>
                  </w:rPr>
                  <w:t>6</w:t>
                </w:r>
                <w:r w:rsidRPr="004B1C26">
                  <w:rPr>
                    <w:rFonts w:asciiTheme="minorBidi" w:hAnsiTheme="minorBidi" w:cstheme="minorBidi"/>
                    <w:noProof/>
                    <w:webHidden/>
                    <w:szCs w:val="22"/>
                  </w:rPr>
                  <w:fldChar w:fldCharType="end"/>
                </w:r>
              </w:hyperlink>
            </w:p>
            <w:p w14:paraId="5FD49570" w14:textId="30B79F6C" w:rsidR="004438D0" w:rsidRPr="004B1C26" w:rsidRDefault="004438D0" w:rsidP="004B1C26">
              <w:pPr>
                <w:pStyle w:val="TOC2"/>
                <w:tabs>
                  <w:tab w:val="right" w:leader="dot" w:pos="9016"/>
                </w:tabs>
                <w:spacing w:line="360" w:lineRule="auto"/>
                <w:rPr>
                  <w:rFonts w:asciiTheme="minorBidi" w:eastAsiaTheme="minorEastAsia" w:hAnsiTheme="minorBidi" w:cstheme="minorBidi"/>
                  <w:b w:val="0"/>
                  <w:bCs w:val="0"/>
                  <w:noProof/>
                  <w:szCs w:val="22"/>
                  <w:lang w:eastAsia="en-GB"/>
                </w:rPr>
              </w:pPr>
              <w:hyperlink w:anchor="_Toc223522635" w:history="1">
                <w:r w:rsidRPr="004B1C26">
                  <w:rPr>
                    <w:rStyle w:val="Hyperlink"/>
                    <w:rFonts w:asciiTheme="minorBidi" w:hAnsiTheme="minorBidi" w:cstheme="minorBidi"/>
                    <w:noProof/>
                    <w:szCs w:val="22"/>
                  </w:rPr>
                  <w:t>Conclusion</w:t>
                </w:r>
                <w:r w:rsidRPr="004B1C26">
                  <w:rPr>
                    <w:rFonts w:asciiTheme="minorBidi" w:hAnsiTheme="minorBidi" w:cstheme="minorBidi"/>
                    <w:noProof/>
                    <w:webHidden/>
                    <w:szCs w:val="22"/>
                  </w:rPr>
                  <w:tab/>
                </w:r>
                <w:r w:rsidRPr="004B1C26">
                  <w:rPr>
                    <w:rFonts w:asciiTheme="minorBidi" w:hAnsiTheme="minorBidi" w:cstheme="minorBidi"/>
                    <w:noProof/>
                    <w:webHidden/>
                    <w:szCs w:val="22"/>
                  </w:rPr>
                  <w:fldChar w:fldCharType="begin"/>
                </w:r>
                <w:r w:rsidRPr="004B1C26">
                  <w:rPr>
                    <w:rFonts w:asciiTheme="minorBidi" w:hAnsiTheme="minorBidi" w:cstheme="minorBidi"/>
                    <w:noProof/>
                    <w:webHidden/>
                    <w:szCs w:val="22"/>
                  </w:rPr>
                  <w:instrText xml:space="preserve"> PAGEREF _Toc223522635 \h </w:instrText>
                </w:r>
                <w:r w:rsidRPr="004B1C26">
                  <w:rPr>
                    <w:rFonts w:asciiTheme="minorBidi" w:hAnsiTheme="minorBidi" w:cstheme="minorBidi"/>
                    <w:noProof/>
                    <w:webHidden/>
                    <w:szCs w:val="22"/>
                  </w:rPr>
                </w:r>
                <w:r w:rsidRPr="004B1C26">
                  <w:rPr>
                    <w:rFonts w:asciiTheme="minorBidi" w:hAnsiTheme="minorBidi" w:cstheme="minorBidi"/>
                    <w:noProof/>
                    <w:webHidden/>
                    <w:szCs w:val="22"/>
                  </w:rPr>
                  <w:fldChar w:fldCharType="separate"/>
                </w:r>
                <w:r w:rsidRPr="004B1C26">
                  <w:rPr>
                    <w:rFonts w:asciiTheme="minorBidi" w:hAnsiTheme="minorBidi" w:cstheme="minorBidi"/>
                    <w:noProof/>
                    <w:webHidden/>
                    <w:szCs w:val="22"/>
                  </w:rPr>
                  <w:t>7</w:t>
                </w:r>
                <w:r w:rsidRPr="004B1C26">
                  <w:rPr>
                    <w:rFonts w:asciiTheme="minorBidi" w:hAnsiTheme="minorBidi" w:cstheme="minorBidi"/>
                    <w:noProof/>
                    <w:webHidden/>
                    <w:szCs w:val="22"/>
                  </w:rPr>
                  <w:fldChar w:fldCharType="end"/>
                </w:r>
              </w:hyperlink>
            </w:p>
            <w:p w14:paraId="7975D43B" w14:textId="1711AD1D" w:rsidR="004438D0" w:rsidRPr="004B1C26" w:rsidRDefault="004438D0" w:rsidP="004B1C26">
              <w:pPr>
                <w:pStyle w:val="TOC2"/>
                <w:tabs>
                  <w:tab w:val="right" w:leader="dot" w:pos="9016"/>
                </w:tabs>
                <w:spacing w:line="360" w:lineRule="auto"/>
                <w:rPr>
                  <w:rFonts w:asciiTheme="minorBidi" w:eastAsiaTheme="minorEastAsia" w:hAnsiTheme="minorBidi" w:cstheme="minorBidi"/>
                  <w:b w:val="0"/>
                  <w:bCs w:val="0"/>
                  <w:noProof/>
                  <w:szCs w:val="22"/>
                  <w:lang w:eastAsia="en-GB"/>
                </w:rPr>
              </w:pPr>
              <w:hyperlink w:anchor="_Toc223522636" w:history="1">
                <w:r w:rsidRPr="004B1C26">
                  <w:rPr>
                    <w:rStyle w:val="Hyperlink"/>
                    <w:rFonts w:asciiTheme="minorBidi" w:hAnsiTheme="minorBidi" w:cstheme="minorBidi"/>
                    <w:noProof/>
                    <w:szCs w:val="22"/>
                  </w:rPr>
                  <w:t>References:</w:t>
                </w:r>
                <w:r w:rsidRPr="004B1C26">
                  <w:rPr>
                    <w:rFonts w:asciiTheme="minorBidi" w:hAnsiTheme="minorBidi" w:cstheme="minorBidi"/>
                    <w:noProof/>
                    <w:webHidden/>
                    <w:szCs w:val="22"/>
                  </w:rPr>
                  <w:tab/>
                </w:r>
                <w:r w:rsidRPr="004B1C26">
                  <w:rPr>
                    <w:rFonts w:asciiTheme="minorBidi" w:hAnsiTheme="minorBidi" w:cstheme="minorBidi"/>
                    <w:noProof/>
                    <w:webHidden/>
                    <w:szCs w:val="22"/>
                  </w:rPr>
                  <w:fldChar w:fldCharType="begin"/>
                </w:r>
                <w:r w:rsidRPr="004B1C26">
                  <w:rPr>
                    <w:rFonts w:asciiTheme="minorBidi" w:hAnsiTheme="minorBidi" w:cstheme="minorBidi"/>
                    <w:noProof/>
                    <w:webHidden/>
                    <w:szCs w:val="22"/>
                  </w:rPr>
                  <w:instrText xml:space="preserve"> PAGEREF _Toc223522636 \h </w:instrText>
                </w:r>
                <w:r w:rsidRPr="004B1C26">
                  <w:rPr>
                    <w:rFonts w:asciiTheme="minorBidi" w:hAnsiTheme="minorBidi" w:cstheme="minorBidi"/>
                    <w:noProof/>
                    <w:webHidden/>
                    <w:szCs w:val="22"/>
                  </w:rPr>
                </w:r>
                <w:r w:rsidRPr="004B1C26">
                  <w:rPr>
                    <w:rFonts w:asciiTheme="minorBidi" w:hAnsiTheme="minorBidi" w:cstheme="minorBidi"/>
                    <w:noProof/>
                    <w:webHidden/>
                    <w:szCs w:val="22"/>
                  </w:rPr>
                  <w:fldChar w:fldCharType="separate"/>
                </w:r>
                <w:r w:rsidRPr="004B1C26">
                  <w:rPr>
                    <w:rFonts w:asciiTheme="minorBidi" w:hAnsiTheme="minorBidi" w:cstheme="minorBidi"/>
                    <w:noProof/>
                    <w:webHidden/>
                    <w:szCs w:val="22"/>
                  </w:rPr>
                  <w:t>7</w:t>
                </w:r>
                <w:r w:rsidRPr="004B1C26">
                  <w:rPr>
                    <w:rFonts w:asciiTheme="minorBidi" w:hAnsiTheme="minorBidi" w:cstheme="minorBidi"/>
                    <w:noProof/>
                    <w:webHidden/>
                    <w:szCs w:val="22"/>
                  </w:rPr>
                  <w:fldChar w:fldCharType="end"/>
                </w:r>
              </w:hyperlink>
            </w:p>
            <w:p w14:paraId="6108A8F9" w14:textId="385BE6E0" w:rsidR="00C17272" w:rsidRPr="004B1C26" w:rsidRDefault="00C17272" w:rsidP="004B1C26">
              <w:pPr>
                <w:spacing w:line="360" w:lineRule="auto"/>
                <w:rPr>
                  <w:rFonts w:asciiTheme="minorBidi" w:hAnsiTheme="minorBidi"/>
                  <w:sz w:val="22"/>
                  <w:szCs w:val="22"/>
                </w:rPr>
              </w:pPr>
              <w:r w:rsidRPr="004B1C26">
                <w:rPr>
                  <w:rFonts w:asciiTheme="minorBidi" w:hAnsiTheme="minorBidi"/>
                  <w:b/>
                  <w:bCs/>
                  <w:noProof/>
                  <w:sz w:val="22"/>
                  <w:szCs w:val="22"/>
                </w:rPr>
                <w:fldChar w:fldCharType="end"/>
              </w:r>
            </w:p>
          </w:sdtContent>
        </w:sdt>
        <w:p w14:paraId="0E27B68E" w14:textId="7E0BAEC1" w:rsidR="0067747A" w:rsidRPr="004B1C26" w:rsidRDefault="00704F4F" w:rsidP="004B1C26">
          <w:pPr>
            <w:spacing w:line="360" w:lineRule="auto"/>
            <w:rPr>
              <w:rStyle w:val="Strong"/>
              <w:rFonts w:asciiTheme="minorBidi" w:eastAsiaTheme="majorEastAsia" w:hAnsiTheme="minorBidi"/>
              <w:color w:val="000000" w:themeColor="text1"/>
              <w:sz w:val="22"/>
              <w:szCs w:val="22"/>
            </w:rPr>
          </w:pPr>
        </w:p>
      </w:sdtContent>
    </w:sdt>
    <w:p w14:paraId="71261A11" w14:textId="77777777" w:rsidR="00E55F49" w:rsidRDefault="00E55F49" w:rsidP="004B1C26">
      <w:pPr>
        <w:pStyle w:val="Heading1"/>
        <w:spacing w:line="360" w:lineRule="auto"/>
        <w:rPr>
          <w:rStyle w:val="Strong"/>
          <w:rFonts w:asciiTheme="minorBidi" w:hAnsiTheme="minorBidi" w:cstheme="minorBidi"/>
          <w:b w:val="0"/>
          <w:bCs w:val="0"/>
          <w:color w:val="000000" w:themeColor="text1"/>
          <w:sz w:val="22"/>
          <w:szCs w:val="22"/>
        </w:rPr>
      </w:pPr>
      <w:bookmarkStart w:id="1" w:name="_Toc223522616"/>
    </w:p>
    <w:p w14:paraId="10B280D0" w14:textId="77777777" w:rsidR="00E55F49" w:rsidRDefault="00E55F49" w:rsidP="004B1C26">
      <w:pPr>
        <w:pStyle w:val="Heading1"/>
        <w:spacing w:line="360" w:lineRule="auto"/>
        <w:rPr>
          <w:rStyle w:val="Strong"/>
          <w:rFonts w:asciiTheme="minorBidi" w:hAnsiTheme="minorBidi" w:cstheme="minorBidi"/>
          <w:b w:val="0"/>
          <w:bCs w:val="0"/>
          <w:color w:val="000000" w:themeColor="text1"/>
          <w:sz w:val="22"/>
          <w:szCs w:val="22"/>
        </w:rPr>
      </w:pPr>
    </w:p>
    <w:p w14:paraId="480D8A18" w14:textId="48F59719" w:rsidR="00C32BBC" w:rsidRPr="008D5A64" w:rsidRDefault="00C32BBC" w:rsidP="008D5A64">
      <w:pPr>
        <w:pStyle w:val="Heading1"/>
        <w:spacing w:line="360" w:lineRule="auto"/>
        <w:rPr>
          <w:rFonts w:asciiTheme="minorBidi" w:hAnsiTheme="minorBidi" w:cstheme="minorBidi"/>
          <w:sz w:val="22"/>
          <w:szCs w:val="22"/>
        </w:rPr>
      </w:pPr>
      <w:r w:rsidRPr="008D5A64">
        <w:rPr>
          <w:rStyle w:val="Strong"/>
          <w:rFonts w:asciiTheme="minorBidi" w:hAnsiTheme="minorBidi" w:cstheme="minorBidi"/>
          <w:color w:val="000000" w:themeColor="text1"/>
          <w:sz w:val="22"/>
          <w:szCs w:val="22"/>
        </w:rPr>
        <w:t>Introduction</w:t>
      </w:r>
      <w:bookmarkEnd w:id="1"/>
    </w:p>
    <w:p w14:paraId="4A779C33" w14:textId="082790F9"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Health anxiety is a mental health condition where individuals experience persistent and excessive worry about having or developing a serious illness, even in the absence of clear medical evidence (Abramowitz &amp; Braddock, 2011). People with health anxiety often misinterpret common physical sensations, such as headaches, muscle tension</w:t>
      </w:r>
      <w:r w:rsidR="02CE62E8" w:rsidRPr="008D5A64">
        <w:rPr>
          <w:rFonts w:asciiTheme="minorBidi" w:hAnsiTheme="minorBidi" w:cstheme="minorBidi"/>
          <w:sz w:val="22"/>
          <w:szCs w:val="22"/>
        </w:rPr>
        <w:t>,</w:t>
      </w:r>
      <w:r w:rsidRPr="008D5A64">
        <w:rPr>
          <w:rFonts w:asciiTheme="minorBidi" w:hAnsiTheme="minorBidi" w:cstheme="minorBidi"/>
          <w:sz w:val="22"/>
          <w:szCs w:val="22"/>
        </w:rPr>
        <w:t xml:space="preserve"> or chest discomfort, as symptoms of serious disease. This fear can lead to behaviours like repeated body checking, frequent visits to doctors, constant searching of medical information online, and excessive reassurance seeking from friends and family (Taylor &amp; Asmundson, 2004). Over time, such patterns can significantly affect daily life, relationships, work, and overall wellbeing.</w:t>
      </w:r>
    </w:p>
    <w:p w14:paraId="69B0366D"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 xml:space="preserve">The internet’s rise has intensified the way many people approach health information. Individuals with health anxiety frequently engage in online symptom checking and medical research, which can inadvertently increase worry through exposure to alarming or inaccurate information. This phenomenon is commonly referred to as </w:t>
      </w:r>
      <w:r w:rsidRPr="008D5A64">
        <w:rPr>
          <w:rStyle w:val="Strong"/>
          <w:rFonts w:asciiTheme="minorBidi" w:eastAsiaTheme="majorEastAsia" w:hAnsiTheme="minorBidi" w:cstheme="minorBidi"/>
          <w:b w:val="0"/>
          <w:bCs w:val="0"/>
          <w:sz w:val="22"/>
          <w:szCs w:val="22"/>
        </w:rPr>
        <w:t>cyberchondria</w:t>
      </w:r>
      <w:r w:rsidRPr="008D5A64">
        <w:rPr>
          <w:rFonts w:asciiTheme="minorBidi" w:hAnsiTheme="minorBidi" w:cstheme="minorBidi"/>
          <w:sz w:val="22"/>
          <w:szCs w:val="22"/>
        </w:rPr>
        <w:t xml:space="preserve"> (Starcevic &amp; Berle, 2013). Although access to health information has benefits, it can worsen anxiety when individuals rely heavily on unverified sources.</w:t>
      </w:r>
    </w:p>
    <w:p w14:paraId="2824F500"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 xml:space="preserve">Within the </w:t>
      </w:r>
      <w:r w:rsidRPr="008D5A64">
        <w:rPr>
          <w:rStyle w:val="Strong"/>
          <w:rFonts w:asciiTheme="minorBidi" w:eastAsiaTheme="majorEastAsia" w:hAnsiTheme="minorBidi" w:cstheme="minorBidi"/>
          <w:b w:val="0"/>
          <w:bCs w:val="0"/>
          <w:sz w:val="22"/>
          <w:szCs w:val="22"/>
        </w:rPr>
        <w:t>International Classification of Diseases, Eleventh Revision (ICD-11)</w:t>
      </w:r>
      <w:r w:rsidRPr="008D5A64">
        <w:rPr>
          <w:rFonts w:asciiTheme="minorBidi" w:hAnsiTheme="minorBidi" w:cstheme="minorBidi"/>
          <w:sz w:val="22"/>
          <w:szCs w:val="22"/>
        </w:rPr>
        <w:t xml:space="preserve">, health anxiety is categorised as </w:t>
      </w:r>
      <w:r w:rsidRPr="008D5A64">
        <w:rPr>
          <w:rStyle w:val="Emphasis"/>
          <w:rFonts w:asciiTheme="minorBidi" w:eastAsiaTheme="majorEastAsia" w:hAnsiTheme="minorBidi" w:cstheme="minorBidi"/>
          <w:sz w:val="22"/>
          <w:szCs w:val="22"/>
        </w:rPr>
        <w:t>Hypochondriasis</w:t>
      </w:r>
      <w:r w:rsidRPr="008D5A64">
        <w:rPr>
          <w:rFonts w:asciiTheme="minorBidi" w:hAnsiTheme="minorBidi" w:cstheme="minorBidi"/>
          <w:sz w:val="22"/>
          <w:szCs w:val="22"/>
        </w:rPr>
        <w:t xml:space="preserve"> under Obsessive-Compulsive and Related Disorders (World Health Organization, 2022). However, debates continue regarding whether health anxiety is best understood as a distinct diagnostic category, part of obsessive-compulsive conditions, or closely related to generalised anxiety. These debates highlight the complexity of classifying mental health conditions in a way that accurately reflects lived experience (Rachman, 2012).</w:t>
      </w:r>
    </w:p>
    <w:p w14:paraId="2CD7CF14" w14:textId="124BEBC3"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 xml:space="preserve">Health anxiety also places </w:t>
      </w:r>
      <w:r w:rsidR="00E51F27" w:rsidRPr="008D5A64">
        <w:rPr>
          <w:rFonts w:asciiTheme="minorBidi" w:hAnsiTheme="minorBidi" w:cstheme="minorBidi"/>
          <w:sz w:val="22"/>
          <w:szCs w:val="22"/>
        </w:rPr>
        <w:t>demand</w:t>
      </w:r>
      <w:r w:rsidRPr="008D5A64">
        <w:rPr>
          <w:rFonts w:asciiTheme="minorBidi" w:hAnsiTheme="minorBidi" w:cstheme="minorBidi"/>
          <w:sz w:val="22"/>
          <w:szCs w:val="22"/>
        </w:rPr>
        <w:t xml:space="preserve"> on healthcare systems due to frequent appointments, repeated investigations, and increased consultations, highlighting both clinical and economic implications (Tyrer et al., 2011). This report critically evaluates health anxiety by exploring its classification, diagnostic processes, treatment and rehabilitation approaches, emerging debates, and recommendations for practice and policy.</w:t>
      </w:r>
    </w:p>
    <w:p w14:paraId="6E2FF014" w14:textId="46F6136F" w:rsidR="00C32BBC" w:rsidRPr="008D5A64" w:rsidRDefault="00C32BBC" w:rsidP="008D5A64">
      <w:pPr>
        <w:spacing w:line="360" w:lineRule="auto"/>
        <w:rPr>
          <w:rFonts w:asciiTheme="minorBidi" w:hAnsiTheme="minorBidi"/>
          <w:sz w:val="22"/>
          <w:szCs w:val="22"/>
        </w:rPr>
      </w:pPr>
    </w:p>
    <w:p w14:paraId="401A29D9" w14:textId="7F2899C3" w:rsidR="00C32BBC" w:rsidRPr="008D5A64" w:rsidRDefault="00C32BBC" w:rsidP="008D5A64">
      <w:pPr>
        <w:pStyle w:val="Heading2"/>
        <w:spacing w:line="360" w:lineRule="auto"/>
        <w:rPr>
          <w:rFonts w:asciiTheme="minorBidi" w:hAnsiTheme="minorBidi" w:cstheme="minorBidi"/>
          <w:color w:val="000000" w:themeColor="text1"/>
          <w:sz w:val="22"/>
          <w:szCs w:val="22"/>
        </w:rPr>
      </w:pPr>
      <w:bookmarkStart w:id="2" w:name="_Toc223522617"/>
      <w:r w:rsidRPr="008D5A64">
        <w:rPr>
          <w:rStyle w:val="Strong"/>
          <w:rFonts w:asciiTheme="minorBidi" w:hAnsiTheme="minorBidi" w:cstheme="minorBidi"/>
          <w:color w:val="000000" w:themeColor="text1"/>
          <w:sz w:val="22"/>
          <w:szCs w:val="22"/>
        </w:rPr>
        <w:t>Classification and Diagnosis</w:t>
      </w:r>
      <w:bookmarkEnd w:id="2"/>
    </w:p>
    <w:p w14:paraId="46C449F7" w14:textId="2581E108" w:rsidR="00C32BBC" w:rsidRPr="008D5A64" w:rsidRDefault="00C32BBC" w:rsidP="008D5A64">
      <w:pPr>
        <w:pStyle w:val="Heading3"/>
        <w:spacing w:line="360" w:lineRule="auto"/>
        <w:rPr>
          <w:rFonts w:asciiTheme="minorBidi" w:hAnsiTheme="minorBidi" w:cstheme="minorBidi"/>
          <w:color w:val="000000" w:themeColor="text1"/>
          <w:sz w:val="22"/>
          <w:szCs w:val="22"/>
        </w:rPr>
      </w:pPr>
      <w:r w:rsidRPr="008D5A64">
        <w:rPr>
          <w:rStyle w:val="Strong"/>
          <w:rFonts w:asciiTheme="minorBidi" w:hAnsiTheme="minorBidi" w:cstheme="minorBidi"/>
          <w:b w:val="0"/>
          <w:bCs w:val="0"/>
          <w:color w:val="000000" w:themeColor="text1"/>
          <w:sz w:val="22"/>
          <w:szCs w:val="22"/>
        </w:rPr>
        <w:t xml:space="preserve"> </w:t>
      </w:r>
      <w:bookmarkStart w:id="3" w:name="_Toc223522618"/>
      <w:r w:rsidRPr="008D5A64">
        <w:rPr>
          <w:rStyle w:val="Strong"/>
          <w:rFonts w:asciiTheme="minorBidi" w:hAnsiTheme="minorBidi" w:cstheme="minorBidi"/>
          <w:b w:val="0"/>
          <w:bCs w:val="0"/>
          <w:color w:val="000000" w:themeColor="text1"/>
          <w:sz w:val="22"/>
          <w:szCs w:val="22"/>
        </w:rPr>
        <w:t>ICD-11 Classification</w:t>
      </w:r>
      <w:bookmarkEnd w:id="3"/>
    </w:p>
    <w:p w14:paraId="7356644A"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 xml:space="preserve">In ICD-11, health anxiety is coded as </w:t>
      </w:r>
      <w:r w:rsidRPr="008D5A64">
        <w:rPr>
          <w:rStyle w:val="Emphasis"/>
          <w:rFonts w:asciiTheme="minorBidi" w:eastAsiaTheme="majorEastAsia" w:hAnsiTheme="minorBidi" w:cstheme="minorBidi"/>
          <w:sz w:val="22"/>
          <w:szCs w:val="22"/>
        </w:rPr>
        <w:t>Hypochondriasis</w:t>
      </w:r>
      <w:r w:rsidRPr="008D5A64">
        <w:rPr>
          <w:rFonts w:asciiTheme="minorBidi" w:hAnsiTheme="minorBidi" w:cstheme="minorBidi"/>
          <w:sz w:val="22"/>
          <w:szCs w:val="22"/>
        </w:rPr>
        <w:t xml:space="preserve"> (6B23) within the section of Obsessive-Compulsive and Related Disorders (World Health Organization, 2022). The use of the term “disorder” indicates that symptoms are clinically significant and result in distress or impaired functioning. The biomedical model embedded in ICD-11 frames health anxiety as a diagnosable condition that benefits from structured assessment and targeted treatment (Pilgrim, 2019).</w:t>
      </w:r>
    </w:p>
    <w:p w14:paraId="545269BC" w14:textId="537E804A" w:rsidR="00C32BBC" w:rsidRPr="008D5A64" w:rsidRDefault="00C32BBC" w:rsidP="71429B68">
      <w:pPr>
        <w:pStyle w:val="NormalWeb"/>
        <w:spacing w:line="360" w:lineRule="auto"/>
        <w:rPr>
          <w:rFonts w:asciiTheme="minorBidi" w:hAnsiTheme="minorBidi" w:cstheme="minorBidi"/>
          <w:sz w:val="22"/>
          <w:szCs w:val="22"/>
        </w:rPr>
      </w:pPr>
      <w:r w:rsidRPr="71429B68">
        <w:rPr>
          <w:rFonts w:asciiTheme="minorBidi" w:hAnsiTheme="minorBidi" w:cstheme="minorBidi"/>
          <w:sz w:val="22"/>
          <w:szCs w:val="22"/>
        </w:rPr>
        <w:t xml:space="preserve">Classifying health anxiety alongside obsessive-compulsive conditions emphasises similarities in intrusive thoughts and repetitive behaviours. Many individuals with health anxiety repeatedly check their body, seek reassurance or search for health information </w:t>
      </w:r>
      <w:r w:rsidR="4A82C622" w:rsidRPr="71429B68">
        <w:rPr>
          <w:rFonts w:asciiTheme="minorBidi" w:hAnsiTheme="minorBidi" w:cstheme="minorBidi"/>
          <w:sz w:val="22"/>
          <w:szCs w:val="22"/>
        </w:rPr>
        <w:t>O</w:t>
      </w:r>
      <w:r w:rsidRPr="71429B68">
        <w:rPr>
          <w:rFonts w:asciiTheme="minorBidi" w:hAnsiTheme="minorBidi" w:cstheme="minorBidi"/>
          <w:sz w:val="22"/>
          <w:szCs w:val="22"/>
        </w:rPr>
        <w:t>nline behaviours that resemble compulsive routines in obsessive-compulsive disorder (Rachman, 2012). However, some researchers argue that health anxiety shares core features with generalised anxiety disorder (GAD), particularly persistent</w:t>
      </w:r>
      <w:r w:rsidR="59C7F24C" w:rsidRPr="71429B68">
        <w:rPr>
          <w:rFonts w:asciiTheme="minorBidi" w:hAnsiTheme="minorBidi" w:cstheme="minorBidi"/>
          <w:sz w:val="22"/>
          <w:szCs w:val="22"/>
        </w:rPr>
        <w:t>worry,</w:t>
      </w:r>
      <w:r w:rsidRPr="71429B68">
        <w:rPr>
          <w:rFonts w:asciiTheme="minorBidi" w:hAnsiTheme="minorBidi" w:cstheme="minorBidi"/>
          <w:sz w:val="22"/>
          <w:szCs w:val="22"/>
        </w:rPr>
        <w:t xml:space="preserve"> and physiological arousal, suggesting that rigid categorical systems may not fully capture individual differences (Asmundson et al., 2010).</w:t>
      </w:r>
    </w:p>
    <w:p w14:paraId="78AF3F10"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Critics of the current classification system suggest that mental health diagnoses should move toward dimensional or spectrum-based models, which account for symptom severity and overlap more effectively than fixed labels. Such an approach might reduce diagnostic boundaries that can exclude people whose symptoms do not fit neatly into one category.</w:t>
      </w:r>
    </w:p>
    <w:p w14:paraId="76134CFC" w14:textId="679832C1" w:rsidR="00C32BBC" w:rsidRPr="008D5A64" w:rsidRDefault="00C32BBC" w:rsidP="008D5A64">
      <w:pPr>
        <w:pStyle w:val="Heading3"/>
        <w:spacing w:line="360" w:lineRule="auto"/>
        <w:rPr>
          <w:rFonts w:asciiTheme="minorBidi" w:hAnsiTheme="minorBidi" w:cstheme="minorBidi"/>
          <w:color w:val="000000" w:themeColor="text1"/>
          <w:sz w:val="22"/>
          <w:szCs w:val="22"/>
        </w:rPr>
      </w:pPr>
      <w:bookmarkStart w:id="4" w:name="_Toc223522619"/>
      <w:r w:rsidRPr="008D5A64">
        <w:rPr>
          <w:rStyle w:val="Strong"/>
          <w:rFonts w:asciiTheme="minorBidi" w:hAnsiTheme="minorBidi" w:cstheme="minorBidi"/>
          <w:b w:val="0"/>
          <w:bCs w:val="0"/>
          <w:color w:val="000000" w:themeColor="text1"/>
          <w:sz w:val="22"/>
          <w:szCs w:val="22"/>
        </w:rPr>
        <w:t>Diagnostic Criteria and Features</w:t>
      </w:r>
      <w:bookmarkEnd w:id="4"/>
    </w:p>
    <w:p w14:paraId="5D7D4945"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Typical diagnostic features of health anxiety include:</w:t>
      </w:r>
    </w:p>
    <w:p w14:paraId="2A70C14C"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Style w:val="Strong"/>
          <w:rFonts w:asciiTheme="minorBidi" w:eastAsiaTheme="majorEastAsia" w:hAnsiTheme="minorBidi" w:cstheme="minorBidi"/>
          <w:b w:val="0"/>
          <w:bCs w:val="0"/>
          <w:sz w:val="22"/>
          <w:szCs w:val="22"/>
        </w:rPr>
        <w:t>Persistent worry</w:t>
      </w:r>
      <w:r w:rsidRPr="008D5A64">
        <w:rPr>
          <w:rFonts w:asciiTheme="minorBidi" w:hAnsiTheme="minorBidi" w:cstheme="minorBidi"/>
          <w:sz w:val="22"/>
          <w:szCs w:val="22"/>
        </w:rPr>
        <w:t xml:space="preserve"> about having a serious illness</w:t>
      </w:r>
    </w:p>
    <w:p w14:paraId="42B4434C"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Style w:val="Strong"/>
          <w:rFonts w:asciiTheme="minorBidi" w:eastAsiaTheme="majorEastAsia" w:hAnsiTheme="minorBidi" w:cstheme="minorBidi"/>
          <w:b w:val="0"/>
          <w:bCs w:val="0"/>
          <w:sz w:val="22"/>
          <w:szCs w:val="22"/>
        </w:rPr>
        <w:t>Misinterpretation of normal bodily sensations</w:t>
      </w:r>
    </w:p>
    <w:p w14:paraId="1886876A"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Style w:val="Strong"/>
          <w:rFonts w:asciiTheme="minorBidi" w:eastAsiaTheme="majorEastAsia" w:hAnsiTheme="minorBidi" w:cstheme="minorBidi"/>
          <w:b w:val="0"/>
          <w:bCs w:val="0"/>
          <w:sz w:val="22"/>
          <w:szCs w:val="22"/>
        </w:rPr>
        <w:t>Frequent reassurance seeking</w:t>
      </w:r>
    </w:p>
    <w:p w14:paraId="7C05A7F3"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Style w:val="Strong"/>
          <w:rFonts w:asciiTheme="minorBidi" w:eastAsiaTheme="majorEastAsia" w:hAnsiTheme="minorBidi" w:cstheme="minorBidi"/>
          <w:b w:val="0"/>
          <w:bCs w:val="0"/>
          <w:sz w:val="22"/>
          <w:szCs w:val="22"/>
        </w:rPr>
        <w:t>Repeated medical consultations or monitoring of symptoms</w:t>
      </w:r>
    </w:p>
    <w:p w14:paraId="00090932"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Style w:val="Strong"/>
          <w:rFonts w:asciiTheme="minorBidi" w:eastAsiaTheme="majorEastAsia" w:hAnsiTheme="minorBidi" w:cstheme="minorBidi"/>
          <w:b w:val="0"/>
          <w:bCs w:val="0"/>
          <w:sz w:val="22"/>
          <w:szCs w:val="22"/>
        </w:rPr>
        <w:t>Significant distress or disruption to daily functioning</w:t>
      </w:r>
      <w:r w:rsidRPr="008D5A64">
        <w:rPr>
          <w:rFonts w:asciiTheme="minorBidi" w:hAnsiTheme="minorBidi" w:cstheme="minorBidi"/>
          <w:sz w:val="22"/>
          <w:szCs w:val="22"/>
        </w:rPr>
        <w:t xml:space="preserve"> (American Psychiatric Association, 2022)</w:t>
      </w:r>
    </w:p>
    <w:p w14:paraId="75B276A3"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To diagnose health anxiety, clinicians must carefully exclude genuine medical conditions. This requires a balance: too many medical tests can reinforce anxiety, while insufficient investigation may reduce trust or miss significant illness (Tyrer et al., 2011). Therefore, effective diagnosis depends on skilled clinical judgement and a thorough assessment process.</w:t>
      </w:r>
    </w:p>
    <w:p w14:paraId="5A7E4340" w14:textId="4C491DC3" w:rsidR="00C32BBC" w:rsidRPr="008D5A64" w:rsidRDefault="00C32BBC" w:rsidP="008D5A64">
      <w:pPr>
        <w:pStyle w:val="Heading3"/>
        <w:spacing w:line="360" w:lineRule="auto"/>
        <w:rPr>
          <w:rFonts w:asciiTheme="minorBidi" w:hAnsiTheme="minorBidi" w:cstheme="minorBidi"/>
          <w:color w:val="000000" w:themeColor="text1"/>
          <w:sz w:val="22"/>
          <w:szCs w:val="22"/>
        </w:rPr>
      </w:pPr>
      <w:bookmarkStart w:id="5" w:name="_Toc223522620"/>
      <w:r w:rsidRPr="008D5A64">
        <w:rPr>
          <w:rStyle w:val="Strong"/>
          <w:rFonts w:asciiTheme="minorBidi" w:hAnsiTheme="minorBidi" w:cstheme="minorBidi"/>
          <w:color w:val="000000" w:themeColor="text1"/>
          <w:sz w:val="22"/>
          <w:szCs w:val="22"/>
        </w:rPr>
        <w:t>Diagnostic Processes</w:t>
      </w:r>
      <w:bookmarkEnd w:id="5"/>
    </w:p>
    <w:p w14:paraId="38E6D547"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 xml:space="preserve">Diagnosis typically begins with a physical examination to rule out actual illness. Primary care physicians may then assess symptom patterns, worry behaviours, and the impact on daily functioning. Structured tools like the </w:t>
      </w:r>
      <w:r w:rsidRPr="008D5A64">
        <w:rPr>
          <w:rStyle w:val="Strong"/>
          <w:rFonts w:asciiTheme="minorBidi" w:eastAsiaTheme="majorEastAsia" w:hAnsiTheme="minorBidi" w:cstheme="minorBidi"/>
          <w:b w:val="0"/>
          <w:bCs w:val="0"/>
          <w:sz w:val="22"/>
          <w:szCs w:val="22"/>
        </w:rPr>
        <w:t>Health Anxiety Inventory</w:t>
      </w:r>
      <w:r w:rsidRPr="008D5A64">
        <w:rPr>
          <w:rFonts w:asciiTheme="minorBidi" w:hAnsiTheme="minorBidi" w:cstheme="minorBidi"/>
          <w:sz w:val="22"/>
          <w:szCs w:val="22"/>
        </w:rPr>
        <w:t xml:space="preserve"> help quantify the severity of symptoms and support clinical judgement (Salkovskis et al., 2002). Referrals to psychologists or psychiatrists may follow when psychological treatment is indicated.</w:t>
      </w:r>
    </w:p>
    <w:p w14:paraId="0A90D545"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Cultural factors significantly influence diagnosis. In some cultural contexts, psychological distress is expressed primarily through physical symptoms, which may lead to misdiagnosis or delayed mental health referral. Understanding cultural variations in symptom reporting and stigma is essential for accurate diagnosis and patient-centred care (Kirmayer, 2001).</w:t>
      </w:r>
    </w:p>
    <w:p w14:paraId="71526EB0" w14:textId="10E4C8B5" w:rsidR="00C32BBC" w:rsidRPr="008D5A64" w:rsidRDefault="00C32BBC" w:rsidP="008D5A64">
      <w:pPr>
        <w:pStyle w:val="Heading3"/>
        <w:spacing w:line="360" w:lineRule="auto"/>
        <w:rPr>
          <w:rFonts w:asciiTheme="minorBidi" w:hAnsiTheme="minorBidi" w:cstheme="minorBidi"/>
          <w:sz w:val="22"/>
          <w:szCs w:val="22"/>
        </w:rPr>
      </w:pPr>
      <w:r w:rsidRPr="008D5A64">
        <w:rPr>
          <w:rStyle w:val="Strong"/>
          <w:rFonts w:asciiTheme="minorBidi" w:hAnsiTheme="minorBidi" w:cstheme="minorBidi"/>
          <w:b w:val="0"/>
          <w:bCs w:val="0"/>
          <w:sz w:val="22"/>
          <w:szCs w:val="22"/>
        </w:rPr>
        <w:t xml:space="preserve"> </w:t>
      </w:r>
      <w:bookmarkStart w:id="6" w:name="_Toc223522621"/>
      <w:r w:rsidRPr="008D5A64">
        <w:rPr>
          <w:rStyle w:val="Strong"/>
          <w:rFonts w:asciiTheme="minorBidi" w:hAnsiTheme="minorBidi" w:cstheme="minorBidi"/>
          <w:color w:val="000000" w:themeColor="text1"/>
          <w:sz w:val="22"/>
          <w:szCs w:val="22"/>
        </w:rPr>
        <w:t>Critical Evaluation of Classification</w:t>
      </w:r>
      <w:bookmarkEnd w:id="6"/>
    </w:p>
    <w:p w14:paraId="026D3FBE"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Classification systems such as ICD-11 provide structure, facilitate research, and support access to services. However, diagnostic labels carry risks. The historical term “hypochondriac” is often associated with exaggeration and trivialisation, which can discourage people from seeking help (Pilgrim, 2019). This highlights the tension between clinical utility and compassionate language. While categories help clinicians and researchers, they must be applied sensitively to avoid reinforcing stigma or trivialising lived experience.</w:t>
      </w:r>
    </w:p>
    <w:p w14:paraId="5B1D60F6" w14:textId="1E2E35C1" w:rsidR="009F5FC2" w:rsidRPr="008D5A64" w:rsidRDefault="00882558" w:rsidP="008D5A64">
      <w:pPr>
        <w:pStyle w:val="NormalWeb"/>
        <w:spacing w:line="360" w:lineRule="auto"/>
        <w:rPr>
          <w:rFonts w:asciiTheme="minorBidi" w:hAnsiTheme="minorBidi" w:cstheme="minorBidi"/>
          <w:b/>
          <w:bCs/>
          <w:sz w:val="22"/>
          <w:szCs w:val="22"/>
        </w:rPr>
      </w:pPr>
      <w:r w:rsidRPr="008D5A64">
        <w:rPr>
          <w:rFonts w:asciiTheme="minorBidi" w:hAnsiTheme="minorBidi" w:cstheme="minorBidi"/>
          <w:b/>
          <w:bCs/>
          <w:sz w:val="22"/>
          <w:szCs w:val="22"/>
        </w:rPr>
        <w:t>E</w:t>
      </w:r>
      <w:r w:rsidR="009F5FC2" w:rsidRPr="008D5A64">
        <w:rPr>
          <w:rFonts w:asciiTheme="minorBidi" w:hAnsiTheme="minorBidi" w:cstheme="minorBidi"/>
          <w:b/>
          <w:bCs/>
          <w:sz w:val="22"/>
          <w:szCs w:val="22"/>
        </w:rPr>
        <w:t>xample</w:t>
      </w:r>
      <w:r w:rsidR="00C05999" w:rsidRPr="008D5A64">
        <w:rPr>
          <w:rFonts w:asciiTheme="minorBidi" w:hAnsiTheme="minorBidi" w:cstheme="minorBidi"/>
          <w:b/>
          <w:bCs/>
          <w:sz w:val="22"/>
          <w:szCs w:val="22"/>
        </w:rPr>
        <w:t>:</w:t>
      </w:r>
      <w:r w:rsidRPr="008D5A64">
        <w:rPr>
          <w:rFonts w:asciiTheme="minorBidi" w:hAnsiTheme="minorBidi" w:cstheme="minorBidi"/>
          <w:b/>
          <w:bCs/>
          <w:sz w:val="22"/>
          <w:szCs w:val="22"/>
        </w:rPr>
        <w:t xml:space="preserve"> </w:t>
      </w:r>
    </w:p>
    <w:p w14:paraId="50A886EF" w14:textId="364A7996" w:rsidR="009F5FC2" w:rsidRPr="008D5A64" w:rsidRDefault="009F5FC2"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Sarah, a 32-year-old office worker, began worrying that her frequent headaches were a sign of a brain tumour. Despite several normal medical examinations and clear scan results, she remained convinced that something serious had been overlooked. She spent hours searching her symptoms online, often encountering worst-case scenarios that intensified her fears a pattern commonly described as cyberchondria (Starcevic and Berle, 2013). Although her GP provided reassurance, the relief was temporary, and her anxiety quickly returned. This cycle of catastrophic misinterpretation and reassurance seeking reflects core features of health anxiety (Abramowitz and Braddock, 2011; Rachman, 2012).</w:t>
      </w:r>
    </w:p>
    <w:p w14:paraId="2D6C7357" w14:textId="77777777" w:rsidR="00D04C65" w:rsidRPr="008D5A64" w:rsidRDefault="00D04C65" w:rsidP="008D5A64">
      <w:pPr>
        <w:pStyle w:val="NormalWeb"/>
        <w:spacing w:line="360" w:lineRule="auto"/>
        <w:rPr>
          <w:rFonts w:asciiTheme="minorBidi" w:hAnsiTheme="minorBidi" w:cstheme="minorBidi"/>
          <w:sz w:val="22"/>
          <w:szCs w:val="22"/>
        </w:rPr>
      </w:pPr>
    </w:p>
    <w:p w14:paraId="3432FB6B" w14:textId="246B645D" w:rsidR="00C32BBC" w:rsidRPr="008D5A64" w:rsidRDefault="00C32BBC" w:rsidP="008D5A64">
      <w:pPr>
        <w:spacing w:line="360" w:lineRule="auto"/>
        <w:rPr>
          <w:rFonts w:asciiTheme="minorBidi" w:hAnsiTheme="minorBidi"/>
          <w:sz w:val="22"/>
          <w:szCs w:val="22"/>
        </w:rPr>
      </w:pPr>
    </w:p>
    <w:p w14:paraId="02EC8A46" w14:textId="77777777" w:rsidR="00297B1B" w:rsidRPr="008D5A64" w:rsidRDefault="00C32BBC" w:rsidP="008D5A64">
      <w:pPr>
        <w:pStyle w:val="Heading2"/>
        <w:spacing w:line="360" w:lineRule="auto"/>
        <w:rPr>
          <w:rStyle w:val="Strong"/>
          <w:rFonts w:asciiTheme="minorBidi" w:hAnsiTheme="minorBidi" w:cstheme="minorBidi"/>
          <w:b w:val="0"/>
          <w:bCs w:val="0"/>
          <w:color w:val="000000" w:themeColor="text1"/>
          <w:sz w:val="22"/>
          <w:szCs w:val="22"/>
        </w:rPr>
      </w:pPr>
      <w:bookmarkStart w:id="7" w:name="_Toc223522622"/>
      <w:r w:rsidRPr="008D5A64">
        <w:rPr>
          <w:rStyle w:val="Strong"/>
          <w:rFonts w:asciiTheme="minorBidi" w:hAnsiTheme="minorBidi" w:cstheme="minorBidi"/>
          <w:b w:val="0"/>
          <w:bCs w:val="0"/>
          <w:color w:val="000000" w:themeColor="text1"/>
          <w:sz w:val="22"/>
          <w:szCs w:val="22"/>
        </w:rPr>
        <w:t>Treatment and Rehabilitation</w:t>
      </w:r>
      <w:bookmarkEnd w:id="7"/>
    </w:p>
    <w:p w14:paraId="232674AE" w14:textId="56EDFC15" w:rsidR="00C32BBC" w:rsidRPr="008D5A64" w:rsidRDefault="00C32BBC" w:rsidP="008D5A64">
      <w:pPr>
        <w:pStyle w:val="Heading2"/>
        <w:spacing w:line="360" w:lineRule="auto"/>
        <w:rPr>
          <w:rFonts w:asciiTheme="minorBidi" w:hAnsiTheme="minorBidi" w:cstheme="minorBidi"/>
          <w:color w:val="000000" w:themeColor="text1"/>
          <w:sz w:val="22"/>
          <w:szCs w:val="22"/>
        </w:rPr>
      </w:pPr>
      <w:bookmarkStart w:id="8" w:name="_Toc223522623"/>
      <w:r w:rsidRPr="008D5A64">
        <w:rPr>
          <w:rStyle w:val="Strong"/>
          <w:rFonts w:asciiTheme="minorBidi" w:hAnsiTheme="minorBidi" w:cstheme="minorBidi"/>
          <w:color w:val="000000" w:themeColor="text1"/>
          <w:sz w:val="22"/>
          <w:szCs w:val="22"/>
        </w:rPr>
        <w:t>Cognitive Behavioural Therapy (CBT)</w:t>
      </w:r>
      <w:bookmarkEnd w:id="8"/>
    </w:p>
    <w:p w14:paraId="15570B0F"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Cognitive Behavioural Therapy (CBT) is widely recognised as the most effective evidence-based intervention for health anxiety (Warwick &amp; Salkovskis, 1990). CBT helps individuals identify unhelpful thinking patterns, challenge catastrophic interpretations, and reduce compulsive behaviours such as constant checking or reassurance seeking. Through gradual exposure and cognitive restructuring, patients learn to tolerate uncertainty and respond to bodily sensations without excessive fear.</w:t>
      </w:r>
    </w:p>
    <w:p w14:paraId="474FFBBE"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Evidence shows that CBT reduces symptom severity and decreases healthcare utilisation by helping individuals break the anxiety cycle (Tyrer et al., 2014). It is effective in both face-to-face and guided self-help formats, making it a versatile option for different care settings.</w:t>
      </w:r>
    </w:p>
    <w:p w14:paraId="627971D3" w14:textId="723E6164" w:rsidR="00C32BBC" w:rsidRPr="008D5A64" w:rsidRDefault="00C32BBC" w:rsidP="008D5A64">
      <w:pPr>
        <w:pStyle w:val="Heading3"/>
        <w:spacing w:line="360" w:lineRule="auto"/>
        <w:rPr>
          <w:rFonts w:asciiTheme="minorBidi" w:hAnsiTheme="minorBidi" w:cstheme="minorBidi"/>
          <w:color w:val="000000" w:themeColor="text1"/>
          <w:sz w:val="22"/>
          <w:szCs w:val="22"/>
        </w:rPr>
      </w:pPr>
      <w:r w:rsidRPr="008D5A64">
        <w:rPr>
          <w:rStyle w:val="Strong"/>
          <w:rFonts w:asciiTheme="minorBidi" w:hAnsiTheme="minorBidi" w:cstheme="minorBidi"/>
          <w:b w:val="0"/>
          <w:bCs w:val="0"/>
          <w:color w:val="000000" w:themeColor="text1"/>
          <w:sz w:val="22"/>
          <w:szCs w:val="22"/>
        </w:rPr>
        <w:t xml:space="preserve"> </w:t>
      </w:r>
      <w:bookmarkStart w:id="9" w:name="_Toc223522624"/>
      <w:r w:rsidRPr="008D5A64">
        <w:rPr>
          <w:rStyle w:val="Strong"/>
          <w:rFonts w:asciiTheme="minorBidi" w:hAnsiTheme="minorBidi" w:cstheme="minorBidi"/>
          <w:color w:val="000000" w:themeColor="text1"/>
          <w:sz w:val="22"/>
          <w:szCs w:val="22"/>
        </w:rPr>
        <w:t>Pharmacological Interventions</w:t>
      </w:r>
      <w:bookmarkEnd w:id="9"/>
    </w:p>
    <w:p w14:paraId="6810A8A1" w14:textId="5FC7F08B" w:rsidR="00C32BBC" w:rsidRPr="008D5A64" w:rsidRDefault="00C32BBC" w:rsidP="71429B68">
      <w:pPr>
        <w:pStyle w:val="NormalWeb"/>
        <w:spacing w:line="360" w:lineRule="auto"/>
        <w:rPr>
          <w:rFonts w:asciiTheme="minorBidi" w:hAnsiTheme="minorBidi" w:cstheme="minorBidi"/>
          <w:sz w:val="22"/>
          <w:szCs w:val="22"/>
        </w:rPr>
      </w:pPr>
      <w:r w:rsidRPr="71429B68">
        <w:rPr>
          <w:rFonts w:asciiTheme="minorBidi" w:hAnsiTheme="minorBidi" w:cstheme="minorBidi"/>
          <w:sz w:val="22"/>
          <w:szCs w:val="22"/>
        </w:rPr>
        <w:t xml:space="preserve">Selective Serotonin Reuptake Inhibitors (SSRIs) may be prescribed when health anxiety co-exists with depression or severe general anxiety (Asmundson et al., 2010). SSRIs can reduce overall anxiety levels, but medication is </w:t>
      </w:r>
      <w:r w:rsidR="63E817BC" w:rsidRPr="71429B68">
        <w:rPr>
          <w:rFonts w:asciiTheme="minorBidi" w:hAnsiTheme="minorBidi" w:cstheme="minorBidi"/>
          <w:sz w:val="22"/>
          <w:szCs w:val="22"/>
        </w:rPr>
        <w:t>most</w:t>
      </w:r>
      <w:r w:rsidRPr="71429B68">
        <w:rPr>
          <w:rFonts w:asciiTheme="minorBidi" w:hAnsiTheme="minorBidi" w:cstheme="minorBidi"/>
          <w:sz w:val="22"/>
          <w:szCs w:val="22"/>
        </w:rPr>
        <w:t xml:space="preserve"> effective when combined with psychological interventions. Medication alone does not address the underlying cognitive and behavioural patterns that maintain health anxiety.</w:t>
      </w:r>
    </w:p>
    <w:p w14:paraId="622227CA" w14:textId="0FD115C7" w:rsidR="00C32BBC" w:rsidRPr="008D5A64" w:rsidRDefault="00C32BBC" w:rsidP="008D5A64">
      <w:pPr>
        <w:pStyle w:val="Heading3"/>
        <w:spacing w:line="360" w:lineRule="auto"/>
        <w:rPr>
          <w:rFonts w:asciiTheme="minorBidi" w:hAnsiTheme="minorBidi" w:cstheme="minorBidi"/>
          <w:color w:val="000000" w:themeColor="text1"/>
          <w:sz w:val="22"/>
          <w:szCs w:val="22"/>
        </w:rPr>
      </w:pPr>
      <w:r w:rsidRPr="008D5A64">
        <w:rPr>
          <w:rStyle w:val="Strong"/>
          <w:rFonts w:asciiTheme="minorBidi" w:hAnsiTheme="minorBidi" w:cstheme="minorBidi"/>
          <w:color w:val="000000" w:themeColor="text1"/>
          <w:sz w:val="22"/>
          <w:szCs w:val="22"/>
        </w:rPr>
        <w:t xml:space="preserve"> </w:t>
      </w:r>
      <w:bookmarkStart w:id="10" w:name="_Toc223522625"/>
      <w:r w:rsidRPr="008D5A64">
        <w:rPr>
          <w:rStyle w:val="Strong"/>
          <w:rFonts w:asciiTheme="minorBidi" w:hAnsiTheme="minorBidi" w:cstheme="minorBidi"/>
          <w:color w:val="000000" w:themeColor="text1"/>
          <w:sz w:val="22"/>
          <w:szCs w:val="22"/>
        </w:rPr>
        <w:t>Psychoeducation and Self-Management</w:t>
      </w:r>
      <w:bookmarkEnd w:id="10"/>
    </w:p>
    <w:p w14:paraId="535D6186" w14:textId="1FEB28B8"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 xml:space="preserve">Psychoeducation helps patients understand how anxiety works, the normal range of physical sensations, and how reassurance </w:t>
      </w:r>
      <w:r w:rsidR="00E51F27" w:rsidRPr="008D5A64">
        <w:rPr>
          <w:rFonts w:asciiTheme="minorBidi" w:hAnsiTheme="minorBidi" w:cstheme="minorBidi"/>
          <w:sz w:val="22"/>
          <w:szCs w:val="22"/>
        </w:rPr>
        <w:t>seeking,</w:t>
      </w:r>
      <w:r w:rsidRPr="008D5A64">
        <w:rPr>
          <w:rFonts w:asciiTheme="minorBidi" w:hAnsiTheme="minorBidi" w:cstheme="minorBidi"/>
          <w:sz w:val="22"/>
          <w:szCs w:val="22"/>
        </w:rPr>
        <w:t xml:space="preserve"> and avoidance behaviours maintain anxiety (Abramowitz &amp; Braddock, 2011). Education supports self-management and helps individuals recognise triggers, develop healthier responses, and engage in meaningful activities that reduce avoidance.</w:t>
      </w:r>
    </w:p>
    <w:p w14:paraId="40733629" w14:textId="28DD74F9" w:rsidR="00C32BBC" w:rsidRPr="008D5A64" w:rsidRDefault="00C32BBC" w:rsidP="008D5A64">
      <w:pPr>
        <w:pStyle w:val="Heading3"/>
        <w:spacing w:line="360" w:lineRule="auto"/>
        <w:rPr>
          <w:rFonts w:asciiTheme="minorBidi" w:hAnsiTheme="minorBidi" w:cstheme="minorBidi"/>
          <w:color w:val="000000" w:themeColor="text1"/>
          <w:sz w:val="22"/>
          <w:szCs w:val="22"/>
        </w:rPr>
      </w:pPr>
      <w:bookmarkStart w:id="11" w:name="_Toc223522626"/>
      <w:r w:rsidRPr="008D5A64">
        <w:rPr>
          <w:rStyle w:val="Strong"/>
          <w:rFonts w:asciiTheme="minorBidi" w:hAnsiTheme="minorBidi" w:cstheme="minorBidi"/>
          <w:color w:val="000000" w:themeColor="text1"/>
          <w:sz w:val="22"/>
          <w:szCs w:val="22"/>
        </w:rPr>
        <w:t>Rehabilitation and Long-Term Support</w:t>
      </w:r>
      <w:bookmarkEnd w:id="11"/>
    </w:p>
    <w:p w14:paraId="1EF18CA0"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Rehabilitation focuses on improving daily functioning and quality of life. Mindfulness-based interventions may help individuals observe sensations without judgement (Kabat-Zinn, 2003). Peer support groups and digital CBT platforms can increase accessibility, particularly for those who struggle with attending in-person therapy. However, care must be taken to ensure that digital platforms do not inadvertently escalate anxiety through excessive medical searching or misinterpretation of content (Starcevic &amp; Berle, 2013).</w:t>
      </w:r>
    </w:p>
    <w:p w14:paraId="33ACA5C6" w14:textId="604EE38B" w:rsidR="00C32BBC" w:rsidRPr="008D5A64" w:rsidRDefault="00C32BBC" w:rsidP="008D5A64">
      <w:pPr>
        <w:pStyle w:val="Heading3"/>
        <w:spacing w:line="360" w:lineRule="auto"/>
        <w:rPr>
          <w:rFonts w:asciiTheme="minorBidi" w:hAnsiTheme="minorBidi" w:cstheme="minorBidi"/>
          <w:color w:val="000000" w:themeColor="text1"/>
          <w:sz w:val="22"/>
          <w:szCs w:val="22"/>
        </w:rPr>
      </w:pPr>
      <w:bookmarkStart w:id="12" w:name="_Toc223522627"/>
      <w:r w:rsidRPr="008D5A64">
        <w:rPr>
          <w:rStyle w:val="Strong"/>
          <w:rFonts w:asciiTheme="minorBidi" w:hAnsiTheme="minorBidi" w:cstheme="minorBidi"/>
          <w:b w:val="0"/>
          <w:bCs w:val="0"/>
          <w:color w:val="000000" w:themeColor="text1"/>
          <w:sz w:val="22"/>
          <w:szCs w:val="22"/>
        </w:rPr>
        <w:t>Effectiveness and Limitations</w:t>
      </w:r>
      <w:bookmarkEnd w:id="12"/>
    </w:p>
    <w:p w14:paraId="016079FF"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Style w:val="Strong"/>
          <w:rFonts w:asciiTheme="minorBidi" w:eastAsiaTheme="majorEastAsia" w:hAnsiTheme="minorBidi" w:cstheme="minorBidi"/>
          <w:b w:val="0"/>
          <w:bCs w:val="0"/>
          <w:sz w:val="22"/>
          <w:szCs w:val="22"/>
        </w:rPr>
        <w:t>Strengths of current approaches include:</w:t>
      </w:r>
    </w:p>
    <w:p w14:paraId="6D34CFAD"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Extensive evidence supporting CBT effectiveness</w:t>
      </w:r>
    </w:p>
    <w:p w14:paraId="1E1007DA"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Options for pharmacological and psychological combined treatment</w:t>
      </w:r>
    </w:p>
    <w:p w14:paraId="6809F9B4"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Potential long-term cost savings for healthcare systems</w:t>
      </w:r>
    </w:p>
    <w:p w14:paraId="61BD617B"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Style w:val="Strong"/>
          <w:rFonts w:asciiTheme="minorBidi" w:eastAsiaTheme="majorEastAsia" w:hAnsiTheme="minorBidi" w:cstheme="minorBidi"/>
          <w:b w:val="0"/>
          <w:bCs w:val="0"/>
          <w:sz w:val="22"/>
          <w:szCs w:val="22"/>
        </w:rPr>
        <w:t>Limitations include:</w:t>
      </w:r>
    </w:p>
    <w:p w14:paraId="39518586"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Long waiting lists for NHS psychological services</w:t>
      </w:r>
    </w:p>
    <w:p w14:paraId="077C375B"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Socioeconomic disparities in access</w:t>
      </w:r>
    </w:p>
    <w:p w14:paraId="43645116"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Stigma attached to seeking mental health support (Pilgrim, 2019)</w:t>
      </w:r>
    </w:p>
    <w:p w14:paraId="7A878737"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Risk of over-medicalisation through repeated testing</w:t>
      </w:r>
    </w:p>
    <w:p w14:paraId="12F6FA23" w14:textId="5A40BD33"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While current treatments are effective for many, ongoing challenges in access remain barriers to equitable care.</w:t>
      </w:r>
    </w:p>
    <w:p w14:paraId="27E6D234" w14:textId="75E10EBB" w:rsidR="00C32BBC" w:rsidRPr="008D5A64" w:rsidRDefault="00C32BBC" w:rsidP="008D5A64">
      <w:pPr>
        <w:pStyle w:val="Heading2"/>
        <w:spacing w:line="360" w:lineRule="auto"/>
        <w:rPr>
          <w:rFonts w:asciiTheme="minorBidi" w:hAnsiTheme="minorBidi" w:cstheme="minorBidi"/>
          <w:color w:val="000000" w:themeColor="text1"/>
          <w:sz w:val="22"/>
          <w:szCs w:val="22"/>
        </w:rPr>
      </w:pPr>
      <w:r w:rsidRPr="008D5A64">
        <w:rPr>
          <w:rStyle w:val="Strong"/>
          <w:rFonts w:asciiTheme="minorBidi" w:hAnsiTheme="minorBidi" w:cstheme="minorBidi"/>
          <w:b w:val="0"/>
          <w:bCs w:val="0"/>
          <w:color w:val="000000" w:themeColor="text1"/>
          <w:sz w:val="22"/>
          <w:szCs w:val="22"/>
        </w:rPr>
        <w:t xml:space="preserve"> </w:t>
      </w:r>
      <w:bookmarkStart w:id="13" w:name="_Toc223522628"/>
      <w:r w:rsidRPr="008D5A64">
        <w:rPr>
          <w:rStyle w:val="Strong"/>
          <w:rFonts w:asciiTheme="minorBidi" w:hAnsiTheme="minorBidi" w:cstheme="minorBidi"/>
          <w:b w:val="0"/>
          <w:bCs w:val="0"/>
          <w:color w:val="000000" w:themeColor="text1"/>
          <w:sz w:val="22"/>
          <w:szCs w:val="22"/>
        </w:rPr>
        <w:t>Current Debates and Emerging Issues</w:t>
      </w:r>
      <w:bookmarkEnd w:id="13"/>
    </w:p>
    <w:p w14:paraId="5D1AE54A" w14:textId="33305673" w:rsidR="00C32BBC" w:rsidRPr="008D5A64" w:rsidRDefault="00C32BBC" w:rsidP="008D5A64">
      <w:pPr>
        <w:pStyle w:val="Heading3"/>
        <w:spacing w:line="360" w:lineRule="auto"/>
        <w:rPr>
          <w:rFonts w:asciiTheme="minorBidi" w:hAnsiTheme="minorBidi" w:cstheme="minorBidi"/>
          <w:color w:val="000000" w:themeColor="text1"/>
          <w:sz w:val="22"/>
          <w:szCs w:val="22"/>
        </w:rPr>
      </w:pPr>
      <w:r w:rsidRPr="008D5A64">
        <w:rPr>
          <w:rStyle w:val="Strong"/>
          <w:rFonts w:asciiTheme="minorBidi" w:hAnsiTheme="minorBidi" w:cstheme="minorBidi"/>
          <w:b w:val="0"/>
          <w:bCs w:val="0"/>
          <w:color w:val="000000" w:themeColor="text1"/>
          <w:sz w:val="22"/>
          <w:szCs w:val="22"/>
        </w:rPr>
        <w:t xml:space="preserve"> </w:t>
      </w:r>
      <w:bookmarkStart w:id="14" w:name="_Toc223522629"/>
      <w:r w:rsidRPr="008D5A64">
        <w:rPr>
          <w:rStyle w:val="Strong"/>
          <w:rFonts w:asciiTheme="minorBidi" w:hAnsiTheme="minorBidi" w:cstheme="minorBidi"/>
          <w:color w:val="000000" w:themeColor="text1"/>
          <w:sz w:val="22"/>
          <w:szCs w:val="22"/>
        </w:rPr>
        <w:t>Medical vs Psychological Interpretation</w:t>
      </w:r>
      <w:bookmarkEnd w:id="14"/>
    </w:p>
    <w:p w14:paraId="6BDB1DE6" w14:textId="7AC4095E"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 xml:space="preserve">One major debate </w:t>
      </w:r>
      <w:r w:rsidR="00E51F27" w:rsidRPr="008D5A64">
        <w:rPr>
          <w:rFonts w:asciiTheme="minorBidi" w:hAnsiTheme="minorBidi" w:cstheme="minorBidi"/>
          <w:sz w:val="22"/>
          <w:szCs w:val="22"/>
        </w:rPr>
        <w:t>concern</w:t>
      </w:r>
      <w:r w:rsidRPr="008D5A64">
        <w:rPr>
          <w:rFonts w:asciiTheme="minorBidi" w:hAnsiTheme="minorBidi" w:cstheme="minorBidi"/>
          <w:sz w:val="22"/>
          <w:szCs w:val="22"/>
        </w:rPr>
        <w:t xml:space="preserve"> whether health anxiety should be viewed primarily as a mental disorder or a rational response to uncertainty. Some argue that in a world where real health risks exist, worry is a normal reaction, and pathologising anxiety may lead to unnecessary medicalisation (Tyrer et al., 2011). Others contend that when worry becomes excessive, </w:t>
      </w:r>
      <w:r w:rsidR="00E51F27" w:rsidRPr="008D5A64">
        <w:rPr>
          <w:rFonts w:asciiTheme="minorBidi" w:hAnsiTheme="minorBidi" w:cstheme="minorBidi"/>
          <w:sz w:val="22"/>
          <w:szCs w:val="22"/>
        </w:rPr>
        <w:t>persistent,</w:t>
      </w:r>
      <w:r w:rsidRPr="008D5A64">
        <w:rPr>
          <w:rFonts w:asciiTheme="minorBidi" w:hAnsiTheme="minorBidi" w:cstheme="minorBidi"/>
          <w:sz w:val="22"/>
          <w:szCs w:val="22"/>
        </w:rPr>
        <w:t xml:space="preserve"> and impairing, it justifies intervention to restore functioning.</w:t>
      </w:r>
    </w:p>
    <w:p w14:paraId="5016EE79" w14:textId="177594F5" w:rsidR="00C32BBC" w:rsidRPr="008D5A64" w:rsidRDefault="00C32BBC" w:rsidP="008D5A64">
      <w:pPr>
        <w:pStyle w:val="Heading3"/>
        <w:spacing w:line="360" w:lineRule="auto"/>
        <w:rPr>
          <w:rFonts w:asciiTheme="minorBidi" w:hAnsiTheme="minorBidi" w:cstheme="minorBidi"/>
          <w:color w:val="000000" w:themeColor="text1"/>
          <w:sz w:val="22"/>
          <w:szCs w:val="22"/>
        </w:rPr>
      </w:pPr>
      <w:r w:rsidRPr="008D5A64">
        <w:rPr>
          <w:rStyle w:val="Strong"/>
          <w:rFonts w:asciiTheme="minorBidi" w:hAnsiTheme="minorBidi" w:cstheme="minorBidi"/>
          <w:b w:val="0"/>
          <w:bCs w:val="0"/>
          <w:color w:val="000000" w:themeColor="text1"/>
          <w:sz w:val="22"/>
          <w:szCs w:val="22"/>
        </w:rPr>
        <w:t xml:space="preserve"> </w:t>
      </w:r>
      <w:bookmarkStart w:id="15" w:name="_Toc223522630"/>
      <w:r w:rsidRPr="008D5A64">
        <w:rPr>
          <w:rStyle w:val="Strong"/>
          <w:rFonts w:asciiTheme="minorBidi" w:hAnsiTheme="minorBidi" w:cstheme="minorBidi"/>
          <w:color w:val="000000" w:themeColor="text1"/>
          <w:sz w:val="22"/>
          <w:szCs w:val="22"/>
        </w:rPr>
        <w:t>Language and Stigma</w:t>
      </w:r>
      <w:bookmarkEnd w:id="15"/>
    </w:p>
    <w:p w14:paraId="1AC783C8"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Changes in terminology, such as shifting from “hypochondriasis” to “health anxiety,” reflect efforts to reduce stigma and encourage help-seeking. Stigmatising language can prevent individuals from seeking care and may influence public attitudes toward those experiencing symptoms (Pilgrim, 2019). Person-centred language emphasises experiences rather than labels, which can support therapeutic engagement.</w:t>
      </w:r>
    </w:p>
    <w:p w14:paraId="731751BD" w14:textId="4DE59F29" w:rsidR="00C32BBC" w:rsidRPr="008D5A64" w:rsidRDefault="00C32BBC" w:rsidP="008D5A64">
      <w:pPr>
        <w:pStyle w:val="Heading3"/>
        <w:spacing w:line="360" w:lineRule="auto"/>
        <w:rPr>
          <w:rFonts w:asciiTheme="minorBidi" w:hAnsiTheme="minorBidi" w:cstheme="minorBidi"/>
          <w:color w:val="000000" w:themeColor="text1"/>
          <w:sz w:val="22"/>
          <w:szCs w:val="22"/>
        </w:rPr>
      </w:pPr>
      <w:bookmarkStart w:id="16" w:name="_Toc223522631"/>
      <w:r w:rsidRPr="008D5A64">
        <w:rPr>
          <w:rStyle w:val="Strong"/>
          <w:rFonts w:asciiTheme="minorBidi" w:hAnsiTheme="minorBidi" w:cstheme="minorBidi"/>
          <w:color w:val="000000" w:themeColor="text1"/>
          <w:sz w:val="22"/>
          <w:szCs w:val="22"/>
        </w:rPr>
        <w:t>Digital Culture and Cyberchondria</w:t>
      </w:r>
      <w:bookmarkEnd w:id="16"/>
    </w:p>
    <w:p w14:paraId="60A7C7CE"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The digital age has amplified health anxiety through constant access to medical information. Algorithms often prioritise sensational or extreme cases, which can reinforce catastrophic thinking (Starcevic &amp; Berle, 2013). Although reliable websites exist, individuals with health anxiety may find it difficult to discriminate between credible and misleading sources. Digital literacy campaigns could help individuals navigate online information more safely.</w:t>
      </w:r>
    </w:p>
    <w:p w14:paraId="1FA90553" w14:textId="2036904E" w:rsidR="00C32BBC" w:rsidRPr="008D5A64" w:rsidRDefault="00C32BBC" w:rsidP="008D5A64">
      <w:pPr>
        <w:pStyle w:val="Heading3"/>
        <w:spacing w:line="360" w:lineRule="auto"/>
        <w:rPr>
          <w:rStyle w:val="Strong"/>
          <w:rFonts w:asciiTheme="minorBidi" w:hAnsiTheme="minorBidi" w:cstheme="minorBidi"/>
          <w:color w:val="000000" w:themeColor="text1"/>
          <w:sz w:val="22"/>
          <w:szCs w:val="22"/>
          <w:rtl/>
        </w:rPr>
      </w:pPr>
      <w:r w:rsidRPr="008D5A64">
        <w:rPr>
          <w:rStyle w:val="Strong"/>
          <w:rFonts w:asciiTheme="minorBidi" w:hAnsiTheme="minorBidi" w:cstheme="minorBidi"/>
          <w:b w:val="0"/>
          <w:bCs w:val="0"/>
          <w:color w:val="000000" w:themeColor="text1"/>
          <w:sz w:val="22"/>
          <w:szCs w:val="22"/>
        </w:rPr>
        <w:t xml:space="preserve"> </w:t>
      </w:r>
      <w:bookmarkStart w:id="17" w:name="_Toc223522632"/>
      <w:r w:rsidRPr="008D5A64">
        <w:rPr>
          <w:rStyle w:val="Strong"/>
          <w:rFonts w:asciiTheme="minorBidi" w:hAnsiTheme="minorBidi" w:cstheme="minorBidi"/>
          <w:color w:val="000000" w:themeColor="text1"/>
          <w:sz w:val="22"/>
          <w:szCs w:val="22"/>
        </w:rPr>
        <w:t>Neurodivergence and Diagnostic Overlap</w:t>
      </w:r>
      <w:bookmarkEnd w:id="17"/>
    </w:p>
    <w:p w14:paraId="2C3C165A" w14:textId="02BE65B0" w:rsidR="008B6555" w:rsidRPr="008D5A64" w:rsidRDefault="008B6555" w:rsidP="71429B68">
      <w:pPr>
        <w:spacing w:before="100" w:beforeAutospacing="1" w:after="100" w:afterAutospacing="1" w:line="360" w:lineRule="auto"/>
        <w:rPr>
          <w:rFonts w:asciiTheme="minorBidi" w:eastAsia="Times New Roman" w:hAnsiTheme="minorBidi"/>
          <w:kern w:val="0"/>
          <w:sz w:val="22"/>
          <w:szCs w:val="22"/>
          <w:lang w:eastAsia="en-GB"/>
          <w14:ligatures w14:val="none"/>
        </w:rPr>
      </w:pPr>
      <w:r w:rsidRPr="71429B68">
        <w:rPr>
          <w:rFonts w:asciiTheme="minorBidi" w:eastAsia="Times New Roman" w:hAnsiTheme="minorBidi"/>
          <w:kern w:val="0"/>
          <w:sz w:val="22"/>
          <w:szCs w:val="22"/>
          <w:lang w:eastAsia="en-GB"/>
          <w14:ligatures w14:val="none"/>
        </w:rPr>
        <w:t xml:space="preserve">A central issue in contemporary discussions of health anxiety concerns diagnostic overlap and the growing influence of neurodivergence perspectives. Health anxiety shares substantial phenomenological similarities with other anxiety-related and obsessive-compulsive spectrum conditions. Intrusive fears about illness, repeated reassurance seeking, and compulsive checking behaviours closely resemble the cognitive and behavioural patterns observed in obsessive-compulsive disorder (OCD) (Rachman, 2012). At the same time, persistent and excessive worry aligns strongly with the core features of generalised anxiety disorder (GAD), particularly intolerance of uncertainty and heightened physiological arousal (Asmundson et al., 2010). This symptom convergence raises questions about the validity of treating health anxiety as a </w:t>
      </w:r>
      <w:r w:rsidR="2A9BE13D" w:rsidRPr="71429B68">
        <w:rPr>
          <w:rFonts w:asciiTheme="minorBidi" w:eastAsia="Times New Roman" w:hAnsiTheme="minorBidi"/>
          <w:kern w:val="0"/>
          <w:sz w:val="22"/>
          <w:szCs w:val="22"/>
          <w:lang w:eastAsia="en-GB"/>
          <w14:ligatures w14:val="none"/>
        </w:rPr>
        <w:t>distinct</w:t>
      </w:r>
      <w:r w:rsidRPr="71429B68">
        <w:rPr>
          <w:rFonts w:asciiTheme="minorBidi" w:eastAsia="Times New Roman" w:hAnsiTheme="minorBidi"/>
          <w:kern w:val="0"/>
          <w:sz w:val="22"/>
          <w:szCs w:val="22"/>
          <w:lang w:eastAsia="en-GB"/>
          <w14:ligatures w14:val="none"/>
        </w:rPr>
        <w:t xml:space="preserve"> category within ICD-11.</w:t>
      </w:r>
    </w:p>
    <w:p w14:paraId="1832488C" w14:textId="196DD7B6" w:rsidR="008B6555" w:rsidRPr="008D5A64" w:rsidRDefault="008B6555" w:rsidP="71429B68">
      <w:pPr>
        <w:spacing w:before="100" w:beforeAutospacing="1" w:after="100" w:afterAutospacing="1" w:line="360" w:lineRule="auto"/>
        <w:rPr>
          <w:rFonts w:asciiTheme="minorBidi" w:eastAsia="Times New Roman" w:hAnsiTheme="minorBidi"/>
          <w:kern w:val="0"/>
          <w:sz w:val="22"/>
          <w:szCs w:val="22"/>
          <w:lang w:eastAsia="en-GB"/>
          <w14:ligatures w14:val="none"/>
        </w:rPr>
      </w:pPr>
      <w:r w:rsidRPr="71429B68">
        <w:rPr>
          <w:rFonts w:asciiTheme="minorBidi" w:eastAsia="Times New Roman" w:hAnsiTheme="minorBidi"/>
          <w:kern w:val="0"/>
          <w:sz w:val="22"/>
          <w:szCs w:val="22"/>
          <w:lang w:eastAsia="en-GB"/>
          <w14:ligatures w14:val="none"/>
        </w:rPr>
        <w:t xml:space="preserve">Diagnostic systems such as ICD-11 rely on categorical distinctions to promote clarity, </w:t>
      </w:r>
      <w:r w:rsidR="00E51F27" w:rsidRPr="71429B68">
        <w:rPr>
          <w:rFonts w:asciiTheme="minorBidi" w:eastAsia="Times New Roman" w:hAnsiTheme="minorBidi"/>
          <w:kern w:val="0"/>
          <w:sz w:val="22"/>
          <w:szCs w:val="22"/>
          <w:lang w:eastAsia="en-GB"/>
          <w14:ligatures w14:val="none"/>
        </w:rPr>
        <w:t>reliability,</w:t>
      </w:r>
      <w:r w:rsidRPr="71429B68">
        <w:rPr>
          <w:rFonts w:asciiTheme="minorBidi" w:eastAsia="Times New Roman" w:hAnsiTheme="minorBidi"/>
          <w:kern w:val="0"/>
          <w:sz w:val="22"/>
          <w:szCs w:val="22"/>
          <w:lang w:eastAsia="en-GB"/>
          <w14:ligatures w14:val="none"/>
        </w:rPr>
        <w:t xml:space="preserve"> and consistency in clinical practice (World Health Organization (WHO), 2022). However, critics argue that these boundaries may be </w:t>
      </w:r>
      <w:r w:rsidR="37A91895" w:rsidRPr="71429B68">
        <w:rPr>
          <w:rFonts w:asciiTheme="minorBidi" w:eastAsia="Times New Roman" w:hAnsiTheme="minorBidi"/>
          <w:kern w:val="0"/>
          <w:sz w:val="22"/>
          <w:szCs w:val="22"/>
          <w:lang w:eastAsia="en-GB"/>
          <w14:ligatures w14:val="none"/>
        </w:rPr>
        <w:t>artificial</w:t>
      </w:r>
      <w:r w:rsidRPr="71429B68">
        <w:rPr>
          <w:rFonts w:asciiTheme="minorBidi" w:eastAsia="Times New Roman" w:hAnsiTheme="minorBidi"/>
          <w:kern w:val="0"/>
          <w:sz w:val="22"/>
          <w:szCs w:val="22"/>
          <w:lang w:eastAsia="en-GB"/>
          <w14:ligatures w14:val="none"/>
        </w:rPr>
        <w:t>. In real-world clinical settings, comorbidity is common, and individuals frequently meet criteria for multiple anxiety-related disorders simultaneously. Pilgrim (2019) suggests that psychiatric classification systems reflect negotiated professional consensus rather than naturally occurring disease entities. From this perspective, health anxiety may represent a cluster of symptoms that intersect with broader anxiety and obsessive-compulsive dimensions, rather than a discrete disorder.</w:t>
      </w:r>
    </w:p>
    <w:p w14:paraId="5C15F222" w14:textId="2908EDBF" w:rsidR="008B6555" w:rsidRPr="008D5A64" w:rsidRDefault="008B6555" w:rsidP="008D5A64">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8D5A64">
        <w:rPr>
          <w:rFonts w:asciiTheme="minorBidi" w:eastAsia="Times New Roman" w:hAnsiTheme="minorBidi"/>
          <w:kern w:val="0"/>
          <w:sz w:val="22"/>
          <w:szCs w:val="22"/>
          <w:lang w:eastAsia="en-GB"/>
          <w14:ligatures w14:val="none"/>
        </w:rPr>
        <w:t>The concept of neurodivergence adds further complexity to this debate. Neurodivergence frameworks emphasise natural cognitive variation and challenge deficit-based models of mental health. Traits such as heightened sensory sensitivity, detail-focused processing, repetitive thinking patterns, and difficulty tolerating uncertainty</w:t>
      </w:r>
      <w:r w:rsidR="008458F2" w:rsidRPr="008D5A64">
        <w:rPr>
          <w:rFonts w:asciiTheme="minorBidi" w:eastAsia="Times New Roman" w:hAnsiTheme="minorBidi"/>
          <w:kern w:val="0"/>
          <w:sz w:val="22"/>
          <w:szCs w:val="22"/>
          <w:lang w:eastAsia="en-GB"/>
          <w14:ligatures w14:val="none"/>
        </w:rPr>
        <w:t xml:space="preserve"> </w:t>
      </w:r>
      <w:r w:rsidRPr="008D5A64">
        <w:rPr>
          <w:rFonts w:asciiTheme="minorBidi" w:eastAsia="Times New Roman" w:hAnsiTheme="minorBidi"/>
          <w:kern w:val="0"/>
          <w:sz w:val="22"/>
          <w:szCs w:val="22"/>
          <w:lang w:eastAsia="en-GB"/>
          <w14:ligatures w14:val="none"/>
        </w:rPr>
        <w:t>often associated with autism spectrum conditions and ADHD</w:t>
      </w:r>
      <w:r w:rsidR="008458F2" w:rsidRPr="008D5A64">
        <w:rPr>
          <w:rFonts w:asciiTheme="minorBidi" w:eastAsia="Times New Roman" w:hAnsiTheme="minorBidi"/>
          <w:kern w:val="0"/>
          <w:sz w:val="22"/>
          <w:szCs w:val="22"/>
          <w:lang w:eastAsia="en-GB"/>
          <w14:ligatures w14:val="none"/>
        </w:rPr>
        <w:t xml:space="preserve"> </w:t>
      </w:r>
      <w:r w:rsidRPr="008D5A64">
        <w:rPr>
          <w:rFonts w:asciiTheme="minorBidi" w:eastAsia="Times New Roman" w:hAnsiTheme="minorBidi"/>
          <w:kern w:val="0"/>
          <w:sz w:val="22"/>
          <w:szCs w:val="22"/>
          <w:lang w:eastAsia="en-GB"/>
          <w14:ligatures w14:val="none"/>
        </w:rPr>
        <w:t>may increase vulnerability to health-related worry (Asmundson et al., 2010). For instance, increased interoceptive awareness (heightened perception of bodily sensations) could amplify attention to minor physical changes, while cognitive rigidity may intensify catastrophic interpretations. In such cases, health anxiety may emerge from the interaction between neurocognitive traits and environmental stressors rather than from pathology alone.</w:t>
      </w:r>
    </w:p>
    <w:p w14:paraId="50F6E2EF" w14:textId="77777777" w:rsidR="008B6555" w:rsidRPr="008D5A64" w:rsidRDefault="008B6555" w:rsidP="008D5A64">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8D5A64">
        <w:rPr>
          <w:rFonts w:asciiTheme="minorBidi" w:eastAsia="Times New Roman" w:hAnsiTheme="minorBidi"/>
          <w:kern w:val="0"/>
          <w:sz w:val="22"/>
          <w:szCs w:val="22"/>
          <w:lang w:eastAsia="en-GB"/>
          <w14:ligatures w14:val="none"/>
        </w:rPr>
        <w:t>This perspective encourages a shift from purely medicalised interpretations toward more contextual and individualised understandings. However, it is important not to romanticise neurodivergence or minimise the distress associated with severe health anxiety. When intrusive fears significantly impair daily functioning, intervention remains clinically justified regardless of underlying cognitive style.</w:t>
      </w:r>
    </w:p>
    <w:p w14:paraId="2A6CC9D6" w14:textId="2FA39B4D" w:rsidR="008B6555" w:rsidRPr="008D5A64" w:rsidRDefault="20492F9F" w:rsidP="71429B68">
      <w:pPr>
        <w:spacing w:before="100" w:beforeAutospacing="1" w:after="100" w:afterAutospacing="1" w:line="360" w:lineRule="auto"/>
        <w:rPr>
          <w:rFonts w:asciiTheme="minorBidi" w:eastAsia="Times New Roman" w:hAnsiTheme="minorBidi"/>
          <w:kern w:val="0"/>
          <w:sz w:val="22"/>
          <w:szCs w:val="22"/>
          <w:lang w:eastAsia="en-GB"/>
          <w14:ligatures w14:val="none"/>
        </w:rPr>
      </w:pPr>
      <w:r w:rsidRPr="71429B68">
        <w:rPr>
          <w:rFonts w:asciiTheme="minorBidi" w:eastAsia="Times New Roman" w:hAnsiTheme="minorBidi"/>
          <w:kern w:val="0"/>
          <w:sz w:val="22"/>
          <w:szCs w:val="22"/>
          <w:lang w:eastAsia="en-GB"/>
          <w14:ligatures w14:val="none"/>
        </w:rPr>
        <w:t>Diagnostic</w:t>
      </w:r>
      <w:r w:rsidR="008B6555" w:rsidRPr="71429B68">
        <w:rPr>
          <w:rFonts w:asciiTheme="minorBidi" w:eastAsia="Times New Roman" w:hAnsiTheme="minorBidi"/>
          <w:kern w:val="0"/>
          <w:sz w:val="22"/>
          <w:szCs w:val="22"/>
          <w:lang w:eastAsia="en-GB"/>
          <w14:ligatures w14:val="none"/>
        </w:rPr>
        <w:t xml:space="preserve"> overlap and neurodivergence highlight the limitations of rigid categorical systems. While classification remains necessary for research, funding and service access, a more dimensional and person-centred approach may better reflect the complexity of health anxiety presentations. Future revisions of diagnostic systems may benefit from integrating spectrum-based frameworks that recognise both shared symptom dimensions and individual neurocognitive diversity.</w:t>
      </w:r>
    </w:p>
    <w:p w14:paraId="2A87D682" w14:textId="12EC50A8" w:rsidR="008B6555" w:rsidRPr="008D5A64" w:rsidRDefault="008B6555" w:rsidP="008D5A64">
      <w:pPr>
        <w:spacing w:after="0" w:line="360" w:lineRule="auto"/>
        <w:rPr>
          <w:rFonts w:asciiTheme="minorBidi" w:eastAsia="Times New Roman" w:hAnsiTheme="minorBidi"/>
          <w:kern w:val="0"/>
          <w:sz w:val="22"/>
          <w:szCs w:val="22"/>
          <w:lang w:eastAsia="en-GB"/>
          <w14:ligatures w14:val="none"/>
        </w:rPr>
      </w:pPr>
    </w:p>
    <w:p w14:paraId="125F424E" w14:textId="3D2A58AF" w:rsidR="00C32BBC" w:rsidRPr="008D5A64" w:rsidRDefault="00C32BBC" w:rsidP="008D5A64">
      <w:pPr>
        <w:pStyle w:val="Heading3"/>
        <w:spacing w:line="360" w:lineRule="auto"/>
        <w:rPr>
          <w:rFonts w:asciiTheme="minorBidi" w:hAnsiTheme="minorBidi" w:cstheme="minorBidi"/>
          <w:color w:val="000000" w:themeColor="text1"/>
          <w:sz w:val="22"/>
          <w:szCs w:val="22"/>
        </w:rPr>
      </w:pPr>
      <w:bookmarkStart w:id="18" w:name="_Toc223522633"/>
      <w:r w:rsidRPr="008D5A64">
        <w:rPr>
          <w:rStyle w:val="Strong"/>
          <w:rFonts w:asciiTheme="minorBidi" w:hAnsiTheme="minorBidi" w:cstheme="minorBidi"/>
          <w:color w:val="000000" w:themeColor="text1"/>
          <w:sz w:val="22"/>
          <w:szCs w:val="22"/>
        </w:rPr>
        <w:t>Healthcare System Impact</w:t>
      </w:r>
      <w:bookmarkEnd w:id="18"/>
    </w:p>
    <w:p w14:paraId="6B7F5A70"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Health anxiety places pressure on healthcare systems, particularly in primary care, where increased consultations and repeated investigations can strain resources (Tyrer et al., 2011). Sustainable management requires integrated psychological support and early intervention to reduce unnecessary testing and emergency attendance.</w:t>
      </w:r>
    </w:p>
    <w:p w14:paraId="0FBD6C0F" w14:textId="595C3F26" w:rsidR="00C32BBC" w:rsidRPr="008D5A64" w:rsidRDefault="00C32BBC" w:rsidP="008D5A64">
      <w:pPr>
        <w:spacing w:line="360" w:lineRule="auto"/>
        <w:rPr>
          <w:rFonts w:asciiTheme="minorBidi" w:hAnsiTheme="minorBidi"/>
          <w:sz w:val="22"/>
          <w:szCs w:val="22"/>
        </w:rPr>
      </w:pPr>
    </w:p>
    <w:p w14:paraId="70E7282E" w14:textId="53BCA843" w:rsidR="00C32BBC" w:rsidRPr="008D5A64" w:rsidRDefault="00C32BBC" w:rsidP="008D5A64">
      <w:pPr>
        <w:pStyle w:val="Heading2"/>
        <w:spacing w:line="360" w:lineRule="auto"/>
        <w:rPr>
          <w:rFonts w:asciiTheme="minorBidi" w:hAnsiTheme="minorBidi" w:cstheme="minorBidi"/>
          <w:color w:val="000000" w:themeColor="text1"/>
          <w:sz w:val="22"/>
          <w:szCs w:val="22"/>
        </w:rPr>
      </w:pPr>
      <w:r w:rsidRPr="008D5A64">
        <w:rPr>
          <w:rStyle w:val="Strong"/>
          <w:rFonts w:asciiTheme="minorBidi" w:hAnsiTheme="minorBidi" w:cstheme="minorBidi"/>
          <w:b w:val="0"/>
          <w:bCs w:val="0"/>
          <w:color w:val="000000" w:themeColor="text1"/>
          <w:sz w:val="22"/>
          <w:szCs w:val="22"/>
        </w:rPr>
        <w:t xml:space="preserve"> </w:t>
      </w:r>
      <w:bookmarkStart w:id="19" w:name="_Toc223522634"/>
      <w:r w:rsidRPr="008D5A64">
        <w:rPr>
          <w:rStyle w:val="Strong"/>
          <w:rFonts w:asciiTheme="minorBidi" w:hAnsiTheme="minorBidi" w:cstheme="minorBidi"/>
          <w:color w:val="000000" w:themeColor="text1"/>
          <w:sz w:val="22"/>
          <w:szCs w:val="22"/>
        </w:rPr>
        <w:t>Recommendations</w:t>
      </w:r>
      <w:bookmarkEnd w:id="19"/>
    </w:p>
    <w:p w14:paraId="6EFD5768"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Based on the evidence and debates outlined above, the following recommendations are proposed:</w:t>
      </w:r>
    </w:p>
    <w:p w14:paraId="080F23CD"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Style w:val="Strong"/>
          <w:rFonts w:asciiTheme="minorBidi" w:eastAsiaTheme="majorEastAsia" w:hAnsiTheme="minorBidi" w:cstheme="minorBidi"/>
          <w:b w:val="0"/>
          <w:bCs w:val="0"/>
          <w:sz w:val="22"/>
          <w:szCs w:val="22"/>
        </w:rPr>
        <w:t>Expand Access to Psychological Therapies:</w:t>
      </w:r>
      <w:r w:rsidRPr="008D5A64">
        <w:rPr>
          <w:rFonts w:asciiTheme="minorBidi" w:hAnsiTheme="minorBidi" w:cstheme="minorBidi"/>
          <w:sz w:val="22"/>
          <w:szCs w:val="22"/>
        </w:rPr>
        <w:t xml:space="preserve"> Increase availability of CBT in primary care settings to ensure early and effective treatment.</w:t>
      </w:r>
    </w:p>
    <w:p w14:paraId="47DD1C0E"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Style w:val="Strong"/>
          <w:rFonts w:asciiTheme="minorBidi" w:eastAsiaTheme="majorEastAsia" w:hAnsiTheme="minorBidi" w:cstheme="minorBidi"/>
          <w:b w:val="0"/>
          <w:bCs w:val="0"/>
          <w:sz w:val="22"/>
          <w:szCs w:val="22"/>
        </w:rPr>
        <w:t>GP Training in Anxiety Management:</w:t>
      </w:r>
      <w:r w:rsidRPr="008D5A64">
        <w:rPr>
          <w:rFonts w:asciiTheme="minorBidi" w:hAnsiTheme="minorBidi" w:cstheme="minorBidi"/>
          <w:sz w:val="22"/>
          <w:szCs w:val="22"/>
        </w:rPr>
        <w:t xml:space="preserve"> Provide training for general practitioners in managing reassurance seeking without reinforcing anxiety.</w:t>
      </w:r>
    </w:p>
    <w:p w14:paraId="088A21DA"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Style w:val="Strong"/>
          <w:rFonts w:asciiTheme="minorBidi" w:eastAsiaTheme="majorEastAsia" w:hAnsiTheme="minorBidi" w:cstheme="minorBidi"/>
          <w:b w:val="0"/>
          <w:bCs w:val="0"/>
          <w:sz w:val="22"/>
          <w:szCs w:val="22"/>
        </w:rPr>
        <w:t>Digital Health Literacy Campaigns:</w:t>
      </w:r>
      <w:r w:rsidRPr="008D5A64">
        <w:rPr>
          <w:rFonts w:asciiTheme="minorBidi" w:hAnsiTheme="minorBidi" w:cstheme="minorBidi"/>
          <w:sz w:val="22"/>
          <w:szCs w:val="22"/>
        </w:rPr>
        <w:t xml:space="preserve"> Educate the public about safe and credible online health information to reduce cyberchondria.</w:t>
      </w:r>
    </w:p>
    <w:p w14:paraId="364156BA" w14:textId="05045CC9" w:rsidR="00C32BBC" w:rsidRPr="008D5A64" w:rsidRDefault="00C32BBC" w:rsidP="008D5A64">
      <w:pPr>
        <w:pStyle w:val="NormalWeb"/>
        <w:spacing w:line="360" w:lineRule="auto"/>
        <w:rPr>
          <w:rFonts w:asciiTheme="minorBidi" w:hAnsiTheme="minorBidi" w:cstheme="minorBidi"/>
          <w:sz w:val="22"/>
          <w:szCs w:val="22"/>
        </w:rPr>
      </w:pPr>
      <w:r w:rsidRPr="008D5A64">
        <w:rPr>
          <w:rStyle w:val="Strong"/>
          <w:rFonts w:asciiTheme="minorBidi" w:eastAsiaTheme="majorEastAsia" w:hAnsiTheme="minorBidi" w:cstheme="minorBidi"/>
          <w:b w:val="0"/>
          <w:bCs w:val="0"/>
          <w:sz w:val="22"/>
          <w:szCs w:val="22"/>
        </w:rPr>
        <w:t>Integrated Biopsychosocial Models:</w:t>
      </w:r>
      <w:r w:rsidRPr="008D5A64">
        <w:rPr>
          <w:rFonts w:asciiTheme="minorBidi" w:hAnsiTheme="minorBidi" w:cstheme="minorBidi"/>
          <w:sz w:val="22"/>
          <w:szCs w:val="22"/>
        </w:rPr>
        <w:t xml:space="preserve"> Promote holistic care models that consider psychological, </w:t>
      </w:r>
      <w:r w:rsidR="00E51F27" w:rsidRPr="008D5A64">
        <w:rPr>
          <w:rFonts w:asciiTheme="minorBidi" w:hAnsiTheme="minorBidi" w:cstheme="minorBidi"/>
          <w:sz w:val="22"/>
          <w:szCs w:val="22"/>
        </w:rPr>
        <w:t>social,</w:t>
      </w:r>
      <w:r w:rsidRPr="008D5A64">
        <w:rPr>
          <w:rFonts w:asciiTheme="minorBidi" w:hAnsiTheme="minorBidi" w:cstheme="minorBidi"/>
          <w:sz w:val="22"/>
          <w:szCs w:val="22"/>
        </w:rPr>
        <w:t xml:space="preserve"> and biological factors.</w:t>
      </w:r>
    </w:p>
    <w:p w14:paraId="03A8EFB2" w14:textId="77777777" w:rsidR="00C32BBC" w:rsidRPr="008D5A64" w:rsidRDefault="00C32BBC" w:rsidP="008D5A64">
      <w:pPr>
        <w:pStyle w:val="NormalWeb"/>
        <w:spacing w:line="360" w:lineRule="auto"/>
        <w:rPr>
          <w:rFonts w:asciiTheme="minorBidi" w:hAnsiTheme="minorBidi" w:cstheme="minorBidi"/>
          <w:sz w:val="22"/>
          <w:szCs w:val="22"/>
        </w:rPr>
      </w:pPr>
      <w:r w:rsidRPr="008D5A64">
        <w:rPr>
          <w:rStyle w:val="Strong"/>
          <w:rFonts w:asciiTheme="minorBidi" w:eastAsiaTheme="majorEastAsia" w:hAnsiTheme="minorBidi" w:cstheme="minorBidi"/>
          <w:b w:val="0"/>
          <w:bCs w:val="0"/>
          <w:sz w:val="22"/>
          <w:szCs w:val="22"/>
        </w:rPr>
        <w:t>Further Research into Classification and Stigma:</w:t>
      </w:r>
      <w:r w:rsidRPr="008D5A64">
        <w:rPr>
          <w:rFonts w:asciiTheme="minorBidi" w:hAnsiTheme="minorBidi" w:cstheme="minorBidi"/>
          <w:sz w:val="22"/>
          <w:szCs w:val="22"/>
        </w:rPr>
        <w:t xml:space="preserve"> Support ongoing research to refine diagnostic systems and reduce stigma through language and practice.</w:t>
      </w:r>
    </w:p>
    <w:p w14:paraId="03003624" w14:textId="42EF7D41" w:rsidR="00C32BBC" w:rsidRPr="008D5A64" w:rsidRDefault="00C32BBC" w:rsidP="008D5A64">
      <w:pPr>
        <w:spacing w:line="360" w:lineRule="auto"/>
        <w:rPr>
          <w:rFonts w:asciiTheme="minorBidi" w:hAnsiTheme="minorBidi"/>
          <w:b/>
          <w:bCs/>
          <w:sz w:val="22"/>
          <w:szCs w:val="22"/>
        </w:rPr>
      </w:pPr>
    </w:p>
    <w:p w14:paraId="3A29B894" w14:textId="08EE04B4" w:rsidR="00C32BBC" w:rsidRPr="008D5A64" w:rsidRDefault="00C32BBC" w:rsidP="008D5A64">
      <w:pPr>
        <w:pStyle w:val="Heading2"/>
        <w:spacing w:line="360" w:lineRule="auto"/>
        <w:rPr>
          <w:rFonts w:asciiTheme="minorBidi" w:hAnsiTheme="minorBidi" w:cstheme="minorBidi"/>
          <w:color w:val="000000" w:themeColor="text1"/>
          <w:sz w:val="22"/>
          <w:szCs w:val="22"/>
        </w:rPr>
      </w:pPr>
      <w:r w:rsidRPr="008D5A64">
        <w:rPr>
          <w:rStyle w:val="Strong"/>
          <w:rFonts w:asciiTheme="minorBidi" w:hAnsiTheme="minorBidi" w:cstheme="minorBidi"/>
          <w:color w:val="000000" w:themeColor="text1"/>
          <w:sz w:val="22"/>
          <w:szCs w:val="22"/>
        </w:rPr>
        <w:t xml:space="preserve"> </w:t>
      </w:r>
      <w:bookmarkStart w:id="20" w:name="_Toc223522635"/>
      <w:r w:rsidRPr="008D5A64">
        <w:rPr>
          <w:rStyle w:val="Strong"/>
          <w:rFonts w:asciiTheme="minorBidi" w:hAnsiTheme="minorBidi" w:cstheme="minorBidi"/>
          <w:color w:val="000000" w:themeColor="text1"/>
          <w:sz w:val="22"/>
          <w:szCs w:val="22"/>
        </w:rPr>
        <w:t>Conclusion</w:t>
      </w:r>
      <w:bookmarkEnd w:id="20"/>
    </w:p>
    <w:p w14:paraId="6D9AD3C4" w14:textId="24D1746F" w:rsidR="00C32BBC" w:rsidRPr="008D5A64" w:rsidRDefault="00C32BBC" w:rsidP="008D5A64">
      <w:pPr>
        <w:pStyle w:val="NormalWeb"/>
        <w:spacing w:line="360" w:lineRule="auto"/>
        <w:rPr>
          <w:rFonts w:asciiTheme="minorBidi" w:hAnsiTheme="minorBidi" w:cstheme="minorBidi"/>
          <w:sz w:val="22"/>
          <w:szCs w:val="22"/>
        </w:rPr>
      </w:pPr>
      <w:r w:rsidRPr="008D5A64">
        <w:rPr>
          <w:rFonts w:asciiTheme="minorBidi" w:hAnsiTheme="minorBidi" w:cstheme="minorBidi"/>
          <w:sz w:val="22"/>
          <w:szCs w:val="22"/>
        </w:rPr>
        <w:t xml:space="preserve">Health anxiety is a complex condition that involves cognitive, </w:t>
      </w:r>
      <w:r w:rsidR="00E51F27" w:rsidRPr="008D5A64">
        <w:rPr>
          <w:rFonts w:asciiTheme="minorBidi" w:hAnsiTheme="minorBidi" w:cstheme="minorBidi"/>
          <w:sz w:val="22"/>
          <w:szCs w:val="22"/>
        </w:rPr>
        <w:t>emotional,</w:t>
      </w:r>
      <w:r w:rsidRPr="008D5A64">
        <w:rPr>
          <w:rFonts w:asciiTheme="minorBidi" w:hAnsiTheme="minorBidi" w:cstheme="minorBidi"/>
          <w:sz w:val="22"/>
          <w:szCs w:val="22"/>
        </w:rPr>
        <w:t xml:space="preserve"> and social dimensions. While ICD-11 provides a structured classification under Hypochondriasis, debates remain about diagnostic boundaries and terminology (WHO, 2022). Cognitive Behavioural Therapy is the most effective treatment, but barriers such as long waiting lists and stigma limit access (Tyrer et al., 2014). The digital age has increased health awareness but also contributed to anxiety. A balanced approach that integrates medical reassurance with psychological support</w:t>
      </w:r>
      <w:r w:rsidR="008A7CF8" w:rsidRPr="008D5A64">
        <w:rPr>
          <w:rFonts w:asciiTheme="minorBidi" w:hAnsiTheme="minorBidi" w:cstheme="minorBidi"/>
          <w:sz w:val="22"/>
          <w:szCs w:val="22"/>
        </w:rPr>
        <w:t xml:space="preserve"> </w:t>
      </w:r>
      <w:r w:rsidRPr="008D5A64">
        <w:rPr>
          <w:rFonts w:asciiTheme="minorBidi" w:hAnsiTheme="minorBidi" w:cstheme="minorBidi"/>
          <w:sz w:val="22"/>
          <w:szCs w:val="22"/>
        </w:rPr>
        <w:t>grounded in compassionate language and patient-centred care</w:t>
      </w:r>
      <w:r w:rsidR="008A7CF8" w:rsidRPr="008D5A64">
        <w:rPr>
          <w:rFonts w:asciiTheme="minorBidi" w:hAnsiTheme="minorBidi" w:cstheme="minorBidi"/>
          <w:sz w:val="22"/>
          <w:szCs w:val="22"/>
        </w:rPr>
        <w:t xml:space="preserve"> </w:t>
      </w:r>
      <w:r w:rsidRPr="008D5A64">
        <w:rPr>
          <w:rFonts w:asciiTheme="minorBidi" w:hAnsiTheme="minorBidi" w:cstheme="minorBidi"/>
          <w:sz w:val="22"/>
          <w:szCs w:val="22"/>
        </w:rPr>
        <w:t>is essential for supporting individuals and reducing pressures on healthcare services.</w:t>
      </w:r>
    </w:p>
    <w:p w14:paraId="67BAFA6A" w14:textId="78A50864" w:rsidR="00C32BBC" w:rsidRPr="008D5A64" w:rsidRDefault="00C32BBC" w:rsidP="008D5A64">
      <w:pPr>
        <w:spacing w:line="360" w:lineRule="auto"/>
        <w:rPr>
          <w:rFonts w:asciiTheme="minorBidi" w:hAnsiTheme="minorBidi"/>
          <w:sz w:val="22"/>
          <w:szCs w:val="22"/>
        </w:rPr>
      </w:pPr>
    </w:p>
    <w:p w14:paraId="4E2CAEC1" w14:textId="77777777" w:rsidR="00234B49" w:rsidRPr="004B1C26" w:rsidRDefault="00234B49" w:rsidP="004B1C26">
      <w:pPr>
        <w:pStyle w:val="Heading2"/>
        <w:spacing w:line="360" w:lineRule="auto"/>
        <w:rPr>
          <w:rStyle w:val="Strong"/>
          <w:rFonts w:asciiTheme="minorBidi" w:hAnsiTheme="minorBidi" w:cstheme="minorBidi"/>
          <w:b w:val="0"/>
          <w:bCs w:val="0"/>
          <w:color w:val="000000" w:themeColor="text1"/>
          <w:sz w:val="22"/>
          <w:szCs w:val="22"/>
        </w:rPr>
      </w:pPr>
    </w:p>
    <w:p w14:paraId="0564CC15" w14:textId="77777777" w:rsidR="008D5A64" w:rsidRDefault="008D5A64" w:rsidP="004B1C26">
      <w:pPr>
        <w:pStyle w:val="Heading2"/>
        <w:spacing w:line="360" w:lineRule="auto"/>
        <w:rPr>
          <w:rStyle w:val="Strong"/>
          <w:rFonts w:asciiTheme="minorBidi" w:hAnsiTheme="minorBidi" w:cstheme="minorBidi"/>
          <w:color w:val="000000" w:themeColor="text1"/>
          <w:sz w:val="22"/>
          <w:szCs w:val="22"/>
        </w:rPr>
      </w:pPr>
      <w:bookmarkStart w:id="21" w:name="_Toc223522636"/>
    </w:p>
    <w:p w14:paraId="26A28B43" w14:textId="77777777" w:rsidR="00BA7598" w:rsidRDefault="00BA7598" w:rsidP="004B1C26">
      <w:pPr>
        <w:pStyle w:val="Heading2"/>
        <w:spacing w:line="360" w:lineRule="auto"/>
        <w:rPr>
          <w:rStyle w:val="Strong"/>
          <w:rFonts w:asciiTheme="minorBidi" w:hAnsiTheme="minorBidi" w:cstheme="minorBidi"/>
          <w:color w:val="000000" w:themeColor="text1"/>
          <w:sz w:val="22"/>
          <w:szCs w:val="22"/>
        </w:rPr>
      </w:pPr>
    </w:p>
    <w:p w14:paraId="62471B38" w14:textId="77777777" w:rsidR="00BA7598" w:rsidRDefault="00BA7598" w:rsidP="004B1C26">
      <w:pPr>
        <w:pStyle w:val="Heading2"/>
        <w:spacing w:line="360" w:lineRule="auto"/>
        <w:rPr>
          <w:rStyle w:val="Strong"/>
          <w:rFonts w:asciiTheme="minorBidi" w:hAnsiTheme="minorBidi" w:cstheme="minorBidi"/>
          <w:color w:val="000000" w:themeColor="text1"/>
          <w:sz w:val="22"/>
          <w:szCs w:val="22"/>
        </w:rPr>
      </w:pPr>
    </w:p>
    <w:p w14:paraId="698895CD" w14:textId="77777777" w:rsidR="00BA7598" w:rsidRDefault="00BA7598" w:rsidP="004B1C26">
      <w:pPr>
        <w:pStyle w:val="Heading2"/>
        <w:spacing w:line="360" w:lineRule="auto"/>
        <w:rPr>
          <w:rStyle w:val="Strong"/>
          <w:rFonts w:asciiTheme="minorBidi" w:hAnsiTheme="minorBidi" w:cstheme="minorBidi"/>
          <w:color w:val="000000" w:themeColor="text1"/>
          <w:sz w:val="22"/>
          <w:szCs w:val="22"/>
        </w:rPr>
      </w:pPr>
    </w:p>
    <w:p w14:paraId="0B25AA39" w14:textId="6C334180" w:rsidR="00C32BBC" w:rsidRPr="004B1C26" w:rsidRDefault="00C32BBC" w:rsidP="004B1C26">
      <w:pPr>
        <w:pStyle w:val="Heading2"/>
        <w:spacing w:line="360" w:lineRule="auto"/>
        <w:rPr>
          <w:rFonts w:asciiTheme="minorBidi" w:hAnsiTheme="minorBidi" w:cstheme="minorBidi"/>
          <w:color w:val="000000" w:themeColor="text1"/>
          <w:sz w:val="22"/>
          <w:szCs w:val="22"/>
        </w:rPr>
      </w:pPr>
      <w:r w:rsidRPr="004B1C26">
        <w:rPr>
          <w:rStyle w:val="Strong"/>
          <w:rFonts w:asciiTheme="minorBidi" w:hAnsiTheme="minorBidi" w:cstheme="minorBidi"/>
          <w:color w:val="000000" w:themeColor="text1"/>
          <w:sz w:val="22"/>
          <w:szCs w:val="22"/>
        </w:rPr>
        <w:t>Reference</w:t>
      </w:r>
      <w:r w:rsidR="007D69A0" w:rsidRPr="004B1C26">
        <w:rPr>
          <w:rStyle w:val="Strong"/>
          <w:rFonts w:asciiTheme="minorBidi" w:hAnsiTheme="minorBidi" w:cstheme="minorBidi"/>
          <w:color w:val="000000" w:themeColor="text1"/>
          <w:sz w:val="22"/>
          <w:szCs w:val="22"/>
        </w:rPr>
        <w:t>s:</w:t>
      </w:r>
      <w:bookmarkEnd w:id="21"/>
    </w:p>
    <w:p w14:paraId="3F000DE5"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Abramowitz, J. and Braddock, A. (2011)</w:t>
      </w:r>
      <w:r w:rsidRPr="004B1C26">
        <w:rPr>
          <w:rFonts w:asciiTheme="minorBidi" w:hAnsiTheme="minorBidi" w:cstheme="minorBidi"/>
          <w:sz w:val="22"/>
          <w:szCs w:val="22"/>
        </w:rPr>
        <w:t xml:space="preserve"> </w:t>
      </w:r>
      <w:r w:rsidRPr="004B1C26">
        <w:rPr>
          <w:rStyle w:val="Emphasis"/>
          <w:rFonts w:asciiTheme="minorBidi" w:eastAsiaTheme="majorEastAsia" w:hAnsiTheme="minorBidi" w:cstheme="minorBidi"/>
          <w:sz w:val="22"/>
          <w:szCs w:val="22"/>
        </w:rPr>
        <w:t>Hypochondriasis and Health Anxiety</w:t>
      </w:r>
      <w:r w:rsidRPr="004B1C26">
        <w:rPr>
          <w:rFonts w:asciiTheme="minorBidi" w:hAnsiTheme="minorBidi" w:cstheme="minorBidi"/>
          <w:sz w:val="22"/>
          <w:szCs w:val="22"/>
        </w:rPr>
        <w:t>. Boston: Hogrefe.</w:t>
      </w:r>
    </w:p>
    <w:p w14:paraId="0021E515"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American Psychiatric Association (2022)</w:t>
      </w:r>
      <w:r w:rsidRPr="004B1C26">
        <w:rPr>
          <w:rFonts w:asciiTheme="minorBidi" w:hAnsiTheme="minorBidi" w:cstheme="minorBidi"/>
          <w:sz w:val="22"/>
          <w:szCs w:val="22"/>
        </w:rPr>
        <w:t xml:space="preserve"> </w:t>
      </w:r>
      <w:r w:rsidRPr="004B1C26">
        <w:rPr>
          <w:rStyle w:val="Emphasis"/>
          <w:rFonts w:asciiTheme="minorBidi" w:eastAsiaTheme="majorEastAsia" w:hAnsiTheme="minorBidi" w:cstheme="minorBidi"/>
          <w:sz w:val="22"/>
          <w:szCs w:val="22"/>
        </w:rPr>
        <w:t>Diagnostic and Statistical Manual of Mental Disorders (DSM-5-TR)</w:t>
      </w:r>
      <w:r w:rsidRPr="004B1C26">
        <w:rPr>
          <w:rFonts w:asciiTheme="minorBidi" w:hAnsiTheme="minorBidi" w:cstheme="minorBidi"/>
          <w:sz w:val="22"/>
          <w:szCs w:val="22"/>
        </w:rPr>
        <w:t>. Washington, DC: APA.</w:t>
      </w:r>
    </w:p>
    <w:p w14:paraId="2F5E16C5"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Asmundson, G. et al. (2010)</w:t>
      </w:r>
      <w:r w:rsidRPr="004B1C26">
        <w:rPr>
          <w:rFonts w:asciiTheme="minorBidi" w:hAnsiTheme="minorBidi" w:cstheme="minorBidi"/>
          <w:sz w:val="22"/>
          <w:szCs w:val="22"/>
        </w:rPr>
        <w:t xml:space="preserve"> </w:t>
      </w:r>
      <w:r w:rsidRPr="004B1C26">
        <w:rPr>
          <w:rStyle w:val="Emphasis"/>
          <w:rFonts w:asciiTheme="minorBidi" w:eastAsiaTheme="majorEastAsia" w:hAnsiTheme="minorBidi" w:cstheme="minorBidi"/>
          <w:sz w:val="22"/>
          <w:szCs w:val="22"/>
        </w:rPr>
        <w:t>Health Anxiety: Clinical and Research Perspectives</w:t>
      </w:r>
      <w:r w:rsidRPr="004B1C26">
        <w:rPr>
          <w:rFonts w:asciiTheme="minorBidi" w:hAnsiTheme="minorBidi" w:cstheme="minorBidi"/>
          <w:sz w:val="22"/>
          <w:szCs w:val="22"/>
        </w:rPr>
        <w:t>. New York: Guilford Press.</w:t>
      </w:r>
    </w:p>
    <w:p w14:paraId="479C49A0"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Kabat-Zinn, J. (2003)</w:t>
      </w:r>
      <w:r w:rsidRPr="004B1C26">
        <w:rPr>
          <w:rFonts w:asciiTheme="minorBidi" w:hAnsiTheme="minorBidi" w:cstheme="minorBidi"/>
          <w:sz w:val="22"/>
          <w:szCs w:val="22"/>
        </w:rPr>
        <w:t xml:space="preserve"> </w:t>
      </w:r>
      <w:r w:rsidRPr="004B1C26">
        <w:rPr>
          <w:rStyle w:val="Emphasis"/>
          <w:rFonts w:asciiTheme="minorBidi" w:eastAsiaTheme="majorEastAsia" w:hAnsiTheme="minorBidi" w:cstheme="minorBidi"/>
          <w:sz w:val="22"/>
          <w:szCs w:val="22"/>
        </w:rPr>
        <w:t>Mindfulness-Based Stress Reduction</w:t>
      </w:r>
      <w:r w:rsidRPr="004B1C26">
        <w:rPr>
          <w:rFonts w:asciiTheme="minorBidi" w:hAnsiTheme="minorBidi" w:cstheme="minorBidi"/>
          <w:sz w:val="22"/>
          <w:szCs w:val="22"/>
        </w:rPr>
        <w:t>. New York: Bantam.</w:t>
      </w:r>
    </w:p>
    <w:p w14:paraId="51C160FB"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Kirmayer, L. (2001)</w:t>
      </w:r>
      <w:r w:rsidRPr="004B1C26">
        <w:rPr>
          <w:rFonts w:asciiTheme="minorBidi" w:hAnsiTheme="minorBidi" w:cstheme="minorBidi"/>
          <w:sz w:val="22"/>
          <w:szCs w:val="22"/>
        </w:rPr>
        <w:t xml:space="preserve"> ‘Cultural variations in the clinical presentation of depression and anxiety’, </w:t>
      </w:r>
      <w:r w:rsidRPr="004B1C26">
        <w:rPr>
          <w:rStyle w:val="Emphasis"/>
          <w:rFonts w:asciiTheme="minorBidi" w:eastAsiaTheme="majorEastAsia" w:hAnsiTheme="minorBidi" w:cstheme="minorBidi"/>
          <w:sz w:val="22"/>
          <w:szCs w:val="22"/>
        </w:rPr>
        <w:t>The Lancet</w:t>
      </w:r>
      <w:r w:rsidRPr="004B1C26">
        <w:rPr>
          <w:rFonts w:asciiTheme="minorBidi" w:hAnsiTheme="minorBidi" w:cstheme="minorBidi"/>
          <w:sz w:val="22"/>
          <w:szCs w:val="22"/>
        </w:rPr>
        <w:t>, 358, pp. 153-158.</w:t>
      </w:r>
    </w:p>
    <w:p w14:paraId="02B25F92"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NHS (2025)</w:t>
      </w:r>
      <w:r w:rsidRPr="004B1C26">
        <w:rPr>
          <w:rFonts w:asciiTheme="minorBidi" w:hAnsiTheme="minorBidi" w:cstheme="minorBidi"/>
          <w:sz w:val="22"/>
          <w:szCs w:val="22"/>
        </w:rPr>
        <w:t xml:space="preserve"> </w:t>
      </w:r>
      <w:r w:rsidRPr="004B1C26">
        <w:rPr>
          <w:rStyle w:val="Emphasis"/>
          <w:rFonts w:asciiTheme="minorBidi" w:eastAsiaTheme="majorEastAsia" w:hAnsiTheme="minorBidi" w:cstheme="minorBidi"/>
          <w:sz w:val="22"/>
          <w:szCs w:val="22"/>
        </w:rPr>
        <w:t>Mental Health Services and Treatment Overview</w:t>
      </w:r>
      <w:r w:rsidRPr="004B1C26">
        <w:rPr>
          <w:rFonts w:asciiTheme="minorBidi" w:hAnsiTheme="minorBidi" w:cstheme="minorBidi"/>
          <w:sz w:val="22"/>
          <w:szCs w:val="22"/>
        </w:rPr>
        <w:t xml:space="preserve">. Available at: </w:t>
      </w:r>
      <w:hyperlink r:id="rId9" w:tgtFrame="_new" w:history="1">
        <w:r w:rsidRPr="004B1C26">
          <w:rPr>
            <w:rStyle w:val="Hyperlink"/>
            <w:rFonts w:asciiTheme="minorBidi" w:eastAsiaTheme="majorEastAsia" w:hAnsiTheme="minorBidi" w:cstheme="minorBidi"/>
            <w:sz w:val="22"/>
            <w:szCs w:val="22"/>
          </w:rPr>
          <w:t>https://www.nhs.uk/mental-health/</w:t>
        </w:r>
      </w:hyperlink>
      <w:r w:rsidRPr="004B1C26">
        <w:rPr>
          <w:rFonts w:asciiTheme="minorBidi" w:hAnsiTheme="minorBidi" w:cstheme="minorBidi"/>
          <w:sz w:val="22"/>
          <w:szCs w:val="22"/>
        </w:rPr>
        <w:t xml:space="preserve"> (Accessed: 05 Mar 2026).</w:t>
      </w:r>
    </w:p>
    <w:p w14:paraId="1009041D"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National Institute for Health and Care Excellence (NICE) (2022)</w:t>
      </w:r>
      <w:r w:rsidRPr="004B1C26">
        <w:rPr>
          <w:rFonts w:asciiTheme="minorBidi" w:hAnsiTheme="minorBidi" w:cstheme="minorBidi"/>
          <w:sz w:val="22"/>
          <w:szCs w:val="22"/>
        </w:rPr>
        <w:t xml:space="preserve"> </w:t>
      </w:r>
      <w:r w:rsidRPr="004B1C26">
        <w:rPr>
          <w:rStyle w:val="Emphasis"/>
          <w:rFonts w:asciiTheme="minorBidi" w:eastAsiaTheme="majorEastAsia" w:hAnsiTheme="minorBidi" w:cstheme="minorBidi"/>
          <w:sz w:val="22"/>
          <w:szCs w:val="22"/>
        </w:rPr>
        <w:t>Generalised Anxiety Disorder and Panic Disorder in Adults: Management</w:t>
      </w:r>
      <w:r w:rsidRPr="004B1C26">
        <w:rPr>
          <w:rFonts w:asciiTheme="minorBidi" w:hAnsiTheme="minorBidi" w:cstheme="minorBidi"/>
          <w:sz w:val="22"/>
          <w:szCs w:val="22"/>
        </w:rPr>
        <w:t xml:space="preserve">. Available at: </w:t>
      </w:r>
      <w:hyperlink r:id="rId10" w:tgtFrame="_new" w:history="1">
        <w:r w:rsidRPr="004B1C26">
          <w:rPr>
            <w:rStyle w:val="Hyperlink"/>
            <w:rFonts w:asciiTheme="minorBidi" w:eastAsiaTheme="majorEastAsia" w:hAnsiTheme="minorBidi" w:cstheme="minorBidi"/>
            <w:sz w:val="22"/>
            <w:szCs w:val="22"/>
          </w:rPr>
          <w:t>https://www.nice.org.uk/guidance/cg113</w:t>
        </w:r>
      </w:hyperlink>
      <w:r w:rsidRPr="004B1C26">
        <w:rPr>
          <w:rFonts w:asciiTheme="minorBidi" w:hAnsiTheme="minorBidi" w:cstheme="minorBidi"/>
          <w:sz w:val="22"/>
          <w:szCs w:val="22"/>
        </w:rPr>
        <w:t xml:space="preserve"> (Accessed: 05 Mar 2026).</w:t>
      </w:r>
    </w:p>
    <w:p w14:paraId="44EF761F"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Pilgrim, D. (2019)</w:t>
      </w:r>
      <w:r w:rsidRPr="004B1C26">
        <w:rPr>
          <w:rFonts w:asciiTheme="minorBidi" w:hAnsiTheme="minorBidi" w:cstheme="minorBidi"/>
          <w:sz w:val="22"/>
          <w:szCs w:val="22"/>
        </w:rPr>
        <w:t xml:space="preserve"> </w:t>
      </w:r>
      <w:r w:rsidRPr="004B1C26">
        <w:rPr>
          <w:rStyle w:val="Emphasis"/>
          <w:rFonts w:asciiTheme="minorBidi" w:eastAsiaTheme="majorEastAsia" w:hAnsiTheme="minorBidi" w:cstheme="minorBidi"/>
          <w:sz w:val="22"/>
          <w:szCs w:val="22"/>
        </w:rPr>
        <w:t>Key Concepts in Mental Health</w:t>
      </w:r>
      <w:r w:rsidRPr="004B1C26">
        <w:rPr>
          <w:rFonts w:asciiTheme="minorBidi" w:hAnsiTheme="minorBidi" w:cstheme="minorBidi"/>
          <w:sz w:val="22"/>
          <w:szCs w:val="22"/>
        </w:rPr>
        <w:t>. London: Sage.</w:t>
      </w:r>
    </w:p>
    <w:p w14:paraId="31936CD6"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Rachman, S. (2012)</w:t>
      </w:r>
      <w:r w:rsidRPr="004B1C26">
        <w:rPr>
          <w:rFonts w:asciiTheme="minorBidi" w:hAnsiTheme="minorBidi" w:cstheme="minorBidi"/>
          <w:sz w:val="22"/>
          <w:szCs w:val="22"/>
        </w:rPr>
        <w:t xml:space="preserve"> </w:t>
      </w:r>
      <w:r w:rsidRPr="004B1C26">
        <w:rPr>
          <w:rStyle w:val="Emphasis"/>
          <w:rFonts w:asciiTheme="minorBidi" w:eastAsiaTheme="majorEastAsia" w:hAnsiTheme="minorBidi" w:cstheme="minorBidi"/>
          <w:sz w:val="22"/>
          <w:szCs w:val="22"/>
        </w:rPr>
        <w:t>Health Anxiety Disorders</w:t>
      </w:r>
      <w:r w:rsidRPr="004B1C26">
        <w:rPr>
          <w:rFonts w:asciiTheme="minorBidi" w:hAnsiTheme="minorBidi" w:cstheme="minorBidi"/>
          <w:sz w:val="22"/>
          <w:szCs w:val="22"/>
        </w:rPr>
        <w:t>. Oxford: Oxford University Press.</w:t>
      </w:r>
    </w:p>
    <w:p w14:paraId="7FC324F5"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Salkovskis, P. et al. (2002)</w:t>
      </w:r>
      <w:r w:rsidRPr="004B1C26">
        <w:rPr>
          <w:rFonts w:asciiTheme="minorBidi" w:hAnsiTheme="minorBidi" w:cstheme="minorBidi"/>
          <w:sz w:val="22"/>
          <w:szCs w:val="22"/>
        </w:rPr>
        <w:t xml:space="preserve"> ‘The Health Anxiety Inventory’, </w:t>
      </w:r>
      <w:r w:rsidRPr="004B1C26">
        <w:rPr>
          <w:rStyle w:val="Emphasis"/>
          <w:rFonts w:asciiTheme="minorBidi" w:eastAsiaTheme="majorEastAsia" w:hAnsiTheme="minorBidi" w:cstheme="minorBidi"/>
          <w:sz w:val="22"/>
          <w:szCs w:val="22"/>
        </w:rPr>
        <w:t>Psychological Medicine</w:t>
      </w:r>
      <w:r w:rsidRPr="004B1C26">
        <w:rPr>
          <w:rFonts w:asciiTheme="minorBidi" w:hAnsiTheme="minorBidi" w:cstheme="minorBidi"/>
          <w:sz w:val="22"/>
          <w:szCs w:val="22"/>
        </w:rPr>
        <w:t>, 32(5), pp. 843-853.</w:t>
      </w:r>
    </w:p>
    <w:p w14:paraId="7C6DB553"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Starcevic, V. and Berle, D. (2013)</w:t>
      </w:r>
      <w:r w:rsidRPr="004B1C26">
        <w:rPr>
          <w:rFonts w:asciiTheme="minorBidi" w:hAnsiTheme="minorBidi" w:cstheme="minorBidi"/>
          <w:sz w:val="22"/>
          <w:szCs w:val="22"/>
        </w:rPr>
        <w:t xml:space="preserve"> ‘Cyberchondria’, </w:t>
      </w:r>
      <w:r w:rsidRPr="004B1C26">
        <w:rPr>
          <w:rStyle w:val="Emphasis"/>
          <w:rFonts w:asciiTheme="minorBidi" w:eastAsiaTheme="majorEastAsia" w:hAnsiTheme="minorBidi" w:cstheme="minorBidi"/>
          <w:sz w:val="22"/>
          <w:szCs w:val="22"/>
        </w:rPr>
        <w:t>World Psychiatry</w:t>
      </w:r>
      <w:r w:rsidRPr="004B1C26">
        <w:rPr>
          <w:rFonts w:asciiTheme="minorBidi" w:hAnsiTheme="minorBidi" w:cstheme="minorBidi"/>
          <w:sz w:val="22"/>
          <w:szCs w:val="22"/>
        </w:rPr>
        <w:t>, 12(1), pp. 31-37.</w:t>
      </w:r>
    </w:p>
    <w:p w14:paraId="17D227C4" w14:textId="67F3091B"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Taylor, S</w:t>
      </w:r>
      <w:r w:rsidR="256F70F1" w:rsidRPr="63124DA6">
        <w:rPr>
          <w:rStyle w:val="Strong"/>
          <w:rFonts w:asciiTheme="minorBidi" w:eastAsiaTheme="majorEastAsia" w:hAnsiTheme="minorBidi" w:cstheme="minorBidi"/>
          <w:b w:val="0"/>
          <w:bCs w:val="0"/>
          <w:sz w:val="22"/>
          <w:szCs w:val="22"/>
        </w:rPr>
        <w:t>.,</w:t>
      </w:r>
      <w:r w:rsidRPr="004B1C26">
        <w:rPr>
          <w:rStyle w:val="Strong"/>
          <w:rFonts w:asciiTheme="minorBidi" w:eastAsiaTheme="majorEastAsia" w:hAnsiTheme="minorBidi" w:cstheme="minorBidi"/>
          <w:b w:val="0"/>
          <w:bCs w:val="0"/>
          <w:sz w:val="22"/>
          <w:szCs w:val="22"/>
        </w:rPr>
        <w:t xml:space="preserve"> and Asmundson, G. (2004)</w:t>
      </w:r>
      <w:r w:rsidRPr="004B1C26">
        <w:rPr>
          <w:rFonts w:asciiTheme="minorBidi" w:hAnsiTheme="minorBidi" w:cstheme="minorBidi"/>
          <w:sz w:val="22"/>
          <w:szCs w:val="22"/>
        </w:rPr>
        <w:t xml:space="preserve"> </w:t>
      </w:r>
      <w:r w:rsidRPr="004B1C26">
        <w:rPr>
          <w:rStyle w:val="Emphasis"/>
          <w:rFonts w:asciiTheme="minorBidi" w:eastAsiaTheme="majorEastAsia" w:hAnsiTheme="minorBidi" w:cstheme="minorBidi"/>
          <w:sz w:val="22"/>
          <w:szCs w:val="22"/>
        </w:rPr>
        <w:t>Treating Health Anxiety</w:t>
      </w:r>
      <w:r w:rsidRPr="004B1C26">
        <w:rPr>
          <w:rFonts w:asciiTheme="minorBidi" w:hAnsiTheme="minorBidi" w:cstheme="minorBidi"/>
          <w:sz w:val="22"/>
          <w:szCs w:val="22"/>
        </w:rPr>
        <w:t>. New York: Guilford Press.</w:t>
      </w:r>
    </w:p>
    <w:p w14:paraId="744C525B"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Tyrer, P. et al. (2011)</w:t>
      </w:r>
      <w:r w:rsidRPr="004B1C26">
        <w:rPr>
          <w:rFonts w:asciiTheme="minorBidi" w:hAnsiTheme="minorBidi" w:cstheme="minorBidi"/>
          <w:sz w:val="22"/>
          <w:szCs w:val="22"/>
        </w:rPr>
        <w:t xml:space="preserve"> ‘Health anxiety: detection and treatment’, </w:t>
      </w:r>
      <w:r w:rsidRPr="004B1C26">
        <w:rPr>
          <w:rStyle w:val="Emphasis"/>
          <w:rFonts w:asciiTheme="minorBidi" w:eastAsiaTheme="majorEastAsia" w:hAnsiTheme="minorBidi" w:cstheme="minorBidi"/>
          <w:sz w:val="22"/>
          <w:szCs w:val="22"/>
        </w:rPr>
        <w:t>BMJ</w:t>
      </w:r>
      <w:r w:rsidRPr="004B1C26">
        <w:rPr>
          <w:rFonts w:asciiTheme="minorBidi" w:hAnsiTheme="minorBidi" w:cstheme="minorBidi"/>
          <w:sz w:val="22"/>
          <w:szCs w:val="22"/>
        </w:rPr>
        <w:t xml:space="preserve">, 343, d6044. Available at: </w:t>
      </w:r>
      <w:hyperlink r:id="rId11" w:tgtFrame="_new" w:history="1">
        <w:r w:rsidRPr="004B1C26">
          <w:rPr>
            <w:rStyle w:val="Hyperlink"/>
            <w:rFonts w:asciiTheme="minorBidi" w:eastAsiaTheme="majorEastAsia" w:hAnsiTheme="minorBidi" w:cstheme="minorBidi"/>
            <w:sz w:val="22"/>
            <w:szCs w:val="22"/>
          </w:rPr>
          <w:t>https://www.bmj.com/content/343/bmj.d6044</w:t>
        </w:r>
      </w:hyperlink>
      <w:r w:rsidRPr="004B1C26">
        <w:rPr>
          <w:rFonts w:asciiTheme="minorBidi" w:hAnsiTheme="minorBidi" w:cstheme="minorBidi"/>
          <w:sz w:val="22"/>
          <w:szCs w:val="22"/>
        </w:rPr>
        <w:t xml:space="preserve"> (Accessed: 05 Mar 2026).</w:t>
      </w:r>
    </w:p>
    <w:p w14:paraId="2F006A31"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Tyrer, P. et al. (2014)</w:t>
      </w:r>
      <w:r w:rsidRPr="004B1C26">
        <w:rPr>
          <w:rFonts w:asciiTheme="minorBidi" w:hAnsiTheme="minorBidi" w:cstheme="minorBidi"/>
          <w:sz w:val="22"/>
          <w:szCs w:val="22"/>
        </w:rPr>
        <w:t xml:space="preserve"> ‘CBT for health anxiety’, </w:t>
      </w:r>
      <w:r w:rsidRPr="004B1C26">
        <w:rPr>
          <w:rStyle w:val="Emphasis"/>
          <w:rFonts w:asciiTheme="minorBidi" w:eastAsiaTheme="majorEastAsia" w:hAnsiTheme="minorBidi" w:cstheme="minorBidi"/>
          <w:sz w:val="22"/>
          <w:szCs w:val="22"/>
        </w:rPr>
        <w:t>The Lancet</w:t>
      </w:r>
      <w:r w:rsidRPr="004B1C26">
        <w:rPr>
          <w:rFonts w:asciiTheme="minorBidi" w:hAnsiTheme="minorBidi" w:cstheme="minorBidi"/>
          <w:sz w:val="22"/>
          <w:szCs w:val="22"/>
        </w:rPr>
        <w:t>, 383, pp. 219-225.</w:t>
      </w:r>
    </w:p>
    <w:p w14:paraId="3DF69A51" w14:textId="2DADF5A9"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World Health Organization (2022)</w:t>
      </w:r>
      <w:r w:rsidRPr="004B1C26">
        <w:rPr>
          <w:rFonts w:asciiTheme="minorBidi" w:hAnsiTheme="minorBidi" w:cstheme="minorBidi"/>
          <w:sz w:val="22"/>
          <w:szCs w:val="22"/>
        </w:rPr>
        <w:t xml:space="preserve"> </w:t>
      </w:r>
      <w:r w:rsidRPr="004B1C26">
        <w:rPr>
          <w:rStyle w:val="Emphasis"/>
          <w:rFonts w:asciiTheme="minorBidi" w:eastAsiaTheme="majorEastAsia" w:hAnsiTheme="minorBidi" w:cstheme="minorBidi"/>
          <w:sz w:val="22"/>
          <w:szCs w:val="22"/>
        </w:rPr>
        <w:t xml:space="preserve">ICD-11: Mental, </w:t>
      </w:r>
      <w:r w:rsidR="00E51F27" w:rsidRPr="004B1C26">
        <w:rPr>
          <w:rStyle w:val="Emphasis"/>
          <w:rFonts w:asciiTheme="minorBidi" w:eastAsiaTheme="majorEastAsia" w:hAnsiTheme="minorBidi" w:cstheme="minorBidi"/>
          <w:sz w:val="22"/>
          <w:szCs w:val="22"/>
        </w:rPr>
        <w:t>behavioural,</w:t>
      </w:r>
      <w:r w:rsidRPr="004B1C26">
        <w:rPr>
          <w:rStyle w:val="Emphasis"/>
          <w:rFonts w:asciiTheme="minorBidi" w:eastAsiaTheme="majorEastAsia" w:hAnsiTheme="minorBidi" w:cstheme="minorBidi"/>
          <w:sz w:val="22"/>
          <w:szCs w:val="22"/>
        </w:rPr>
        <w:t xml:space="preserve"> or neurodevelopmental disorders</w:t>
      </w:r>
      <w:r w:rsidRPr="004B1C26">
        <w:rPr>
          <w:rFonts w:asciiTheme="minorBidi" w:hAnsiTheme="minorBidi" w:cstheme="minorBidi"/>
          <w:sz w:val="22"/>
          <w:szCs w:val="22"/>
        </w:rPr>
        <w:t xml:space="preserve">. Available at: </w:t>
      </w:r>
      <w:hyperlink r:id="rId12" w:tgtFrame="_new" w:history="1">
        <w:r w:rsidRPr="004B1C26">
          <w:rPr>
            <w:rStyle w:val="Hyperlink"/>
            <w:rFonts w:asciiTheme="minorBidi" w:eastAsiaTheme="majorEastAsia" w:hAnsiTheme="minorBidi" w:cstheme="minorBidi"/>
            <w:sz w:val="22"/>
            <w:szCs w:val="22"/>
          </w:rPr>
          <w:t>https://icd.who.int</w:t>
        </w:r>
      </w:hyperlink>
      <w:r w:rsidRPr="004B1C26">
        <w:rPr>
          <w:rFonts w:asciiTheme="minorBidi" w:hAnsiTheme="minorBidi" w:cstheme="minorBidi"/>
          <w:sz w:val="22"/>
          <w:szCs w:val="22"/>
        </w:rPr>
        <w:t xml:space="preserve"> (Accessed: 05 Mar 2026).</w:t>
      </w:r>
    </w:p>
    <w:p w14:paraId="388AD7F6"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World Health Organization (2021)</w:t>
      </w:r>
      <w:r w:rsidRPr="004B1C26">
        <w:rPr>
          <w:rFonts w:asciiTheme="minorBidi" w:hAnsiTheme="minorBidi" w:cstheme="minorBidi"/>
          <w:sz w:val="22"/>
          <w:szCs w:val="22"/>
        </w:rPr>
        <w:t xml:space="preserve"> </w:t>
      </w:r>
      <w:r w:rsidRPr="004B1C26">
        <w:rPr>
          <w:rStyle w:val="Emphasis"/>
          <w:rFonts w:asciiTheme="minorBidi" w:eastAsiaTheme="majorEastAsia" w:hAnsiTheme="minorBidi" w:cstheme="minorBidi"/>
          <w:sz w:val="22"/>
          <w:szCs w:val="22"/>
        </w:rPr>
        <w:t>Mental Health Report</w:t>
      </w:r>
      <w:r w:rsidRPr="004B1C26">
        <w:rPr>
          <w:rFonts w:asciiTheme="minorBidi" w:hAnsiTheme="minorBidi" w:cstheme="minorBidi"/>
          <w:sz w:val="22"/>
          <w:szCs w:val="22"/>
        </w:rPr>
        <w:t xml:space="preserve">. Available at: </w:t>
      </w:r>
      <w:hyperlink r:id="rId13" w:tgtFrame="_new" w:history="1">
        <w:r w:rsidRPr="004B1C26">
          <w:rPr>
            <w:rStyle w:val="Hyperlink"/>
            <w:rFonts w:asciiTheme="minorBidi" w:eastAsiaTheme="majorEastAsia" w:hAnsiTheme="minorBidi" w:cstheme="minorBidi"/>
            <w:sz w:val="22"/>
            <w:szCs w:val="22"/>
          </w:rPr>
          <w:t>https://www.who.int/publications</w:t>
        </w:r>
      </w:hyperlink>
      <w:r w:rsidRPr="004B1C26">
        <w:rPr>
          <w:rFonts w:asciiTheme="minorBidi" w:hAnsiTheme="minorBidi" w:cstheme="minorBidi"/>
          <w:sz w:val="22"/>
          <w:szCs w:val="22"/>
        </w:rPr>
        <w:t xml:space="preserve"> (Accessed: 05 Mar 2026).</w:t>
      </w:r>
    </w:p>
    <w:p w14:paraId="418BDD98" w14:textId="77777777" w:rsidR="00C32BBC" w:rsidRPr="004B1C26" w:rsidRDefault="00C32BBC" w:rsidP="004B1C26">
      <w:pPr>
        <w:pStyle w:val="NormalWeb"/>
        <w:spacing w:line="360" w:lineRule="auto"/>
        <w:rPr>
          <w:rFonts w:asciiTheme="minorBidi" w:hAnsiTheme="minorBidi" w:cstheme="minorBidi"/>
          <w:sz w:val="22"/>
          <w:szCs w:val="22"/>
        </w:rPr>
      </w:pPr>
      <w:r w:rsidRPr="004B1C26">
        <w:rPr>
          <w:rStyle w:val="Strong"/>
          <w:rFonts w:asciiTheme="minorBidi" w:eastAsiaTheme="majorEastAsia" w:hAnsiTheme="minorBidi" w:cstheme="minorBidi"/>
          <w:b w:val="0"/>
          <w:bCs w:val="0"/>
          <w:sz w:val="22"/>
          <w:szCs w:val="22"/>
        </w:rPr>
        <w:t>Royal College of Psychiatrists (2023)</w:t>
      </w:r>
      <w:r w:rsidRPr="004B1C26">
        <w:rPr>
          <w:rFonts w:asciiTheme="minorBidi" w:hAnsiTheme="minorBidi" w:cstheme="minorBidi"/>
          <w:sz w:val="22"/>
          <w:szCs w:val="22"/>
        </w:rPr>
        <w:t xml:space="preserve"> </w:t>
      </w:r>
      <w:r w:rsidRPr="004B1C26">
        <w:rPr>
          <w:rStyle w:val="Emphasis"/>
          <w:rFonts w:asciiTheme="minorBidi" w:eastAsiaTheme="majorEastAsia" w:hAnsiTheme="minorBidi" w:cstheme="minorBidi"/>
          <w:sz w:val="22"/>
          <w:szCs w:val="22"/>
        </w:rPr>
        <w:t>Health Anxiety Guidance for Clinicians</w:t>
      </w:r>
      <w:r w:rsidRPr="004B1C26">
        <w:rPr>
          <w:rFonts w:asciiTheme="minorBidi" w:hAnsiTheme="minorBidi" w:cstheme="minorBidi"/>
          <w:sz w:val="22"/>
          <w:szCs w:val="22"/>
        </w:rPr>
        <w:t xml:space="preserve">. Available at: </w:t>
      </w:r>
      <w:hyperlink r:id="rId14" w:tgtFrame="_new" w:history="1">
        <w:r w:rsidRPr="004B1C26">
          <w:rPr>
            <w:rStyle w:val="Hyperlink"/>
            <w:rFonts w:asciiTheme="minorBidi" w:eastAsiaTheme="majorEastAsia" w:hAnsiTheme="minorBidi" w:cstheme="minorBidi"/>
            <w:sz w:val="22"/>
            <w:szCs w:val="22"/>
          </w:rPr>
          <w:t>https://www.rcpsych.ac.uk</w:t>
        </w:r>
      </w:hyperlink>
      <w:r w:rsidRPr="004B1C26">
        <w:rPr>
          <w:rFonts w:asciiTheme="minorBidi" w:hAnsiTheme="minorBidi" w:cstheme="minorBidi"/>
          <w:sz w:val="22"/>
          <w:szCs w:val="22"/>
        </w:rPr>
        <w:t xml:space="preserve"> (Accessed: 05 Mar 2026).</w:t>
      </w:r>
    </w:p>
    <w:p w14:paraId="4D99379E" w14:textId="77777777" w:rsidR="002551EB" w:rsidRPr="00E94AEA" w:rsidRDefault="002551EB" w:rsidP="00E94AEA">
      <w:pPr>
        <w:spacing w:after="0" w:line="360" w:lineRule="auto"/>
        <w:rPr>
          <w:rFonts w:asciiTheme="minorBidi" w:eastAsia="Times New Roman" w:hAnsiTheme="minorBidi"/>
          <w:kern w:val="0"/>
          <w:sz w:val="22"/>
          <w:szCs w:val="22"/>
          <w:lang w:eastAsia="en-GB"/>
          <w14:ligatures w14:val="none"/>
        </w:rPr>
      </w:pPr>
    </w:p>
    <w:p w14:paraId="46642CDC" w14:textId="77777777" w:rsidR="002551EB" w:rsidRDefault="002551EB"/>
    <w:sectPr w:rsidR="002551EB" w:rsidSect="00522D85">
      <w:headerReference w:type="default" r:id="rId15"/>
      <w:footerReference w:type="default" r:id="rId16"/>
      <w:headerReference w:type="first" r:id="rId17"/>
      <w:footerReference w:type="first" r:id="rId1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B5642" w14:textId="77777777" w:rsidR="008B1101" w:rsidRDefault="008B1101" w:rsidP="002C4F3A">
      <w:pPr>
        <w:spacing w:after="0" w:line="240" w:lineRule="auto"/>
      </w:pPr>
      <w:r>
        <w:separator/>
      </w:r>
    </w:p>
  </w:endnote>
  <w:endnote w:type="continuationSeparator" w:id="0">
    <w:p w14:paraId="40B505DE" w14:textId="77777777" w:rsidR="008B1101" w:rsidRDefault="008B1101" w:rsidP="002C4F3A">
      <w:pPr>
        <w:spacing w:after="0" w:line="240" w:lineRule="auto"/>
      </w:pPr>
      <w:r>
        <w:continuationSeparator/>
      </w:r>
    </w:p>
  </w:endnote>
  <w:endnote w:type="continuationNotice" w:id="1">
    <w:p w14:paraId="011DC079" w14:textId="77777777" w:rsidR="008B1101" w:rsidRDefault="008B11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429B68" w14:paraId="718D8FB1" w14:textId="77777777" w:rsidTr="71429B68">
      <w:trPr>
        <w:trHeight w:val="300"/>
      </w:trPr>
      <w:tc>
        <w:tcPr>
          <w:tcW w:w="3005" w:type="dxa"/>
        </w:tcPr>
        <w:p w14:paraId="37897935" w14:textId="4A57C415" w:rsidR="71429B68" w:rsidRDefault="71429B68" w:rsidP="71429B68">
          <w:pPr>
            <w:pStyle w:val="Header"/>
            <w:ind w:left="-115"/>
          </w:pPr>
        </w:p>
      </w:tc>
      <w:tc>
        <w:tcPr>
          <w:tcW w:w="3005" w:type="dxa"/>
        </w:tcPr>
        <w:p w14:paraId="790D38FA" w14:textId="1B7A2B43" w:rsidR="71429B68" w:rsidRDefault="71429B68" w:rsidP="71429B68">
          <w:pPr>
            <w:pStyle w:val="Header"/>
            <w:jc w:val="center"/>
          </w:pPr>
        </w:p>
      </w:tc>
      <w:tc>
        <w:tcPr>
          <w:tcW w:w="3005" w:type="dxa"/>
        </w:tcPr>
        <w:p w14:paraId="65C0BC65" w14:textId="099FCEC9" w:rsidR="71429B68" w:rsidRDefault="71429B68" w:rsidP="71429B68">
          <w:pPr>
            <w:pStyle w:val="Header"/>
            <w:ind w:right="-115"/>
            <w:jc w:val="right"/>
          </w:pPr>
        </w:p>
      </w:tc>
    </w:tr>
  </w:tbl>
  <w:p w14:paraId="285C81BA" w14:textId="5163DCEB" w:rsidR="71429B68" w:rsidRDefault="71429B68" w:rsidP="71429B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429B68" w14:paraId="4247DB4F" w14:textId="77777777" w:rsidTr="71429B68">
      <w:trPr>
        <w:trHeight w:val="300"/>
      </w:trPr>
      <w:tc>
        <w:tcPr>
          <w:tcW w:w="3005" w:type="dxa"/>
        </w:tcPr>
        <w:p w14:paraId="42FBE204" w14:textId="0057EF3E" w:rsidR="71429B68" w:rsidRDefault="71429B68" w:rsidP="71429B68">
          <w:pPr>
            <w:pStyle w:val="Header"/>
            <w:ind w:left="-115"/>
          </w:pPr>
        </w:p>
      </w:tc>
      <w:tc>
        <w:tcPr>
          <w:tcW w:w="3005" w:type="dxa"/>
        </w:tcPr>
        <w:p w14:paraId="16957D79" w14:textId="43DD96F8" w:rsidR="71429B68" w:rsidRDefault="71429B68" w:rsidP="71429B68">
          <w:pPr>
            <w:pStyle w:val="Header"/>
            <w:jc w:val="center"/>
          </w:pPr>
        </w:p>
      </w:tc>
      <w:tc>
        <w:tcPr>
          <w:tcW w:w="3005" w:type="dxa"/>
        </w:tcPr>
        <w:p w14:paraId="5F7A2433" w14:textId="0D468A0E" w:rsidR="71429B68" w:rsidRDefault="71429B68" w:rsidP="71429B68">
          <w:pPr>
            <w:pStyle w:val="Header"/>
            <w:ind w:right="-115"/>
            <w:jc w:val="right"/>
          </w:pPr>
        </w:p>
      </w:tc>
    </w:tr>
  </w:tbl>
  <w:p w14:paraId="60F4704A" w14:textId="0C70550E" w:rsidR="71429B68" w:rsidRDefault="71429B68" w:rsidP="71429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D7C21" w14:textId="77777777" w:rsidR="008B1101" w:rsidRDefault="008B1101" w:rsidP="002C4F3A">
      <w:pPr>
        <w:spacing w:after="0" w:line="240" w:lineRule="auto"/>
      </w:pPr>
      <w:r>
        <w:separator/>
      </w:r>
    </w:p>
  </w:footnote>
  <w:footnote w:type="continuationSeparator" w:id="0">
    <w:p w14:paraId="49CFAB4F" w14:textId="77777777" w:rsidR="008B1101" w:rsidRDefault="008B1101" w:rsidP="002C4F3A">
      <w:pPr>
        <w:spacing w:after="0" w:line="240" w:lineRule="auto"/>
      </w:pPr>
      <w:r>
        <w:continuationSeparator/>
      </w:r>
    </w:p>
  </w:footnote>
  <w:footnote w:type="continuationNotice" w:id="1">
    <w:p w14:paraId="7A00F638" w14:textId="77777777" w:rsidR="008B1101" w:rsidRDefault="008B110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429B68" w14:paraId="5BB7606B" w14:textId="77777777" w:rsidTr="71429B68">
      <w:trPr>
        <w:trHeight w:val="300"/>
      </w:trPr>
      <w:tc>
        <w:tcPr>
          <w:tcW w:w="3005" w:type="dxa"/>
        </w:tcPr>
        <w:p w14:paraId="07906B9A" w14:textId="663190AB" w:rsidR="71429B68" w:rsidRDefault="71429B68" w:rsidP="71429B68">
          <w:pPr>
            <w:pStyle w:val="Header"/>
            <w:ind w:left="-115"/>
          </w:pPr>
        </w:p>
      </w:tc>
      <w:tc>
        <w:tcPr>
          <w:tcW w:w="3005" w:type="dxa"/>
        </w:tcPr>
        <w:p w14:paraId="7264DD5A" w14:textId="238F8ECA" w:rsidR="71429B68" w:rsidRDefault="71429B68" w:rsidP="71429B68">
          <w:pPr>
            <w:pStyle w:val="Header"/>
            <w:jc w:val="center"/>
          </w:pPr>
        </w:p>
      </w:tc>
      <w:tc>
        <w:tcPr>
          <w:tcW w:w="3005" w:type="dxa"/>
        </w:tcPr>
        <w:p w14:paraId="296AE018" w14:textId="42CF6D03" w:rsidR="71429B68" w:rsidRDefault="71429B68" w:rsidP="71429B68">
          <w:pPr>
            <w:pStyle w:val="Header"/>
            <w:ind w:right="-115"/>
            <w:jc w:val="right"/>
          </w:pPr>
        </w:p>
      </w:tc>
    </w:tr>
  </w:tbl>
  <w:p w14:paraId="32415EC3" w14:textId="61421DBE" w:rsidR="71429B68" w:rsidRDefault="71429B68" w:rsidP="71429B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429B68" w14:paraId="759A51B2" w14:textId="77777777" w:rsidTr="71429B68">
      <w:trPr>
        <w:trHeight w:val="300"/>
      </w:trPr>
      <w:tc>
        <w:tcPr>
          <w:tcW w:w="3005" w:type="dxa"/>
        </w:tcPr>
        <w:p w14:paraId="1906EB17" w14:textId="0515D5C5" w:rsidR="71429B68" w:rsidRDefault="71429B68" w:rsidP="71429B68">
          <w:pPr>
            <w:pStyle w:val="Header"/>
            <w:ind w:left="-115"/>
          </w:pPr>
        </w:p>
      </w:tc>
      <w:tc>
        <w:tcPr>
          <w:tcW w:w="3005" w:type="dxa"/>
        </w:tcPr>
        <w:p w14:paraId="5C291438" w14:textId="21BB1A8A" w:rsidR="71429B68" w:rsidRDefault="71429B68" w:rsidP="71429B68">
          <w:pPr>
            <w:pStyle w:val="Header"/>
            <w:jc w:val="center"/>
          </w:pPr>
        </w:p>
      </w:tc>
      <w:tc>
        <w:tcPr>
          <w:tcW w:w="3005" w:type="dxa"/>
        </w:tcPr>
        <w:p w14:paraId="09CCF87C" w14:textId="55F8D4B3" w:rsidR="71429B68" w:rsidRDefault="71429B68" w:rsidP="71429B68">
          <w:pPr>
            <w:pStyle w:val="Header"/>
            <w:ind w:right="-115"/>
            <w:jc w:val="right"/>
          </w:pPr>
        </w:p>
      </w:tc>
    </w:tr>
  </w:tbl>
  <w:p w14:paraId="16D85FD9" w14:textId="1D897322" w:rsidR="71429B68" w:rsidRDefault="71429B68" w:rsidP="71429B68">
    <w:pPr>
      <w:pStyle w:val="Header"/>
    </w:pPr>
  </w:p>
</w:hdr>
</file>

<file path=word/intelligence2.xml><?xml version="1.0" encoding="utf-8"?>
<int2:intelligence xmlns:int2="http://schemas.microsoft.com/office/intelligence/2020/intelligence" xmlns:oel="http://schemas.microsoft.com/office/2019/extlst">
  <int2:observations>
    <int2:textHash int2:hashCode="aTmrRxUTezkXQw" int2:id="Ngs01QCo">
      <int2:state int2:value="Rejected" int2:type="spell"/>
    </int2:textHash>
    <int2:textHash int2:hashCode="LYFR/G+B0d1Z8U" int2:id="Sqoj9pvI">
      <int2:state int2:value="Rejected" int2:type="spell"/>
    </int2:textHash>
    <int2:textHash int2:hashCode="381T4BhViaD0f1" int2:id="t7bEnkXU">
      <int2:state int2:value="Rejected" int2:type="spell"/>
    </int2:textHash>
    <int2:entireDocument int2:id="Au7Z4RGC">
      <int2:extLst>
        <oel:ext uri="E302BA01-7950-474C-9AD3-286E660C40A8">
          <int2:similaritySummary int2:version="1" int2:runId="1774459992328" int2:tilesCheckedInThisRun="111" int2:totalNumOfTiles="111" int2:similarityAnnotationCount="0" int2:numWords="2390" int2:numFlaggedWords="0"/>
        </oel:ext>
      </int2:extLst>
    </int2:entireDocument>
  </int2:observations>
  <int2:intelligenceSettings/>
  <int2:onDemandWorkflows>
    <int2:onDemandWorkflow int2:type="SimilarityCheck" int2:paragraphVersions="213C2EE8-3FD89608 183BE0A2-2A0664E9 13D40C63-72D3809C 48EBE60A-12F73C1D 1CE4F0B1-0FAB36B2 15F26EBA-075B5874 108E806F-28EAD15C 45E1D1E7-189A5E9E 033E71E0-78DBB46A 0DA34185-644F6300 4B154610-16AA73D2 0A2DADE1-64032F59 157450F4-4C047E44 2A526DAB-1E906330 37460879-41B43F6A 14BFCB26-6F759EC4 1CE12555-399A566B 0461EE06-560F8BE2 3BF4FBE0-729C5AAF 406F93D8-79FBB5E8 1387ACA6-474BBC3D 56F7145A-40220AE9 5FD49570-30B79F6C 7975D43B-1711AD1D 6108A8F9-385BE6E0 0E27B68E-7E0BAEC1 71261A11-77777777 10B280D0-77777777 480D8A18-48F59719 4A779C33-082790F9 69B0366D-77777777 2824F500-77777777 2CD7CF14-124BEBC3 6E2FF014-46F6136F 401A29D9-7F2899C3 46C449F7-2581E108 7356644A-77777777 545269BC-0B796D42 78AF3F10-77777777 76134CFC-679832C1 5D7D4945-77777777 2A70C14C-77777777 42B4434C-77777777 1886876A-77777777 7C05A7F3-77777777 00090932-77777777 75B276A3-77777777 5A7E4340-4C491DC3 38E6D547-77777777 0A90D545-77777777 71526EB0-10E4C8B5 026D3FBE-77777777 5B1D60F6-1E2E35C1 50A886EF-364A7996 2D6C7357-77777777 3432FB6B-246B645D 02EC8A46-77777777 232674AE-56EDFC15 15570B0F-77777777 474FFBBE-77777777 627971D3-723E6164 6810A8A1-77777777 622227CA-0FD115C7 535D6186-1FEB28B8 40733629-28DD74F9 1EF18CA0-77777777 33ACA5C6-604EE38B 016079FF-77777777 6D34CFAD-77777777 1E1007DA-77777777 6809F9B4-77777777 61BD617B-77777777 39518586-77777777 077C375B-77777777 43645116-77777777 7A878737-77777777 12F6FA23-5A40BD33 27E6D234-75E10EBB 5D1AE54A-33305673 6BDB1DE6-7AC4095E 5016EE79-177594F5 1AC783C8-77777777 731751BD-4DE59F29 60A7C7CE-77777777 1FA90553-2036904E 2C3C165A-77777777 1832488C-05D86476 5C15F222-2908EDBF 50F6E2EF-77777777 2A6CC9D6-77777777 2A87D682-12EC50A8 125F424E-3D2A58AF 6B7F5A70-77777777 0FBD6C0F-595C3F26 70E7282E-53BCA843 6EFD5768-77777777 080F23CD-77777777 47DD1C0E-77777777 088A21DA-77777777 364156BA-05045CC9 03A8EFB2-77777777 03003624-42EF7D41 3A29B894-08EE04B4 6D9AD3C4-24D1746F 67BAFA6A-78A50864 4E2CAEC1-77777777 0564CC15-77777777 26A28B43-77777777 62471B38-77777777 698895CD-77777777 0B25AA39-6C334180 3F000DE5-77777777 0021E515-77777777 2F5E16C5-77777777 479C49A0-77777777 51C160FB-77777777 02B25F92-77777777 1009041D-77777777 44EF761F-77777777 31936CD6-77777777 7FC324F5-77777777 7C6DB553-77777777 17D227C4-67F3091B 744C525B-77777777 2F006A31-77777777 3DF69A51-2DADF5A9 388AD7F6-77777777 418BDD98-77777777 4D99379E-77777777 46642CDC-77777777 07906B9A-663190AB 7264DD5A-238F8ECA 296AE018-42CF6D03 32415EC3-61421DBE 1906EB17-0515D5C5 5C291438-21BB1A8A 09CCF87C-55F8D4B3 16D85FD9-1D897322 37897935-4A57C415 790D38FA-1B7A2B43 65C0BC65-099FCEC9 285C81BA-5163DCEB 42FBE204-0057EF3E 16957D79-43DD96F8 5F7A2433-0D468A0E 60F4704A-0C70550E"/>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5038F"/>
    <w:multiLevelType w:val="multilevel"/>
    <w:tmpl w:val="4C90A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E40E2"/>
    <w:multiLevelType w:val="multilevel"/>
    <w:tmpl w:val="CDF6F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E61BA"/>
    <w:multiLevelType w:val="multilevel"/>
    <w:tmpl w:val="EAD6B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C948DE"/>
    <w:multiLevelType w:val="multilevel"/>
    <w:tmpl w:val="8574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A87CD0"/>
    <w:multiLevelType w:val="multilevel"/>
    <w:tmpl w:val="FE4AE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402FBE"/>
    <w:multiLevelType w:val="multilevel"/>
    <w:tmpl w:val="85860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703837"/>
    <w:multiLevelType w:val="multilevel"/>
    <w:tmpl w:val="CE029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483A1F"/>
    <w:multiLevelType w:val="multilevel"/>
    <w:tmpl w:val="EEA49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2271023">
    <w:abstractNumId w:val="4"/>
  </w:num>
  <w:num w:numId="2" w16cid:durableId="489373178">
    <w:abstractNumId w:val="1"/>
  </w:num>
  <w:num w:numId="3" w16cid:durableId="538782892">
    <w:abstractNumId w:val="6"/>
  </w:num>
  <w:num w:numId="4" w16cid:durableId="555554986">
    <w:abstractNumId w:val="7"/>
  </w:num>
  <w:num w:numId="5" w16cid:durableId="567304524">
    <w:abstractNumId w:val="0"/>
  </w:num>
  <w:num w:numId="6" w16cid:durableId="1072384896">
    <w:abstractNumId w:val="5"/>
  </w:num>
  <w:num w:numId="7" w16cid:durableId="1479883759">
    <w:abstractNumId w:val="3"/>
  </w:num>
  <w:num w:numId="8" w16cid:durableId="5736666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1EB"/>
    <w:rsid w:val="00006625"/>
    <w:rsid w:val="00015950"/>
    <w:rsid w:val="00015B70"/>
    <w:rsid w:val="00060A7A"/>
    <w:rsid w:val="00091FED"/>
    <w:rsid w:val="000A224A"/>
    <w:rsid w:val="000F2000"/>
    <w:rsid w:val="00117CEC"/>
    <w:rsid w:val="00182B18"/>
    <w:rsid w:val="001D28FD"/>
    <w:rsid w:val="001F6AE5"/>
    <w:rsid w:val="00234B49"/>
    <w:rsid w:val="002551EB"/>
    <w:rsid w:val="00290AC1"/>
    <w:rsid w:val="0029102E"/>
    <w:rsid w:val="00293EB2"/>
    <w:rsid w:val="00297B1B"/>
    <w:rsid w:val="002A55CD"/>
    <w:rsid w:val="002B28C3"/>
    <w:rsid w:val="002C4F3A"/>
    <w:rsid w:val="002D0FA9"/>
    <w:rsid w:val="00306033"/>
    <w:rsid w:val="00311746"/>
    <w:rsid w:val="00321E2C"/>
    <w:rsid w:val="00365D73"/>
    <w:rsid w:val="00366557"/>
    <w:rsid w:val="003760D3"/>
    <w:rsid w:val="003A3621"/>
    <w:rsid w:val="003A60CB"/>
    <w:rsid w:val="003F23D3"/>
    <w:rsid w:val="004438D0"/>
    <w:rsid w:val="00444255"/>
    <w:rsid w:val="0048311F"/>
    <w:rsid w:val="004B1C26"/>
    <w:rsid w:val="004B2E76"/>
    <w:rsid w:val="004E1C97"/>
    <w:rsid w:val="004F2B83"/>
    <w:rsid w:val="005022AF"/>
    <w:rsid w:val="00522D85"/>
    <w:rsid w:val="005271D8"/>
    <w:rsid w:val="005561F2"/>
    <w:rsid w:val="005759A9"/>
    <w:rsid w:val="005B2457"/>
    <w:rsid w:val="005C06D5"/>
    <w:rsid w:val="005E0E3D"/>
    <w:rsid w:val="005E625F"/>
    <w:rsid w:val="00635595"/>
    <w:rsid w:val="0066588B"/>
    <w:rsid w:val="0067747A"/>
    <w:rsid w:val="00691CF3"/>
    <w:rsid w:val="006B1AEA"/>
    <w:rsid w:val="006B68AD"/>
    <w:rsid w:val="006C3F9E"/>
    <w:rsid w:val="006E4010"/>
    <w:rsid w:val="006F24C8"/>
    <w:rsid w:val="006F78FE"/>
    <w:rsid w:val="00704F4F"/>
    <w:rsid w:val="00720961"/>
    <w:rsid w:val="007C20C2"/>
    <w:rsid w:val="007C20DB"/>
    <w:rsid w:val="007D69A0"/>
    <w:rsid w:val="007E467F"/>
    <w:rsid w:val="007F0F26"/>
    <w:rsid w:val="007F5236"/>
    <w:rsid w:val="008202EF"/>
    <w:rsid w:val="008458F2"/>
    <w:rsid w:val="008777CD"/>
    <w:rsid w:val="00882558"/>
    <w:rsid w:val="00897201"/>
    <w:rsid w:val="008A7CF8"/>
    <w:rsid w:val="008B1101"/>
    <w:rsid w:val="008B6555"/>
    <w:rsid w:val="008D5A64"/>
    <w:rsid w:val="00916D22"/>
    <w:rsid w:val="009A34DB"/>
    <w:rsid w:val="009C485E"/>
    <w:rsid w:val="009C5EAF"/>
    <w:rsid w:val="009F5FC2"/>
    <w:rsid w:val="00A027DB"/>
    <w:rsid w:val="00A048D9"/>
    <w:rsid w:val="00A3596B"/>
    <w:rsid w:val="00A7160F"/>
    <w:rsid w:val="00AB0B97"/>
    <w:rsid w:val="00AD1F32"/>
    <w:rsid w:val="00AE0383"/>
    <w:rsid w:val="00AF7DCD"/>
    <w:rsid w:val="00B15683"/>
    <w:rsid w:val="00B218F5"/>
    <w:rsid w:val="00B24166"/>
    <w:rsid w:val="00BA7598"/>
    <w:rsid w:val="00BB768D"/>
    <w:rsid w:val="00C05999"/>
    <w:rsid w:val="00C17272"/>
    <w:rsid w:val="00C32BBC"/>
    <w:rsid w:val="00C45B74"/>
    <w:rsid w:val="00CA0FAE"/>
    <w:rsid w:val="00D04C65"/>
    <w:rsid w:val="00D67CF0"/>
    <w:rsid w:val="00D70857"/>
    <w:rsid w:val="00DE1A54"/>
    <w:rsid w:val="00E2137A"/>
    <w:rsid w:val="00E2214E"/>
    <w:rsid w:val="00E51F27"/>
    <w:rsid w:val="00E55F49"/>
    <w:rsid w:val="00E94AEA"/>
    <w:rsid w:val="00EA0335"/>
    <w:rsid w:val="00EB5C32"/>
    <w:rsid w:val="00EC3B38"/>
    <w:rsid w:val="00ED3017"/>
    <w:rsid w:val="00ED6584"/>
    <w:rsid w:val="00F05A8D"/>
    <w:rsid w:val="00F126AB"/>
    <w:rsid w:val="00F14037"/>
    <w:rsid w:val="00F212E2"/>
    <w:rsid w:val="00F21CA1"/>
    <w:rsid w:val="00F62D7D"/>
    <w:rsid w:val="00F710DD"/>
    <w:rsid w:val="00FA0857"/>
    <w:rsid w:val="00FA20DC"/>
    <w:rsid w:val="00FA2B9D"/>
    <w:rsid w:val="00FA47CD"/>
    <w:rsid w:val="00FC2586"/>
    <w:rsid w:val="00FE788B"/>
    <w:rsid w:val="02CE62E8"/>
    <w:rsid w:val="17E73AF8"/>
    <w:rsid w:val="20492F9F"/>
    <w:rsid w:val="256F70F1"/>
    <w:rsid w:val="2A9BE13D"/>
    <w:rsid w:val="37A91895"/>
    <w:rsid w:val="3E7D5417"/>
    <w:rsid w:val="45F67B95"/>
    <w:rsid w:val="4A82C622"/>
    <w:rsid w:val="4E4ED528"/>
    <w:rsid w:val="59C7F24C"/>
    <w:rsid w:val="63124DA6"/>
    <w:rsid w:val="63E817BC"/>
    <w:rsid w:val="71429B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66A5D"/>
  <w15:chartTrackingRefBased/>
  <w15:docId w15:val="{BEDDDC60-6734-474C-A33C-29471C1F5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1EB"/>
  </w:style>
  <w:style w:type="paragraph" w:styleId="Heading1">
    <w:name w:val="heading 1"/>
    <w:basedOn w:val="Normal"/>
    <w:next w:val="Normal"/>
    <w:link w:val="Heading1Char"/>
    <w:uiPriority w:val="9"/>
    <w:qFormat/>
    <w:rsid w:val="002551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51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551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51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51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51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51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51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51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1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51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551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51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51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51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51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51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51EB"/>
    <w:rPr>
      <w:rFonts w:eastAsiaTheme="majorEastAsia" w:cstheme="majorBidi"/>
      <w:color w:val="272727" w:themeColor="text1" w:themeTint="D8"/>
    </w:rPr>
  </w:style>
  <w:style w:type="paragraph" w:styleId="Title">
    <w:name w:val="Title"/>
    <w:basedOn w:val="Normal"/>
    <w:next w:val="Normal"/>
    <w:link w:val="TitleChar"/>
    <w:uiPriority w:val="10"/>
    <w:qFormat/>
    <w:rsid w:val="002551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1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51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1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51EB"/>
    <w:pPr>
      <w:spacing w:before="160"/>
      <w:jc w:val="center"/>
    </w:pPr>
    <w:rPr>
      <w:i/>
      <w:iCs/>
      <w:color w:val="404040" w:themeColor="text1" w:themeTint="BF"/>
    </w:rPr>
  </w:style>
  <w:style w:type="character" w:customStyle="1" w:styleId="QuoteChar">
    <w:name w:val="Quote Char"/>
    <w:basedOn w:val="DefaultParagraphFont"/>
    <w:link w:val="Quote"/>
    <w:uiPriority w:val="29"/>
    <w:rsid w:val="002551EB"/>
    <w:rPr>
      <w:i/>
      <w:iCs/>
      <w:color w:val="404040" w:themeColor="text1" w:themeTint="BF"/>
    </w:rPr>
  </w:style>
  <w:style w:type="paragraph" w:styleId="ListParagraph">
    <w:name w:val="List Paragraph"/>
    <w:basedOn w:val="Normal"/>
    <w:uiPriority w:val="34"/>
    <w:qFormat/>
    <w:rsid w:val="002551EB"/>
    <w:pPr>
      <w:ind w:left="720"/>
      <w:contextualSpacing/>
    </w:pPr>
  </w:style>
  <w:style w:type="character" w:styleId="IntenseEmphasis">
    <w:name w:val="Intense Emphasis"/>
    <w:basedOn w:val="DefaultParagraphFont"/>
    <w:uiPriority w:val="21"/>
    <w:qFormat/>
    <w:rsid w:val="002551EB"/>
    <w:rPr>
      <w:i/>
      <w:iCs/>
      <w:color w:val="0F4761" w:themeColor="accent1" w:themeShade="BF"/>
    </w:rPr>
  </w:style>
  <w:style w:type="paragraph" w:styleId="IntenseQuote">
    <w:name w:val="Intense Quote"/>
    <w:basedOn w:val="Normal"/>
    <w:next w:val="Normal"/>
    <w:link w:val="IntenseQuoteChar"/>
    <w:uiPriority w:val="30"/>
    <w:qFormat/>
    <w:rsid w:val="002551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51EB"/>
    <w:rPr>
      <w:i/>
      <w:iCs/>
      <w:color w:val="0F4761" w:themeColor="accent1" w:themeShade="BF"/>
    </w:rPr>
  </w:style>
  <w:style w:type="character" w:styleId="IntenseReference">
    <w:name w:val="Intense Reference"/>
    <w:basedOn w:val="DefaultParagraphFont"/>
    <w:uiPriority w:val="32"/>
    <w:qFormat/>
    <w:rsid w:val="002551EB"/>
    <w:rPr>
      <w:b/>
      <w:bCs/>
      <w:smallCaps/>
      <w:color w:val="0F4761" w:themeColor="accent1" w:themeShade="BF"/>
      <w:spacing w:val="5"/>
    </w:rPr>
  </w:style>
  <w:style w:type="character" w:styleId="Hyperlink">
    <w:name w:val="Hyperlink"/>
    <w:basedOn w:val="DefaultParagraphFont"/>
    <w:uiPriority w:val="99"/>
    <w:unhideWhenUsed/>
    <w:rsid w:val="000A224A"/>
    <w:rPr>
      <w:color w:val="467886" w:themeColor="hyperlink"/>
      <w:u w:val="single"/>
    </w:rPr>
  </w:style>
  <w:style w:type="character" w:styleId="UnresolvedMention">
    <w:name w:val="Unresolved Mention"/>
    <w:basedOn w:val="DefaultParagraphFont"/>
    <w:uiPriority w:val="99"/>
    <w:semiHidden/>
    <w:unhideWhenUsed/>
    <w:rsid w:val="000A224A"/>
    <w:rPr>
      <w:color w:val="605E5C"/>
      <w:shd w:val="clear" w:color="auto" w:fill="E1DFDD"/>
    </w:rPr>
  </w:style>
  <w:style w:type="character" w:styleId="Strong">
    <w:name w:val="Strong"/>
    <w:basedOn w:val="DefaultParagraphFont"/>
    <w:uiPriority w:val="22"/>
    <w:qFormat/>
    <w:rsid w:val="00C32BBC"/>
    <w:rPr>
      <w:b/>
      <w:bCs/>
    </w:rPr>
  </w:style>
  <w:style w:type="paragraph" w:styleId="NormalWeb">
    <w:name w:val="Normal (Web)"/>
    <w:basedOn w:val="Normal"/>
    <w:uiPriority w:val="99"/>
    <w:unhideWhenUsed/>
    <w:rsid w:val="00C32B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32BBC"/>
    <w:rPr>
      <w:i/>
      <w:iCs/>
    </w:rPr>
  </w:style>
  <w:style w:type="paragraph" w:styleId="NoSpacing">
    <w:name w:val="No Spacing"/>
    <w:link w:val="NoSpacingChar"/>
    <w:uiPriority w:val="1"/>
    <w:qFormat/>
    <w:rsid w:val="0067747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7747A"/>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C1727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17272"/>
    <w:pPr>
      <w:spacing w:before="120" w:after="0"/>
    </w:pPr>
    <w:rPr>
      <w:rFonts w:cs="Times New Roman"/>
      <w:b/>
      <w:bCs/>
      <w:i/>
      <w:iCs/>
      <w:szCs w:val="28"/>
    </w:rPr>
  </w:style>
  <w:style w:type="paragraph" w:styleId="TOC2">
    <w:name w:val="toc 2"/>
    <w:basedOn w:val="Normal"/>
    <w:next w:val="Normal"/>
    <w:autoRedefine/>
    <w:uiPriority w:val="39"/>
    <w:unhideWhenUsed/>
    <w:rsid w:val="00C17272"/>
    <w:pPr>
      <w:spacing w:before="120" w:after="0"/>
      <w:ind w:left="240"/>
    </w:pPr>
    <w:rPr>
      <w:rFonts w:cs="Times New Roman"/>
      <w:b/>
      <w:bCs/>
      <w:sz w:val="22"/>
      <w:szCs w:val="26"/>
    </w:rPr>
  </w:style>
  <w:style w:type="paragraph" w:styleId="TOC3">
    <w:name w:val="toc 3"/>
    <w:basedOn w:val="Normal"/>
    <w:next w:val="Normal"/>
    <w:autoRedefine/>
    <w:uiPriority w:val="39"/>
    <w:unhideWhenUsed/>
    <w:rsid w:val="00C17272"/>
    <w:pPr>
      <w:spacing w:after="0"/>
      <w:ind w:left="480"/>
    </w:pPr>
    <w:rPr>
      <w:rFonts w:cs="Times New Roman"/>
      <w:sz w:val="20"/>
    </w:rPr>
  </w:style>
  <w:style w:type="paragraph" w:styleId="TOC4">
    <w:name w:val="toc 4"/>
    <w:basedOn w:val="Normal"/>
    <w:next w:val="Normal"/>
    <w:autoRedefine/>
    <w:uiPriority w:val="39"/>
    <w:semiHidden/>
    <w:unhideWhenUsed/>
    <w:rsid w:val="00C17272"/>
    <w:pPr>
      <w:spacing w:after="0"/>
      <w:ind w:left="720"/>
    </w:pPr>
    <w:rPr>
      <w:rFonts w:cs="Times New Roman"/>
      <w:sz w:val="20"/>
    </w:rPr>
  </w:style>
  <w:style w:type="paragraph" w:styleId="TOC5">
    <w:name w:val="toc 5"/>
    <w:basedOn w:val="Normal"/>
    <w:next w:val="Normal"/>
    <w:autoRedefine/>
    <w:uiPriority w:val="39"/>
    <w:semiHidden/>
    <w:unhideWhenUsed/>
    <w:rsid w:val="00C17272"/>
    <w:pPr>
      <w:spacing w:after="0"/>
      <w:ind w:left="960"/>
    </w:pPr>
    <w:rPr>
      <w:rFonts w:cs="Times New Roman"/>
      <w:sz w:val="20"/>
    </w:rPr>
  </w:style>
  <w:style w:type="paragraph" w:styleId="TOC6">
    <w:name w:val="toc 6"/>
    <w:basedOn w:val="Normal"/>
    <w:next w:val="Normal"/>
    <w:autoRedefine/>
    <w:uiPriority w:val="39"/>
    <w:semiHidden/>
    <w:unhideWhenUsed/>
    <w:rsid w:val="00C17272"/>
    <w:pPr>
      <w:spacing w:after="0"/>
      <w:ind w:left="1200"/>
    </w:pPr>
    <w:rPr>
      <w:rFonts w:cs="Times New Roman"/>
      <w:sz w:val="20"/>
    </w:rPr>
  </w:style>
  <w:style w:type="paragraph" w:styleId="TOC7">
    <w:name w:val="toc 7"/>
    <w:basedOn w:val="Normal"/>
    <w:next w:val="Normal"/>
    <w:autoRedefine/>
    <w:uiPriority w:val="39"/>
    <w:semiHidden/>
    <w:unhideWhenUsed/>
    <w:rsid w:val="00C17272"/>
    <w:pPr>
      <w:spacing w:after="0"/>
      <w:ind w:left="1440"/>
    </w:pPr>
    <w:rPr>
      <w:rFonts w:cs="Times New Roman"/>
      <w:sz w:val="20"/>
    </w:rPr>
  </w:style>
  <w:style w:type="paragraph" w:styleId="TOC8">
    <w:name w:val="toc 8"/>
    <w:basedOn w:val="Normal"/>
    <w:next w:val="Normal"/>
    <w:autoRedefine/>
    <w:uiPriority w:val="39"/>
    <w:semiHidden/>
    <w:unhideWhenUsed/>
    <w:rsid w:val="00C17272"/>
    <w:pPr>
      <w:spacing w:after="0"/>
      <w:ind w:left="1680"/>
    </w:pPr>
    <w:rPr>
      <w:rFonts w:cs="Times New Roman"/>
      <w:sz w:val="20"/>
    </w:rPr>
  </w:style>
  <w:style w:type="paragraph" w:styleId="TOC9">
    <w:name w:val="toc 9"/>
    <w:basedOn w:val="Normal"/>
    <w:next w:val="Normal"/>
    <w:autoRedefine/>
    <w:uiPriority w:val="39"/>
    <w:semiHidden/>
    <w:unhideWhenUsed/>
    <w:rsid w:val="00C17272"/>
    <w:pPr>
      <w:spacing w:after="0"/>
      <w:ind w:left="1920"/>
    </w:pPr>
    <w:rPr>
      <w:rFonts w:cs="Times New Roman"/>
      <w:sz w:val="20"/>
    </w:rPr>
  </w:style>
  <w:style w:type="paragraph" w:styleId="Header">
    <w:name w:val="header"/>
    <w:basedOn w:val="Normal"/>
    <w:link w:val="HeaderChar"/>
    <w:uiPriority w:val="99"/>
    <w:unhideWhenUsed/>
    <w:rsid w:val="002C4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F3A"/>
  </w:style>
  <w:style w:type="paragraph" w:styleId="Footer">
    <w:name w:val="footer"/>
    <w:basedOn w:val="Normal"/>
    <w:link w:val="FooterChar"/>
    <w:uiPriority w:val="99"/>
    <w:unhideWhenUsed/>
    <w:rsid w:val="002C4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F3A"/>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1948944">
      <w:bodyDiv w:val="1"/>
      <w:marLeft w:val="0"/>
      <w:marRight w:val="0"/>
      <w:marTop w:val="0"/>
      <w:marBottom w:val="0"/>
      <w:divBdr>
        <w:top w:val="none" w:sz="0" w:space="0" w:color="auto"/>
        <w:left w:val="none" w:sz="0" w:space="0" w:color="auto"/>
        <w:bottom w:val="none" w:sz="0" w:space="0" w:color="auto"/>
        <w:right w:val="none" w:sz="0" w:space="0" w:color="auto"/>
      </w:divBdr>
    </w:div>
    <w:div w:id="468674396">
      <w:bodyDiv w:val="1"/>
      <w:marLeft w:val="0"/>
      <w:marRight w:val="0"/>
      <w:marTop w:val="0"/>
      <w:marBottom w:val="0"/>
      <w:divBdr>
        <w:top w:val="none" w:sz="0" w:space="0" w:color="auto"/>
        <w:left w:val="none" w:sz="0" w:space="0" w:color="auto"/>
        <w:bottom w:val="none" w:sz="0" w:space="0" w:color="auto"/>
        <w:right w:val="none" w:sz="0" w:space="0" w:color="auto"/>
      </w:divBdr>
    </w:div>
    <w:div w:id="173022412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ho.int/publications" TargetMode="External"/><Relationship Id="rId18" Type="http://schemas.openxmlformats.org/officeDocument/2006/relationships/footer" Target="footer2.xml"/><Relationship Id="rId3" Type="http://schemas.openxmlformats.org/officeDocument/2006/relationships/numbering" Target="numbering.xml"/><Relationship Id="rId21" Type="http://schemas.microsoft.com/office/2020/10/relationships/intelligence" Target="intelligence2.xml"/><Relationship Id="rId7" Type="http://schemas.openxmlformats.org/officeDocument/2006/relationships/footnotes" Target="footnotes.xml"/><Relationship Id="rId12" Type="http://schemas.openxmlformats.org/officeDocument/2006/relationships/hyperlink" Target="https://icd.who.int"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mj.com/content/343/bmj.d6044"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nice.org.uk/guidance/cg113"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nhs.uk/mental-health/" TargetMode="External"/><Relationship Id="rId14" Type="http://schemas.openxmlformats.org/officeDocument/2006/relationships/hyperlink" Target="https://www.rcpsych.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56A97F-8968-EE4E-825A-F7FA2AA27D84}">
  <we:reference id="wa200001011" version="1.4.0.0" store="en-GB" storeType="OMEX"/>
  <we:alternateReferences>
    <we:reference id="wa200001011" version="1.4.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Title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7FFF77-2996-D841-AAC0-2300B8A29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3056</Words>
  <Characters>17425</Characters>
  <Application>Microsoft Office Word</Application>
  <DocSecurity>4</DocSecurity>
  <Lines>145</Lines>
  <Paragraphs>40</Paragraphs>
  <ScaleCrop>false</ScaleCrop>
  <Company/>
  <LinksUpToDate>false</LinksUpToDate>
  <CharactersWithSpaces>20441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Chakira M'Houmadi (2322832)</dc:creator>
  <cp:keywords/>
  <dc:description/>
  <cp:lastModifiedBy>Chakira M'Houmadi (2322832)</cp:lastModifiedBy>
  <cp:revision>100</cp:revision>
  <cp:lastPrinted>2026-03-04T17:58:00Z</cp:lastPrinted>
  <dcterms:created xsi:type="dcterms:W3CDTF">2026-03-04T17:56:00Z</dcterms:created>
  <dcterms:modified xsi:type="dcterms:W3CDTF">2026-03-25T17:43:00Z</dcterms:modified>
</cp:coreProperties>
</file>