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E27019" w14:textId="0E3ED984" w:rsidR="00C54F54" w:rsidRPr="00E25580" w:rsidRDefault="00C54F54" w:rsidP="00324B92">
      <w:pPr>
        <w:spacing w:after="240"/>
        <w:rPr>
          <w:rFonts w:cs="Arial"/>
          <w:color w:val="000000"/>
          <w:sz w:val="22"/>
          <w:szCs w:val="22"/>
          <w:u w:val="single"/>
          <w:lang w:eastAsia="en-GB"/>
        </w:rPr>
      </w:pPr>
      <w:r w:rsidRPr="00E25580">
        <w:rPr>
          <w:rFonts w:cs="Arial"/>
          <w:color w:val="000000"/>
          <w:sz w:val="22"/>
          <w:szCs w:val="22"/>
          <w:u w:val="single"/>
          <w:lang w:eastAsia="en-GB"/>
        </w:rPr>
        <w:t>Explain why teacher subject knowledge is important in relation to teaching Language and Mathematics in Primary schools in Wales.</w:t>
      </w:r>
    </w:p>
    <w:p w14:paraId="29FBD039" w14:textId="24697730" w:rsidR="00324B92" w:rsidRPr="00E25580" w:rsidRDefault="00324B92" w:rsidP="00324B92">
      <w:pPr>
        <w:spacing w:after="240"/>
        <w:rPr>
          <w:rFonts w:cs="Times New Roman"/>
          <w:color w:val="000000"/>
          <w:sz w:val="22"/>
          <w:szCs w:val="22"/>
          <w:lang w:eastAsia="en-GB"/>
        </w:rPr>
      </w:pPr>
      <w:r w:rsidRPr="00E25580">
        <w:rPr>
          <w:rFonts w:cs="Arial"/>
          <w:color w:val="000000"/>
          <w:sz w:val="22"/>
          <w:szCs w:val="22"/>
          <w:lang w:eastAsia="en-GB"/>
        </w:rPr>
        <w:t xml:space="preserve">Throughout this essay, the importance of teacher subject knowledge and discussing the impact on the children’s development in Language and Maths within Primary schools in Wales will be reflected upon, using comparisons and examples from the placement that took place in Cadle Primary School. Some of the topics which will be discussed are about how the new curriculum will affect the children’s learning, the effects of teacher subject knowledge on the children’s learning and how the different ways of teaching may affect the children’s learning. These factors will be assessed within the progression of Language in Year 1 and 2; the main focus being within the Oracy strand of </w:t>
      </w:r>
      <w:r w:rsidR="00217213" w:rsidRPr="00E25580">
        <w:rPr>
          <w:rFonts w:cs="Arial"/>
          <w:color w:val="000000"/>
          <w:sz w:val="22"/>
          <w:szCs w:val="22"/>
          <w:lang w:eastAsia="en-GB"/>
        </w:rPr>
        <w:t>the curriculum document (Welsh G</w:t>
      </w:r>
      <w:r w:rsidRPr="00E25580">
        <w:rPr>
          <w:rFonts w:cs="Arial"/>
          <w:color w:val="000000"/>
          <w:sz w:val="22"/>
          <w:szCs w:val="22"/>
          <w:lang w:eastAsia="en-GB"/>
        </w:rPr>
        <w:t>overnment, 2015). As well as being used to assess the progression of Maths in Year 5; the main focus being within the different strands in Mathematical development.  </w:t>
      </w:r>
    </w:p>
    <w:p w14:paraId="3C6FE410" w14:textId="0E4B0969" w:rsidR="00324B92" w:rsidRPr="00E25580" w:rsidRDefault="00324B92" w:rsidP="00324B92">
      <w:pPr>
        <w:spacing w:after="240"/>
        <w:rPr>
          <w:rFonts w:cs="Times New Roman"/>
          <w:color w:val="000000"/>
          <w:sz w:val="22"/>
          <w:szCs w:val="22"/>
          <w:lang w:eastAsia="en-GB"/>
        </w:rPr>
      </w:pPr>
      <w:r w:rsidRPr="00E25580">
        <w:rPr>
          <w:rFonts w:cs="Arial"/>
          <w:color w:val="000000"/>
          <w:sz w:val="22"/>
          <w:szCs w:val="22"/>
          <w:lang w:eastAsia="en-GB"/>
        </w:rPr>
        <w:t xml:space="preserve">First, the development of Oracy in English throughout Years 1/2 will be assessed using an explanation of how the teachers’ knowledge and attitudes toward the subject may affect the children’s learning/ willingness to learn and comparing it to the expectations of the National Curriculum for Wales (2015). Over the duration of my teaching practice, I observed a lesson where the teacher got the children to debate whether or not they would give up eating chocolate if it meant that children didn’t have to work on farms. This Oracy task was dependant on teacher subject knowledge since the children were only introduced to the topic of Fairtrade for this particular day, in celebration of Fairtrade Fortnight, meaning that all of the children’s knowledge would be </w:t>
      </w:r>
      <w:r w:rsidR="009F701B" w:rsidRPr="00E25580">
        <w:rPr>
          <w:rFonts w:cs="Arial"/>
          <w:color w:val="000000"/>
          <w:sz w:val="22"/>
          <w:szCs w:val="22"/>
          <w:lang w:eastAsia="en-GB"/>
        </w:rPr>
        <w:t>dependent</w:t>
      </w:r>
      <w:r w:rsidRPr="00E25580">
        <w:rPr>
          <w:rFonts w:cs="Arial"/>
          <w:color w:val="000000"/>
          <w:sz w:val="22"/>
          <w:szCs w:val="22"/>
          <w:lang w:eastAsia="en-GB"/>
        </w:rPr>
        <w:t xml:space="preserve"> on what the teacher taught them and how it was taught. This was evident through the children’s arguments as all of their points were similar since their own knowledge was only of a basic level. However, the children were all placed with an adult to enhance their answers and develop the children’s knowledge and imagination skills. This activity is supported by the </w:t>
      </w:r>
      <w:r w:rsidR="009F701B" w:rsidRPr="00E25580">
        <w:rPr>
          <w:rFonts w:cs="Arial"/>
          <w:color w:val="000000"/>
          <w:sz w:val="22"/>
          <w:szCs w:val="22"/>
          <w:lang w:eastAsia="en-GB"/>
        </w:rPr>
        <w:t>Chartered College of Teaching (</w:t>
      </w:r>
      <w:r w:rsidRPr="00E25580">
        <w:rPr>
          <w:rFonts w:cs="Arial"/>
          <w:color w:val="000000"/>
          <w:sz w:val="22"/>
          <w:szCs w:val="22"/>
          <w:lang w:eastAsia="en-GB"/>
        </w:rPr>
        <w:t>May 2018) as they believe that Oracy has multiple benefits in learning environments. The Chartered College of Teaching (2018) refers to Nagda’s and Gurin’s ‘Intergroup Dialogue: A critical- dialogic approach to learning about difference, inequality and social justice’ (2007), which states that a benefit of developing the children’s Oracy skills would be that the children will have the ability to debate issues and have a better understanding about social issues. Although this activity would allow the children to explore many different ideas and discuss them in their groups, the activity came with a few limitations for the teacher. One of the struggles with an Oracy based activities was that since the lesson and the topic was only to be covered once in the academic timetable, the children were unable to use their prior knowledge as a starting point.  This meant that there was a struggle when thinking of ideas to debate against the other team and that the children attempted to reword their original points. Additionally, if there was a lack in a particular part of the subject then it could make the activity difficult, since the teacher may not know about or agree with the subject being taught. Therefore, the teacher cannot help the children add to their existing points or even given them new ones.</w:t>
      </w:r>
    </w:p>
    <w:p w14:paraId="2B8D0CFC" w14:textId="77777777" w:rsidR="00324B92" w:rsidRPr="00E25580" w:rsidRDefault="00324B92" w:rsidP="00324B92">
      <w:pPr>
        <w:spacing w:after="240"/>
        <w:rPr>
          <w:rFonts w:cs="Times New Roman"/>
          <w:color w:val="000000"/>
          <w:sz w:val="22"/>
          <w:szCs w:val="22"/>
          <w:lang w:eastAsia="en-GB"/>
        </w:rPr>
      </w:pPr>
      <w:r w:rsidRPr="00E25580">
        <w:rPr>
          <w:rFonts w:cs="Arial"/>
          <w:color w:val="000000"/>
          <w:sz w:val="22"/>
          <w:szCs w:val="22"/>
          <w:lang w:eastAsia="en-GB"/>
        </w:rPr>
        <w:t xml:space="preserve">As well as having dedicated sessions for the children to develop their Oracy skills within the daily timetable, the teachers at Cadle Primary used Oracy, along with the other Language skills, to introduce a topic and to encourage further development. The development of Oracy skills throughout the curriculum is support by Donaldson’s Successful Futures (2015; pg 48) as he states that Oracy is of ‘central importance to both thinking and learning.’  An example that I observed was, at the beginning of the children’s new topic of ‘Paddington goes to the Carnival’. First, the children were read the book and then they were asked questions to check their understanding of the story. Afterwards, the children were split into their ability groups and alternated between teacher- led work and independent learning, Thornton (Optimus Education, 2015) encourages his as she wrote in her blog that a balance of adult- </w:t>
      </w:r>
      <w:r w:rsidRPr="00E25580">
        <w:rPr>
          <w:rFonts w:cs="Arial"/>
          <w:color w:val="000000"/>
          <w:sz w:val="22"/>
          <w:szCs w:val="22"/>
          <w:lang w:eastAsia="en-GB"/>
        </w:rPr>
        <w:lastRenderedPageBreak/>
        <w:t>directed activities and child- initiated activities ‘provides a high-quality experience for young children’. While the children were working with an adult, they would encourage a spoken answer before the written one as it would allow the children to talk about what they think and would encourage them to expand on these ideas. Although not all teachers decide to encourage Oracy before starting the children on their task, I observed that the children benefited from this as it would allow the lower ability children to gain an understanding of what the teacher expected and allow the higher ability children to think of alternative words to allow for the most beneficial learning. This activity relies heavily on teacher subject knowledge as the children are using the teacher to check their learning and progress verbally, if the teacher had little to no subject knowledge then the teacher would not be able to ensure that the children understand the book and the task. The teacher is also reliable for ensuring that the children know and are using the correct subject specific vocabulary, as well as checking each child’s’ grammar, punctuation and ordering of the sentence, since in year 1/2 the children should be able to ‘</w:t>
      </w:r>
      <w:r w:rsidRPr="00E25580">
        <w:rPr>
          <w:rFonts w:cs="Arial"/>
          <w:color w:val="222221"/>
          <w:sz w:val="22"/>
          <w:szCs w:val="22"/>
          <w:lang w:eastAsia="en-GB"/>
        </w:rPr>
        <w:t>write words, phrases and simple sentences and read back own attempts’ (Curriculum for Wales, Foundation Phase, 2015; pg 23).</w:t>
      </w:r>
    </w:p>
    <w:p w14:paraId="5D37EAD9" w14:textId="06D091A6" w:rsidR="00324B92" w:rsidRPr="00E25580" w:rsidRDefault="00324B92" w:rsidP="00324B92">
      <w:pPr>
        <w:spacing w:after="240"/>
        <w:rPr>
          <w:rFonts w:cs="Times New Roman"/>
          <w:color w:val="000000"/>
          <w:sz w:val="22"/>
          <w:szCs w:val="22"/>
          <w:lang w:eastAsia="en-GB"/>
        </w:rPr>
      </w:pPr>
      <w:r w:rsidRPr="00E25580">
        <w:rPr>
          <w:rFonts w:cs="Arial"/>
          <w:color w:val="000000"/>
          <w:sz w:val="22"/>
          <w:szCs w:val="22"/>
          <w:lang w:eastAsia="en-GB"/>
        </w:rPr>
        <w:t>Within C</w:t>
      </w:r>
      <w:r w:rsidR="00563ACB" w:rsidRPr="00E25580">
        <w:rPr>
          <w:rFonts w:cs="Arial"/>
          <w:color w:val="000000"/>
          <w:sz w:val="22"/>
          <w:szCs w:val="22"/>
          <w:lang w:eastAsia="en-GB"/>
        </w:rPr>
        <w:t>adle Primary school, they had a</w:t>
      </w:r>
      <w:r w:rsidRPr="00E25580">
        <w:rPr>
          <w:rFonts w:cs="Arial"/>
          <w:color w:val="000000"/>
          <w:sz w:val="22"/>
          <w:szCs w:val="22"/>
          <w:lang w:eastAsia="en-GB"/>
        </w:rPr>
        <w:t> school mascot named Rio the Rhino. The school used this mascot as a way of communicating with the children of a younger age as well as for rewards across the school. At Cadle, they would allow one child from each class to take Rio home for the weekend. With this, they had to write a diary entry for what the child and Rio had done over their time together. This written task would then be spoken about to a group, class or the whole school with the child’s peers asking questions about Rio’s weekend. This would then allow the child to tell their peers extra details as well as encouraging the child to expand their vocabulary and memory. The use of Rio the Rhino is an example of using multiple ways of learning to encourage development as the children are allowed to present their verbal feedback in the form of a song, poem or diary entry. The children are also allowed to show pictures to accompany their experiences. This is supported by Gardner's Theory of Multiple intelligences (Cherry,</w:t>
      </w:r>
      <w:r w:rsidR="00563ACB" w:rsidRPr="00E25580">
        <w:rPr>
          <w:rFonts w:cs="Arial"/>
          <w:color w:val="000000"/>
          <w:sz w:val="22"/>
          <w:szCs w:val="22"/>
          <w:lang w:eastAsia="en-GB"/>
        </w:rPr>
        <w:t xml:space="preserve"> </w:t>
      </w:r>
      <w:r w:rsidRPr="00E25580">
        <w:rPr>
          <w:rFonts w:cs="Arial"/>
          <w:color w:val="000000"/>
          <w:sz w:val="22"/>
          <w:szCs w:val="22"/>
          <w:lang w:eastAsia="en-GB"/>
        </w:rPr>
        <w:t>Very Well Mind, 2019) as he believes that different people have different kinds of intelligences. This means that one person may possess the ability to have verbal, musical and naturalistic intelligence. As well as being able to develop the children’s English language verbally, the use of Rio encourages a development in their Welsh language as the school have a designated “Welsh Rio” which goes home every other week to encourage and promote the children’s use of Welsh. The addition of Welsh to this task is supported by Donaldson (Successful Futures, 2015; pg 48) as he states that ‘The role of multiple language learning is particularly important in Wales’. This use of Welsh also shows that Cadle Primary have thought about the curriculum change and have started to put in place activities which encourage the four purposes of learning, this activity focusing on ensuring the children are ‘</w:t>
      </w:r>
      <w:r w:rsidRPr="00E25580">
        <w:rPr>
          <w:rFonts w:cs="Arial"/>
          <w:color w:val="141414"/>
          <w:sz w:val="22"/>
          <w:szCs w:val="22"/>
          <w:shd w:val="clear" w:color="auto" w:fill="FFFFFF"/>
          <w:lang w:eastAsia="en-GB"/>
        </w:rPr>
        <w:t>ethical informed citizens of Wales and the world’ as they are using the Welsh language.</w:t>
      </w:r>
      <w:r w:rsidRPr="00E25580">
        <w:rPr>
          <w:rFonts w:cs="Arial"/>
          <w:color w:val="000000"/>
          <w:sz w:val="22"/>
          <w:szCs w:val="22"/>
          <w:lang w:eastAsia="en-GB"/>
        </w:rPr>
        <w:t xml:space="preserve"> Unfortunately, this activity cannot always be supported by the teacher as the children take Rio home. This means that the teacher’s encouragement is not there to get the children to attempt to write about what they did with Rio. I observed within Cadle Primary that the children would bring in Rio and his diary and it was obvious that the entry was written by a parent, carer or guardian. As a result, the children struggled to talk about what they did over the weekend with Rio and found it difficult to answer some of the questions. Another struggle with using Rio, is that the teacher’s do not give the children any subject knowledge or any targets to develop their skills. For example, the teacher could set a target to use certain punctuation or that the children had to use as many adjectives, that make sense, as they can. This would then have a domino effect on their language skills as they would be able to use the punctuation for expression and the adjectives to make their speech more interesting for their friends. </w:t>
      </w:r>
    </w:p>
    <w:p w14:paraId="453975BA" w14:textId="24A5BA96" w:rsidR="00324B92" w:rsidRPr="00E25580" w:rsidRDefault="00324B92" w:rsidP="00324B92">
      <w:pPr>
        <w:spacing w:after="240"/>
        <w:rPr>
          <w:rFonts w:cs="Times New Roman"/>
          <w:color w:val="000000"/>
          <w:sz w:val="22"/>
          <w:szCs w:val="22"/>
          <w:lang w:eastAsia="en-GB"/>
        </w:rPr>
      </w:pPr>
      <w:r w:rsidRPr="00E25580">
        <w:rPr>
          <w:rFonts w:cs="Arial"/>
          <w:color w:val="000000"/>
          <w:sz w:val="22"/>
          <w:szCs w:val="22"/>
          <w:lang w:eastAsia="en-GB"/>
        </w:rPr>
        <w:t xml:space="preserve">Unfortunately, teacher subject knowledge affects more than just the English development skills. This lack of subject knowledge also affects the teaching of mathematics and will result in a lack of development in the children’s knowledge, the mathematical strands in </w:t>
      </w:r>
      <w:r w:rsidR="00563ACB" w:rsidRPr="00E25580">
        <w:rPr>
          <w:rFonts w:cs="Arial"/>
          <w:color w:val="000000"/>
          <w:sz w:val="22"/>
          <w:szCs w:val="22"/>
          <w:lang w:eastAsia="en-GB"/>
        </w:rPr>
        <w:t>the curriculum document (Welsh G</w:t>
      </w:r>
      <w:r w:rsidRPr="00E25580">
        <w:rPr>
          <w:rFonts w:cs="Arial"/>
          <w:color w:val="000000"/>
          <w:sz w:val="22"/>
          <w:szCs w:val="22"/>
          <w:lang w:eastAsia="en-GB"/>
        </w:rPr>
        <w:t>overnment, 2015). An example of this that I observed was when the Year 5 children were taught ratio in order to develop their Number skills. The lesson was planned to be a recap of ratio as they had already been over how to work it out. However, nearly all of the children said that they could not remember how to work out the ratio, meaning that they had to start from the beginning of the topic. The teacher’s subject knowledge had an important role within this lesson as it was evident that the children were struggling with the concept of ratio. To ensure the children were able to understand the task, the teacher used examples of experiences the children might be in to allow them to imagine the problem in order to solve it. This was then linked to a inanimate object, such as pens, to allow the children to physically see what the problem was asking the children to do. Along with this, the teacher ensured to use the correct mathematical terms and symbols to allow the children to understand and use them where necessary.  This relates to Haylock and Cockburn’s ‘Understanding Mathematics for Young Children’ (2008; pg 10) as they mention the Connections Model. The Connections Model is a diagram that has the significant connections needed to understand number, these being through the use symbols, pictures, subject specific language and concrete experiences. The fact that the lesson had to be retaught is a prime example of the limitations when it comes to teacher subject knowledge. If the teacher does not understand the topic that is being taught or shows enthusiasm while teaching it, then, unfortunately, the children will struggle to learn the topic which would make it difficult when the children have to recap their previous learning in order to develop the skill further.</w:t>
      </w:r>
    </w:p>
    <w:p w14:paraId="486633D1" w14:textId="34BA8586" w:rsidR="00324B92" w:rsidRPr="00E25580" w:rsidRDefault="00324B92" w:rsidP="00324B92">
      <w:pPr>
        <w:spacing w:after="240"/>
        <w:rPr>
          <w:rFonts w:cs="Arial"/>
          <w:color w:val="000000"/>
          <w:sz w:val="22"/>
          <w:szCs w:val="22"/>
          <w:lang w:eastAsia="en-GB"/>
        </w:rPr>
      </w:pPr>
      <w:r w:rsidRPr="00E25580">
        <w:rPr>
          <w:rFonts w:cs="Arial"/>
          <w:color w:val="000000"/>
          <w:sz w:val="22"/>
          <w:szCs w:val="22"/>
          <w:lang w:eastAsia="en-GB"/>
        </w:rPr>
        <w:t xml:space="preserve">Another skill in which I observed being developed within mathematics was the children’s geometry skills. Within this lesson, the children were asked to draw the lines of symmetry onto the grid that they were given and finish drawing the other half of some shapes. After seeing some of the children struggling with this task, the teacher got an additional adult to accompany a small group of children in a different room. This allowed the children to stay focused on the task which they were to be set, as it was now a different task to the rest of the class. Since the children proved to be struggling with finding the lines of symmetry, the teacher gave each child 5 small cut out shapes to allow them to physically make the lines of symmetry onto the shapes. This activity was developed through the additional </w:t>
      </w:r>
      <w:r w:rsidR="00563ACB" w:rsidRPr="00E25580">
        <w:rPr>
          <w:rFonts w:cs="Arial"/>
          <w:color w:val="000000"/>
          <w:sz w:val="22"/>
          <w:szCs w:val="22"/>
          <w:lang w:eastAsia="en-GB"/>
        </w:rPr>
        <w:t>teacher’s</w:t>
      </w:r>
      <w:r w:rsidRPr="00E25580">
        <w:rPr>
          <w:rFonts w:cs="Arial"/>
          <w:color w:val="000000"/>
          <w:sz w:val="22"/>
          <w:szCs w:val="22"/>
          <w:lang w:eastAsia="en-GB"/>
        </w:rPr>
        <w:t xml:space="preserve"> subject knowledge as the teacher knew that if you were to fold across the line of symmetry then both sides would be equal. The benefits of using this activity are that the children are able to see that the sides are equal and it will help them when it comes to visualising the symmetrical shapes, rather than having to fold the shapes every time. Teaching the children about lines of symmetry allows them to notice the difference between regular and irregular shapes and find new properties for each shape, as well as being on the curriculum for wales document (2015). As well as being successful i</w:t>
      </w:r>
      <w:r w:rsidR="00563ACB" w:rsidRPr="00E25580">
        <w:rPr>
          <w:rFonts w:cs="Arial"/>
          <w:color w:val="000000"/>
          <w:sz w:val="22"/>
          <w:szCs w:val="22"/>
          <w:lang w:eastAsia="en-GB"/>
        </w:rPr>
        <w:t>n using the Connections model (</w:t>
      </w:r>
      <w:r w:rsidRPr="00E25580">
        <w:rPr>
          <w:rFonts w:cs="Arial"/>
          <w:color w:val="000000"/>
          <w:sz w:val="22"/>
          <w:szCs w:val="22"/>
          <w:lang w:eastAsia="en-GB"/>
        </w:rPr>
        <w:t xml:space="preserve">Haylock and Cockburn, 2008; pg 10), this activity is a prime example of Vygotsky’s Zone of Proximal Development (2019) as it allows the children to develop skills which are ‘too difficult for a child to master on his/ her own’ but are instead done with encouragement or guidance rather than complete support. Although this task was effective for the children, as shown in their developed knowledge and understanding, there could have been a struggle with the lesson if the second teacher was not as enthusiastic towards the topic or if they struggled with the subject specific vocabulary. This struggle would have meant that the children were unable to enhance their mathematical vocabulary and it would have made it hard for the children to understand their task. Another struggle with having a second teacher taking the children into a separate room is that this teacher might have a different method to teach the topic, resulting in either the children not learning because of the new style, or not learning when they go back to their original teacher as they prefer the additional teacher’s methods. </w:t>
      </w:r>
    </w:p>
    <w:p w14:paraId="22C6FC25" w14:textId="7BD98DB4" w:rsidR="006D2784" w:rsidRPr="00E25580" w:rsidRDefault="001306A2" w:rsidP="00324B92">
      <w:pPr>
        <w:spacing w:after="240"/>
        <w:rPr>
          <w:rFonts w:cs="Times New Roman"/>
          <w:color w:val="000000"/>
          <w:sz w:val="22"/>
          <w:szCs w:val="22"/>
          <w:lang w:eastAsia="en-GB"/>
        </w:rPr>
      </w:pPr>
      <w:r w:rsidRPr="00E25580">
        <w:rPr>
          <w:rFonts w:cs="Arial"/>
          <w:color w:val="000000"/>
          <w:sz w:val="22"/>
          <w:szCs w:val="22"/>
          <w:lang w:eastAsia="en-GB"/>
        </w:rPr>
        <w:t xml:space="preserve">Other aspects of mathematics are also affected by the teachers subject knowledge. One aspect which I was able to observe was the children developing their measuring skills, in particular their use of coordinates and graphs as this is one of the skills that need to be covered in Year 5, according to the National Curriculum for Wales (2015; pg 8). Within this lesson, the children were introduced to the Coordinates grid and were asked what they already knew about Coordinates, as this allowed the children to start the topic at a different level for each of the children. All of the children were then given a sheet, dependant on their ability and confidence with Coordinates, with either a single quadrant or two quadrants. The use of the A3 sheets allowed the children to have a copy of the grid in front of them and it gave the children the chance to draw their lines which they used to work out their answers. This lesson would be beneficial to the children as, not only do they need to learn about Coordinates as a part of the National curriculum for Wales, but they would also be able to apply these skills about Coordinates to map reading as they would be able to read the points and be able to plot them, thus resulting in a life skill being developed. This lesson was extremely dependant on teacher subject knowledge as the children had not been able to revisit Coordinates in a long time, and for some it was the first time they had ever used them. This meant that the teacher had to ensure all the children were able to read the Coordinates grid before they could attempt to plot their own points. The teacher ensured the children knew how to plot these points by using a rhyme as it uses a Cross-curriculum approach to help children remember how to find a coordinate. This is an example of Donaldson’s Literacy Cross-curriculum (2015) as it uses the spoken language and poems/ rhymes to encourage the development of another subject, in this case maths, while emphasizing the use of language patterns. Although the subject knowledge from the teacher may allow a cross-curricular learning, it may also be ineffective as the children may forget the rhymes or not focus on their mathematical work and try to make their own rhymes. This would then cause a distraction for the children involved as well as the children around them. </w:t>
      </w:r>
    </w:p>
    <w:p w14:paraId="7A5589B0" w14:textId="04F3D70D" w:rsidR="009F701B" w:rsidRPr="00E25580" w:rsidRDefault="009F701B" w:rsidP="009F701B">
      <w:pPr>
        <w:spacing w:after="240"/>
        <w:rPr>
          <w:rFonts w:cs="Times New Roman"/>
          <w:color w:val="000000"/>
          <w:sz w:val="22"/>
          <w:szCs w:val="22"/>
          <w:lang w:eastAsia="en-GB"/>
        </w:rPr>
      </w:pPr>
      <w:r w:rsidRPr="00E25580">
        <w:rPr>
          <w:rFonts w:cs="Arial"/>
          <w:color w:val="000000"/>
          <w:sz w:val="22"/>
          <w:szCs w:val="22"/>
          <w:lang w:eastAsia="en-GB"/>
        </w:rPr>
        <w:t>Overall, within my observations and own practice I was able to see the importance of teacher subject knowledge. I found that the teacher’s subject knowledge would impact the children’s learning as the children’s development relies on the teacher’s own knowledge and understanding of the topic. If the teacher knows the relevant subject knowledge for a language lesson in enough detail then the children should be able to successfully talk and write about the topic using the correct subject specific vocabulary, showing a</w:t>
      </w:r>
      <w:r w:rsidR="00563ACB" w:rsidRPr="00E25580">
        <w:rPr>
          <w:rFonts w:cs="Arial"/>
          <w:color w:val="000000"/>
          <w:sz w:val="22"/>
          <w:szCs w:val="22"/>
          <w:lang w:eastAsia="en-GB"/>
        </w:rPr>
        <w:t>n</w:t>
      </w:r>
      <w:r w:rsidRPr="00E25580">
        <w:rPr>
          <w:rFonts w:cs="Arial"/>
          <w:color w:val="000000"/>
          <w:sz w:val="22"/>
          <w:szCs w:val="22"/>
          <w:lang w:eastAsia="en-GB"/>
        </w:rPr>
        <w:t xml:space="preserve"> excellent understanding of the topic. An example of this being ensuring the children understand a story that may have been read and allowing them to ask questions to their peers and the teacher to develop their own knowledge. The teacher subject knowledge is also key in a mathematics lessons as the teacher has to teach the children many different methods of working a question out as it will allow all of the children to pick the method which they prefer and can use to answer the questions successfully. An example of this being through showing the children the many different ways to multiple, including the grid method, the column method, partitioning and any others the teacher thinks may be beneficial for the children.</w:t>
      </w:r>
    </w:p>
    <w:p w14:paraId="3E9017E1" w14:textId="77777777" w:rsidR="009F701B" w:rsidRPr="00E25580" w:rsidRDefault="009F701B" w:rsidP="009F701B">
      <w:pPr>
        <w:spacing w:after="240"/>
        <w:rPr>
          <w:rFonts w:eastAsia="Times New Roman" w:cs="Times New Roman"/>
          <w:sz w:val="22"/>
          <w:szCs w:val="22"/>
          <w:lang w:eastAsia="en-GB"/>
        </w:rPr>
      </w:pPr>
    </w:p>
    <w:p w14:paraId="13DEAB33" w14:textId="77777777" w:rsidR="00324B92" w:rsidRPr="00E25580" w:rsidRDefault="00324B92" w:rsidP="00324B92">
      <w:pPr>
        <w:spacing w:after="240"/>
        <w:rPr>
          <w:rFonts w:eastAsia="Times New Roman" w:cs="Times New Roman"/>
          <w:sz w:val="22"/>
          <w:szCs w:val="22"/>
          <w:lang w:eastAsia="en-GB"/>
        </w:rPr>
      </w:pPr>
    </w:p>
    <w:p w14:paraId="7C4C4C9D" w14:textId="77777777" w:rsidR="00D64A46" w:rsidRPr="00E25580" w:rsidRDefault="00D64A46" w:rsidP="00324B92">
      <w:pPr>
        <w:spacing w:after="240"/>
        <w:rPr>
          <w:rFonts w:eastAsia="Times New Roman" w:cs="Times New Roman"/>
          <w:sz w:val="22"/>
          <w:szCs w:val="22"/>
          <w:lang w:eastAsia="en-GB"/>
        </w:rPr>
      </w:pPr>
    </w:p>
    <w:p w14:paraId="4EC79C07" w14:textId="3984FDDD" w:rsidR="00994371" w:rsidRPr="00E25580" w:rsidRDefault="00994371" w:rsidP="000E1C14">
      <w:pPr>
        <w:widowControl w:val="0"/>
        <w:numPr>
          <w:ilvl w:val="0"/>
          <w:numId w:val="1"/>
        </w:numPr>
        <w:tabs>
          <w:tab w:val="left" w:pos="220"/>
          <w:tab w:val="left" w:pos="720"/>
        </w:tabs>
        <w:autoSpaceDE w:val="0"/>
        <w:autoSpaceDN w:val="0"/>
        <w:adjustRightInd w:val="0"/>
        <w:spacing w:after="240" w:line="300" w:lineRule="atLeast"/>
        <w:ind w:hanging="720"/>
        <w:rPr>
          <w:color w:val="000000" w:themeColor="text1"/>
          <w:sz w:val="22"/>
          <w:szCs w:val="22"/>
        </w:rPr>
      </w:pPr>
      <w:r w:rsidRPr="00E25580">
        <w:rPr>
          <w:rFonts w:ascii="MS Mincho" w:eastAsia="MS Mincho" w:hAnsi="MS Mincho" w:cs="MS Mincho"/>
          <w:color w:val="000000"/>
          <w:sz w:val="22"/>
          <w:szCs w:val="22"/>
        </w:rPr>
        <w:t> </w:t>
      </w:r>
      <w:r w:rsidRPr="00E25580">
        <w:rPr>
          <w:color w:val="000000" w:themeColor="text1"/>
          <w:sz w:val="22"/>
          <w:szCs w:val="22"/>
        </w:rPr>
        <w:t xml:space="preserve"> </w:t>
      </w:r>
    </w:p>
    <w:p w14:paraId="1ED32582" w14:textId="4A9CA727" w:rsidR="000E1C14" w:rsidRPr="00E25580" w:rsidRDefault="000E1C14" w:rsidP="00382EC0">
      <w:pPr>
        <w:widowControl w:val="0"/>
        <w:tabs>
          <w:tab w:val="left" w:pos="220"/>
          <w:tab w:val="left" w:pos="720"/>
        </w:tabs>
        <w:autoSpaceDE w:val="0"/>
        <w:autoSpaceDN w:val="0"/>
        <w:adjustRightInd w:val="0"/>
        <w:spacing w:after="240" w:line="300" w:lineRule="atLeast"/>
        <w:rPr>
          <w:color w:val="000000" w:themeColor="text1"/>
          <w:sz w:val="22"/>
          <w:szCs w:val="22"/>
        </w:rPr>
      </w:pPr>
    </w:p>
    <w:p w14:paraId="3A637DD9" w14:textId="77777777" w:rsidR="00382EC0" w:rsidRPr="00E25580" w:rsidRDefault="00382EC0" w:rsidP="00382EC0">
      <w:pPr>
        <w:widowControl w:val="0"/>
        <w:tabs>
          <w:tab w:val="left" w:pos="220"/>
          <w:tab w:val="left" w:pos="720"/>
        </w:tabs>
        <w:autoSpaceDE w:val="0"/>
        <w:autoSpaceDN w:val="0"/>
        <w:adjustRightInd w:val="0"/>
        <w:spacing w:after="240" w:line="300" w:lineRule="atLeast"/>
        <w:rPr>
          <w:color w:val="000000" w:themeColor="text1"/>
          <w:sz w:val="22"/>
          <w:szCs w:val="22"/>
        </w:rPr>
      </w:pPr>
    </w:p>
    <w:p w14:paraId="47F263F8" w14:textId="77777777" w:rsidR="00382EC0" w:rsidRPr="00E25580" w:rsidRDefault="00382EC0" w:rsidP="00382EC0">
      <w:pPr>
        <w:widowControl w:val="0"/>
        <w:tabs>
          <w:tab w:val="left" w:pos="220"/>
          <w:tab w:val="left" w:pos="720"/>
        </w:tabs>
        <w:autoSpaceDE w:val="0"/>
        <w:autoSpaceDN w:val="0"/>
        <w:adjustRightInd w:val="0"/>
        <w:spacing w:after="240" w:line="300" w:lineRule="atLeast"/>
        <w:rPr>
          <w:color w:val="000000" w:themeColor="text1"/>
          <w:sz w:val="22"/>
          <w:szCs w:val="22"/>
        </w:rPr>
      </w:pPr>
    </w:p>
    <w:p w14:paraId="38F20978" w14:textId="77777777" w:rsidR="00382EC0" w:rsidRPr="00E25580" w:rsidRDefault="00382EC0" w:rsidP="00382EC0">
      <w:pPr>
        <w:widowControl w:val="0"/>
        <w:tabs>
          <w:tab w:val="left" w:pos="220"/>
          <w:tab w:val="left" w:pos="720"/>
        </w:tabs>
        <w:autoSpaceDE w:val="0"/>
        <w:autoSpaceDN w:val="0"/>
        <w:adjustRightInd w:val="0"/>
        <w:spacing w:after="240" w:line="300" w:lineRule="atLeast"/>
        <w:rPr>
          <w:color w:val="000000" w:themeColor="text1"/>
          <w:sz w:val="22"/>
          <w:szCs w:val="22"/>
        </w:rPr>
      </w:pPr>
    </w:p>
    <w:p w14:paraId="15DFB278" w14:textId="77777777" w:rsidR="00382EC0" w:rsidRPr="00E25580" w:rsidRDefault="00382EC0" w:rsidP="00382EC0">
      <w:pPr>
        <w:widowControl w:val="0"/>
        <w:tabs>
          <w:tab w:val="left" w:pos="220"/>
          <w:tab w:val="left" w:pos="720"/>
        </w:tabs>
        <w:autoSpaceDE w:val="0"/>
        <w:autoSpaceDN w:val="0"/>
        <w:adjustRightInd w:val="0"/>
        <w:spacing w:after="240" w:line="300" w:lineRule="atLeast"/>
        <w:rPr>
          <w:color w:val="000000" w:themeColor="text1"/>
          <w:sz w:val="22"/>
          <w:szCs w:val="22"/>
        </w:rPr>
      </w:pPr>
    </w:p>
    <w:p w14:paraId="41CE67C1" w14:textId="14F1D894" w:rsidR="00382EC0" w:rsidRPr="00E25580" w:rsidRDefault="00382EC0" w:rsidP="00382EC0">
      <w:pPr>
        <w:widowControl w:val="0"/>
        <w:tabs>
          <w:tab w:val="left" w:pos="220"/>
          <w:tab w:val="left" w:pos="720"/>
        </w:tabs>
        <w:autoSpaceDE w:val="0"/>
        <w:autoSpaceDN w:val="0"/>
        <w:adjustRightInd w:val="0"/>
        <w:spacing w:after="240" w:line="300" w:lineRule="atLeast"/>
        <w:rPr>
          <w:color w:val="000000" w:themeColor="text1"/>
          <w:sz w:val="22"/>
          <w:szCs w:val="22"/>
        </w:rPr>
      </w:pPr>
      <w:r w:rsidRPr="00E25580">
        <w:rPr>
          <w:color w:val="000000" w:themeColor="text1"/>
          <w:sz w:val="22"/>
          <w:szCs w:val="22"/>
        </w:rPr>
        <w:t>References:</w:t>
      </w:r>
    </w:p>
    <w:p w14:paraId="19EFC8A3" w14:textId="7DF46056" w:rsidR="0019598B" w:rsidRPr="00E25580" w:rsidRDefault="0019598B" w:rsidP="00382EC0">
      <w:pPr>
        <w:widowControl w:val="0"/>
        <w:tabs>
          <w:tab w:val="left" w:pos="220"/>
          <w:tab w:val="left" w:pos="720"/>
        </w:tabs>
        <w:autoSpaceDE w:val="0"/>
        <w:autoSpaceDN w:val="0"/>
        <w:adjustRightInd w:val="0"/>
        <w:spacing w:after="240" w:line="300" w:lineRule="atLeast"/>
        <w:rPr>
          <w:color w:val="000000" w:themeColor="text1"/>
          <w:sz w:val="22"/>
          <w:szCs w:val="22"/>
        </w:rPr>
      </w:pPr>
      <w:r w:rsidRPr="00E25580">
        <w:rPr>
          <w:color w:val="000000" w:themeColor="text1"/>
          <w:sz w:val="22"/>
          <w:szCs w:val="22"/>
        </w:rPr>
        <w:t>Cherry, K. (2019) ‘</w:t>
      </w:r>
      <w:r w:rsidRPr="00E25580">
        <w:rPr>
          <w:i/>
          <w:color w:val="000000" w:themeColor="text1"/>
          <w:sz w:val="22"/>
          <w:szCs w:val="22"/>
        </w:rPr>
        <w:t xml:space="preserve">Gardner’s Theory of Multiple.’ </w:t>
      </w:r>
      <w:r w:rsidRPr="00E25580">
        <w:rPr>
          <w:color w:val="000000" w:themeColor="text1"/>
          <w:sz w:val="22"/>
          <w:szCs w:val="22"/>
        </w:rPr>
        <w:t>Available at:</w:t>
      </w:r>
    </w:p>
    <w:p w14:paraId="5D54DC54" w14:textId="1EF0C4E0" w:rsidR="00382EC0" w:rsidRPr="00E25580" w:rsidRDefault="00E25580" w:rsidP="00382EC0">
      <w:pPr>
        <w:widowControl w:val="0"/>
        <w:tabs>
          <w:tab w:val="left" w:pos="220"/>
          <w:tab w:val="left" w:pos="720"/>
        </w:tabs>
        <w:autoSpaceDE w:val="0"/>
        <w:autoSpaceDN w:val="0"/>
        <w:adjustRightInd w:val="0"/>
        <w:spacing w:after="240" w:line="300" w:lineRule="atLeast"/>
        <w:rPr>
          <w:color w:val="000000" w:themeColor="text1"/>
          <w:sz w:val="22"/>
          <w:szCs w:val="22"/>
        </w:rPr>
      </w:pPr>
      <w:hyperlink r:id="rId6" w:history="1">
        <w:r w:rsidR="0070085F" w:rsidRPr="00E25580">
          <w:rPr>
            <w:rStyle w:val="Hyperlink"/>
            <w:sz w:val="22"/>
            <w:szCs w:val="22"/>
          </w:rPr>
          <w:t>https://www.verywellmind.com/gardners-theory-of-multiple-intelligences-2795161</w:t>
        </w:r>
      </w:hyperlink>
      <w:r w:rsidR="0019598B" w:rsidRPr="00E25580">
        <w:rPr>
          <w:color w:val="000000" w:themeColor="text1"/>
          <w:sz w:val="22"/>
          <w:szCs w:val="22"/>
        </w:rPr>
        <w:t xml:space="preserve"> -Last assessed 29/04/19</w:t>
      </w:r>
    </w:p>
    <w:p w14:paraId="3498FD38" w14:textId="487CFCA0" w:rsidR="0019598B" w:rsidRPr="00E25580" w:rsidRDefault="0019598B" w:rsidP="00382EC0">
      <w:pPr>
        <w:widowControl w:val="0"/>
        <w:tabs>
          <w:tab w:val="left" w:pos="220"/>
          <w:tab w:val="left" w:pos="720"/>
        </w:tabs>
        <w:autoSpaceDE w:val="0"/>
        <w:autoSpaceDN w:val="0"/>
        <w:adjustRightInd w:val="0"/>
        <w:spacing w:after="240" w:line="300" w:lineRule="atLeast"/>
        <w:rPr>
          <w:color w:val="000000" w:themeColor="text1"/>
          <w:sz w:val="22"/>
          <w:szCs w:val="22"/>
        </w:rPr>
      </w:pPr>
      <w:r w:rsidRPr="00E25580">
        <w:rPr>
          <w:color w:val="000000" w:themeColor="text1"/>
          <w:sz w:val="22"/>
          <w:szCs w:val="22"/>
        </w:rPr>
        <w:t>Department for Education and Skills (2015) ‘</w:t>
      </w:r>
      <w:r w:rsidRPr="00E25580">
        <w:rPr>
          <w:i/>
          <w:color w:val="000000" w:themeColor="text1"/>
          <w:sz w:val="22"/>
          <w:szCs w:val="22"/>
        </w:rPr>
        <w:t xml:space="preserve">Curriculum for Wales Programme of Study for Mathematics Key Stages 2-4.’  </w:t>
      </w:r>
      <w:r w:rsidRPr="00E25580">
        <w:rPr>
          <w:color w:val="000000" w:themeColor="text1"/>
          <w:sz w:val="22"/>
          <w:szCs w:val="22"/>
        </w:rPr>
        <w:t>Cardiff: Welsh Government. Available at:</w:t>
      </w:r>
    </w:p>
    <w:p w14:paraId="676B6741" w14:textId="6C3723BC" w:rsidR="0070085F" w:rsidRPr="00E25580" w:rsidRDefault="00E25580" w:rsidP="00382EC0">
      <w:pPr>
        <w:widowControl w:val="0"/>
        <w:tabs>
          <w:tab w:val="left" w:pos="220"/>
          <w:tab w:val="left" w:pos="720"/>
        </w:tabs>
        <w:autoSpaceDE w:val="0"/>
        <w:autoSpaceDN w:val="0"/>
        <w:adjustRightInd w:val="0"/>
        <w:spacing w:after="240" w:line="300" w:lineRule="atLeast"/>
        <w:rPr>
          <w:color w:val="000000" w:themeColor="text1"/>
          <w:sz w:val="22"/>
          <w:szCs w:val="22"/>
        </w:rPr>
      </w:pPr>
      <w:hyperlink r:id="rId7" w:history="1">
        <w:r w:rsidR="00C87137" w:rsidRPr="00E25580">
          <w:rPr>
            <w:rStyle w:val="Hyperlink"/>
            <w:sz w:val="22"/>
            <w:szCs w:val="22"/>
          </w:rPr>
          <w:t>https://learning.gov.wales/docs/learningwales/publications/150717-nc-maths-en-v2.pdf</w:t>
        </w:r>
      </w:hyperlink>
      <w:r w:rsidR="0019598B" w:rsidRPr="00E25580">
        <w:rPr>
          <w:color w:val="000000" w:themeColor="text1"/>
          <w:sz w:val="22"/>
          <w:szCs w:val="22"/>
        </w:rPr>
        <w:t xml:space="preserve">  -Last assessed 29/04/19</w:t>
      </w:r>
    </w:p>
    <w:p w14:paraId="39365256" w14:textId="58533DEF" w:rsidR="0019598B" w:rsidRPr="00E25580" w:rsidRDefault="0019598B" w:rsidP="00382EC0">
      <w:pPr>
        <w:widowControl w:val="0"/>
        <w:tabs>
          <w:tab w:val="left" w:pos="220"/>
          <w:tab w:val="left" w:pos="720"/>
        </w:tabs>
        <w:autoSpaceDE w:val="0"/>
        <w:autoSpaceDN w:val="0"/>
        <w:adjustRightInd w:val="0"/>
        <w:spacing w:after="240" w:line="300" w:lineRule="atLeast"/>
        <w:rPr>
          <w:color w:val="000000" w:themeColor="text1"/>
          <w:sz w:val="22"/>
          <w:szCs w:val="22"/>
        </w:rPr>
      </w:pPr>
      <w:r w:rsidRPr="00E25580">
        <w:rPr>
          <w:color w:val="000000" w:themeColor="text1"/>
          <w:sz w:val="22"/>
          <w:szCs w:val="22"/>
        </w:rPr>
        <w:t>Department for Education and Skills (2015) ‘</w:t>
      </w:r>
      <w:r w:rsidRPr="00E25580">
        <w:rPr>
          <w:i/>
          <w:color w:val="000000" w:themeColor="text1"/>
          <w:sz w:val="22"/>
          <w:szCs w:val="22"/>
        </w:rPr>
        <w:t xml:space="preserve">Foundation Phase Framework (Revised 2015).’ </w:t>
      </w:r>
      <w:r w:rsidRPr="00E25580">
        <w:rPr>
          <w:color w:val="000000" w:themeColor="text1"/>
          <w:sz w:val="22"/>
          <w:szCs w:val="22"/>
        </w:rPr>
        <w:t>Cardiff: Welsh government. Available at:</w:t>
      </w:r>
    </w:p>
    <w:p w14:paraId="745EF8F8" w14:textId="77578DF5" w:rsidR="00C87137" w:rsidRPr="00E25580" w:rsidRDefault="00E25580" w:rsidP="00382EC0">
      <w:pPr>
        <w:widowControl w:val="0"/>
        <w:tabs>
          <w:tab w:val="left" w:pos="220"/>
          <w:tab w:val="left" w:pos="720"/>
        </w:tabs>
        <w:autoSpaceDE w:val="0"/>
        <w:autoSpaceDN w:val="0"/>
        <w:adjustRightInd w:val="0"/>
        <w:spacing w:after="240" w:line="300" w:lineRule="atLeast"/>
        <w:rPr>
          <w:color w:val="000000" w:themeColor="text1"/>
          <w:sz w:val="22"/>
          <w:szCs w:val="22"/>
        </w:rPr>
      </w:pPr>
      <w:hyperlink r:id="rId8" w:history="1">
        <w:r w:rsidR="007B4EEE" w:rsidRPr="00E25580">
          <w:rPr>
            <w:rStyle w:val="Hyperlink"/>
            <w:sz w:val="22"/>
            <w:szCs w:val="22"/>
          </w:rPr>
          <w:t>https://learning.gov.wales/docs/learningwales/publications/150803-fp-framework-en.pdf</w:t>
        </w:r>
      </w:hyperlink>
      <w:r w:rsidR="0019598B" w:rsidRPr="00E25580">
        <w:rPr>
          <w:color w:val="000000" w:themeColor="text1"/>
          <w:sz w:val="22"/>
          <w:szCs w:val="22"/>
        </w:rPr>
        <w:t xml:space="preserve"> -Last assessed 29/04/19</w:t>
      </w:r>
    </w:p>
    <w:p w14:paraId="2F07A7C4" w14:textId="58A73C73" w:rsidR="00895D5A" w:rsidRPr="00E25580" w:rsidRDefault="00895D5A" w:rsidP="00895D5A">
      <w:pPr>
        <w:widowControl w:val="0"/>
        <w:tabs>
          <w:tab w:val="left" w:pos="220"/>
          <w:tab w:val="left" w:pos="720"/>
        </w:tabs>
        <w:autoSpaceDE w:val="0"/>
        <w:autoSpaceDN w:val="0"/>
        <w:adjustRightInd w:val="0"/>
        <w:spacing w:after="240" w:line="300" w:lineRule="atLeast"/>
        <w:rPr>
          <w:color w:val="000000" w:themeColor="text1"/>
          <w:sz w:val="22"/>
          <w:szCs w:val="22"/>
        </w:rPr>
      </w:pPr>
      <w:r w:rsidRPr="00E25580">
        <w:rPr>
          <w:color w:val="000000" w:themeColor="text1"/>
          <w:sz w:val="22"/>
          <w:szCs w:val="22"/>
        </w:rPr>
        <w:t>Donaldson, G. (2015) ‘</w:t>
      </w:r>
      <w:r w:rsidRPr="00E25580">
        <w:rPr>
          <w:i/>
          <w:color w:val="000000" w:themeColor="text1"/>
          <w:sz w:val="22"/>
          <w:szCs w:val="22"/>
        </w:rPr>
        <w:t>Successful Futures: Independent Review of Curriculum and Assessment</w:t>
      </w:r>
      <w:r w:rsidR="006D2784" w:rsidRPr="00E25580">
        <w:rPr>
          <w:i/>
          <w:color w:val="000000" w:themeColor="text1"/>
          <w:sz w:val="22"/>
          <w:szCs w:val="22"/>
        </w:rPr>
        <w:t xml:space="preserve"> </w:t>
      </w:r>
      <w:r w:rsidRPr="00E25580">
        <w:rPr>
          <w:i/>
          <w:color w:val="000000" w:themeColor="text1"/>
          <w:sz w:val="22"/>
          <w:szCs w:val="22"/>
        </w:rPr>
        <w:t xml:space="preserve">Arrangements in Wales’ </w:t>
      </w:r>
      <w:r w:rsidRPr="00E25580">
        <w:rPr>
          <w:color w:val="000000" w:themeColor="text1"/>
          <w:sz w:val="22"/>
          <w:szCs w:val="22"/>
        </w:rPr>
        <w:t>Crown copyright. Available at:</w:t>
      </w:r>
    </w:p>
    <w:p w14:paraId="585E26E9" w14:textId="668D952E" w:rsidR="00895D5A" w:rsidRPr="00E25580" w:rsidRDefault="00E25580" w:rsidP="00382EC0">
      <w:pPr>
        <w:widowControl w:val="0"/>
        <w:tabs>
          <w:tab w:val="left" w:pos="220"/>
          <w:tab w:val="left" w:pos="720"/>
        </w:tabs>
        <w:autoSpaceDE w:val="0"/>
        <w:autoSpaceDN w:val="0"/>
        <w:adjustRightInd w:val="0"/>
        <w:spacing w:after="240" w:line="300" w:lineRule="atLeast"/>
        <w:rPr>
          <w:color w:val="000000" w:themeColor="text1"/>
          <w:sz w:val="22"/>
          <w:szCs w:val="22"/>
        </w:rPr>
      </w:pPr>
      <w:hyperlink r:id="rId9" w:history="1">
        <w:r w:rsidR="00895D5A" w:rsidRPr="00E25580">
          <w:rPr>
            <w:rStyle w:val="Hyperlink"/>
            <w:sz w:val="22"/>
            <w:szCs w:val="22"/>
          </w:rPr>
          <w:t>https://gweddill.gov.wales/docs/dcells/publications/150225-successful-futures-en.pdf</w:t>
        </w:r>
      </w:hyperlink>
      <w:r w:rsidR="00895D5A" w:rsidRPr="00E25580">
        <w:rPr>
          <w:color w:val="000000" w:themeColor="text1"/>
          <w:sz w:val="22"/>
          <w:szCs w:val="22"/>
        </w:rPr>
        <w:t xml:space="preserve"> -Last assessed 29/04/19</w:t>
      </w:r>
    </w:p>
    <w:p w14:paraId="5D9172FE" w14:textId="77777777" w:rsidR="00895D5A" w:rsidRPr="00E25580" w:rsidRDefault="00895D5A" w:rsidP="00895D5A">
      <w:pPr>
        <w:widowControl w:val="0"/>
        <w:tabs>
          <w:tab w:val="left" w:pos="220"/>
          <w:tab w:val="left" w:pos="720"/>
        </w:tabs>
        <w:autoSpaceDE w:val="0"/>
        <w:autoSpaceDN w:val="0"/>
        <w:adjustRightInd w:val="0"/>
        <w:spacing w:after="240" w:line="300" w:lineRule="atLeast"/>
        <w:rPr>
          <w:color w:val="000000" w:themeColor="text1"/>
          <w:sz w:val="22"/>
          <w:szCs w:val="22"/>
        </w:rPr>
      </w:pPr>
      <w:r w:rsidRPr="00E25580">
        <w:rPr>
          <w:color w:val="000000" w:themeColor="text1"/>
          <w:sz w:val="22"/>
          <w:szCs w:val="22"/>
        </w:rPr>
        <w:t>Haylock, D. and Cockburn, A. (2013) ‘</w:t>
      </w:r>
      <w:r w:rsidRPr="00E25580">
        <w:rPr>
          <w:i/>
          <w:color w:val="000000" w:themeColor="text1"/>
          <w:sz w:val="22"/>
          <w:szCs w:val="22"/>
        </w:rPr>
        <w:t xml:space="preserve">Understanding Mathematics for Young Children: A Quick Guide for Teachers of Children 3-8.’ </w:t>
      </w:r>
      <w:r w:rsidRPr="00E25580">
        <w:rPr>
          <w:color w:val="000000" w:themeColor="text1"/>
          <w:sz w:val="22"/>
          <w:szCs w:val="22"/>
        </w:rPr>
        <w:t>Available at:</w:t>
      </w:r>
    </w:p>
    <w:p w14:paraId="2FF55251" w14:textId="77777777" w:rsidR="00895D5A" w:rsidRPr="00E25580" w:rsidRDefault="00E25580" w:rsidP="00895D5A">
      <w:pPr>
        <w:widowControl w:val="0"/>
        <w:tabs>
          <w:tab w:val="left" w:pos="220"/>
          <w:tab w:val="left" w:pos="720"/>
        </w:tabs>
        <w:autoSpaceDE w:val="0"/>
        <w:autoSpaceDN w:val="0"/>
        <w:adjustRightInd w:val="0"/>
        <w:spacing w:after="240" w:line="300" w:lineRule="atLeast"/>
        <w:rPr>
          <w:color w:val="000000" w:themeColor="text1"/>
          <w:sz w:val="22"/>
          <w:szCs w:val="22"/>
        </w:rPr>
      </w:pPr>
      <w:hyperlink r:id="rId10" w:history="1">
        <w:r w:rsidR="00895D5A" w:rsidRPr="00E25580">
          <w:rPr>
            <w:rStyle w:val="Hyperlink"/>
            <w:sz w:val="22"/>
            <w:szCs w:val="22"/>
          </w:rPr>
          <w:t>http://www.sagepub.com/sites/default/files/upm-binaries/23570_02_Haylock(Understanding)_Ch_01.pdf</w:t>
        </w:r>
      </w:hyperlink>
      <w:r w:rsidR="00895D5A" w:rsidRPr="00E25580">
        <w:rPr>
          <w:color w:val="000000" w:themeColor="text1"/>
          <w:sz w:val="22"/>
          <w:szCs w:val="22"/>
        </w:rPr>
        <w:t xml:space="preserve"> -Last assessed 29/04/19</w:t>
      </w:r>
    </w:p>
    <w:p w14:paraId="3E77C48E" w14:textId="3504BD63" w:rsidR="00F30553" w:rsidRPr="00E25580" w:rsidRDefault="00E829E0" w:rsidP="0019598B">
      <w:pPr>
        <w:widowControl w:val="0"/>
        <w:tabs>
          <w:tab w:val="left" w:pos="220"/>
          <w:tab w:val="left" w:pos="720"/>
        </w:tabs>
        <w:autoSpaceDE w:val="0"/>
        <w:autoSpaceDN w:val="0"/>
        <w:adjustRightInd w:val="0"/>
        <w:spacing w:after="240" w:line="300" w:lineRule="atLeast"/>
        <w:rPr>
          <w:color w:val="000000" w:themeColor="text1"/>
          <w:sz w:val="22"/>
          <w:szCs w:val="22"/>
        </w:rPr>
      </w:pPr>
      <w:r w:rsidRPr="00E25580">
        <w:rPr>
          <w:color w:val="000000" w:themeColor="text1"/>
          <w:sz w:val="22"/>
          <w:szCs w:val="22"/>
        </w:rPr>
        <w:t>McLeod, S. (2018) ‘</w:t>
      </w:r>
      <w:r w:rsidRPr="00E25580">
        <w:rPr>
          <w:i/>
          <w:color w:val="000000" w:themeColor="text1"/>
          <w:sz w:val="22"/>
          <w:szCs w:val="22"/>
        </w:rPr>
        <w:t xml:space="preserve">The Zone of Proximal Development and Scaffolding.’ </w:t>
      </w:r>
      <w:r w:rsidRPr="00E25580">
        <w:rPr>
          <w:color w:val="000000" w:themeColor="text1"/>
          <w:sz w:val="22"/>
          <w:szCs w:val="22"/>
        </w:rPr>
        <w:t>Available at:</w:t>
      </w:r>
    </w:p>
    <w:p w14:paraId="041F178A" w14:textId="5BD1E27F" w:rsidR="0019598B" w:rsidRPr="00E25580" w:rsidRDefault="00E25580" w:rsidP="0019598B">
      <w:pPr>
        <w:widowControl w:val="0"/>
        <w:tabs>
          <w:tab w:val="left" w:pos="220"/>
          <w:tab w:val="left" w:pos="720"/>
        </w:tabs>
        <w:autoSpaceDE w:val="0"/>
        <w:autoSpaceDN w:val="0"/>
        <w:adjustRightInd w:val="0"/>
        <w:spacing w:after="240" w:line="300" w:lineRule="atLeast"/>
        <w:rPr>
          <w:i/>
          <w:color w:val="000000" w:themeColor="text1"/>
          <w:sz w:val="22"/>
          <w:szCs w:val="22"/>
        </w:rPr>
      </w:pPr>
      <w:hyperlink r:id="rId11" w:history="1">
        <w:r w:rsidR="00E829E0" w:rsidRPr="00E25580">
          <w:rPr>
            <w:rStyle w:val="Hyperlink"/>
            <w:sz w:val="22"/>
            <w:szCs w:val="22"/>
          </w:rPr>
          <w:t>https://www.simplypsychology.org/Zone-of-Proximal-Development.html</w:t>
        </w:r>
      </w:hyperlink>
      <w:r w:rsidR="00E829E0" w:rsidRPr="00E25580">
        <w:rPr>
          <w:i/>
          <w:color w:val="000000" w:themeColor="text1"/>
          <w:sz w:val="22"/>
          <w:szCs w:val="22"/>
        </w:rPr>
        <w:t xml:space="preserve"> </w:t>
      </w:r>
      <w:r w:rsidR="0019598B" w:rsidRPr="00E25580">
        <w:rPr>
          <w:color w:val="000000" w:themeColor="text1"/>
          <w:sz w:val="22"/>
          <w:szCs w:val="22"/>
        </w:rPr>
        <w:t>-Last assessed 29/04/19</w:t>
      </w:r>
    </w:p>
    <w:p w14:paraId="1469BE11" w14:textId="77777777" w:rsidR="006D2784" w:rsidRPr="00E25580" w:rsidRDefault="00895D5A" w:rsidP="00895D5A">
      <w:pPr>
        <w:widowControl w:val="0"/>
        <w:tabs>
          <w:tab w:val="left" w:pos="220"/>
          <w:tab w:val="left" w:pos="720"/>
        </w:tabs>
        <w:autoSpaceDE w:val="0"/>
        <w:autoSpaceDN w:val="0"/>
        <w:adjustRightInd w:val="0"/>
        <w:spacing w:after="240" w:line="300" w:lineRule="atLeast"/>
        <w:rPr>
          <w:color w:val="000000" w:themeColor="text1"/>
          <w:sz w:val="22"/>
          <w:szCs w:val="22"/>
        </w:rPr>
      </w:pPr>
      <w:r w:rsidRPr="00E25580">
        <w:rPr>
          <w:color w:val="000000" w:themeColor="text1"/>
          <w:sz w:val="22"/>
          <w:szCs w:val="22"/>
        </w:rPr>
        <w:t>Millard, W. and Gaunt, A. (2018) ‘</w:t>
      </w:r>
      <w:r w:rsidRPr="00E25580">
        <w:rPr>
          <w:i/>
          <w:color w:val="000000" w:themeColor="text1"/>
          <w:sz w:val="22"/>
          <w:szCs w:val="22"/>
        </w:rPr>
        <w:t>Speaking up: The Importance of Oracy In Teaching and Learning.’</w:t>
      </w:r>
      <w:r w:rsidRPr="00E25580">
        <w:rPr>
          <w:color w:val="000000" w:themeColor="text1"/>
          <w:sz w:val="22"/>
          <w:szCs w:val="22"/>
        </w:rPr>
        <w:t xml:space="preserve">, Available at: </w:t>
      </w:r>
    </w:p>
    <w:p w14:paraId="1961B6BB" w14:textId="0EEB371C" w:rsidR="00895D5A" w:rsidRPr="00E25580" w:rsidRDefault="00E25580" w:rsidP="00895D5A">
      <w:pPr>
        <w:widowControl w:val="0"/>
        <w:tabs>
          <w:tab w:val="left" w:pos="220"/>
          <w:tab w:val="left" w:pos="720"/>
        </w:tabs>
        <w:autoSpaceDE w:val="0"/>
        <w:autoSpaceDN w:val="0"/>
        <w:adjustRightInd w:val="0"/>
        <w:spacing w:after="240" w:line="300" w:lineRule="atLeast"/>
        <w:rPr>
          <w:color w:val="000000" w:themeColor="text1"/>
          <w:sz w:val="22"/>
          <w:szCs w:val="22"/>
        </w:rPr>
      </w:pPr>
      <w:hyperlink r:id="rId12" w:history="1">
        <w:r w:rsidR="00895D5A" w:rsidRPr="00E25580">
          <w:rPr>
            <w:rStyle w:val="Hyperlink"/>
            <w:sz w:val="22"/>
            <w:szCs w:val="22"/>
          </w:rPr>
          <w:t>https://impact.chartered.college/article/millard-importance-of-oracy-in-teaching-learning/</w:t>
        </w:r>
      </w:hyperlink>
      <w:r w:rsidR="00895D5A" w:rsidRPr="00E25580">
        <w:rPr>
          <w:color w:val="000000" w:themeColor="text1"/>
          <w:sz w:val="22"/>
          <w:szCs w:val="22"/>
        </w:rPr>
        <w:t xml:space="preserve"> -Last assessed 29/04/19</w:t>
      </w:r>
    </w:p>
    <w:p w14:paraId="1FD81066" w14:textId="77777777" w:rsidR="006D2784" w:rsidRPr="00E25580" w:rsidRDefault="006D2784" w:rsidP="006D2784">
      <w:pPr>
        <w:widowControl w:val="0"/>
        <w:tabs>
          <w:tab w:val="left" w:pos="220"/>
          <w:tab w:val="left" w:pos="720"/>
        </w:tabs>
        <w:autoSpaceDE w:val="0"/>
        <w:autoSpaceDN w:val="0"/>
        <w:adjustRightInd w:val="0"/>
        <w:spacing w:after="240" w:line="300" w:lineRule="atLeast"/>
        <w:rPr>
          <w:color w:val="000000" w:themeColor="text1"/>
          <w:sz w:val="22"/>
          <w:szCs w:val="22"/>
        </w:rPr>
      </w:pPr>
      <w:r w:rsidRPr="00E25580">
        <w:rPr>
          <w:color w:val="000000" w:themeColor="text1"/>
          <w:sz w:val="22"/>
          <w:szCs w:val="22"/>
        </w:rPr>
        <w:t>Thornton, T. (2015) ‘</w:t>
      </w:r>
      <w:r w:rsidRPr="00E25580">
        <w:rPr>
          <w:i/>
          <w:color w:val="000000" w:themeColor="text1"/>
          <w:sz w:val="22"/>
          <w:szCs w:val="22"/>
        </w:rPr>
        <w:t xml:space="preserve">Getting the right balance between adult- led and child- initiated learning.’ </w:t>
      </w:r>
      <w:r w:rsidRPr="00E25580">
        <w:rPr>
          <w:color w:val="000000" w:themeColor="text1"/>
          <w:sz w:val="22"/>
          <w:szCs w:val="22"/>
        </w:rPr>
        <w:t>Available at:</w:t>
      </w:r>
    </w:p>
    <w:p w14:paraId="5712DA7F" w14:textId="3EF9E8EE" w:rsidR="006D2784" w:rsidRPr="00E25580" w:rsidRDefault="00E25580" w:rsidP="006D2784">
      <w:pPr>
        <w:widowControl w:val="0"/>
        <w:tabs>
          <w:tab w:val="left" w:pos="220"/>
          <w:tab w:val="left" w:pos="720"/>
        </w:tabs>
        <w:autoSpaceDE w:val="0"/>
        <w:autoSpaceDN w:val="0"/>
        <w:adjustRightInd w:val="0"/>
        <w:spacing w:after="240" w:line="300" w:lineRule="atLeast"/>
        <w:rPr>
          <w:color w:val="000000" w:themeColor="text1"/>
          <w:sz w:val="22"/>
          <w:szCs w:val="22"/>
        </w:rPr>
      </w:pPr>
      <w:hyperlink r:id="rId13" w:history="1">
        <w:r w:rsidR="006D2784" w:rsidRPr="00E25580">
          <w:rPr>
            <w:rStyle w:val="Hyperlink"/>
            <w:sz w:val="22"/>
            <w:szCs w:val="22"/>
          </w:rPr>
          <w:t>https://blog.optimus-education.com/getting-right-balance-between-adult-led-and-child-initiated-learning</w:t>
        </w:r>
      </w:hyperlink>
      <w:r w:rsidR="006D2784" w:rsidRPr="00E25580">
        <w:rPr>
          <w:color w:val="000000" w:themeColor="text1"/>
          <w:sz w:val="22"/>
          <w:szCs w:val="22"/>
        </w:rPr>
        <w:t xml:space="preserve"> -Last assessed 29/04/19</w:t>
      </w:r>
    </w:p>
    <w:p w14:paraId="05561689" w14:textId="77777777" w:rsidR="00F16B10" w:rsidRPr="00E25580" w:rsidRDefault="00F16B10" w:rsidP="00382EC0">
      <w:pPr>
        <w:widowControl w:val="0"/>
        <w:tabs>
          <w:tab w:val="left" w:pos="220"/>
          <w:tab w:val="left" w:pos="720"/>
        </w:tabs>
        <w:autoSpaceDE w:val="0"/>
        <w:autoSpaceDN w:val="0"/>
        <w:adjustRightInd w:val="0"/>
        <w:spacing w:after="240" w:line="300" w:lineRule="atLeast"/>
        <w:rPr>
          <w:color w:val="000000" w:themeColor="text1"/>
          <w:sz w:val="22"/>
          <w:szCs w:val="22"/>
        </w:rPr>
      </w:pPr>
    </w:p>
    <w:p w14:paraId="16872B44" w14:textId="77777777" w:rsidR="00C37C84" w:rsidRPr="00E25580" w:rsidRDefault="00C37C84" w:rsidP="00382EC0">
      <w:pPr>
        <w:widowControl w:val="0"/>
        <w:tabs>
          <w:tab w:val="left" w:pos="220"/>
          <w:tab w:val="left" w:pos="720"/>
        </w:tabs>
        <w:autoSpaceDE w:val="0"/>
        <w:autoSpaceDN w:val="0"/>
        <w:adjustRightInd w:val="0"/>
        <w:spacing w:after="240" w:line="300" w:lineRule="atLeast"/>
        <w:rPr>
          <w:color w:val="000000" w:themeColor="text1"/>
          <w:sz w:val="22"/>
          <w:szCs w:val="22"/>
        </w:rPr>
      </w:pPr>
      <w:bookmarkStart w:id="0" w:name="_GoBack"/>
      <w:bookmarkEnd w:id="0"/>
    </w:p>
    <w:sectPr w:rsidR="00C37C84" w:rsidRPr="00E25580" w:rsidSect="008A7DEA">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panose1 w:val="02020609040205080304"/>
    <w:charset w:val="80"/>
    <w:family w:val="roma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7"/>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0A47"/>
    <w:rsid w:val="00037566"/>
    <w:rsid w:val="000E1C14"/>
    <w:rsid w:val="00124AD2"/>
    <w:rsid w:val="001306A2"/>
    <w:rsid w:val="0019598B"/>
    <w:rsid w:val="001B6498"/>
    <w:rsid w:val="00217213"/>
    <w:rsid w:val="002522DB"/>
    <w:rsid w:val="0030235D"/>
    <w:rsid w:val="00324B92"/>
    <w:rsid w:val="00382EC0"/>
    <w:rsid w:val="004528D8"/>
    <w:rsid w:val="00563ACB"/>
    <w:rsid w:val="00573297"/>
    <w:rsid w:val="006820B9"/>
    <w:rsid w:val="006D2784"/>
    <w:rsid w:val="006F3E3A"/>
    <w:rsid w:val="0070085F"/>
    <w:rsid w:val="007B4EEE"/>
    <w:rsid w:val="007E5353"/>
    <w:rsid w:val="00895D5A"/>
    <w:rsid w:val="008C4ED6"/>
    <w:rsid w:val="00906A48"/>
    <w:rsid w:val="00994371"/>
    <w:rsid w:val="009B6634"/>
    <w:rsid w:val="009F701B"/>
    <w:rsid w:val="00B50E4B"/>
    <w:rsid w:val="00BB4A1A"/>
    <w:rsid w:val="00BB613A"/>
    <w:rsid w:val="00C37C84"/>
    <w:rsid w:val="00C54F54"/>
    <w:rsid w:val="00C87137"/>
    <w:rsid w:val="00D64A46"/>
    <w:rsid w:val="00D762CD"/>
    <w:rsid w:val="00E25580"/>
    <w:rsid w:val="00E66038"/>
    <w:rsid w:val="00E829E0"/>
    <w:rsid w:val="00E90628"/>
    <w:rsid w:val="00EE27F5"/>
    <w:rsid w:val="00F16B10"/>
    <w:rsid w:val="00F20A47"/>
    <w:rsid w:val="00F30553"/>
    <w:rsid w:val="00F97A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FD95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20A47"/>
  </w:style>
  <w:style w:type="character" w:styleId="Hyperlink">
    <w:name w:val="Hyperlink"/>
    <w:basedOn w:val="DefaultParagraphFont"/>
    <w:uiPriority w:val="99"/>
    <w:unhideWhenUsed/>
    <w:rsid w:val="00F20A47"/>
    <w:rPr>
      <w:color w:val="0000FF"/>
      <w:u w:val="single"/>
    </w:rPr>
  </w:style>
  <w:style w:type="paragraph" w:styleId="NormalWeb">
    <w:name w:val="Normal (Web)"/>
    <w:basedOn w:val="Normal"/>
    <w:uiPriority w:val="99"/>
    <w:semiHidden/>
    <w:unhideWhenUsed/>
    <w:rsid w:val="00F20A47"/>
    <w:pPr>
      <w:spacing w:before="100" w:beforeAutospacing="1" w:after="100" w:afterAutospacing="1"/>
    </w:pPr>
    <w:rPr>
      <w:rFonts w:ascii="Times New Roman" w:hAnsi="Times New Roman" w:cs="Times New Roman"/>
      <w:lang w:eastAsia="en-GB"/>
    </w:rPr>
  </w:style>
  <w:style w:type="character" w:styleId="FollowedHyperlink">
    <w:name w:val="FollowedHyperlink"/>
    <w:basedOn w:val="DefaultParagraphFont"/>
    <w:uiPriority w:val="99"/>
    <w:semiHidden/>
    <w:unhideWhenUsed/>
    <w:rsid w:val="00F20A47"/>
    <w:rPr>
      <w:color w:val="954F72" w:themeColor="followedHyperlink"/>
      <w:u w:val="single"/>
    </w:rPr>
  </w:style>
  <w:style w:type="paragraph" w:styleId="ListParagraph">
    <w:name w:val="List Paragraph"/>
    <w:basedOn w:val="Normal"/>
    <w:uiPriority w:val="34"/>
    <w:qFormat/>
    <w:rsid w:val="00D64A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760536">
      <w:bodyDiv w:val="1"/>
      <w:marLeft w:val="0"/>
      <w:marRight w:val="0"/>
      <w:marTop w:val="0"/>
      <w:marBottom w:val="0"/>
      <w:divBdr>
        <w:top w:val="none" w:sz="0" w:space="0" w:color="auto"/>
        <w:left w:val="none" w:sz="0" w:space="0" w:color="auto"/>
        <w:bottom w:val="none" w:sz="0" w:space="0" w:color="auto"/>
        <w:right w:val="none" w:sz="0" w:space="0" w:color="auto"/>
      </w:divBdr>
    </w:div>
    <w:div w:id="306936837">
      <w:bodyDiv w:val="1"/>
      <w:marLeft w:val="0"/>
      <w:marRight w:val="0"/>
      <w:marTop w:val="0"/>
      <w:marBottom w:val="0"/>
      <w:divBdr>
        <w:top w:val="none" w:sz="0" w:space="0" w:color="auto"/>
        <w:left w:val="none" w:sz="0" w:space="0" w:color="auto"/>
        <w:bottom w:val="none" w:sz="0" w:space="0" w:color="auto"/>
        <w:right w:val="none" w:sz="0" w:space="0" w:color="auto"/>
      </w:divBdr>
    </w:div>
    <w:div w:id="499974324">
      <w:bodyDiv w:val="1"/>
      <w:marLeft w:val="0"/>
      <w:marRight w:val="0"/>
      <w:marTop w:val="0"/>
      <w:marBottom w:val="0"/>
      <w:divBdr>
        <w:top w:val="none" w:sz="0" w:space="0" w:color="auto"/>
        <w:left w:val="none" w:sz="0" w:space="0" w:color="auto"/>
        <w:bottom w:val="none" w:sz="0" w:space="0" w:color="auto"/>
        <w:right w:val="none" w:sz="0" w:space="0" w:color="auto"/>
      </w:divBdr>
    </w:div>
    <w:div w:id="611014291">
      <w:bodyDiv w:val="1"/>
      <w:marLeft w:val="0"/>
      <w:marRight w:val="0"/>
      <w:marTop w:val="0"/>
      <w:marBottom w:val="0"/>
      <w:divBdr>
        <w:top w:val="none" w:sz="0" w:space="0" w:color="auto"/>
        <w:left w:val="none" w:sz="0" w:space="0" w:color="auto"/>
        <w:bottom w:val="none" w:sz="0" w:space="0" w:color="auto"/>
        <w:right w:val="none" w:sz="0" w:space="0" w:color="auto"/>
      </w:divBdr>
    </w:div>
    <w:div w:id="1709793458">
      <w:bodyDiv w:val="1"/>
      <w:marLeft w:val="0"/>
      <w:marRight w:val="0"/>
      <w:marTop w:val="0"/>
      <w:marBottom w:val="0"/>
      <w:divBdr>
        <w:top w:val="none" w:sz="0" w:space="0" w:color="auto"/>
        <w:left w:val="none" w:sz="0" w:space="0" w:color="auto"/>
        <w:bottom w:val="none" w:sz="0" w:space="0" w:color="auto"/>
        <w:right w:val="none" w:sz="0" w:space="0" w:color="auto"/>
      </w:divBdr>
    </w:div>
    <w:div w:id="1857232988">
      <w:bodyDiv w:val="1"/>
      <w:marLeft w:val="0"/>
      <w:marRight w:val="0"/>
      <w:marTop w:val="0"/>
      <w:marBottom w:val="0"/>
      <w:divBdr>
        <w:top w:val="none" w:sz="0" w:space="0" w:color="auto"/>
        <w:left w:val="none" w:sz="0" w:space="0" w:color="auto"/>
        <w:bottom w:val="none" w:sz="0" w:space="0" w:color="auto"/>
        <w:right w:val="none" w:sz="0" w:space="0" w:color="auto"/>
      </w:divBdr>
    </w:div>
    <w:div w:id="2076854252">
      <w:bodyDiv w:val="1"/>
      <w:marLeft w:val="0"/>
      <w:marRight w:val="0"/>
      <w:marTop w:val="0"/>
      <w:marBottom w:val="0"/>
      <w:divBdr>
        <w:top w:val="none" w:sz="0" w:space="0" w:color="auto"/>
        <w:left w:val="none" w:sz="0" w:space="0" w:color="auto"/>
        <w:bottom w:val="none" w:sz="0" w:space="0" w:color="auto"/>
        <w:right w:val="none" w:sz="0" w:space="0" w:color="auto"/>
      </w:divBdr>
    </w:div>
    <w:div w:id="208957385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www.simplypsychology.org/Zone-of-Proximal-Development.html" TargetMode="External"/><Relationship Id="rId12" Type="http://schemas.openxmlformats.org/officeDocument/2006/relationships/hyperlink" Target="https://impact.chartered.college/article/millard-importance-of-oracy-in-teaching-learning/" TargetMode="External"/><Relationship Id="rId13" Type="http://schemas.openxmlformats.org/officeDocument/2006/relationships/hyperlink" Target="https://blog.optimus-education.com/getting-right-balance-between-adult-led-and-child-initiated-learning" TargetMode="Externa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verywellmind.com/gardners-theory-of-multiple-intelligences-2795161" TargetMode="External"/><Relationship Id="rId7" Type="http://schemas.openxmlformats.org/officeDocument/2006/relationships/hyperlink" Target="https://learning.gov.wales/docs/learningwales/publications/150717-nc-maths-en-v2.pdf" TargetMode="External"/><Relationship Id="rId8" Type="http://schemas.openxmlformats.org/officeDocument/2006/relationships/hyperlink" Target="https://learning.gov.wales/docs/learningwales/publications/150803-fp-framework-en.pdf" TargetMode="External"/><Relationship Id="rId9" Type="http://schemas.openxmlformats.org/officeDocument/2006/relationships/hyperlink" Target="https://gweddill.gov.wales/docs/dcells/publications/150225-successful-futures-en.pdf" TargetMode="External"/><Relationship Id="rId10" Type="http://schemas.openxmlformats.org/officeDocument/2006/relationships/hyperlink" Target="http://www.sagepub.com/sites/default/files/upm-binaries/23570_02_Haylock(Understanding)_Ch_0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D8F57CAE-8A23-4440-BE4F-F998A2B42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6</Pages>
  <Words>2944</Words>
  <Characters>16786</Characters>
  <Application>Microsoft Macintosh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Lawley</dc:creator>
  <cp:keywords/>
  <dc:description/>
  <cp:lastModifiedBy>Megan Lawley</cp:lastModifiedBy>
  <cp:revision>5</cp:revision>
  <dcterms:created xsi:type="dcterms:W3CDTF">2019-04-04T17:32:00Z</dcterms:created>
  <dcterms:modified xsi:type="dcterms:W3CDTF">2019-04-29T12:56:00Z</dcterms:modified>
</cp:coreProperties>
</file>