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AA1F6" w14:textId="28CAFFCB" w:rsidR="00487E38" w:rsidRPr="00487E38" w:rsidRDefault="00487E38" w:rsidP="00595DC6">
      <w:pPr>
        <w:rPr>
          <w:sz w:val="28"/>
          <w:szCs w:val="28"/>
        </w:rPr>
      </w:pPr>
      <w:r w:rsidRPr="00487E38">
        <w:rPr>
          <w:sz w:val="28"/>
          <w:szCs w:val="28"/>
        </w:rPr>
        <w:t>Specialist employment law. Donna Macdonald 2413460</w:t>
      </w:r>
    </w:p>
    <w:p w14:paraId="34E9649D" w14:textId="5EE7CF1F" w:rsidR="00487E38" w:rsidRPr="00487E38" w:rsidRDefault="00487E38" w:rsidP="00595DC6">
      <w:pPr>
        <w:rPr>
          <w:b/>
          <w:bCs/>
          <w:sz w:val="28"/>
          <w:szCs w:val="28"/>
        </w:rPr>
      </w:pPr>
      <w:r w:rsidRPr="00487E38">
        <w:rPr>
          <w:sz w:val="28"/>
          <w:szCs w:val="28"/>
        </w:rPr>
        <w:t xml:space="preserve">Word count- </w:t>
      </w:r>
      <w:r w:rsidRPr="00157886">
        <w:rPr>
          <w:strike/>
          <w:sz w:val="28"/>
          <w:szCs w:val="28"/>
        </w:rPr>
        <w:t>4251</w:t>
      </w:r>
      <w:r w:rsidR="00157886">
        <w:rPr>
          <w:strike/>
          <w:sz w:val="28"/>
          <w:szCs w:val="28"/>
        </w:rPr>
        <w:t xml:space="preserve"> </w:t>
      </w:r>
      <w:r w:rsidR="00157886" w:rsidRPr="00157886">
        <w:rPr>
          <w:color w:val="FF0000"/>
          <w:sz w:val="28"/>
          <w:szCs w:val="28"/>
        </w:rPr>
        <w:t>4038</w:t>
      </w:r>
    </w:p>
    <w:p w14:paraId="28B2D387" w14:textId="77777777" w:rsidR="00487E38" w:rsidRDefault="00487E38" w:rsidP="00595DC6">
      <w:pPr>
        <w:rPr>
          <w:b/>
          <w:bCs/>
        </w:rPr>
      </w:pPr>
    </w:p>
    <w:p w14:paraId="7B822D9F" w14:textId="0A743F73" w:rsidR="00595DC6" w:rsidRDefault="00595DC6" w:rsidP="00595DC6">
      <w:pPr>
        <w:rPr>
          <w:rFonts w:eastAsia="Arial" w:cs="Arial"/>
          <w:kern w:val="0"/>
          <w14:ligatures w14:val="none"/>
        </w:rPr>
      </w:pPr>
      <w:r w:rsidRPr="00487E38">
        <w:rPr>
          <w:b/>
          <w:bCs/>
        </w:rPr>
        <w:t xml:space="preserve">AC 1.1 </w:t>
      </w:r>
      <w:r w:rsidRPr="00487E38">
        <w:rPr>
          <w:rFonts w:eastAsia="Arial" w:cs="Arial"/>
          <w:b/>
          <w:bCs/>
          <w:kern w:val="0"/>
          <w14:ligatures w14:val="none"/>
        </w:rPr>
        <w:t>Evaluate the aims and objectives of employment regulation</w:t>
      </w:r>
      <w:r w:rsidRPr="00595DC6">
        <w:rPr>
          <w:rFonts w:eastAsia="Arial" w:cs="Arial"/>
          <w:kern w:val="0"/>
          <w14:ligatures w14:val="none"/>
        </w:rPr>
        <w:t>.</w:t>
      </w:r>
    </w:p>
    <w:p w14:paraId="15C2A7B9" w14:textId="77777777" w:rsidR="00487E38" w:rsidRPr="00487E38" w:rsidRDefault="00487E38" w:rsidP="00487E38">
      <w:pPr>
        <w:rPr>
          <w:rFonts w:eastAsia="Arial" w:cs="Arial"/>
          <w:kern w:val="0"/>
          <w14:ligatures w14:val="none"/>
        </w:rPr>
      </w:pPr>
      <w:r w:rsidRPr="00487E38">
        <w:rPr>
          <w:rFonts w:eastAsia="Arial" w:cs="Arial"/>
          <w:kern w:val="0"/>
          <w14:ligatures w14:val="none"/>
        </w:rPr>
        <w:t>It is understandable to feel frustrated about how much time employment regulation can take up, especially when that time could be spent on visible improvements to staff experience. But employment law is not just about avoiding trouble or ticking boxes. It plays a central role in protecting people at work, promoting fairness, and creating the conditions for a stable and respectful working environment.</w:t>
      </w:r>
    </w:p>
    <w:p w14:paraId="67A9258B" w14:textId="77777777" w:rsidR="00487E38" w:rsidRPr="00487E38" w:rsidRDefault="00487E38" w:rsidP="00487E38">
      <w:pPr>
        <w:rPr>
          <w:rFonts w:eastAsia="Arial" w:cs="Arial"/>
          <w:kern w:val="0"/>
          <w14:ligatures w14:val="none"/>
        </w:rPr>
      </w:pPr>
      <w:r w:rsidRPr="00487E38">
        <w:rPr>
          <w:rFonts w:eastAsia="Arial" w:cs="Arial"/>
          <w:kern w:val="0"/>
          <w14:ligatures w14:val="none"/>
        </w:rPr>
        <w:t xml:space="preserve">One of the </w:t>
      </w:r>
      <w:proofErr w:type="gramStart"/>
      <w:r w:rsidRPr="00487E38">
        <w:rPr>
          <w:rFonts w:eastAsia="Arial" w:cs="Arial"/>
          <w:kern w:val="0"/>
          <w14:ligatures w14:val="none"/>
        </w:rPr>
        <w:t>key</w:t>
      </w:r>
      <w:proofErr w:type="gramEnd"/>
      <w:r w:rsidRPr="00487E38">
        <w:rPr>
          <w:rFonts w:eastAsia="Arial" w:cs="Arial"/>
          <w:kern w:val="0"/>
          <w14:ligatures w14:val="none"/>
        </w:rPr>
        <w:t xml:space="preserve"> aims of employment regulation is to balance the power between employer and employee. Employers usually have more influence, access to resources, and legal knowledge. Regulation helps ensure that workers are not exposed to unfair treatment. The Employment Rights Act 1996 provides rights such as protection from unfair dismissal, written terms of employment, redundancy </w:t>
      </w:r>
      <w:proofErr w:type="gramStart"/>
      <w:r w:rsidRPr="00487E38">
        <w:rPr>
          <w:rFonts w:eastAsia="Arial" w:cs="Arial"/>
          <w:kern w:val="0"/>
          <w14:ligatures w14:val="none"/>
        </w:rPr>
        <w:t>pay, and</w:t>
      </w:r>
      <w:proofErr w:type="gramEnd"/>
      <w:r w:rsidRPr="00487E38">
        <w:rPr>
          <w:rFonts w:eastAsia="Arial" w:cs="Arial"/>
          <w:kern w:val="0"/>
          <w14:ligatures w14:val="none"/>
        </w:rPr>
        <w:t xml:space="preserve"> notice periods. These rights give employees security and encourage employers to manage fairly and transparently. Without them, disputes and reputational damage become far more likely.</w:t>
      </w:r>
    </w:p>
    <w:p w14:paraId="5F122E52" w14:textId="77777777" w:rsidR="00487E38" w:rsidRPr="00487E38" w:rsidRDefault="00487E38" w:rsidP="00487E38">
      <w:pPr>
        <w:rPr>
          <w:rFonts w:eastAsia="Arial" w:cs="Arial"/>
          <w:kern w:val="0"/>
          <w14:ligatures w14:val="none"/>
        </w:rPr>
      </w:pPr>
      <w:r w:rsidRPr="00487E38">
        <w:rPr>
          <w:rFonts w:eastAsia="Arial" w:cs="Arial"/>
          <w:kern w:val="0"/>
          <w14:ligatures w14:val="none"/>
        </w:rPr>
        <w:t xml:space="preserve">Another important aim of employment regulation is to tackle inequality. The Equality Act 2010 created a single legal framework to prevent discrimination </w:t>
      </w:r>
      <w:proofErr w:type="gramStart"/>
      <w:r w:rsidRPr="00487E38">
        <w:rPr>
          <w:rFonts w:eastAsia="Arial" w:cs="Arial"/>
          <w:kern w:val="0"/>
          <w14:ligatures w14:val="none"/>
        </w:rPr>
        <w:t>on the basis of</w:t>
      </w:r>
      <w:proofErr w:type="gramEnd"/>
      <w:r w:rsidRPr="00487E38">
        <w:rPr>
          <w:rFonts w:eastAsia="Arial" w:cs="Arial"/>
          <w:kern w:val="0"/>
          <w14:ligatures w14:val="none"/>
        </w:rPr>
        <w:t xml:space="preserve"> protected characteristics such as age, sex, race, and disability. These protections apply not just in employment but during recruitment and promotion. The case of </w:t>
      </w:r>
      <w:r w:rsidRPr="00487E38">
        <w:rPr>
          <w:rFonts w:eastAsia="Arial" w:cs="Arial"/>
          <w:i/>
          <w:iCs/>
          <w:kern w:val="0"/>
          <w14:ligatures w14:val="none"/>
        </w:rPr>
        <w:t>Mandla v Dowell Lee</w:t>
      </w:r>
      <w:r w:rsidRPr="00487E38">
        <w:rPr>
          <w:rFonts w:eastAsia="Arial" w:cs="Arial"/>
          <w:kern w:val="0"/>
          <w14:ligatures w14:val="none"/>
        </w:rPr>
        <w:t xml:space="preserve"> [1983] 2 AC 548, where a Sikh schoolboy was told he could not wear a turban, helped define indirect discrimination and the importance of cultural sensitivity in </w:t>
      </w:r>
      <w:proofErr w:type="gramStart"/>
      <w:r w:rsidRPr="00487E38">
        <w:rPr>
          <w:rFonts w:eastAsia="Arial" w:cs="Arial"/>
          <w:kern w:val="0"/>
          <w14:ligatures w14:val="none"/>
        </w:rPr>
        <w:t>policy-making</w:t>
      </w:r>
      <w:proofErr w:type="gramEnd"/>
      <w:r w:rsidRPr="00487E38">
        <w:rPr>
          <w:rFonts w:eastAsia="Arial" w:cs="Arial"/>
          <w:kern w:val="0"/>
          <w14:ligatures w14:val="none"/>
        </w:rPr>
        <w:t>.</w:t>
      </w:r>
    </w:p>
    <w:p w14:paraId="5787DE0C" w14:textId="77777777" w:rsidR="00487E38" w:rsidRPr="00487E38" w:rsidRDefault="00487E38" w:rsidP="00487E38">
      <w:pPr>
        <w:rPr>
          <w:rFonts w:eastAsia="Arial" w:cs="Arial"/>
          <w:kern w:val="0"/>
          <w14:ligatures w14:val="none"/>
        </w:rPr>
      </w:pPr>
      <w:r w:rsidRPr="00487E38">
        <w:rPr>
          <w:rFonts w:eastAsia="Arial" w:cs="Arial"/>
          <w:kern w:val="0"/>
          <w14:ligatures w14:val="none"/>
        </w:rPr>
        <w:t xml:space="preserve">There is also a strong business case for regulation. Although some employers see it as restrictive, legal frameworks reduce uncertainty and protect organisations from risk. In </w:t>
      </w:r>
      <w:r w:rsidRPr="00487E38">
        <w:rPr>
          <w:rFonts w:eastAsia="Arial" w:cs="Arial"/>
          <w:i/>
          <w:iCs/>
          <w:kern w:val="0"/>
          <w14:ligatures w14:val="none"/>
        </w:rPr>
        <w:t>Smith v Pimlico Plumbers Ltd</w:t>
      </w:r>
      <w:r w:rsidRPr="00487E38">
        <w:rPr>
          <w:rFonts w:eastAsia="Arial" w:cs="Arial"/>
          <w:kern w:val="0"/>
          <w14:ligatures w14:val="none"/>
        </w:rPr>
        <w:t xml:space="preserve"> [2022] EWCA </w:t>
      </w:r>
      <w:proofErr w:type="spellStart"/>
      <w:r w:rsidRPr="00487E38">
        <w:rPr>
          <w:rFonts w:eastAsia="Arial" w:cs="Arial"/>
          <w:kern w:val="0"/>
          <w14:ligatures w14:val="none"/>
        </w:rPr>
        <w:t>Civ</w:t>
      </w:r>
      <w:proofErr w:type="spellEnd"/>
      <w:r w:rsidRPr="00487E38">
        <w:rPr>
          <w:rFonts w:eastAsia="Arial" w:cs="Arial"/>
          <w:kern w:val="0"/>
          <w14:ligatures w14:val="none"/>
        </w:rPr>
        <w:t xml:space="preserve"> 70, the employer wrongly classified a worker as self-employed and was later found liable for backdated holiday pay. A clearer understanding of employment status would have avoided this outcome.</w:t>
      </w:r>
    </w:p>
    <w:p w14:paraId="125E5F88" w14:textId="77777777" w:rsidR="00487E38" w:rsidRPr="00487E38" w:rsidRDefault="00487E38" w:rsidP="00487E38">
      <w:pPr>
        <w:rPr>
          <w:rFonts w:eastAsia="Arial" w:cs="Arial"/>
          <w:kern w:val="0"/>
          <w14:ligatures w14:val="none"/>
        </w:rPr>
      </w:pPr>
      <w:r w:rsidRPr="00487E38">
        <w:rPr>
          <w:rFonts w:eastAsia="Arial" w:cs="Arial"/>
          <w:kern w:val="0"/>
          <w14:ligatures w14:val="none"/>
        </w:rPr>
        <w:t>Regulation supports early resolution of disputes through bodies such as ACAS. In 2023–24, ACAS resolved over 90,000 cases before they reached tribunal (ACAS, 2025). This helps employers avoid legal costs and reputational harm.</w:t>
      </w:r>
    </w:p>
    <w:p w14:paraId="4983B0D5" w14:textId="77777777" w:rsidR="00487E38" w:rsidRPr="00487E38" w:rsidRDefault="00487E38" w:rsidP="00487E38">
      <w:pPr>
        <w:rPr>
          <w:rFonts w:eastAsia="Arial" w:cs="Arial"/>
          <w:kern w:val="0"/>
          <w14:ligatures w14:val="none"/>
        </w:rPr>
      </w:pPr>
      <w:r w:rsidRPr="00487E38">
        <w:rPr>
          <w:rFonts w:eastAsia="Arial" w:cs="Arial"/>
          <w:kern w:val="0"/>
          <w14:ligatures w14:val="none"/>
        </w:rPr>
        <w:t xml:space="preserve">Finally, employment law sets expectations around working hours, family leave, and fair pay. These rights shape day-to-day experiences and promote dignity at work. Rather than being a distraction from improving the employee experience, regulation is an </w:t>
      </w:r>
      <w:r w:rsidRPr="00487E38">
        <w:rPr>
          <w:rFonts w:eastAsia="Arial" w:cs="Arial"/>
          <w:kern w:val="0"/>
          <w14:ligatures w14:val="none"/>
        </w:rPr>
        <w:lastRenderedPageBreak/>
        <w:t>essential part of it. It provides consistency, protection, and the foundations for a healthy workplace culture.</w:t>
      </w:r>
    </w:p>
    <w:p w14:paraId="37FE60CC" w14:textId="77777777" w:rsidR="00487E38" w:rsidRDefault="00487E38" w:rsidP="00595DC6">
      <w:pPr>
        <w:rPr>
          <w:rFonts w:eastAsia="Arial" w:cs="Arial"/>
          <w:kern w:val="0"/>
          <w14:ligatures w14:val="none"/>
        </w:rPr>
      </w:pPr>
    </w:p>
    <w:p w14:paraId="4CFA2E67" w14:textId="77777777" w:rsidR="00487E38" w:rsidRDefault="00487E38" w:rsidP="00595DC6">
      <w:pPr>
        <w:rPr>
          <w:rFonts w:eastAsia="Arial" w:cs="Arial"/>
          <w:kern w:val="0"/>
          <w14:ligatures w14:val="none"/>
        </w:rPr>
      </w:pPr>
    </w:p>
    <w:p w14:paraId="1FCD9F2C" w14:textId="77777777" w:rsidR="00487E38" w:rsidRPr="00595DC6" w:rsidRDefault="00487E38" w:rsidP="00595DC6"/>
    <w:p w14:paraId="6AF35F78" w14:textId="21A4ACD8" w:rsidR="00595DC6" w:rsidRPr="00595DC6" w:rsidRDefault="00595DC6" w:rsidP="00595DC6">
      <w:r>
        <w:rPr>
          <w:b/>
          <w:bCs/>
        </w:rPr>
        <w:t xml:space="preserve">AC </w:t>
      </w:r>
      <w:r w:rsidRPr="00595DC6">
        <w:rPr>
          <w:b/>
          <w:bCs/>
        </w:rPr>
        <w:t>1.2 Examine the role played by the tribunal and courts system in enforcing employment law.</w:t>
      </w:r>
    </w:p>
    <w:p w14:paraId="396E53AA" w14:textId="77777777" w:rsidR="00487E38" w:rsidRPr="00487E38" w:rsidRDefault="00487E38" w:rsidP="00487E38">
      <w:r w:rsidRPr="00487E38">
        <w:t>The tribunal and courts system plays a key role in enforcing employment law by resolving disputes, interpreting legislation, and developing case law that shapes how employment rights are understood and applied. This framework ensures that rights are not just theoretical but enforceable.</w:t>
      </w:r>
    </w:p>
    <w:p w14:paraId="588C774C" w14:textId="5C503E75" w:rsidR="00487E38" w:rsidRPr="00487E38" w:rsidRDefault="00487E38" w:rsidP="00487E38">
      <w:r w:rsidRPr="00487E38">
        <w:t>Employment Tribunals are the first port of call for most employment disputes</w:t>
      </w:r>
      <w:r w:rsidRPr="00266DE0">
        <w:rPr>
          <w:color w:val="FF0000"/>
        </w:rPr>
        <w:t>.</w:t>
      </w:r>
      <w:r w:rsidR="00266DE0" w:rsidRPr="00266DE0">
        <w:rPr>
          <w:color w:val="FF0000"/>
        </w:rPr>
        <w:t xml:space="preserve"> </w:t>
      </w:r>
      <w:r w:rsidR="00266DE0" w:rsidRPr="00266DE0">
        <w:rPr>
          <w:color w:val="FF0000"/>
        </w:rPr>
        <w:t>(ACAS, 2024)</w:t>
      </w:r>
      <w:r w:rsidRPr="00487E38">
        <w:t xml:space="preserve"> They deal with claims such as unfair dismissal, redundancy, discrimination, and unpaid wages. The process begins with ACAS Early Conciliation, which aims to resolve matters before a formal claim. If unresolved, the claimant submits an ET1 </w:t>
      </w:r>
      <w:proofErr w:type="gramStart"/>
      <w:r w:rsidRPr="00487E38">
        <w:t>form</w:t>
      </w:r>
      <w:proofErr w:type="gramEnd"/>
      <w:r w:rsidRPr="00487E38">
        <w:t xml:space="preserve"> and the employer responds via ET3. Most claims must be lodged within three months less one day of the alleged incident. In </w:t>
      </w:r>
      <w:r w:rsidRPr="00487E38">
        <w:rPr>
          <w:i/>
          <w:iCs/>
        </w:rPr>
        <w:t>Miller v Rentokil Initial UK Ltd</w:t>
      </w:r>
      <w:r w:rsidRPr="00487E38">
        <w:t xml:space="preserve"> [2021] ET, a discrimination claim was dismissed for being out of time, underlining the importance of deadlines.</w:t>
      </w:r>
      <w:r w:rsidR="00266DE0">
        <w:t xml:space="preserve"> </w:t>
      </w:r>
      <w:r w:rsidR="00266DE0" w:rsidRPr="00266DE0">
        <w:rPr>
          <w:color w:val="FF0000"/>
        </w:rPr>
        <w:t>(Maternity Action, 2023)</w:t>
      </w:r>
    </w:p>
    <w:p w14:paraId="1FC996F2" w14:textId="5B3B3E02" w:rsidR="00487E38" w:rsidRPr="00487E38" w:rsidRDefault="00487E38" w:rsidP="00487E38">
      <w:r w:rsidRPr="00487E38">
        <w:t xml:space="preserve">Tribunal decisions can be appealed to the Employment Appeal Tribunal (EAT), but only on points of law. Higher appeals go to the Court of Appeal and then to the UK Supreme Court. These courts clarify how employment laws should be interpreted and applied. In </w:t>
      </w:r>
      <w:r w:rsidRPr="00487E38">
        <w:rPr>
          <w:i/>
          <w:iCs/>
        </w:rPr>
        <w:t>Kostal UK Ltd v Dunkley and others</w:t>
      </w:r>
      <w:r w:rsidRPr="00487E38">
        <w:t xml:space="preserve"> [2021] UKSC 47, the Supreme Court clarified the limits of employers' ability to bypass trade unions, significantly shaping collective bargaining rights.</w:t>
      </w:r>
      <w:r w:rsidR="00266DE0">
        <w:t xml:space="preserve"> </w:t>
      </w:r>
      <w:r w:rsidR="00266DE0" w:rsidRPr="00266DE0">
        <w:rPr>
          <w:color w:val="FF0000"/>
        </w:rPr>
        <w:t>(CIPD, 2024)</w:t>
      </w:r>
    </w:p>
    <w:p w14:paraId="13B090D1" w14:textId="3632BE3D" w:rsidR="00487E38" w:rsidRPr="00487E38" w:rsidRDefault="00487E38" w:rsidP="00487E38">
      <w:r w:rsidRPr="00487E38">
        <w:t xml:space="preserve">Before Brexit, the European Court of Justice (ECJ) played a central role in employment law, especially in areas such as working time and discrimination. Although the UK is no longer bound by ECJ rulings, pre-2021 decisions still form part of retained EU law. Courts may now depart from those precedents where appropriate. For example, the ECJ’s decision in </w:t>
      </w:r>
      <w:r w:rsidRPr="00487E38">
        <w:rPr>
          <w:i/>
          <w:iCs/>
        </w:rPr>
        <w:t>Stringer v HMRC</w:t>
      </w:r>
      <w:r w:rsidRPr="00487E38">
        <w:t xml:space="preserve"> [2009] IRLR 214, confirming that workers accrue paid holiday while off sick, remains applicable unless overturned by a higher UK court. This principle still guides cases involving long-term sick leave.</w:t>
      </w:r>
      <w:r w:rsidR="00266DE0">
        <w:t xml:space="preserve"> </w:t>
      </w:r>
      <w:r w:rsidR="00266DE0" w:rsidRPr="00266DE0">
        <w:rPr>
          <w:color w:val="FF0000"/>
        </w:rPr>
        <w:t>(EHRC, 2023)</w:t>
      </w:r>
    </w:p>
    <w:p w14:paraId="77B05FAA" w14:textId="77777777" w:rsidR="00487E38" w:rsidRDefault="00487E38" w:rsidP="00487E38">
      <w:pPr>
        <w:rPr>
          <w:strike/>
        </w:rPr>
      </w:pPr>
      <w:r w:rsidRPr="00266DE0">
        <w:rPr>
          <w:strike/>
        </w:rPr>
        <w:t>Tribunals and courts not only enforce the law but develop it. Many legal concepts in employment law, such as “reasonable adjustments” or “unfavourable treatment”, rely on case law interpretation. The courts ensure that legislation evolves with workplace realities.</w:t>
      </w:r>
    </w:p>
    <w:p w14:paraId="0836B202" w14:textId="77777777" w:rsidR="00266DE0" w:rsidRPr="00266DE0" w:rsidRDefault="00266DE0" w:rsidP="00266DE0">
      <w:pPr>
        <w:rPr>
          <w:color w:val="FF0000"/>
        </w:rPr>
      </w:pPr>
      <w:r w:rsidRPr="00266DE0">
        <w:rPr>
          <w:color w:val="FF0000"/>
        </w:rPr>
        <w:lastRenderedPageBreak/>
        <w:t xml:space="preserve">The tribunal and court system not only enforces statutory rights but actively develops the interpretation of employment law. Many key legal terms, such as “reasonable adjustments” under the Equality Act 2010, are shaped through case law precedent. For example, in </w:t>
      </w:r>
      <w:r w:rsidRPr="00266DE0">
        <w:rPr>
          <w:i/>
          <w:iCs/>
          <w:color w:val="FF0000"/>
        </w:rPr>
        <w:t>Archibald v Fife Council</w:t>
      </w:r>
      <w:r w:rsidRPr="00266DE0">
        <w:rPr>
          <w:color w:val="FF0000"/>
        </w:rPr>
        <w:t xml:space="preserve"> [2004] UKHL 32, the House of Lords held that transferring a disabled employee to a different post could be a reasonable adjustment, expanding the understanding of what employers must do to support disabled staff. This process ensures legislation keeps pace with changing workplace norms and real-world complexities (Daniels, 2022; Armstrong and Taylor, 2023).</w:t>
      </w:r>
    </w:p>
    <w:p w14:paraId="41495517" w14:textId="77777777" w:rsidR="00266DE0" w:rsidRPr="00266DE0" w:rsidRDefault="00266DE0" w:rsidP="00487E38">
      <w:pPr>
        <w:rPr>
          <w:strike/>
        </w:rPr>
      </w:pPr>
    </w:p>
    <w:p w14:paraId="4452F05F" w14:textId="2B3566B1" w:rsidR="00487E38" w:rsidRPr="00487E38" w:rsidRDefault="00487E38" w:rsidP="00487E38">
      <w:r w:rsidRPr="00487E38">
        <w:t xml:space="preserve">In summary, the tribunal and court system </w:t>
      </w:r>
      <w:proofErr w:type="gramStart"/>
      <w:r w:rsidRPr="00487E38">
        <w:t>transforms</w:t>
      </w:r>
      <w:proofErr w:type="gramEnd"/>
      <w:r w:rsidRPr="00487E38">
        <w:t xml:space="preserve"> statutory rights into enforceable protections, ensuring fairness, accountability and legal clarity for both employees and employers.</w:t>
      </w:r>
      <w:r w:rsidR="00266DE0">
        <w:t xml:space="preserve"> </w:t>
      </w:r>
      <w:r w:rsidR="00266DE0" w:rsidRPr="00266DE0">
        <w:rPr>
          <w:color w:val="FF0000"/>
        </w:rPr>
        <w:t>(CIPD, 2023)</w:t>
      </w:r>
    </w:p>
    <w:p w14:paraId="01ACF16B" w14:textId="77777777" w:rsidR="00595DC6" w:rsidRDefault="00595DC6" w:rsidP="00595DC6"/>
    <w:p w14:paraId="16422BE8" w14:textId="77777777" w:rsidR="00487E38" w:rsidRDefault="00487E38" w:rsidP="00595DC6">
      <w:pPr>
        <w:rPr>
          <w:b/>
          <w:bCs/>
        </w:rPr>
      </w:pPr>
    </w:p>
    <w:p w14:paraId="71CA4ADE" w14:textId="77777777" w:rsidR="00487E38" w:rsidRDefault="00487E38" w:rsidP="00595DC6">
      <w:pPr>
        <w:rPr>
          <w:b/>
          <w:bCs/>
        </w:rPr>
      </w:pPr>
    </w:p>
    <w:p w14:paraId="3E60D987" w14:textId="039B2440" w:rsidR="00595DC6" w:rsidRPr="00595DC6" w:rsidRDefault="00595DC6" w:rsidP="00595DC6">
      <w:r w:rsidRPr="00595DC6">
        <w:rPr>
          <w:b/>
          <w:bCs/>
        </w:rPr>
        <w:t>AC 2.1 Explain the main principles of discrimination law in recruitment, selection and employment</w:t>
      </w:r>
    </w:p>
    <w:p w14:paraId="2485DC8C" w14:textId="77777777" w:rsidR="00595DC6" w:rsidRPr="00800855" w:rsidRDefault="00595DC6" w:rsidP="00595DC6">
      <w:pPr>
        <w:rPr>
          <w:strike/>
        </w:rPr>
      </w:pPr>
      <w:r w:rsidRPr="00800855">
        <w:rPr>
          <w:strike/>
        </w:rPr>
        <w:t>Discrimination law is designed to protect individuals from being treated unfairly due to certain protected characteristics. The key legislation in the UK is the Equality Act 2010, which brought together over 100 previous laws into a single piece of legislation. It protects job applicants, employees, workers, contractors and even former employees from unlawful discrimination in the workplace, including recruitment and selection processes.</w:t>
      </w:r>
    </w:p>
    <w:p w14:paraId="3E6AABCB" w14:textId="77777777" w:rsidR="00595DC6" w:rsidRPr="00800855" w:rsidRDefault="00595DC6" w:rsidP="00595DC6">
      <w:pPr>
        <w:rPr>
          <w:strike/>
        </w:rPr>
      </w:pPr>
      <w:r w:rsidRPr="00800855">
        <w:rPr>
          <w:strike/>
        </w:rPr>
        <w:t>There are nine protected characteristics under the Act: age, disability, gender reassignment, marriage and civil partnership, pregnancy and maternity, race, religion or belief, sex and sexual orientation. Discrimination occurs when someone is treated less favourably because of one of these characteristics, or when a policy or practice disadvantages a group sharing one of them.</w:t>
      </w:r>
    </w:p>
    <w:p w14:paraId="1D4D68C9" w14:textId="77777777" w:rsidR="00595DC6" w:rsidRPr="00800855" w:rsidRDefault="00595DC6" w:rsidP="00595DC6">
      <w:pPr>
        <w:rPr>
          <w:strike/>
        </w:rPr>
      </w:pPr>
      <w:r w:rsidRPr="00800855">
        <w:rPr>
          <w:strike/>
        </w:rPr>
        <w:t xml:space="preserve">There are four main types of discrimination that apply across recruitment and employment. The first is direct discrimination, where someone is treated less favourably because of a protected characteristic. For instance, refusing to shortlist a pregnant woman purely because she is expecting a baby would be unlawful under section 13 of the Act. The second is indirect discrimination, where a seemingly neutral policy puts people with a protected characteristic at a disadvantage. In </w:t>
      </w:r>
      <w:r w:rsidRPr="00800855">
        <w:rPr>
          <w:i/>
          <w:iCs/>
          <w:strike/>
        </w:rPr>
        <w:t>Essop v Home Office</w:t>
      </w:r>
      <w:r w:rsidRPr="00800855">
        <w:rPr>
          <w:strike/>
        </w:rPr>
        <w:t xml:space="preserve"> [2017] UKSC 27, a requirement to pass a test indirectly discriminated against older and ethnic minority candidates, even though the test applied to everyone equally.</w:t>
      </w:r>
    </w:p>
    <w:p w14:paraId="3DB998EC" w14:textId="77777777" w:rsidR="00595DC6" w:rsidRPr="00800855" w:rsidRDefault="00595DC6" w:rsidP="00595DC6">
      <w:pPr>
        <w:rPr>
          <w:strike/>
        </w:rPr>
      </w:pPr>
      <w:r w:rsidRPr="00800855">
        <w:rPr>
          <w:strike/>
        </w:rPr>
        <w:lastRenderedPageBreak/>
        <w:t>Discrimination can also occur by perception and association. Perceptive discrimination protects individuals who are treated unfairly based on a belief that they have a protected characteristic, even if that belief is wrong. Associative discrimination occurs when someone is treated less favourably because of their association with someone who has a protected characteristic. For example, a parent of a disabled child who is refused a job because of perceived flexibility issues may have a valid claim.</w:t>
      </w:r>
    </w:p>
    <w:p w14:paraId="142C6E87" w14:textId="77777777" w:rsidR="00595DC6" w:rsidRPr="00800855" w:rsidRDefault="00595DC6" w:rsidP="00595DC6">
      <w:pPr>
        <w:rPr>
          <w:strike/>
        </w:rPr>
      </w:pPr>
      <w:r w:rsidRPr="00800855">
        <w:rPr>
          <w:strike/>
        </w:rPr>
        <w:t xml:space="preserve">In recruitment, discrimination risks arise in job adverts, selection criteria, interview questions and decision-making. For example, an advert asking for a "young, energetic graduate" could be directly discriminatory against older applicants. In </w:t>
      </w:r>
      <w:r w:rsidRPr="00800855">
        <w:rPr>
          <w:i/>
          <w:iCs/>
          <w:strike/>
        </w:rPr>
        <w:t>James v Eastleigh Borough Council</w:t>
      </w:r>
      <w:r w:rsidRPr="00800855">
        <w:rPr>
          <w:strike/>
        </w:rPr>
        <w:t xml:space="preserve"> [1990] 2 AC 751, the House of Lords ruled that offering free swimming to people once they reached state pension age indirectly discriminated based on sex, as men and women qualified at different ages. This case established that motive is irrelevant if the outcome is discriminatory.</w:t>
      </w:r>
    </w:p>
    <w:p w14:paraId="0798EDE3" w14:textId="77777777" w:rsidR="00595DC6" w:rsidRPr="00800855" w:rsidRDefault="00595DC6" w:rsidP="00595DC6">
      <w:pPr>
        <w:rPr>
          <w:strike/>
        </w:rPr>
      </w:pPr>
      <w:r w:rsidRPr="00800855">
        <w:rPr>
          <w:strike/>
        </w:rPr>
        <w:t>The law does allow limited exceptions where discrimination may be lawful. One example is the occupational requirement defence, which allows employers to require a protected characteristic if it is genuinely necessary for the role. A domestic violence charity, for instance, might lawfully specify a female support worker for roles involving intimate conversations with survivors. This must still be proportionate and objectively justifiable, as outlined in Schedule 9 of the Equality Act 2010.</w:t>
      </w:r>
    </w:p>
    <w:p w14:paraId="10EAE3D3" w14:textId="77777777" w:rsidR="00595DC6" w:rsidRPr="00800855" w:rsidRDefault="00595DC6" w:rsidP="00595DC6">
      <w:pPr>
        <w:rPr>
          <w:strike/>
        </w:rPr>
      </w:pPr>
      <w:r w:rsidRPr="00800855">
        <w:rPr>
          <w:strike/>
        </w:rPr>
        <w:t xml:space="preserve">Positive action is another lawful exception. Under section 158 of the Act, employers may take steps to address disadvantage or underrepresentation if they reasonably believe it exists. This might include targeted outreach or offering interview guarantees, but not preferential treatment unless candidates are equally qualified. </w:t>
      </w:r>
      <w:r w:rsidRPr="00800855">
        <w:rPr>
          <w:i/>
          <w:iCs/>
          <w:strike/>
        </w:rPr>
        <w:t>Furlong v Chief Constable of Cheshire Police</w:t>
      </w:r>
      <w:r w:rsidRPr="00800855">
        <w:rPr>
          <w:strike/>
        </w:rPr>
        <w:t xml:space="preserve"> [2019] ET is a key example, where a recruitment process that automatically selected minority candidates at the expense of more qualified applicants was found to be unlawful.</w:t>
      </w:r>
    </w:p>
    <w:p w14:paraId="1E32DEA3" w14:textId="77777777" w:rsidR="00595DC6" w:rsidRDefault="00595DC6" w:rsidP="00595DC6">
      <w:pPr>
        <w:rPr>
          <w:strike/>
        </w:rPr>
      </w:pPr>
      <w:r w:rsidRPr="00800855">
        <w:rPr>
          <w:strike/>
        </w:rPr>
        <w:t>In summary, discrimination law places a duty on employers to create fair, inclusive, and transparent recruitment and selection practices. Failure to do so risks tribunal claims, reputational harm and the loss of diverse talent.</w:t>
      </w:r>
    </w:p>
    <w:p w14:paraId="0AC5A988" w14:textId="77777777" w:rsidR="00800855" w:rsidRDefault="00800855" w:rsidP="00595DC6">
      <w:pPr>
        <w:rPr>
          <w:strike/>
        </w:rPr>
      </w:pPr>
    </w:p>
    <w:p w14:paraId="135ABB80" w14:textId="21664613" w:rsidR="00800855" w:rsidRPr="00800855" w:rsidRDefault="00800855" w:rsidP="00800855">
      <w:pPr>
        <w:rPr>
          <w:color w:val="FF0000"/>
        </w:rPr>
      </w:pPr>
      <w:r w:rsidRPr="00800855">
        <w:rPr>
          <w:color w:val="FF0000"/>
        </w:rPr>
        <w:t xml:space="preserve">Hi </w:t>
      </w:r>
    </w:p>
    <w:p w14:paraId="1AD7CDFB" w14:textId="77777777" w:rsidR="00800855" w:rsidRPr="00800855" w:rsidRDefault="00800855" w:rsidP="00800855">
      <w:pPr>
        <w:rPr>
          <w:color w:val="FF0000"/>
        </w:rPr>
      </w:pPr>
      <w:r w:rsidRPr="00800855">
        <w:rPr>
          <w:color w:val="FF0000"/>
        </w:rPr>
        <w:t>Thanks for your question about occupational requirements. It is a really important area to understand when recruiting, especially where roles involve sensitive situations or specific duties. Here is a summary of the key legal points and when it may be lawful to request that a job be carried out by a man or a woman.</w:t>
      </w:r>
    </w:p>
    <w:p w14:paraId="6405DDAA" w14:textId="77777777" w:rsidR="00800855" w:rsidRPr="00800855" w:rsidRDefault="00800855" w:rsidP="00800855">
      <w:pPr>
        <w:rPr>
          <w:color w:val="FF0000"/>
        </w:rPr>
      </w:pPr>
      <w:r w:rsidRPr="00800855">
        <w:rPr>
          <w:color w:val="FF0000"/>
        </w:rPr>
        <w:t>The main legislation is the Equality Act 2010, which protects people from discrimination in recruitment, selection, and employment. It lists nine protected characteristics including sex, age, race, disability, and religion (Equality Act 2010, s.4). Discrimination can be direct, such as refusing to shortlist a candidate because of pregnancy, or indirect, where a policy or practice unintentionally disadvantages a group with a protected characteristic (Daniels, 2022).</w:t>
      </w:r>
    </w:p>
    <w:p w14:paraId="5015A789" w14:textId="77777777" w:rsidR="00800855" w:rsidRPr="00800855" w:rsidRDefault="00800855" w:rsidP="00800855">
      <w:pPr>
        <w:rPr>
          <w:color w:val="FF0000"/>
        </w:rPr>
      </w:pPr>
      <w:r w:rsidRPr="00800855">
        <w:rPr>
          <w:color w:val="FF0000"/>
        </w:rPr>
        <w:t>Your question relates to when an employer can lawfully specify a particular sex for a role. This is allowed in limited cases under the occupational requirement exception in Schedule 9 of the Equality Act. To rely on this, the requirement must be essential for the nature of the job and proportionate to achieving a legitimate aim. For example, a women’s domestic abuse charity may be justified in recruiting a female support worker for roles involving close personal support, due to the needs of their service users (CIPD, 2024).</w:t>
      </w:r>
    </w:p>
    <w:p w14:paraId="69C9185F" w14:textId="77777777" w:rsidR="00800855" w:rsidRPr="00800855" w:rsidRDefault="00800855" w:rsidP="00800855">
      <w:pPr>
        <w:rPr>
          <w:color w:val="FF0000"/>
        </w:rPr>
      </w:pPr>
      <w:r w:rsidRPr="00800855">
        <w:rPr>
          <w:color w:val="FF0000"/>
        </w:rPr>
        <w:t>Even when a requirement may feel appropriate, you still need to link it to the actual duties. Stating a preference for a man or woman without a clear reason would likely amount to direct discrimination. It is also important to avoid wording in job adverts that indirectly discriminates, such as asking for a “recent graduate” or “physically strong candidate”, unless it can be objectively justified (ACAS, 2024).</w:t>
      </w:r>
    </w:p>
    <w:p w14:paraId="62B8DA0A" w14:textId="77777777" w:rsidR="00800855" w:rsidRPr="00800855" w:rsidRDefault="00800855" w:rsidP="00800855">
      <w:pPr>
        <w:rPr>
          <w:color w:val="FF0000"/>
        </w:rPr>
      </w:pPr>
      <w:r w:rsidRPr="00800855">
        <w:rPr>
          <w:color w:val="FF0000"/>
        </w:rPr>
        <w:t xml:space="preserve">Positive action is another area to be aware of. Section 158 of the Act allows steps to address disadvantage or underrepresentation, such as targeting recruitment campaigns or offering interview guarantees to underrepresented groups. But employers cannot select candidates based solely on a protected characteristic unless all applicants are equally qualified. In </w:t>
      </w:r>
      <w:r w:rsidRPr="00800855">
        <w:rPr>
          <w:i/>
          <w:iCs/>
          <w:color w:val="FF0000"/>
        </w:rPr>
        <w:t>Furlong v Chief Constable of Cheshire Police</w:t>
      </w:r>
      <w:r w:rsidRPr="00800855">
        <w:rPr>
          <w:color w:val="FF0000"/>
        </w:rPr>
        <w:t xml:space="preserve"> [2019] ET, the tribunal found a recruitment process unlawful where candidates were selected based on minority status despite others scoring higher.</w:t>
      </w:r>
    </w:p>
    <w:p w14:paraId="68919031" w14:textId="77777777" w:rsidR="00800855" w:rsidRPr="00800855" w:rsidRDefault="00800855" w:rsidP="00800855">
      <w:pPr>
        <w:rPr>
          <w:color w:val="FF0000"/>
        </w:rPr>
      </w:pPr>
      <w:r w:rsidRPr="00800855">
        <w:rPr>
          <w:color w:val="FF0000"/>
        </w:rPr>
        <w:t>In summary, you can only specify a gender requirement if it is essential for the duties of the role and proportionate. If in doubt, always speak with HR or seek legal advice before finalising job criteria.</w:t>
      </w:r>
    </w:p>
    <w:p w14:paraId="33558A7C" w14:textId="77777777" w:rsidR="00800855" w:rsidRPr="00800855" w:rsidRDefault="00800855" w:rsidP="00800855">
      <w:pPr>
        <w:rPr>
          <w:color w:val="FF0000"/>
        </w:rPr>
      </w:pPr>
      <w:r w:rsidRPr="00800855">
        <w:rPr>
          <w:color w:val="FF0000"/>
        </w:rPr>
        <w:t>Let me know if you want to discuss this further.</w:t>
      </w:r>
    </w:p>
    <w:p w14:paraId="73AE72FD" w14:textId="08EDC1C1" w:rsidR="00800855" w:rsidRPr="00800855" w:rsidRDefault="00800855" w:rsidP="00800855">
      <w:pPr>
        <w:rPr>
          <w:color w:val="FF0000"/>
        </w:rPr>
      </w:pPr>
      <w:r>
        <w:rPr>
          <w:color w:val="FF0000"/>
        </w:rPr>
        <w:t>Many thanks</w:t>
      </w:r>
      <w:r w:rsidRPr="00800855">
        <w:rPr>
          <w:color w:val="FF0000"/>
        </w:rPr>
        <w:br/>
      </w:r>
      <w:r>
        <w:rPr>
          <w:color w:val="FF0000"/>
        </w:rPr>
        <w:t xml:space="preserve">Donna </w:t>
      </w:r>
    </w:p>
    <w:p w14:paraId="36B190AF" w14:textId="77777777" w:rsidR="00800855" w:rsidRPr="00800855" w:rsidRDefault="00800855" w:rsidP="00595DC6">
      <w:pPr>
        <w:rPr>
          <w:color w:val="FF0000"/>
        </w:rPr>
      </w:pPr>
    </w:p>
    <w:p w14:paraId="5CC62EC9" w14:textId="77777777" w:rsidR="00595DC6" w:rsidRPr="00800855" w:rsidRDefault="00595DC6" w:rsidP="00595DC6">
      <w:pPr>
        <w:rPr>
          <w:strike/>
        </w:rPr>
      </w:pPr>
    </w:p>
    <w:p w14:paraId="1A18A32E" w14:textId="77777777" w:rsidR="00595DC6" w:rsidRPr="00595DC6" w:rsidRDefault="00595DC6" w:rsidP="00595DC6">
      <w:r w:rsidRPr="00595DC6">
        <w:rPr>
          <w:b/>
          <w:bCs/>
        </w:rPr>
        <w:t>AC 2.2 Discuss the legal requirements of equal pay</w:t>
      </w:r>
    </w:p>
    <w:p w14:paraId="3E38CBF7" w14:textId="77777777" w:rsidR="00595DC6" w:rsidRPr="00800855" w:rsidRDefault="00595DC6" w:rsidP="00595DC6">
      <w:pPr>
        <w:rPr>
          <w:strike/>
        </w:rPr>
      </w:pPr>
      <w:r w:rsidRPr="00800855">
        <w:rPr>
          <w:strike/>
        </w:rPr>
        <w:t xml:space="preserve">Equal pay law is about ensuring that individuals are paid fairly for doing the same or equivalent work, regardless of gender. The legal requirements are set out in the Equality </w:t>
      </w:r>
      <w:r w:rsidRPr="00800855">
        <w:rPr>
          <w:strike/>
        </w:rPr>
        <w:lastRenderedPageBreak/>
        <w:t>Act 2010, which incorporates the principles originally established in the Equal Pay Act 1970. The law aims to eliminate sex-based pay disparities by allowing individuals to compare their pay and contractual terms with those of a real comparator of the opposite sex working for the same employer.</w:t>
      </w:r>
    </w:p>
    <w:p w14:paraId="23F59BAC" w14:textId="77777777" w:rsidR="00595DC6" w:rsidRPr="00800855" w:rsidRDefault="00595DC6" w:rsidP="00595DC6">
      <w:pPr>
        <w:rPr>
          <w:strike/>
        </w:rPr>
      </w:pPr>
      <w:r w:rsidRPr="00800855">
        <w:rPr>
          <w:strike/>
        </w:rPr>
        <w:t>The legislation requires employers to give equal pay for like work, work rated as equivalent, or work of equal value. Like work means the same or broadly similar duties, even if the job titles are different. Work rated as equivalent refers to jobs assessed through an analytical job evaluation scheme. Work of equal value involves different work that requires similar effort, skill, and decision-making. The test is not subjective, and tribunals will consider the substance of the role rather than how it is labelled.</w:t>
      </w:r>
    </w:p>
    <w:p w14:paraId="2061E044" w14:textId="77777777" w:rsidR="00595DC6" w:rsidRPr="00800855" w:rsidRDefault="00595DC6" w:rsidP="00595DC6">
      <w:pPr>
        <w:rPr>
          <w:strike/>
        </w:rPr>
      </w:pPr>
      <w:r w:rsidRPr="00800855">
        <w:rPr>
          <w:strike/>
        </w:rPr>
        <w:t xml:space="preserve">To succeed in an equal pay claim, the claimant must identify a comparator who is of the opposite sex and doing equal work but receiving better pay or conditions. In </w:t>
      </w:r>
      <w:r w:rsidRPr="00800855">
        <w:rPr>
          <w:i/>
          <w:iCs/>
          <w:strike/>
        </w:rPr>
        <w:t xml:space="preserve">Hayward v </w:t>
      </w:r>
      <w:proofErr w:type="spellStart"/>
      <w:r w:rsidRPr="00800855">
        <w:rPr>
          <w:i/>
          <w:iCs/>
          <w:strike/>
        </w:rPr>
        <w:t>Cammell</w:t>
      </w:r>
      <w:proofErr w:type="spellEnd"/>
      <w:r w:rsidRPr="00800855">
        <w:rPr>
          <w:i/>
          <w:iCs/>
          <w:strike/>
        </w:rPr>
        <w:t xml:space="preserve"> Laird Shipbuilders Ltd</w:t>
      </w:r>
      <w:r w:rsidRPr="00800855">
        <w:rPr>
          <w:strike/>
        </w:rPr>
        <w:t xml:space="preserve"> [1988] AC 894, the House of Lords confirmed that the comparator must work in the same employment, meaning under the same terms and conditions and in the same organisational structure.</w:t>
      </w:r>
    </w:p>
    <w:p w14:paraId="65E54ED1" w14:textId="77777777" w:rsidR="00595DC6" w:rsidRPr="00800855" w:rsidRDefault="00595DC6" w:rsidP="00595DC6">
      <w:pPr>
        <w:rPr>
          <w:strike/>
        </w:rPr>
      </w:pPr>
      <w:r w:rsidRPr="00800855">
        <w:rPr>
          <w:strike/>
        </w:rPr>
        <w:t xml:space="preserve">However, the law also provides for a defence. Under section 69 of the Equality Act 2010, an employer can justify a pay difference by proving it is due to a material factor that is not related to gender. This might include geographical location, performance-related pay, market forces, or different experience levels. But the material factor must be genuine, significant, and not tainted by sex discrimination. In </w:t>
      </w:r>
      <w:r w:rsidRPr="00800855">
        <w:rPr>
          <w:i/>
          <w:iCs/>
          <w:strike/>
        </w:rPr>
        <w:t>Birmingham City Council v Abdulla</w:t>
      </w:r>
      <w:r w:rsidRPr="00800855">
        <w:rPr>
          <w:strike/>
        </w:rPr>
        <w:t xml:space="preserve"> [2012] UKSC 47, over 170 women brought equal pay claims after receiving less pay than men in equivalent roles. The council argued the difference was due to market forces and bonuses, but the claimants succeeded because the justifications could not be separated from sex discrimination.</w:t>
      </w:r>
    </w:p>
    <w:p w14:paraId="290D9805" w14:textId="77777777" w:rsidR="00595DC6" w:rsidRPr="00800855" w:rsidRDefault="00595DC6" w:rsidP="00595DC6">
      <w:pPr>
        <w:rPr>
          <w:strike/>
        </w:rPr>
      </w:pPr>
      <w:r w:rsidRPr="00800855">
        <w:rPr>
          <w:strike/>
        </w:rPr>
        <w:t>A practical example within the workplace might involve a manager wanting to upgrade the pay of two male healthcare assistants using surplus budget. If the wider pool of healthcare assistants is predominantly female, this could trigger an equal pay risk, particularly if no transparent criteria are used to determine why those individuals were selected. Without an objective justification, such as qualifications, responsibilities, or experience, the pay increase might create an unlawful pay disparity.</w:t>
      </w:r>
    </w:p>
    <w:p w14:paraId="098DC778" w14:textId="77777777" w:rsidR="00595DC6" w:rsidRPr="00800855" w:rsidRDefault="00595DC6" w:rsidP="00595DC6">
      <w:pPr>
        <w:rPr>
          <w:strike/>
        </w:rPr>
      </w:pPr>
      <w:r w:rsidRPr="00800855">
        <w:rPr>
          <w:strike/>
        </w:rPr>
        <w:t>Employers also have a duty to be transparent and consistent in pay practices. Although not mandatory for all organisations, equal pay audits and gender pay gap reporting are tools that can help identify and address inequality. The public sector equality duty under section 149 of the Act also requires public bodies to actively consider how decisions affect equality, including pay structures.</w:t>
      </w:r>
    </w:p>
    <w:p w14:paraId="1F29FD4B" w14:textId="77777777" w:rsidR="00595DC6" w:rsidRPr="00800855" w:rsidRDefault="00595DC6" w:rsidP="00595DC6">
      <w:pPr>
        <w:rPr>
          <w:strike/>
        </w:rPr>
      </w:pPr>
      <w:r w:rsidRPr="00800855">
        <w:rPr>
          <w:strike/>
        </w:rPr>
        <w:t xml:space="preserve">In summary, equal pay law does not require identical jobs to receive identical pay, but it does require that differences be justified by objective, non-discriminatory reasons. </w:t>
      </w:r>
      <w:r w:rsidRPr="00800855">
        <w:rPr>
          <w:strike/>
        </w:rPr>
        <w:lastRenderedPageBreak/>
        <w:t>Where those justifications are lacking or inconsistent, the risk of a successful tribunal claim increases significantly.</w:t>
      </w:r>
    </w:p>
    <w:p w14:paraId="549557D3" w14:textId="1326D278" w:rsidR="00800855" w:rsidRPr="00800855" w:rsidRDefault="00800855" w:rsidP="00800855">
      <w:pPr>
        <w:rPr>
          <w:color w:val="FF0000"/>
        </w:rPr>
      </w:pPr>
      <w:r w:rsidRPr="00800855">
        <w:rPr>
          <w:color w:val="FF0000"/>
        </w:rPr>
        <w:t xml:space="preserve">Hi </w:t>
      </w:r>
    </w:p>
    <w:p w14:paraId="00571631" w14:textId="77777777" w:rsidR="00800855" w:rsidRPr="00800855" w:rsidRDefault="00800855" w:rsidP="00800855">
      <w:pPr>
        <w:rPr>
          <w:color w:val="FF0000"/>
        </w:rPr>
      </w:pPr>
      <w:r w:rsidRPr="00800855">
        <w:rPr>
          <w:color w:val="FF0000"/>
        </w:rPr>
        <w:t xml:space="preserve">Thanks for your email about upgrading the pay of two of your healthcare assistants. I appreciate your desire to recognise their contributions, but there are important legal considerations under equal pay law that we need to </w:t>
      </w:r>
      <w:proofErr w:type="gramStart"/>
      <w:r w:rsidRPr="00800855">
        <w:rPr>
          <w:color w:val="FF0000"/>
        </w:rPr>
        <w:t>take into account</w:t>
      </w:r>
      <w:proofErr w:type="gramEnd"/>
      <w:r w:rsidRPr="00800855">
        <w:rPr>
          <w:color w:val="FF0000"/>
        </w:rPr>
        <w:t xml:space="preserve"> before making this decision.</w:t>
      </w:r>
    </w:p>
    <w:p w14:paraId="27FB15CB" w14:textId="77777777" w:rsidR="00800855" w:rsidRPr="00800855" w:rsidRDefault="00800855" w:rsidP="00800855">
      <w:pPr>
        <w:rPr>
          <w:color w:val="FF0000"/>
        </w:rPr>
      </w:pPr>
      <w:r w:rsidRPr="00800855">
        <w:rPr>
          <w:color w:val="FF0000"/>
        </w:rPr>
        <w:t>The Equality Act 2010 requires that men and women receive equal pay for equal work. This includes not just basic salary, but all contractual terms such as bonuses, holidays, and pension contributions (Equality Act 2010, s.64). The law applies to three categories of work: like work, work rated as equivalent, and work of equal value (Daniels, 2022).</w:t>
      </w:r>
    </w:p>
    <w:p w14:paraId="667FC4DE" w14:textId="77777777" w:rsidR="00800855" w:rsidRPr="00800855" w:rsidRDefault="00800855" w:rsidP="00800855">
      <w:pPr>
        <w:rPr>
          <w:color w:val="FF0000"/>
        </w:rPr>
      </w:pPr>
      <w:r w:rsidRPr="00800855">
        <w:rPr>
          <w:color w:val="FF0000"/>
        </w:rPr>
        <w:t xml:space="preserve">In this case, the issue is that </w:t>
      </w:r>
      <w:proofErr w:type="gramStart"/>
      <w:r w:rsidRPr="00800855">
        <w:rPr>
          <w:color w:val="FF0000"/>
        </w:rPr>
        <w:t>the vast majority of</w:t>
      </w:r>
      <w:proofErr w:type="gramEnd"/>
      <w:r w:rsidRPr="00800855">
        <w:rPr>
          <w:color w:val="FF0000"/>
        </w:rPr>
        <w:t xml:space="preserve"> HCAs in the Trust are women, and you are proposing to upgrade the pay of two male HCAs without applying the same consideration to their female colleagues. If these two men are doing like work to their peers, then paying them more without an objective justification could result in an equal pay claim from female HCAs (Armstrong and Taylor, 2023).</w:t>
      </w:r>
    </w:p>
    <w:p w14:paraId="4EB062BF" w14:textId="77777777" w:rsidR="00800855" w:rsidRPr="00800855" w:rsidRDefault="00800855" w:rsidP="00800855">
      <w:pPr>
        <w:rPr>
          <w:color w:val="FF0000"/>
        </w:rPr>
      </w:pPr>
      <w:r w:rsidRPr="00800855">
        <w:rPr>
          <w:color w:val="FF0000"/>
        </w:rPr>
        <w:t xml:space="preserve">The law allows for pay differences if they are due to a genuine material factor that is not related to sex. These might include different responsibilities, qualifications, or experience (Equality Act 2010, s.69). But any justification must be transparent, evidence-based, and consistently applied. In </w:t>
      </w:r>
      <w:r w:rsidRPr="00800855">
        <w:rPr>
          <w:i/>
          <w:iCs/>
          <w:color w:val="FF0000"/>
        </w:rPr>
        <w:t>Birmingham City Council v Abdulla</w:t>
      </w:r>
      <w:r w:rsidRPr="00800855">
        <w:rPr>
          <w:color w:val="FF0000"/>
        </w:rPr>
        <w:t xml:space="preserve"> [2012] UKSC 47, the court ruled that the employer's reliance on market forces was not sufficient to justify pay differences where those differences disproportionately affected women.</w:t>
      </w:r>
    </w:p>
    <w:p w14:paraId="5FC91B04" w14:textId="77777777" w:rsidR="00800855" w:rsidRPr="00800855" w:rsidRDefault="00800855" w:rsidP="00800855">
      <w:pPr>
        <w:rPr>
          <w:color w:val="FF0000"/>
        </w:rPr>
      </w:pPr>
      <w:r w:rsidRPr="00800855">
        <w:rPr>
          <w:color w:val="FF0000"/>
        </w:rPr>
        <w:t>It is also worth noting that even well-intentioned decisions can have unintended consequences. For example, selecting only two male HCAs for a pay increase, without a clear process or criteria, may be interpreted as indirect discrimination. Given that 80 percent of HCAs in the Trust are women, this change could create a pay gap that is difficult to defend (ACAS, 2024).</w:t>
      </w:r>
    </w:p>
    <w:p w14:paraId="411E5C4B" w14:textId="77777777" w:rsidR="00800855" w:rsidRPr="00800855" w:rsidRDefault="00800855" w:rsidP="00800855">
      <w:pPr>
        <w:rPr>
          <w:color w:val="FF0000"/>
        </w:rPr>
      </w:pPr>
      <w:r w:rsidRPr="00800855">
        <w:rPr>
          <w:color w:val="FF0000"/>
        </w:rPr>
        <w:t>I would recommend carrying out a short internal review or using a job evaluation method to assess whether these two roles differ meaningfully from others on the A grade. If there is evidence of additional responsibilities or higher performance, we may be able to support a business case. However, if no objective criteria exist, upgrading just two individuals could create legal risk and perceptions of unfairness (CIPD, 2023).</w:t>
      </w:r>
    </w:p>
    <w:p w14:paraId="44C77C0B" w14:textId="77777777" w:rsidR="00800855" w:rsidRPr="00800855" w:rsidRDefault="00800855" w:rsidP="00800855">
      <w:pPr>
        <w:rPr>
          <w:color w:val="FF0000"/>
        </w:rPr>
      </w:pPr>
      <w:r w:rsidRPr="00800855">
        <w:rPr>
          <w:color w:val="FF0000"/>
        </w:rPr>
        <w:t>Please let me know if you would like help reviewing the job descriptions or discussing other ways to recognise these staff members without affecting pay equity.</w:t>
      </w:r>
    </w:p>
    <w:p w14:paraId="33EE80D2" w14:textId="02E70375" w:rsidR="00800855" w:rsidRPr="00800855" w:rsidRDefault="00800855" w:rsidP="00800855">
      <w:pPr>
        <w:rPr>
          <w:color w:val="FF0000"/>
        </w:rPr>
      </w:pPr>
      <w:r>
        <w:rPr>
          <w:color w:val="FF0000"/>
        </w:rPr>
        <w:t xml:space="preserve">Many thanks </w:t>
      </w:r>
      <w:r w:rsidRPr="00800855">
        <w:rPr>
          <w:color w:val="FF0000"/>
        </w:rPr>
        <w:br/>
      </w:r>
      <w:r>
        <w:rPr>
          <w:color w:val="FF0000"/>
        </w:rPr>
        <w:t xml:space="preserve">Donna </w:t>
      </w:r>
    </w:p>
    <w:p w14:paraId="4FB471DF" w14:textId="77777777" w:rsidR="00595DC6" w:rsidRPr="00800855" w:rsidRDefault="00595DC6" w:rsidP="00595DC6">
      <w:pPr>
        <w:rPr>
          <w:color w:val="FF0000"/>
        </w:rPr>
      </w:pPr>
    </w:p>
    <w:p w14:paraId="22156EE6" w14:textId="4C83757B" w:rsidR="004644C7" w:rsidRPr="004644C7" w:rsidRDefault="004644C7" w:rsidP="004644C7">
      <w:r w:rsidRPr="004644C7">
        <w:rPr>
          <w:b/>
          <w:bCs/>
        </w:rPr>
        <w:t>AC 3.1 Discuss the legal implications of varying contracts</w:t>
      </w:r>
    </w:p>
    <w:p w14:paraId="2B4C283A" w14:textId="77777777" w:rsidR="004644C7" w:rsidRPr="00AF1D90" w:rsidRDefault="004644C7" w:rsidP="004644C7">
      <w:pPr>
        <w:rPr>
          <w:strike/>
        </w:rPr>
      </w:pPr>
      <w:r w:rsidRPr="00AF1D90">
        <w:rPr>
          <w:strike/>
        </w:rPr>
        <w:t>Varying the terms of an employment contract can carry legal risk if not handled correctly. Contracts are legally binding agreements, and any significant change usually requires the employee’s consent. Changes imposed unilaterally by the employer may result in a breach of contract or even claims of constructive dismissal.</w:t>
      </w:r>
    </w:p>
    <w:p w14:paraId="23AFF52A" w14:textId="77777777" w:rsidR="004644C7" w:rsidRPr="00AF1D90" w:rsidRDefault="004644C7" w:rsidP="004644C7">
      <w:pPr>
        <w:rPr>
          <w:strike/>
        </w:rPr>
      </w:pPr>
      <w:r w:rsidRPr="00AF1D90">
        <w:rPr>
          <w:strike/>
        </w:rPr>
        <w:t>There are three lawful routes to vary a contract: with mutual agreement, through a clear contractual right to make changes, or by collective agreement. The safest and most common approach is mutual agreement, ideally confirmed in writing. For example, if an employer wishes to change an employee’s working hours, they should consult and seek written consent before implementing the change.</w:t>
      </w:r>
    </w:p>
    <w:p w14:paraId="305D19A9" w14:textId="77777777" w:rsidR="004644C7" w:rsidRPr="00AF1D90" w:rsidRDefault="004644C7" w:rsidP="004644C7">
      <w:pPr>
        <w:rPr>
          <w:strike/>
        </w:rPr>
      </w:pPr>
      <w:r w:rsidRPr="00AF1D90">
        <w:rPr>
          <w:strike/>
        </w:rPr>
        <w:t xml:space="preserve">Some contracts include flexibility clauses that allow limited variation without additional consent. However, courts interpret these clauses narrowly. In </w:t>
      </w:r>
      <w:r w:rsidRPr="00AF1D90">
        <w:rPr>
          <w:i/>
          <w:iCs/>
          <w:strike/>
        </w:rPr>
        <w:t xml:space="preserve">Keeley v </w:t>
      </w:r>
      <w:proofErr w:type="spellStart"/>
      <w:r w:rsidRPr="00AF1D90">
        <w:rPr>
          <w:i/>
          <w:iCs/>
          <w:strike/>
        </w:rPr>
        <w:t>Fosroc</w:t>
      </w:r>
      <w:proofErr w:type="spellEnd"/>
      <w:r w:rsidRPr="00AF1D90">
        <w:rPr>
          <w:i/>
          <w:iCs/>
          <w:strike/>
        </w:rPr>
        <w:t xml:space="preserve"> International Ltd</w:t>
      </w:r>
      <w:r w:rsidRPr="00AF1D90">
        <w:rPr>
          <w:strike/>
        </w:rPr>
        <w:t xml:space="preserve"> [2006] EWCA </w:t>
      </w:r>
      <w:proofErr w:type="spellStart"/>
      <w:r w:rsidRPr="00AF1D90">
        <w:rPr>
          <w:strike/>
        </w:rPr>
        <w:t>Civ</w:t>
      </w:r>
      <w:proofErr w:type="spellEnd"/>
      <w:r w:rsidRPr="00AF1D90">
        <w:rPr>
          <w:strike/>
        </w:rPr>
        <w:t xml:space="preserve"> 1277, the employer relied on a staff handbook to change terms, but the Court of Appeal held that the handbook was not part of the contract. This case highlights the importance of clarity and the limited use of non-contractual documents to justify change.</w:t>
      </w:r>
    </w:p>
    <w:p w14:paraId="7EAE3438" w14:textId="77777777" w:rsidR="004644C7" w:rsidRPr="00AF1D90" w:rsidRDefault="004644C7" w:rsidP="004644C7">
      <w:pPr>
        <w:rPr>
          <w:strike/>
        </w:rPr>
      </w:pPr>
      <w:r w:rsidRPr="00AF1D90">
        <w:rPr>
          <w:strike/>
        </w:rPr>
        <w:t xml:space="preserve">Where an employer imposes a change without consent, it risks a breach of contract. If the change is significant and detrimental, such as a reduction in pay or changes to shift patterns, the employee may resign and claim constructive dismissal under section 95(1)(c) of the Employment Rights Act 1996. To succeed, the employee must show there was a fundamental breach and that they resigned in response and without undue delay. For instance, in </w:t>
      </w:r>
      <w:r w:rsidRPr="00AF1D90">
        <w:rPr>
          <w:i/>
          <w:iCs/>
          <w:strike/>
        </w:rPr>
        <w:t>United Bank Ltd v Akhtar</w:t>
      </w:r>
      <w:r w:rsidRPr="00AF1D90">
        <w:rPr>
          <w:strike/>
        </w:rPr>
        <w:t xml:space="preserve"> [1989] IRLR 507, a sudden and unreasonable relocation clause was found to breach the duty of mutual trust and confidence, giving rise to constructive dismissal.</w:t>
      </w:r>
    </w:p>
    <w:p w14:paraId="7C1641A6" w14:textId="77777777" w:rsidR="004644C7" w:rsidRPr="00AF1D90" w:rsidRDefault="004644C7" w:rsidP="004644C7">
      <w:pPr>
        <w:rPr>
          <w:strike/>
        </w:rPr>
      </w:pPr>
      <w:r w:rsidRPr="00AF1D90">
        <w:rPr>
          <w:strike/>
        </w:rPr>
        <w:t>Employers may also try to dismiss and re-engage staff on new terms, known as ‘fire and rehire’. While not unlawful per se, this is high-risk. It requires following a fair dismissal process and meaningful consultation. In response to concerns over misuse, the UK government issued a statutory Code of Practice in 2024 outlining clear expectations for employers engaging in this approach.</w:t>
      </w:r>
    </w:p>
    <w:p w14:paraId="7CE18080" w14:textId="77777777" w:rsidR="004644C7" w:rsidRPr="00AF1D90" w:rsidRDefault="004644C7" w:rsidP="004644C7">
      <w:pPr>
        <w:rPr>
          <w:strike/>
        </w:rPr>
      </w:pPr>
      <w:r w:rsidRPr="00AF1D90">
        <w:rPr>
          <w:strike/>
        </w:rPr>
        <w:lastRenderedPageBreak/>
        <w:t>Ultimately, contract variation should be approached with transparency and fairness. Proper consultation and good faith negotiations are not just legally prudent but also help maintain trust and minimise the risk of claims.</w:t>
      </w:r>
    </w:p>
    <w:p w14:paraId="2AA8CC5C" w14:textId="3A51F740" w:rsidR="00AF1D90" w:rsidRPr="00AF1D90" w:rsidRDefault="00AF1D90" w:rsidP="00AF1D90">
      <w:pPr>
        <w:rPr>
          <w:color w:val="FF0000"/>
        </w:rPr>
      </w:pPr>
      <w:r w:rsidRPr="00AF1D90">
        <w:rPr>
          <w:color w:val="FF0000"/>
        </w:rPr>
        <w:t xml:space="preserve">Hi </w:t>
      </w:r>
    </w:p>
    <w:p w14:paraId="28B4AF9A" w14:textId="77777777" w:rsidR="00AF1D90" w:rsidRPr="00AF1D90" w:rsidRDefault="00AF1D90" w:rsidP="00AF1D90">
      <w:pPr>
        <w:rPr>
          <w:color w:val="FF0000"/>
        </w:rPr>
      </w:pPr>
      <w:r w:rsidRPr="00AF1D90">
        <w:rPr>
          <w:color w:val="FF0000"/>
        </w:rPr>
        <w:t>Thanks for getting in touch about the situation with the radiographer. Based on what you've shared, your concern about a potential constructive dismissal claim is understandable, especially where a change in working hours was made without agreement. Here's a breakdown of the legal position and what to look out for.</w:t>
      </w:r>
    </w:p>
    <w:p w14:paraId="36C17A0B" w14:textId="77777777" w:rsidR="00AF1D90" w:rsidRPr="00AF1D90" w:rsidRDefault="00AF1D90" w:rsidP="00AF1D90">
      <w:pPr>
        <w:rPr>
          <w:color w:val="FF0000"/>
        </w:rPr>
      </w:pPr>
      <w:r w:rsidRPr="00AF1D90">
        <w:rPr>
          <w:color w:val="FF0000"/>
        </w:rPr>
        <w:t xml:space="preserve">A contract of employment is a legally binding agreement, and its terms should not be changed without the employee’s agreement. If an employer makes a significant change without consent, this can amount to a breach of contract. </w:t>
      </w:r>
      <w:proofErr w:type="gramStart"/>
      <w:r w:rsidRPr="00AF1D90">
        <w:rPr>
          <w:color w:val="FF0000"/>
        </w:rPr>
        <w:t>In particular, a</w:t>
      </w:r>
      <w:proofErr w:type="gramEnd"/>
      <w:r w:rsidRPr="00AF1D90">
        <w:rPr>
          <w:color w:val="FF0000"/>
        </w:rPr>
        <w:t xml:space="preserve"> change that goes to the heart of the contract, such as working hours, location or pay, can give rise to a constructive dismissal claim if the employee resigns as a direct result (Daniels, 2022).</w:t>
      </w:r>
    </w:p>
    <w:p w14:paraId="3773BC55" w14:textId="77777777" w:rsidR="00AF1D90" w:rsidRPr="00AF1D90" w:rsidRDefault="00AF1D90" w:rsidP="00AF1D90">
      <w:pPr>
        <w:rPr>
          <w:color w:val="FF0000"/>
        </w:rPr>
      </w:pPr>
      <w:r w:rsidRPr="00AF1D90">
        <w:rPr>
          <w:color w:val="FF0000"/>
        </w:rPr>
        <w:t xml:space="preserve">Constructive dismissal is governed by section 95(1)(c) of the Employment Rights Act 1996. The employee must prove that there was a fundamental breach of contract, that they resigned in response to it, and that they did not delay too long after the breach (Employment Rights Act 1996). In </w:t>
      </w:r>
      <w:r w:rsidRPr="00AF1D90">
        <w:rPr>
          <w:i/>
          <w:iCs/>
          <w:color w:val="FF0000"/>
        </w:rPr>
        <w:t>United Bank Ltd v Akhtar</w:t>
      </w:r>
      <w:r w:rsidRPr="00AF1D90">
        <w:rPr>
          <w:color w:val="FF0000"/>
        </w:rPr>
        <w:t xml:space="preserve"> [1989] IRLR 507, an employer inserted a mobility clause into a contract and used it to require sudden relocation. The court found this undermined mutual trust and confidence, and the employee’s resignation was deemed constructive dismissal.</w:t>
      </w:r>
    </w:p>
    <w:p w14:paraId="6E0CD587" w14:textId="77777777" w:rsidR="00AF1D90" w:rsidRPr="00AF1D90" w:rsidRDefault="00AF1D90" w:rsidP="00AF1D90">
      <w:pPr>
        <w:rPr>
          <w:color w:val="FF0000"/>
        </w:rPr>
      </w:pPr>
      <w:r w:rsidRPr="00AF1D90">
        <w:rPr>
          <w:color w:val="FF0000"/>
        </w:rPr>
        <w:t xml:space="preserve">It is also important to consider how the change was implemented. Where employers consult and seek agreement, risk is reduced. But if a variation is imposed unilaterally, this can increase the chance of legal challenge. Flexibility clauses may exist in some contracts, but they are interpreted narrowly. In </w:t>
      </w:r>
      <w:r w:rsidRPr="00AF1D90">
        <w:rPr>
          <w:i/>
          <w:iCs/>
          <w:color w:val="FF0000"/>
        </w:rPr>
        <w:t xml:space="preserve">Keeley v </w:t>
      </w:r>
      <w:proofErr w:type="spellStart"/>
      <w:r w:rsidRPr="00AF1D90">
        <w:rPr>
          <w:i/>
          <w:iCs/>
          <w:color w:val="FF0000"/>
        </w:rPr>
        <w:t>Fosroc</w:t>
      </w:r>
      <w:proofErr w:type="spellEnd"/>
      <w:r w:rsidRPr="00AF1D90">
        <w:rPr>
          <w:i/>
          <w:iCs/>
          <w:color w:val="FF0000"/>
        </w:rPr>
        <w:t xml:space="preserve"> International Ltd</w:t>
      </w:r>
      <w:r w:rsidRPr="00AF1D90">
        <w:rPr>
          <w:color w:val="FF0000"/>
        </w:rPr>
        <w:t xml:space="preserve"> [2006] EWCA </w:t>
      </w:r>
      <w:proofErr w:type="spellStart"/>
      <w:r w:rsidRPr="00AF1D90">
        <w:rPr>
          <w:color w:val="FF0000"/>
        </w:rPr>
        <w:t>Civ</w:t>
      </w:r>
      <w:proofErr w:type="spellEnd"/>
      <w:r w:rsidRPr="00AF1D90">
        <w:rPr>
          <w:color w:val="FF0000"/>
        </w:rPr>
        <w:t xml:space="preserve"> 1277, the court ruled that a staff handbook was not contractually binding, so could not be relied on to vary terms (Armstrong and Taylor, 2023).</w:t>
      </w:r>
    </w:p>
    <w:p w14:paraId="7D689546" w14:textId="77777777" w:rsidR="00AF1D90" w:rsidRPr="00AF1D90" w:rsidRDefault="00AF1D90" w:rsidP="00AF1D90">
      <w:pPr>
        <w:rPr>
          <w:color w:val="FF0000"/>
        </w:rPr>
      </w:pPr>
      <w:r w:rsidRPr="00AF1D90">
        <w:rPr>
          <w:color w:val="FF0000"/>
        </w:rPr>
        <w:t>If the radiographer is considering a claim, they must act promptly. Claims for constructive dismissal must be submitted to an Employment Tribunal within three months less one day from the effective date of termination. They must also contact ACAS to begin early conciliation before lodging a tribunal claim (ACAS, 2024). This time limit is strict, though a short extension may be granted in rare circumstances.</w:t>
      </w:r>
    </w:p>
    <w:p w14:paraId="30339ABD" w14:textId="77777777" w:rsidR="00AF1D90" w:rsidRPr="00AF1D90" w:rsidRDefault="00AF1D90" w:rsidP="00AF1D90">
      <w:pPr>
        <w:rPr>
          <w:color w:val="FF0000"/>
        </w:rPr>
      </w:pPr>
      <w:r w:rsidRPr="00AF1D90">
        <w:rPr>
          <w:color w:val="FF0000"/>
        </w:rPr>
        <w:t>You also mentioned the change in working hours. If this was introduced without consultation or justification, it could be seen as unreasonable. Even if the change was operationally necessary, failure to explain the reasons or seek agreement could lead a tribunal to side with the employee.</w:t>
      </w:r>
    </w:p>
    <w:p w14:paraId="46C40553" w14:textId="77777777" w:rsidR="00AF1D90" w:rsidRPr="00AF1D90" w:rsidRDefault="00AF1D90" w:rsidP="00AF1D90">
      <w:pPr>
        <w:rPr>
          <w:color w:val="FF0000"/>
        </w:rPr>
      </w:pPr>
      <w:r w:rsidRPr="00AF1D90">
        <w:rPr>
          <w:color w:val="FF0000"/>
        </w:rPr>
        <w:t>Let me know if you’d like help reviewing any paperwork or how we handled the change. It may be possible to resolve this informally, especially if the individual has not yet started formal proceedings.</w:t>
      </w:r>
    </w:p>
    <w:p w14:paraId="690D11A0" w14:textId="2DACDFE3" w:rsidR="00AF1D90" w:rsidRDefault="00AF1D90" w:rsidP="00AF1D90">
      <w:pPr>
        <w:rPr>
          <w:color w:val="FF0000"/>
        </w:rPr>
      </w:pPr>
      <w:r>
        <w:rPr>
          <w:color w:val="FF0000"/>
        </w:rPr>
        <w:t xml:space="preserve">Many thanks </w:t>
      </w:r>
    </w:p>
    <w:p w14:paraId="4D464C75" w14:textId="4EE47ACD" w:rsidR="00AF1D90" w:rsidRPr="00AF1D90" w:rsidRDefault="00AF1D90" w:rsidP="00AF1D90">
      <w:pPr>
        <w:rPr>
          <w:color w:val="FF0000"/>
        </w:rPr>
      </w:pPr>
      <w:r>
        <w:rPr>
          <w:color w:val="FF0000"/>
        </w:rPr>
        <w:t xml:space="preserve">Donna </w:t>
      </w:r>
    </w:p>
    <w:p w14:paraId="79AD0DB0" w14:textId="77777777" w:rsidR="00AF1D90" w:rsidRPr="00AF1D90" w:rsidRDefault="00AF1D90" w:rsidP="004644C7">
      <w:pPr>
        <w:rPr>
          <w:color w:val="FF0000"/>
        </w:rPr>
      </w:pPr>
    </w:p>
    <w:p w14:paraId="4FED0241" w14:textId="77777777" w:rsidR="00AF1D90" w:rsidRPr="00AF1D90" w:rsidRDefault="00AF1D90" w:rsidP="004644C7">
      <w:pPr>
        <w:rPr>
          <w:color w:val="FF0000"/>
        </w:rPr>
      </w:pPr>
    </w:p>
    <w:p w14:paraId="07955213" w14:textId="77777777" w:rsidR="00AF1D90" w:rsidRDefault="00AF1D90" w:rsidP="004644C7">
      <w:pPr>
        <w:rPr>
          <w:b/>
          <w:bCs/>
        </w:rPr>
      </w:pPr>
    </w:p>
    <w:p w14:paraId="2B5AD9A8" w14:textId="77777777" w:rsidR="00AF1D90" w:rsidRDefault="00AF1D90" w:rsidP="004644C7">
      <w:pPr>
        <w:rPr>
          <w:b/>
          <w:bCs/>
        </w:rPr>
      </w:pPr>
    </w:p>
    <w:p w14:paraId="45EADFF3" w14:textId="360650E9" w:rsidR="004644C7" w:rsidRPr="004644C7" w:rsidRDefault="004644C7" w:rsidP="004644C7">
      <w:r w:rsidRPr="004644C7">
        <w:rPr>
          <w:b/>
          <w:bCs/>
        </w:rPr>
        <w:t>AC 3.2 Explain the legal requirements relating to redundancy</w:t>
      </w:r>
    </w:p>
    <w:p w14:paraId="5E9E4DA2" w14:textId="77777777" w:rsidR="004644C7" w:rsidRPr="00AF1D90" w:rsidRDefault="004644C7" w:rsidP="004644C7">
      <w:pPr>
        <w:rPr>
          <w:strike/>
        </w:rPr>
      </w:pPr>
      <w:r w:rsidRPr="00AF1D90">
        <w:rPr>
          <w:strike/>
        </w:rPr>
        <w:t>Redundancy is a potentially fair reason for dismissal under section 98(2)(c) of the Employment Rights Act 1996. However, for a redundancy to be lawful, employers must follow a fair and transparent process. This includes establishing a genuine redundancy situation, consulting appropriately, applying fair selection criteria, and exploring alternative employment where possible.</w:t>
      </w:r>
    </w:p>
    <w:p w14:paraId="7A153051" w14:textId="77777777" w:rsidR="004644C7" w:rsidRPr="00AF1D90" w:rsidRDefault="004644C7" w:rsidP="004644C7">
      <w:pPr>
        <w:rPr>
          <w:strike/>
        </w:rPr>
      </w:pPr>
      <w:r w:rsidRPr="00AF1D90">
        <w:rPr>
          <w:strike/>
        </w:rPr>
        <w:t>A redundancy situation arises when an employer either closes or plans to close a business or workplace, or where there is a reduced need for employees to carry out a particular type of work (section 139 ERA 1996). In large-scale restructures, as seen in the public sector, this might result in the loss of dozens of posts.</w:t>
      </w:r>
    </w:p>
    <w:p w14:paraId="19EB85EB" w14:textId="77777777" w:rsidR="004644C7" w:rsidRPr="00AF1D90" w:rsidRDefault="004644C7" w:rsidP="004644C7">
      <w:pPr>
        <w:rPr>
          <w:strike/>
        </w:rPr>
      </w:pPr>
      <w:r w:rsidRPr="00AF1D90">
        <w:rPr>
          <w:strike/>
        </w:rPr>
        <w:t xml:space="preserve">The law sets out different consultation requirements depending on the number of affected employees. Where 20 or more redundancies are proposed within a 90-day period, collective consultation rules apply. This means consulting with recognised trade unions or elected representatives, starting at least 30 days before the first dismissal (or 45 days for 100 or more redundancies), as required under the Trade Union and Labour Relations (Consolidation) Act 1992. A failure to do so can result in a protective award of up to 90 days’ pay per employee, as confirmed in </w:t>
      </w:r>
      <w:r w:rsidRPr="00AF1D90">
        <w:rPr>
          <w:i/>
          <w:iCs/>
          <w:strike/>
        </w:rPr>
        <w:t>Amicus v GMB</w:t>
      </w:r>
      <w:r w:rsidRPr="00AF1D90">
        <w:rPr>
          <w:strike/>
        </w:rPr>
        <w:t xml:space="preserve"> [2004] IRLR 430.</w:t>
      </w:r>
    </w:p>
    <w:p w14:paraId="7B7D50D3" w14:textId="77777777" w:rsidR="004644C7" w:rsidRPr="00AF1D90" w:rsidRDefault="004644C7" w:rsidP="004644C7">
      <w:pPr>
        <w:rPr>
          <w:strike/>
        </w:rPr>
      </w:pPr>
      <w:r w:rsidRPr="00AF1D90">
        <w:rPr>
          <w:strike/>
        </w:rPr>
        <w:t>Even where fewer than 20 redundancies are involved, individual consultation is still legally required. Employers must provide information on the reasons for redundancy, numbers affected, selection criteria, and timescales. Rushing the process to remove “poorest performers” without consultation, as suggested in this case, would breach the duty of fairness and likely lead to successful unfair dismissal claims.</w:t>
      </w:r>
    </w:p>
    <w:p w14:paraId="1192A14C" w14:textId="77777777" w:rsidR="004644C7" w:rsidRPr="00AF1D90" w:rsidRDefault="004644C7" w:rsidP="004644C7">
      <w:pPr>
        <w:rPr>
          <w:strike/>
        </w:rPr>
      </w:pPr>
      <w:r w:rsidRPr="00AF1D90">
        <w:rPr>
          <w:strike/>
        </w:rPr>
        <w:t xml:space="preserve">Selection criteria must be objective, consistently applied, and </w:t>
      </w:r>
      <w:proofErr w:type="gramStart"/>
      <w:r w:rsidRPr="00AF1D90">
        <w:rPr>
          <w:strike/>
        </w:rPr>
        <w:t>evidence-based</w:t>
      </w:r>
      <w:proofErr w:type="gramEnd"/>
      <w:r w:rsidRPr="00AF1D90">
        <w:rPr>
          <w:strike/>
        </w:rPr>
        <w:t xml:space="preserve">. Common criteria include attendance, disciplinary record, skills, and performance. However, performance should be based on clear, recent evidence. In </w:t>
      </w:r>
      <w:r w:rsidRPr="00AF1D90">
        <w:rPr>
          <w:i/>
          <w:iCs/>
          <w:strike/>
        </w:rPr>
        <w:t xml:space="preserve">Williams v </w:t>
      </w:r>
      <w:proofErr w:type="spellStart"/>
      <w:r w:rsidRPr="00AF1D90">
        <w:rPr>
          <w:i/>
          <w:iCs/>
          <w:strike/>
        </w:rPr>
        <w:t>Compair</w:t>
      </w:r>
      <w:proofErr w:type="spellEnd"/>
      <w:r w:rsidRPr="00AF1D90">
        <w:rPr>
          <w:i/>
          <w:iCs/>
          <w:strike/>
        </w:rPr>
        <w:t xml:space="preserve"> Maxam Ltd</w:t>
      </w:r>
      <w:r w:rsidRPr="00AF1D90">
        <w:rPr>
          <w:strike/>
        </w:rPr>
        <w:t xml:space="preserve"> [1982] ICR 156, dismissals were ruled unfair because no meaningful consultation took place and the selection process was not transparent.</w:t>
      </w:r>
    </w:p>
    <w:p w14:paraId="414290CA" w14:textId="77777777" w:rsidR="004644C7" w:rsidRPr="00AF1D90" w:rsidRDefault="004644C7" w:rsidP="004644C7">
      <w:pPr>
        <w:rPr>
          <w:strike/>
        </w:rPr>
      </w:pPr>
      <w:r w:rsidRPr="00AF1D90">
        <w:rPr>
          <w:strike/>
        </w:rPr>
        <w:t xml:space="preserve">Employees with over two years’ service are entitled to statutory redundancy pay. This is calculated based on age, length of service, and weekly pay (capped at the statutory </w:t>
      </w:r>
      <w:r w:rsidRPr="00AF1D90">
        <w:rPr>
          <w:strike/>
        </w:rPr>
        <w:lastRenderedPageBreak/>
        <w:t>maximum). Notice must also be given in accordance with contract or statutory minimums.</w:t>
      </w:r>
    </w:p>
    <w:p w14:paraId="31B9675B" w14:textId="77777777" w:rsidR="004644C7" w:rsidRDefault="004644C7" w:rsidP="004644C7">
      <w:pPr>
        <w:rPr>
          <w:strike/>
        </w:rPr>
      </w:pPr>
      <w:r w:rsidRPr="00AF1D90">
        <w:rPr>
          <w:strike/>
        </w:rPr>
        <w:t>In short, redundancy must be genuine, fairly applied, and carefully handled. Cutting corners may save time in the short term, but the legal and reputational risks are significant.</w:t>
      </w:r>
    </w:p>
    <w:p w14:paraId="247F6D72" w14:textId="77777777" w:rsidR="00AF1D90" w:rsidRDefault="00AF1D90" w:rsidP="004644C7">
      <w:pPr>
        <w:rPr>
          <w:strike/>
        </w:rPr>
      </w:pPr>
    </w:p>
    <w:p w14:paraId="62C8310D" w14:textId="77777777" w:rsidR="00AF1D90" w:rsidRDefault="00AF1D90" w:rsidP="00AF1D90">
      <w:pPr>
        <w:rPr>
          <w:color w:val="FF0000"/>
        </w:rPr>
      </w:pPr>
    </w:p>
    <w:p w14:paraId="423CFA00" w14:textId="384FA70B" w:rsidR="00AF1D90" w:rsidRDefault="00AF1D90" w:rsidP="00AF1D90">
      <w:pPr>
        <w:rPr>
          <w:color w:val="FF0000"/>
        </w:rPr>
      </w:pPr>
      <w:r>
        <w:rPr>
          <w:color w:val="FF0000"/>
        </w:rPr>
        <w:t xml:space="preserve">Hi </w:t>
      </w:r>
    </w:p>
    <w:p w14:paraId="4BB373C9" w14:textId="5310A6E5" w:rsidR="00AF1D90" w:rsidRPr="00AF1D90" w:rsidRDefault="00AF1D90" w:rsidP="00AF1D90">
      <w:pPr>
        <w:rPr>
          <w:color w:val="FF0000"/>
        </w:rPr>
      </w:pPr>
      <w:r w:rsidRPr="00AF1D90">
        <w:rPr>
          <w:color w:val="FF0000"/>
        </w:rPr>
        <w:t xml:space="preserve">Thanks for your </w:t>
      </w:r>
      <w:r>
        <w:rPr>
          <w:color w:val="FF0000"/>
        </w:rPr>
        <w:t>email</w:t>
      </w:r>
      <w:r w:rsidRPr="00AF1D90">
        <w:rPr>
          <w:color w:val="FF0000"/>
        </w:rPr>
        <w:t xml:space="preserve"> regarding the upcoming reorganisation. I understand the urgency around progressing quickly, but it's important we follow the legal requirements to avoid potential unfair dismissal claims and financial penalties. Here's a summary of what we need to be aware of.</w:t>
      </w:r>
    </w:p>
    <w:p w14:paraId="3E6DCA46" w14:textId="77777777" w:rsidR="00AF1D90" w:rsidRPr="00AF1D90" w:rsidRDefault="00AF1D90" w:rsidP="00AF1D90">
      <w:pPr>
        <w:rPr>
          <w:color w:val="FF0000"/>
        </w:rPr>
      </w:pPr>
      <w:r w:rsidRPr="00AF1D90">
        <w:rPr>
          <w:color w:val="FF0000"/>
        </w:rPr>
        <w:t>Under section 139 of the Employment Rights Act 1996, a redundancy situation arises when there is a closure of a business or workplace, or a reduced need for employees to do certain work. Since you're looking to reduce fifty posts, this clearly meets the criteria for redundancy (Employment Rights Act 1996).</w:t>
      </w:r>
    </w:p>
    <w:p w14:paraId="14F5BA9F" w14:textId="77777777" w:rsidR="00AF1D90" w:rsidRPr="00AF1D90" w:rsidRDefault="00AF1D90" w:rsidP="00AF1D90">
      <w:pPr>
        <w:rPr>
          <w:color w:val="FF0000"/>
        </w:rPr>
      </w:pPr>
      <w:r w:rsidRPr="00AF1D90">
        <w:rPr>
          <w:color w:val="FF0000"/>
        </w:rPr>
        <w:t>However, redundancy must be handled fairly. Section 98(2)(c) of the same Act confirms it as a potentially fair reason for dismissal, but only if the employer follows a fair process (Daniels, 2022). This includes:</w:t>
      </w:r>
    </w:p>
    <w:p w14:paraId="32051B69" w14:textId="77777777" w:rsidR="00AF1D90" w:rsidRPr="00AF1D90" w:rsidRDefault="00AF1D90" w:rsidP="00AF1D90">
      <w:pPr>
        <w:numPr>
          <w:ilvl w:val="0"/>
          <w:numId w:val="11"/>
        </w:numPr>
        <w:rPr>
          <w:color w:val="FF0000"/>
        </w:rPr>
      </w:pPr>
      <w:r w:rsidRPr="00AF1D90">
        <w:rPr>
          <w:color w:val="FF0000"/>
        </w:rPr>
        <w:t>Establishing a genuine redundancy situation</w:t>
      </w:r>
    </w:p>
    <w:p w14:paraId="08F96716" w14:textId="77777777" w:rsidR="00AF1D90" w:rsidRPr="00AF1D90" w:rsidRDefault="00AF1D90" w:rsidP="00AF1D90">
      <w:pPr>
        <w:numPr>
          <w:ilvl w:val="0"/>
          <w:numId w:val="11"/>
        </w:numPr>
        <w:rPr>
          <w:color w:val="FF0000"/>
        </w:rPr>
      </w:pPr>
      <w:r w:rsidRPr="00AF1D90">
        <w:rPr>
          <w:color w:val="FF0000"/>
        </w:rPr>
        <w:t>Consulting with affected staff</w:t>
      </w:r>
    </w:p>
    <w:p w14:paraId="62F46599" w14:textId="77777777" w:rsidR="00AF1D90" w:rsidRPr="00AF1D90" w:rsidRDefault="00AF1D90" w:rsidP="00AF1D90">
      <w:pPr>
        <w:numPr>
          <w:ilvl w:val="0"/>
          <w:numId w:val="11"/>
        </w:numPr>
        <w:rPr>
          <w:color w:val="FF0000"/>
        </w:rPr>
      </w:pPr>
      <w:r w:rsidRPr="00AF1D90">
        <w:rPr>
          <w:color w:val="FF0000"/>
        </w:rPr>
        <w:t>Applying fair selection criteria</w:t>
      </w:r>
    </w:p>
    <w:p w14:paraId="54EA77AC" w14:textId="77777777" w:rsidR="00AF1D90" w:rsidRPr="00AF1D90" w:rsidRDefault="00AF1D90" w:rsidP="00AF1D90">
      <w:pPr>
        <w:numPr>
          <w:ilvl w:val="0"/>
          <w:numId w:val="11"/>
        </w:numPr>
        <w:rPr>
          <w:color w:val="FF0000"/>
        </w:rPr>
      </w:pPr>
      <w:r w:rsidRPr="00AF1D90">
        <w:rPr>
          <w:color w:val="FF0000"/>
        </w:rPr>
        <w:t>Considering suitable alternative employment</w:t>
      </w:r>
    </w:p>
    <w:p w14:paraId="41FDDA33" w14:textId="77777777" w:rsidR="00AF1D90" w:rsidRPr="00AF1D90" w:rsidRDefault="00AF1D90" w:rsidP="00AF1D90">
      <w:pPr>
        <w:rPr>
          <w:color w:val="FF0000"/>
        </w:rPr>
      </w:pPr>
      <w:r w:rsidRPr="00AF1D90">
        <w:rPr>
          <w:color w:val="FF0000"/>
        </w:rPr>
        <w:t xml:space="preserve">In your case, since more than 20 employees are affected within a 90-day period, collective consultation is legally required. According to the Trade Union and Labour Relations (Consolidation) Act 1992, this means starting consultation at least 30 days before the first dismissal (or 45 days if 100 or more roles are at risk). We must consult with either trade union representatives or elected employee reps. Failure to do so could result in a protective award of up to 90 days’ pay per affected employee (Armstrong and Taylor, 2023). In </w:t>
      </w:r>
      <w:r w:rsidRPr="00AF1D90">
        <w:rPr>
          <w:i/>
          <w:iCs/>
          <w:color w:val="FF0000"/>
        </w:rPr>
        <w:t>Amicus v GMB</w:t>
      </w:r>
      <w:r w:rsidRPr="00AF1D90">
        <w:rPr>
          <w:color w:val="FF0000"/>
        </w:rPr>
        <w:t xml:space="preserve"> [2004] IRLR 430, a lack of meaningful consultation led to significant compensation being awarded to employees.</w:t>
      </w:r>
    </w:p>
    <w:p w14:paraId="42A8B2C4" w14:textId="77777777" w:rsidR="00AF1D90" w:rsidRPr="00AF1D90" w:rsidRDefault="00AF1D90" w:rsidP="00AF1D90">
      <w:pPr>
        <w:rPr>
          <w:color w:val="FF0000"/>
        </w:rPr>
      </w:pPr>
      <w:r w:rsidRPr="00AF1D90">
        <w:rPr>
          <w:color w:val="FF0000"/>
        </w:rPr>
        <w:t xml:space="preserve">While I understand the desire to streamline the process, dismissing the "poorest performers" without proper procedure is not lawful. Selection criteria must be objective, consistently applied, and based on verifiable data. Performance can be one of the criteria, but only if it's measured using recent, fair and evidence-based appraisals. In </w:t>
      </w:r>
      <w:r w:rsidRPr="00AF1D90">
        <w:rPr>
          <w:i/>
          <w:iCs/>
          <w:color w:val="FF0000"/>
        </w:rPr>
        <w:t xml:space="preserve">Williams v </w:t>
      </w:r>
      <w:proofErr w:type="spellStart"/>
      <w:r w:rsidRPr="00AF1D90">
        <w:rPr>
          <w:i/>
          <w:iCs/>
          <w:color w:val="FF0000"/>
        </w:rPr>
        <w:t>Compair</w:t>
      </w:r>
      <w:proofErr w:type="spellEnd"/>
      <w:r w:rsidRPr="00AF1D90">
        <w:rPr>
          <w:i/>
          <w:iCs/>
          <w:color w:val="FF0000"/>
        </w:rPr>
        <w:t xml:space="preserve"> Maxam Ltd</w:t>
      </w:r>
      <w:r w:rsidRPr="00AF1D90">
        <w:rPr>
          <w:color w:val="FF0000"/>
        </w:rPr>
        <w:t xml:space="preserve"> [1982] ICR 156, the employer failed to consult or use fair criteria and was found to have unfairly dismissed staff. The case highlights the importance of both meaningful consultation and transparency in selection.</w:t>
      </w:r>
    </w:p>
    <w:p w14:paraId="5CDED3AE" w14:textId="77777777" w:rsidR="00AF1D90" w:rsidRPr="00AF1D90" w:rsidRDefault="00AF1D90" w:rsidP="00AF1D90">
      <w:pPr>
        <w:rPr>
          <w:color w:val="FF0000"/>
        </w:rPr>
      </w:pPr>
      <w:r w:rsidRPr="00AF1D90">
        <w:rPr>
          <w:color w:val="FF0000"/>
        </w:rPr>
        <w:t>Even if consultation feels time-consuming, skipping or rushing it could lead to expensive claims. Each employee with over two years’ service has the right to bring a claim for unfair dismissal if we do not follow the correct process. They are also entitled to statutory redundancy pay based on age, length of service and weekly wage, as well as notice periods aligned with contract or statute (CIPD, 2023).</w:t>
      </w:r>
    </w:p>
    <w:p w14:paraId="6B6BA92D" w14:textId="77777777" w:rsidR="00AF1D90" w:rsidRPr="00AF1D90" w:rsidRDefault="00AF1D90" w:rsidP="00AF1D90">
      <w:pPr>
        <w:rPr>
          <w:color w:val="FF0000"/>
        </w:rPr>
      </w:pPr>
      <w:r w:rsidRPr="00AF1D90">
        <w:rPr>
          <w:color w:val="FF0000"/>
        </w:rPr>
        <w:t>We can certainly move efficiently, but we must balance that with the legal steps required. I’m happy to support with planning a compliant and fair process.</w:t>
      </w:r>
    </w:p>
    <w:p w14:paraId="1C4623ED" w14:textId="3785095E" w:rsidR="00AF1D90" w:rsidRDefault="00AF1D90" w:rsidP="00AF1D90">
      <w:pPr>
        <w:rPr>
          <w:color w:val="FF0000"/>
        </w:rPr>
      </w:pPr>
      <w:r>
        <w:rPr>
          <w:color w:val="FF0000"/>
        </w:rPr>
        <w:t xml:space="preserve">Many thanks </w:t>
      </w:r>
    </w:p>
    <w:p w14:paraId="7711D542" w14:textId="73329D8C" w:rsidR="00AF1D90" w:rsidRPr="00AF1D90" w:rsidRDefault="00AF1D90" w:rsidP="00AF1D90">
      <w:pPr>
        <w:rPr>
          <w:color w:val="FF0000"/>
        </w:rPr>
      </w:pPr>
      <w:r>
        <w:rPr>
          <w:color w:val="FF0000"/>
        </w:rPr>
        <w:t xml:space="preserve">Donna </w:t>
      </w:r>
    </w:p>
    <w:p w14:paraId="72B71126" w14:textId="77777777" w:rsidR="00AF1D90" w:rsidRPr="00AF1D90" w:rsidRDefault="00AF1D90" w:rsidP="004644C7">
      <w:pPr>
        <w:rPr>
          <w:color w:val="FF0000"/>
        </w:rPr>
      </w:pPr>
    </w:p>
    <w:p w14:paraId="1C850465" w14:textId="77777777" w:rsidR="00AF1D90" w:rsidRPr="00AF1D90" w:rsidRDefault="00AF1D90" w:rsidP="004644C7">
      <w:pPr>
        <w:rPr>
          <w:color w:val="FF0000"/>
        </w:rPr>
      </w:pPr>
    </w:p>
    <w:p w14:paraId="33E7B3F2" w14:textId="77777777" w:rsidR="00281EF3" w:rsidRPr="00AF1D90" w:rsidRDefault="00281EF3" w:rsidP="00595DC6">
      <w:pPr>
        <w:rPr>
          <w:color w:val="FF0000"/>
        </w:rPr>
      </w:pPr>
    </w:p>
    <w:p w14:paraId="2B3ED7A4" w14:textId="77777777" w:rsidR="004644C7" w:rsidRDefault="004644C7" w:rsidP="004644C7">
      <w:pPr>
        <w:rPr>
          <w:b/>
          <w:bCs/>
        </w:rPr>
      </w:pPr>
    </w:p>
    <w:p w14:paraId="15F82F29" w14:textId="3475EE2C" w:rsidR="004644C7" w:rsidRPr="004644C7" w:rsidRDefault="004644C7" w:rsidP="004644C7">
      <w:r w:rsidRPr="004644C7">
        <w:rPr>
          <w:b/>
          <w:bCs/>
        </w:rPr>
        <w:t>AC 3.3 Explain the legal requirements relating to transfers of undertakings</w:t>
      </w:r>
    </w:p>
    <w:p w14:paraId="6D35F99B" w14:textId="77777777" w:rsidR="004644C7" w:rsidRPr="0071026D" w:rsidRDefault="004644C7" w:rsidP="004644C7">
      <w:pPr>
        <w:rPr>
          <w:strike/>
        </w:rPr>
      </w:pPr>
      <w:r w:rsidRPr="0071026D">
        <w:rPr>
          <w:strike/>
        </w:rPr>
        <w:t>When a business or service changes hands, certain employee rights are protected under the Transfer of Undertakings (Protection of Employment) Regulations 2006 (SI 2006/246), commonly known as TUPE. These regulations aim to safeguard employees' terms and conditions when a relevant transfer takes place, such as a business sale or service provision change.</w:t>
      </w:r>
    </w:p>
    <w:p w14:paraId="4AB5949C" w14:textId="77777777" w:rsidR="004644C7" w:rsidRPr="0071026D" w:rsidRDefault="004644C7" w:rsidP="004644C7">
      <w:pPr>
        <w:rPr>
          <w:strike/>
        </w:rPr>
      </w:pPr>
      <w:r w:rsidRPr="0071026D">
        <w:rPr>
          <w:strike/>
        </w:rPr>
        <w:t>TUPE applies in two key situations: a business transfer where an economic entity retains its identity (e.g. a pharmacy merging into another trust), and a service provision change (e.g. outsourcing, insourcing, or a change of contractor). In both cases, employees assigned to the transferring entity automatically move to the new employer on their existing terms. This is known as the automatic transfer principle. Their continuity of employment is preserved, and all rights, duties, and liabilities transfer with them.</w:t>
      </w:r>
    </w:p>
    <w:p w14:paraId="331314B1" w14:textId="77777777" w:rsidR="004644C7" w:rsidRPr="0071026D" w:rsidRDefault="004644C7" w:rsidP="004644C7">
      <w:pPr>
        <w:rPr>
          <w:strike/>
        </w:rPr>
      </w:pPr>
      <w:r w:rsidRPr="0071026D">
        <w:rPr>
          <w:strike/>
        </w:rPr>
        <w:t xml:space="preserve">Importantly, the new employer (transferee) cannot lawfully change the employees' terms and conditions if the sole or principal reason is the transfer. Any dismissal for a reason connected to the transfer is automatically unfair unless there is an economic, technical, or organisational (ETO) reason involving changes in the workforce, such as a workplace closure or restructure. This is confirmed in </w:t>
      </w:r>
      <w:r w:rsidRPr="0071026D">
        <w:rPr>
          <w:i/>
          <w:iCs/>
          <w:strike/>
        </w:rPr>
        <w:t>Litster v Forth Dry Dock and Engineering Co Ltd</w:t>
      </w:r>
      <w:r w:rsidRPr="0071026D">
        <w:rPr>
          <w:strike/>
        </w:rPr>
        <w:t xml:space="preserve"> [1989] ICR 341, which established that TUPE rights apply even where dismissals are timed to avoid them.</w:t>
      </w:r>
    </w:p>
    <w:p w14:paraId="7E0D92FA" w14:textId="77777777" w:rsidR="004644C7" w:rsidRPr="0071026D" w:rsidRDefault="004644C7" w:rsidP="004644C7">
      <w:pPr>
        <w:rPr>
          <w:strike/>
        </w:rPr>
      </w:pPr>
      <w:r w:rsidRPr="0071026D">
        <w:rPr>
          <w:strike/>
        </w:rPr>
        <w:t>Employers also have a legal duty to inform and consult employees before the transfer. If a trade union is recognised, consultation must take place with union representatives. Otherwise, elected employee representatives must be consulted. The information provided must include the fact and date of the transfer, reasons for it, and any measures the new employer plans to take. If fewer than 10 employees are affected and the organisation has fewer than 50 staff, there is no duty to consult representatives, but information must still be provided.</w:t>
      </w:r>
    </w:p>
    <w:p w14:paraId="69CC885D" w14:textId="77777777" w:rsidR="004644C7" w:rsidRPr="0071026D" w:rsidRDefault="004644C7" w:rsidP="004644C7">
      <w:pPr>
        <w:rPr>
          <w:strike/>
        </w:rPr>
      </w:pPr>
      <w:r w:rsidRPr="0071026D">
        <w:rPr>
          <w:strike/>
        </w:rPr>
        <w:t xml:space="preserve">Failure to consult can lead to claims and compensation of up to 13 weeks' gross pay per affected employee. In </w:t>
      </w:r>
      <w:r w:rsidRPr="0071026D">
        <w:rPr>
          <w:i/>
          <w:iCs/>
          <w:strike/>
        </w:rPr>
        <w:t>Manchester College v Hazel and Huggins</w:t>
      </w:r>
      <w:r w:rsidRPr="0071026D">
        <w:rPr>
          <w:strike/>
        </w:rPr>
        <w:t xml:space="preserve"> [2014] EWCA </w:t>
      </w:r>
      <w:proofErr w:type="spellStart"/>
      <w:r w:rsidRPr="0071026D">
        <w:rPr>
          <w:strike/>
        </w:rPr>
        <w:t>Civ</w:t>
      </w:r>
      <w:proofErr w:type="spellEnd"/>
      <w:r w:rsidRPr="0071026D">
        <w:rPr>
          <w:strike/>
        </w:rPr>
        <w:t xml:space="preserve"> 72, </w:t>
      </w:r>
      <w:r w:rsidRPr="0071026D">
        <w:rPr>
          <w:strike/>
        </w:rPr>
        <w:lastRenderedPageBreak/>
        <w:t>contractual changes made post-transfer were deemed invalid because they were solely linked to the transfer, breaching TUPE protections.</w:t>
      </w:r>
    </w:p>
    <w:p w14:paraId="66984840" w14:textId="77777777" w:rsidR="004644C7" w:rsidRPr="0071026D" w:rsidRDefault="004644C7" w:rsidP="004644C7">
      <w:pPr>
        <w:rPr>
          <w:strike/>
        </w:rPr>
      </w:pPr>
      <w:r w:rsidRPr="0071026D">
        <w:rPr>
          <w:strike/>
        </w:rPr>
        <w:t>In summary, TUPE ensures that employees affected by organisational change do not lose out on rights or protections simply because their employer changes. Both old and new employers must handle the process with care to avoid liability.</w:t>
      </w:r>
    </w:p>
    <w:p w14:paraId="6786F259" w14:textId="77777777" w:rsidR="0071026D" w:rsidRPr="0071026D" w:rsidRDefault="0071026D" w:rsidP="0071026D">
      <w:pPr>
        <w:rPr>
          <w:color w:val="FF0000"/>
        </w:rPr>
      </w:pPr>
      <w:r w:rsidRPr="0071026D">
        <w:rPr>
          <w:color w:val="FF0000"/>
        </w:rPr>
        <w:t>Hi,</w:t>
      </w:r>
    </w:p>
    <w:p w14:paraId="3F0C22F0" w14:textId="77777777" w:rsidR="0071026D" w:rsidRPr="0071026D" w:rsidRDefault="0071026D" w:rsidP="0071026D">
      <w:pPr>
        <w:rPr>
          <w:color w:val="FF0000"/>
        </w:rPr>
      </w:pPr>
      <w:r w:rsidRPr="0071026D">
        <w:rPr>
          <w:color w:val="FF0000"/>
        </w:rPr>
        <w:t>Thanks for reaching out about the potential merger of our pharmacy operations with the neighbouring Trust. If the merger proceeds, it’s likely that the Transfer of Undertakings (Protection of Employment) Regulations 2006 (TUPE) will apply.</w:t>
      </w:r>
    </w:p>
    <w:p w14:paraId="4FA52C86" w14:textId="77777777" w:rsidR="0071026D" w:rsidRPr="0071026D" w:rsidRDefault="0071026D" w:rsidP="0071026D">
      <w:pPr>
        <w:rPr>
          <w:color w:val="FF0000"/>
        </w:rPr>
      </w:pPr>
      <w:r w:rsidRPr="0071026D">
        <w:rPr>
          <w:color w:val="FF0000"/>
        </w:rPr>
        <w:t>TUPE protects employees’ rights when a business or service transfers to a new employer. In this case, transferring services into a centralised pharmacy serving both trusts may meet the criteria for a ‘relevant transfer’. This means that all employees assigned to the affected service would automatically transfer to the new employer on their existing terms and conditions. Their continuity of service would remain intact (Daniels, 2022; Armstrong and Taylor, 2023).</w:t>
      </w:r>
    </w:p>
    <w:p w14:paraId="0EA9FAA2" w14:textId="77777777" w:rsidR="0071026D" w:rsidRPr="0071026D" w:rsidRDefault="0071026D" w:rsidP="0071026D">
      <w:pPr>
        <w:rPr>
          <w:color w:val="FF0000"/>
        </w:rPr>
      </w:pPr>
      <w:r w:rsidRPr="0071026D">
        <w:rPr>
          <w:color w:val="FF0000"/>
        </w:rPr>
        <w:t>Importantly, TUPE prohibits changes to terms and conditions where the sole or principal reason is the transfer. Any dismissal connected to the transfer would be considered automatically unfair unless justified by an economic, technical or organisational (ETO) reason involving changes in the workforce. For example, a reorganisation that changes job roles may be a valid ETO reason (Employment Rights Act 1996, s.139).</w:t>
      </w:r>
    </w:p>
    <w:p w14:paraId="2A00C62F" w14:textId="77777777" w:rsidR="0071026D" w:rsidRPr="0071026D" w:rsidRDefault="0071026D" w:rsidP="0071026D">
      <w:pPr>
        <w:rPr>
          <w:color w:val="FF0000"/>
        </w:rPr>
      </w:pPr>
      <w:r w:rsidRPr="0071026D">
        <w:rPr>
          <w:color w:val="FF0000"/>
        </w:rPr>
        <w:t xml:space="preserve">In </w:t>
      </w:r>
      <w:r w:rsidRPr="0071026D">
        <w:rPr>
          <w:i/>
          <w:iCs/>
          <w:color w:val="FF0000"/>
        </w:rPr>
        <w:t>Litster v Forth Dry Dock and Engineering Co Ltd</w:t>
      </w:r>
      <w:r w:rsidRPr="0071026D">
        <w:rPr>
          <w:color w:val="FF0000"/>
        </w:rPr>
        <w:t xml:space="preserve"> [1989] ICR 341, the court ruled that employees dismissed shortly before a transfer were still protected under TUPE. Likewise, in </w:t>
      </w:r>
      <w:r w:rsidRPr="0071026D">
        <w:rPr>
          <w:i/>
          <w:iCs/>
          <w:color w:val="FF0000"/>
        </w:rPr>
        <w:t>Manchester College v Hazel and Huggins</w:t>
      </w:r>
      <w:r w:rsidRPr="0071026D">
        <w:rPr>
          <w:color w:val="FF0000"/>
        </w:rPr>
        <w:t xml:space="preserve"> [2014] EWCA </w:t>
      </w:r>
      <w:proofErr w:type="spellStart"/>
      <w:r w:rsidRPr="0071026D">
        <w:rPr>
          <w:color w:val="FF0000"/>
        </w:rPr>
        <w:t>Civ</w:t>
      </w:r>
      <w:proofErr w:type="spellEnd"/>
      <w:r w:rsidRPr="0071026D">
        <w:rPr>
          <w:color w:val="FF0000"/>
        </w:rPr>
        <w:t xml:space="preserve"> 72, the employer’s post-transfer changes to contracts were found to be unlawful because they were linked to the transfer itself.</w:t>
      </w:r>
    </w:p>
    <w:p w14:paraId="7ABFCECA" w14:textId="77777777" w:rsidR="0071026D" w:rsidRPr="0071026D" w:rsidRDefault="0071026D" w:rsidP="0071026D">
      <w:pPr>
        <w:rPr>
          <w:color w:val="FF0000"/>
        </w:rPr>
      </w:pPr>
      <w:r w:rsidRPr="0071026D">
        <w:rPr>
          <w:color w:val="FF0000"/>
        </w:rPr>
        <w:t>We also have a duty to inform and consult with affected employees ahead of the transfer. If we recognise a trade union, consultation must take place with union reps; otherwise, we must consult elected employee representatives. We’ll need to provide details on the reason for the transfer, its timing, and any planned changes. For smaller organisations (fewer than 50 employees with under 10 affected), individual consultation may suffice (CIPD, 2023).</w:t>
      </w:r>
    </w:p>
    <w:p w14:paraId="2B6D13CB" w14:textId="77777777" w:rsidR="0071026D" w:rsidRPr="0071026D" w:rsidRDefault="0071026D" w:rsidP="0071026D">
      <w:pPr>
        <w:rPr>
          <w:color w:val="FF0000"/>
        </w:rPr>
      </w:pPr>
      <w:r w:rsidRPr="0071026D">
        <w:rPr>
          <w:color w:val="FF0000"/>
        </w:rPr>
        <w:t>Failure to consult properly could result in compensation of up to 13 weeks’ pay per employee. TUPE also transfers liabilities from the old employer to the new one, so it’s vital we get this right (ACAS, 2023).</w:t>
      </w:r>
    </w:p>
    <w:p w14:paraId="129D28B1" w14:textId="77777777" w:rsidR="0071026D" w:rsidRPr="0071026D" w:rsidRDefault="0071026D" w:rsidP="0071026D">
      <w:pPr>
        <w:rPr>
          <w:color w:val="FF0000"/>
        </w:rPr>
      </w:pPr>
      <w:r w:rsidRPr="0071026D">
        <w:rPr>
          <w:color w:val="FF0000"/>
        </w:rPr>
        <w:t>Let me know if you’d like to set up a meeting to go through the consultation plan.</w:t>
      </w:r>
    </w:p>
    <w:p w14:paraId="322ECEE4" w14:textId="05EC32D5" w:rsidR="0071026D" w:rsidRDefault="0071026D" w:rsidP="0071026D">
      <w:pPr>
        <w:rPr>
          <w:color w:val="FF0000"/>
        </w:rPr>
      </w:pPr>
      <w:r>
        <w:rPr>
          <w:color w:val="FF0000"/>
        </w:rPr>
        <w:t xml:space="preserve">Many thanks </w:t>
      </w:r>
    </w:p>
    <w:p w14:paraId="717EB0D8" w14:textId="16F8E035" w:rsidR="0071026D" w:rsidRPr="0071026D" w:rsidRDefault="0071026D" w:rsidP="0071026D">
      <w:pPr>
        <w:rPr>
          <w:color w:val="FF0000"/>
        </w:rPr>
      </w:pPr>
      <w:r>
        <w:rPr>
          <w:color w:val="FF0000"/>
        </w:rPr>
        <w:t xml:space="preserve">Donna </w:t>
      </w:r>
    </w:p>
    <w:p w14:paraId="266F8064" w14:textId="77777777" w:rsidR="004644C7" w:rsidRPr="0071026D" w:rsidRDefault="004644C7" w:rsidP="00595DC6">
      <w:pPr>
        <w:rPr>
          <w:color w:val="FF0000"/>
        </w:rPr>
      </w:pPr>
    </w:p>
    <w:p w14:paraId="45630029" w14:textId="77777777" w:rsidR="004644C7" w:rsidRDefault="004644C7" w:rsidP="00595DC6"/>
    <w:p w14:paraId="521FBF41" w14:textId="77777777" w:rsidR="004644C7" w:rsidRDefault="004644C7" w:rsidP="00595DC6"/>
    <w:p w14:paraId="0F4CAD8F" w14:textId="77777777" w:rsidR="004644C7" w:rsidRPr="004644C7" w:rsidRDefault="004644C7" w:rsidP="004644C7">
      <w:r w:rsidRPr="004644C7">
        <w:rPr>
          <w:b/>
          <w:bCs/>
        </w:rPr>
        <w:t>AC 4.1 Explain the major statutory rights in leave and working time</w:t>
      </w:r>
    </w:p>
    <w:p w14:paraId="0BAB08D1" w14:textId="77777777" w:rsidR="004644C7" w:rsidRPr="0071026D" w:rsidRDefault="004644C7" w:rsidP="004644C7">
      <w:pPr>
        <w:rPr>
          <w:strike/>
        </w:rPr>
      </w:pPr>
      <w:r w:rsidRPr="0071026D">
        <w:rPr>
          <w:strike/>
        </w:rPr>
        <w:t>Employees in the UK benefit from a range of statutory rights related to leave and working time, primarily governed by the Working Time Regulations 1998 and the Employment Rights Act 1996. These rights are designed to protect workers’ health, safety and wellbeing, and apply to most employees and workers, including those on casual or zero-hour contracts.</w:t>
      </w:r>
    </w:p>
    <w:p w14:paraId="3B7DE071" w14:textId="77777777" w:rsidR="004644C7" w:rsidRPr="0071026D" w:rsidRDefault="004644C7" w:rsidP="004644C7">
      <w:pPr>
        <w:rPr>
          <w:strike/>
        </w:rPr>
      </w:pPr>
      <w:r w:rsidRPr="0071026D">
        <w:rPr>
          <w:strike/>
        </w:rPr>
        <w:t xml:space="preserve">One of the key entitlements is paid annual leave. Full-time workers are entitled to 5.6 weeks’ paid holiday per year, which equates to 28 days for someone working a five-day week. This includes both the four-week minimum under EU law and an additional 1.6 weeks under UK legislation. Part-time workers receive a pro-rata entitlement. Since changes in 2024, irregular-hours and part-year workers can lawfully receive rolled-up holiday pay, calculated at 12.07% of their pay, but this must be itemised clearly on their payslips. Employers must ensure holiday pay reflects regular pay patterns, including overtime and commission, as confirmed in </w:t>
      </w:r>
      <w:r w:rsidRPr="0071026D">
        <w:rPr>
          <w:i/>
          <w:iCs/>
          <w:strike/>
        </w:rPr>
        <w:t>Lock v British Gas Trading Ltd</w:t>
      </w:r>
      <w:r w:rsidRPr="0071026D">
        <w:rPr>
          <w:strike/>
        </w:rPr>
        <w:t xml:space="preserve"> [2014] EUECJ C-539/12.</w:t>
      </w:r>
    </w:p>
    <w:p w14:paraId="67181076" w14:textId="77777777" w:rsidR="004644C7" w:rsidRPr="0071026D" w:rsidRDefault="004644C7" w:rsidP="004644C7">
      <w:pPr>
        <w:rPr>
          <w:strike/>
        </w:rPr>
      </w:pPr>
      <w:r w:rsidRPr="0071026D">
        <w:rPr>
          <w:strike/>
        </w:rPr>
        <w:t>Working time is also regulated. Workers must not be required to work more than 48 hours per week on average unless they opt out voluntarily. Other entitlements include a minimum of 11 consecutive hours’ rest in every 24-hour period, a 20-minute rest break for shifts over six hours, and one full day off per week or two per fortnight. Night workers, typically those working at least three hours during the night period (usually 11pm to 6am), are entitled to health assessments and tighter limits on working hours.</w:t>
      </w:r>
    </w:p>
    <w:p w14:paraId="213C6EAA" w14:textId="77777777" w:rsidR="004644C7" w:rsidRPr="0071026D" w:rsidRDefault="004644C7" w:rsidP="004644C7">
      <w:pPr>
        <w:rPr>
          <w:strike/>
        </w:rPr>
      </w:pPr>
      <w:r w:rsidRPr="0071026D">
        <w:rPr>
          <w:strike/>
        </w:rPr>
        <w:t>Young workers aged 16 or 17 are subject to more protective limits, including a maximum 40-hour working week and longer rest breaks. Employers who fail to follow these rules may face enforcement action from the Health and Safety Executive or Employment Tribunal claims, especially where working conditions affect health.</w:t>
      </w:r>
    </w:p>
    <w:p w14:paraId="266E2389" w14:textId="77777777" w:rsidR="004644C7" w:rsidRPr="0071026D" w:rsidRDefault="004644C7" w:rsidP="004644C7">
      <w:pPr>
        <w:rPr>
          <w:strike/>
        </w:rPr>
      </w:pPr>
      <w:r w:rsidRPr="0071026D">
        <w:rPr>
          <w:strike/>
        </w:rPr>
        <w:t xml:space="preserve">Employees also have the right to unpaid time off for dependants and other statutory leave such as maternity, paternity, adoption, parental leave, and, from 2024, carer’s </w:t>
      </w:r>
      <w:r w:rsidRPr="0071026D">
        <w:rPr>
          <w:strike/>
        </w:rPr>
        <w:lastRenderedPageBreak/>
        <w:t>leave. These rights provide essential flexibility and protection for employees balancing work and caring responsibilities.</w:t>
      </w:r>
    </w:p>
    <w:p w14:paraId="6A5605F3" w14:textId="77777777" w:rsidR="004644C7" w:rsidRPr="0071026D" w:rsidRDefault="004644C7" w:rsidP="004644C7">
      <w:pPr>
        <w:rPr>
          <w:strike/>
        </w:rPr>
      </w:pPr>
      <w:r w:rsidRPr="0071026D">
        <w:rPr>
          <w:strike/>
        </w:rPr>
        <w:t>In summary, statutory working time and leave rights ensure fair treatment and prevent exploitation. Employers must apply them consistently and accurately, especially for atypical workers, to remain compliant and avoid legal challenges.</w:t>
      </w:r>
    </w:p>
    <w:p w14:paraId="4350FF08" w14:textId="77777777" w:rsidR="0071026D" w:rsidRPr="0071026D" w:rsidRDefault="0071026D" w:rsidP="0071026D">
      <w:pPr>
        <w:rPr>
          <w:color w:val="FF0000"/>
        </w:rPr>
      </w:pPr>
      <w:r w:rsidRPr="0071026D">
        <w:rPr>
          <w:color w:val="FF0000"/>
        </w:rPr>
        <w:t>Hi,</w:t>
      </w:r>
    </w:p>
    <w:p w14:paraId="1554B644" w14:textId="392D9EBC" w:rsidR="0071026D" w:rsidRPr="0071026D" w:rsidRDefault="0071026D" w:rsidP="0071026D">
      <w:pPr>
        <w:rPr>
          <w:color w:val="FF0000"/>
        </w:rPr>
      </w:pPr>
      <w:r w:rsidRPr="0071026D">
        <w:rPr>
          <w:color w:val="FF0000"/>
        </w:rPr>
        <w:t>Thanks for your query about holiday pay for your nurse bank staff. You're right to want to get this right</w:t>
      </w:r>
      <w:r>
        <w:rPr>
          <w:color w:val="FF0000"/>
        </w:rPr>
        <w:t xml:space="preserve">, </w:t>
      </w:r>
      <w:r w:rsidRPr="0071026D">
        <w:rPr>
          <w:color w:val="FF0000"/>
        </w:rPr>
        <w:t>casual staff are still entitled to statutory holiday pay under UK law, and the rules around calculating it have recently changed.</w:t>
      </w:r>
    </w:p>
    <w:p w14:paraId="6DE118CE" w14:textId="48212D7B" w:rsidR="0071026D" w:rsidRPr="0071026D" w:rsidRDefault="0071026D" w:rsidP="0071026D">
      <w:pPr>
        <w:rPr>
          <w:color w:val="FF0000"/>
        </w:rPr>
      </w:pPr>
      <w:r w:rsidRPr="0071026D">
        <w:rPr>
          <w:color w:val="FF0000"/>
        </w:rPr>
        <w:t xml:space="preserve">Under the Working Time Regulations 1998, all workers (including those on zero-hour or bank contracts) are entitled to 5.6 </w:t>
      </w:r>
      <w:r w:rsidR="003C6CC4" w:rsidRPr="0071026D">
        <w:rPr>
          <w:color w:val="FF0000"/>
        </w:rPr>
        <w:t>weeks</w:t>
      </w:r>
      <w:r w:rsidRPr="0071026D">
        <w:rPr>
          <w:color w:val="FF0000"/>
        </w:rPr>
        <w:t xml:space="preserve"> paid annual leave. For those without regular working hours, like your nurse bank staff, holiday entitlement should be calculated based on their actual hours worked.</w:t>
      </w:r>
    </w:p>
    <w:p w14:paraId="6F818953" w14:textId="77777777" w:rsidR="0071026D" w:rsidRPr="0071026D" w:rsidRDefault="0071026D" w:rsidP="0071026D">
      <w:pPr>
        <w:rPr>
          <w:color w:val="FF0000"/>
        </w:rPr>
      </w:pPr>
      <w:r w:rsidRPr="0071026D">
        <w:rPr>
          <w:color w:val="FF0000"/>
        </w:rPr>
        <w:t>As of January 2024, the law was updated to permit rolled-up holiday pay for irregular-hours and part-year workers, such as bank nurses. This means you can pay them an additional 12.07% of their gross pay in lieu of accruing holiday, but this must be clearly itemised on their payslips (ACAS, 2024). This method simplifies administration and ensures fairness, provided it is consistently applied and transparent.</w:t>
      </w:r>
    </w:p>
    <w:p w14:paraId="577E23F8" w14:textId="77777777" w:rsidR="0071026D" w:rsidRPr="0071026D" w:rsidRDefault="0071026D" w:rsidP="0071026D">
      <w:pPr>
        <w:rPr>
          <w:color w:val="FF0000"/>
        </w:rPr>
      </w:pPr>
      <w:r w:rsidRPr="0071026D">
        <w:rPr>
          <w:color w:val="FF0000"/>
        </w:rPr>
        <w:t>Where rolled-up pay is not used, the alternative is to calculate holiday pay using the average weekly earnings over the previous 52 weeks in which the worker was paid, excluding weeks they earned nothing. This is particularly important for casual workers whose earnings may fluctuate (CIPD, 2023).</w:t>
      </w:r>
    </w:p>
    <w:p w14:paraId="1D36D3D0" w14:textId="77777777" w:rsidR="0071026D" w:rsidRPr="0071026D" w:rsidRDefault="0071026D" w:rsidP="0071026D">
      <w:pPr>
        <w:rPr>
          <w:color w:val="FF0000"/>
        </w:rPr>
      </w:pPr>
      <w:r w:rsidRPr="0071026D">
        <w:rPr>
          <w:color w:val="FF0000"/>
        </w:rPr>
        <w:t xml:space="preserve">Holiday pay must reflect normal pay, including regular overtime, bonuses, or commission. This was confirmed in </w:t>
      </w:r>
      <w:r w:rsidRPr="0071026D">
        <w:rPr>
          <w:i/>
          <w:iCs/>
          <w:color w:val="FF0000"/>
        </w:rPr>
        <w:t>Lock v British Gas Trading Ltd</w:t>
      </w:r>
      <w:r w:rsidRPr="0071026D">
        <w:rPr>
          <w:color w:val="FF0000"/>
        </w:rPr>
        <w:t xml:space="preserve"> [2014] EUECJ C-539/12, which ruled that variable pay components must be included to prevent workers being discouraged from taking leave.</w:t>
      </w:r>
    </w:p>
    <w:p w14:paraId="5B68898F" w14:textId="77777777" w:rsidR="0071026D" w:rsidRPr="0071026D" w:rsidRDefault="0071026D" w:rsidP="0071026D">
      <w:pPr>
        <w:rPr>
          <w:color w:val="FF0000"/>
        </w:rPr>
      </w:pPr>
      <w:r w:rsidRPr="0071026D">
        <w:rPr>
          <w:color w:val="FF0000"/>
        </w:rPr>
        <w:t>Bank workers cannot be excluded from holiday rights, even if their hours are infrequent. Failure to calculate their entitlement fairly could lead to claims for unlawful deduction of wages under the Employment Rights Act 1996.</w:t>
      </w:r>
    </w:p>
    <w:p w14:paraId="5472193A" w14:textId="77777777" w:rsidR="0071026D" w:rsidRPr="0071026D" w:rsidRDefault="0071026D" w:rsidP="0071026D">
      <w:pPr>
        <w:rPr>
          <w:color w:val="FF0000"/>
        </w:rPr>
      </w:pPr>
      <w:r w:rsidRPr="0071026D">
        <w:rPr>
          <w:color w:val="FF0000"/>
        </w:rPr>
        <w:t>To summarise:</w:t>
      </w:r>
    </w:p>
    <w:p w14:paraId="383E9D96" w14:textId="77777777" w:rsidR="0071026D" w:rsidRPr="0071026D" w:rsidRDefault="0071026D" w:rsidP="0071026D">
      <w:pPr>
        <w:numPr>
          <w:ilvl w:val="0"/>
          <w:numId w:val="12"/>
        </w:numPr>
        <w:rPr>
          <w:color w:val="FF0000"/>
        </w:rPr>
      </w:pPr>
      <w:r w:rsidRPr="0071026D">
        <w:rPr>
          <w:color w:val="FF0000"/>
        </w:rPr>
        <w:t>Casual bank workers are entitled to 5.6 weeks’ annual leave.</w:t>
      </w:r>
    </w:p>
    <w:p w14:paraId="55306353" w14:textId="77777777" w:rsidR="0071026D" w:rsidRPr="0071026D" w:rsidRDefault="0071026D" w:rsidP="0071026D">
      <w:pPr>
        <w:numPr>
          <w:ilvl w:val="0"/>
          <w:numId w:val="12"/>
        </w:numPr>
        <w:rPr>
          <w:color w:val="FF0000"/>
        </w:rPr>
      </w:pPr>
      <w:r w:rsidRPr="0071026D">
        <w:rPr>
          <w:color w:val="FF0000"/>
        </w:rPr>
        <w:t>Rolled-up holiday pay (12.07%) is lawful if properly documented.</w:t>
      </w:r>
    </w:p>
    <w:p w14:paraId="3C5F4D35" w14:textId="11DDA573" w:rsidR="0071026D" w:rsidRPr="0071026D" w:rsidRDefault="0071026D" w:rsidP="0071026D">
      <w:pPr>
        <w:numPr>
          <w:ilvl w:val="0"/>
          <w:numId w:val="12"/>
        </w:numPr>
        <w:rPr>
          <w:color w:val="FF0000"/>
        </w:rPr>
      </w:pPr>
      <w:r w:rsidRPr="0071026D">
        <w:rPr>
          <w:color w:val="FF0000"/>
        </w:rPr>
        <w:t xml:space="preserve">If not using </w:t>
      </w:r>
      <w:r w:rsidRPr="0071026D">
        <w:rPr>
          <w:color w:val="FF0000"/>
        </w:rPr>
        <w:t>rolled up</w:t>
      </w:r>
      <w:r w:rsidRPr="0071026D">
        <w:rPr>
          <w:color w:val="FF0000"/>
        </w:rPr>
        <w:t xml:space="preserve"> pay, base calculations on the average pay over the past 52 paid weeks.</w:t>
      </w:r>
    </w:p>
    <w:p w14:paraId="2F21ACDE" w14:textId="77777777" w:rsidR="0071026D" w:rsidRPr="0071026D" w:rsidRDefault="0071026D" w:rsidP="0071026D">
      <w:pPr>
        <w:numPr>
          <w:ilvl w:val="0"/>
          <w:numId w:val="12"/>
        </w:numPr>
        <w:rPr>
          <w:color w:val="FF0000"/>
        </w:rPr>
      </w:pPr>
      <w:r w:rsidRPr="0071026D">
        <w:rPr>
          <w:color w:val="FF0000"/>
        </w:rPr>
        <w:t>Holiday pay must include regular additional earnings (not just basic pay).</w:t>
      </w:r>
    </w:p>
    <w:p w14:paraId="39F1867B" w14:textId="77777777" w:rsidR="0071026D" w:rsidRPr="0071026D" w:rsidRDefault="0071026D" w:rsidP="0071026D">
      <w:pPr>
        <w:rPr>
          <w:color w:val="FF0000"/>
        </w:rPr>
      </w:pPr>
      <w:r w:rsidRPr="0071026D">
        <w:rPr>
          <w:color w:val="FF0000"/>
        </w:rPr>
        <w:t>Let me know if you'd like to review the payslip format or if you'd like help setting up the calculation method in your department.</w:t>
      </w:r>
    </w:p>
    <w:p w14:paraId="01C1019E" w14:textId="77C0FB09" w:rsidR="0071026D" w:rsidRDefault="003C6CC4" w:rsidP="0071026D">
      <w:pPr>
        <w:rPr>
          <w:color w:val="FF0000"/>
        </w:rPr>
      </w:pPr>
      <w:r>
        <w:rPr>
          <w:color w:val="FF0000"/>
        </w:rPr>
        <w:t xml:space="preserve">Many thanks </w:t>
      </w:r>
    </w:p>
    <w:p w14:paraId="53E6CC92" w14:textId="1B5A3968" w:rsidR="003C6CC4" w:rsidRPr="0071026D" w:rsidRDefault="003C6CC4" w:rsidP="0071026D">
      <w:pPr>
        <w:rPr>
          <w:color w:val="FF0000"/>
        </w:rPr>
      </w:pPr>
      <w:r>
        <w:rPr>
          <w:color w:val="FF0000"/>
        </w:rPr>
        <w:t xml:space="preserve">Donna </w:t>
      </w:r>
    </w:p>
    <w:p w14:paraId="040E5DCE" w14:textId="77777777" w:rsidR="004644C7" w:rsidRPr="0071026D" w:rsidRDefault="004644C7" w:rsidP="004644C7">
      <w:pPr>
        <w:rPr>
          <w:color w:val="FF0000"/>
        </w:rPr>
      </w:pPr>
    </w:p>
    <w:p w14:paraId="5B4002E3" w14:textId="77777777" w:rsidR="004644C7" w:rsidRDefault="004644C7" w:rsidP="004644C7">
      <w:pPr>
        <w:rPr>
          <w:b/>
          <w:bCs/>
        </w:rPr>
      </w:pPr>
    </w:p>
    <w:p w14:paraId="57CB579B" w14:textId="77777777" w:rsidR="004644C7" w:rsidRDefault="004644C7" w:rsidP="004644C7">
      <w:pPr>
        <w:rPr>
          <w:b/>
          <w:bCs/>
        </w:rPr>
      </w:pPr>
    </w:p>
    <w:p w14:paraId="711B7394" w14:textId="41BBAC3C" w:rsidR="004644C7" w:rsidRPr="004644C7" w:rsidRDefault="004644C7" w:rsidP="004644C7">
      <w:r w:rsidRPr="004644C7">
        <w:rPr>
          <w:b/>
          <w:bCs/>
        </w:rPr>
        <w:t>AC 4.2 Explain the main principles of maternity, paternity and adoption rights in the context of employment rights</w:t>
      </w:r>
    </w:p>
    <w:p w14:paraId="452DF066" w14:textId="77777777" w:rsidR="004644C7" w:rsidRPr="003C6CC4" w:rsidRDefault="004644C7" w:rsidP="004644C7">
      <w:pPr>
        <w:rPr>
          <w:strike/>
        </w:rPr>
      </w:pPr>
      <w:r w:rsidRPr="003C6CC4">
        <w:rPr>
          <w:strike/>
        </w:rPr>
        <w:t>Maternity, paternity and adoption rights are statutory entitlements designed to protect employees during family-related leave and to support work-life balance. These rights are primarily found in the Employment Rights Act 1996, the Maternity and Parental Leave etc. Regulations 1999, and related statutory instruments. They apply to employees, not workers or the self-employed.</w:t>
      </w:r>
    </w:p>
    <w:p w14:paraId="0E6C47CF" w14:textId="77777777" w:rsidR="004644C7" w:rsidRPr="003C6CC4" w:rsidRDefault="004644C7" w:rsidP="004644C7">
      <w:pPr>
        <w:rPr>
          <w:strike/>
        </w:rPr>
      </w:pPr>
      <w:r w:rsidRPr="003C6CC4">
        <w:rPr>
          <w:strike/>
        </w:rPr>
        <w:t>Employees are entitled to up to 52 weeks of statutory maternity leave, regardless of length of service. This is divided into 26 weeks of Ordinary Maternity Leave (OML) and 26 weeks of Additional Maternity Leave (AML). During both periods, the contract continues, excluding pay. Women must take at least two weeks’ compulsory leave after childbirth (or four weeks for factory workers). Statutory Maternity Pay (SMP) is available to those who meet eligibility criteria, including 26 weeks’ continuous service by the 15th week before the expected week of childbirth and earnings above the lower earnings limit. SMP is paid for up to 39 weeks: 90% of average weekly earnings for the first six weeks, followed by the statutory rate for the remaining period.</w:t>
      </w:r>
    </w:p>
    <w:p w14:paraId="6B0B8000" w14:textId="77777777" w:rsidR="004644C7" w:rsidRPr="003C6CC4" w:rsidRDefault="004644C7" w:rsidP="004644C7">
      <w:pPr>
        <w:rPr>
          <w:strike/>
        </w:rPr>
      </w:pPr>
      <w:r w:rsidRPr="003C6CC4">
        <w:rPr>
          <w:strike/>
        </w:rPr>
        <w:t xml:space="preserve">Adoption </w:t>
      </w:r>
      <w:proofErr w:type="gramStart"/>
      <w:r w:rsidRPr="003C6CC4">
        <w:rPr>
          <w:strike/>
        </w:rPr>
        <w:t>leave</w:t>
      </w:r>
      <w:proofErr w:type="gramEnd"/>
      <w:r w:rsidRPr="003C6CC4">
        <w:rPr>
          <w:strike/>
        </w:rPr>
        <w:t xml:space="preserve"> mirrors maternity leave. One adopting parent may take up to 52 weeks of statutory adoption leave and be eligible for Statutory Adoption Pay (SAP), provided they meet similar service and earnings criteria. Leave begins when the child is placed or up to 14 days earlier. For surrogacy arrangements, adoption rights also apply to intended parents with a parental order.</w:t>
      </w:r>
    </w:p>
    <w:p w14:paraId="333A7BDC" w14:textId="77777777" w:rsidR="004644C7" w:rsidRPr="003C6CC4" w:rsidRDefault="004644C7" w:rsidP="004644C7">
      <w:pPr>
        <w:rPr>
          <w:strike/>
        </w:rPr>
      </w:pPr>
      <w:r w:rsidRPr="003C6CC4">
        <w:rPr>
          <w:strike/>
        </w:rPr>
        <w:t>Paternity leave allows eligible employees to take one or two weeks of leave to support their partner following birth or adoption. To qualify, they must have 26 weeks' continuous service by the 15th week before the due date (or matching week for adoption). Paternity leave must be taken within 12 months of the child’s arrival and cannot be split into separate weeks. Statutory Paternity Pay (SPP) is paid at the same rate as SMP after the initial six-week period.</w:t>
      </w:r>
    </w:p>
    <w:p w14:paraId="65AE6423" w14:textId="77777777" w:rsidR="004644C7" w:rsidRPr="003C6CC4" w:rsidRDefault="004644C7" w:rsidP="004644C7">
      <w:pPr>
        <w:rPr>
          <w:strike/>
        </w:rPr>
      </w:pPr>
      <w:r w:rsidRPr="003C6CC4">
        <w:rPr>
          <w:strike/>
        </w:rPr>
        <w:t>Shared Parental Leave (SPL) offers eligible parents the flexibility to share up to 50 weeks of leave and up to 37 weeks of pay. Both parents must meet separate eligibility criteria. SPL can be taken concurrently or in alternating blocks. It gives parents more choice but can be complex to administer.</w:t>
      </w:r>
    </w:p>
    <w:p w14:paraId="6E447BE9" w14:textId="77777777" w:rsidR="004644C7" w:rsidRPr="003C6CC4" w:rsidRDefault="004644C7" w:rsidP="004644C7">
      <w:pPr>
        <w:rPr>
          <w:strike/>
        </w:rPr>
      </w:pPr>
      <w:r w:rsidRPr="003C6CC4">
        <w:rPr>
          <w:strike/>
        </w:rPr>
        <w:t xml:space="preserve">These rights are protected. Dismissal or unfavourable treatment due to pregnancy, maternity or leave use is automatically unfair and may also amount to discrimination under the Equality Act 2010, as confirmed in </w:t>
      </w:r>
      <w:r w:rsidRPr="003C6CC4">
        <w:rPr>
          <w:i/>
          <w:iCs/>
          <w:strike/>
        </w:rPr>
        <w:t>Webb v EMO Air Cargo (UK) Ltd</w:t>
      </w:r>
      <w:r w:rsidRPr="003C6CC4">
        <w:rPr>
          <w:strike/>
        </w:rPr>
        <w:t xml:space="preserve"> [1994] ICR 770.</w:t>
      </w:r>
    </w:p>
    <w:p w14:paraId="13A1DC4B" w14:textId="77777777" w:rsidR="003C6CC4" w:rsidRPr="003C6CC4" w:rsidRDefault="003C6CC4" w:rsidP="003C6CC4">
      <w:pPr>
        <w:rPr>
          <w:color w:val="FF0000"/>
        </w:rPr>
      </w:pPr>
      <w:r w:rsidRPr="003C6CC4">
        <w:rPr>
          <w:color w:val="FF0000"/>
        </w:rPr>
        <w:t>Hi,</w:t>
      </w:r>
    </w:p>
    <w:p w14:paraId="438CE44A" w14:textId="77777777" w:rsidR="003C6CC4" w:rsidRPr="003C6CC4" w:rsidRDefault="003C6CC4" w:rsidP="003C6CC4">
      <w:pPr>
        <w:rPr>
          <w:color w:val="FF0000"/>
        </w:rPr>
      </w:pPr>
      <w:r w:rsidRPr="003C6CC4">
        <w:rPr>
          <w:color w:val="FF0000"/>
        </w:rPr>
        <w:t>Thanks for getting in touch. It’s great that you’re exploring your options, and I’m happy to help explain the key differences between maternity leave and shared parental leave (SPL) so you can decide what works best for you and your partner.</w:t>
      </w:r>
    </w:p>
    <w:p w14:paraId="0F1EC9D2" w14:textId="77777777" w:rsidR="003C6CC4" w:rsidRPr="003C6CC4" w:rsidRDefault="003C6CC4" w:rsidP="003C6CC4">
      <w:pPr>
        <w:rPr>
          <w:color w:val="FF0000"/>
        </w:rPr>
      </w:pPr>
      <w:r w:rsidRPr="003C6CC4">
        <w:rPr>
          <w:color w:val="FF0000"/>
        </w:rPr>
        <w:t>Under the Maternity and Parental Leave etc. Regulations 1999, eligible employees can take up to 52 weeks of maternity leave, split into:</w:t>
      </w:r>
    </w:p>
    <w:p w14:paraId="2B313616" w14:textId="77777777" w:rsidR="003C6CC4" w:rsidRPr="003C6CC4" w:rsidRDefault="003C6CC4" w:rsidP="003C6CC4">
      <w:pPr>
        <w:numPr>
          <w:ilvl w:val="0"/>
          <w:numId w:val="13"/>
        </w:numPr>
        <w:rPr>
          <w:color w:val="FF0000"/>
        </w:rPr>
      </w:pPr>
      <w:r w:rsidRPr="003C6CC4">
        <w:rPr>
          <w:color w:val="FF0000"/>
        </w:rPr>
        <w:t>26 weeks of Ordinary Maternity Leave (OML)</w:t>
      </w:r>
    </w:p>
    <w:p w14:paraId="19F4B7B2" w14:textId="77777777" w:rsidR="003C6CC4" w:rsidRPr="003C6CC4" w:rsidRDefault="003C6CC4" w:rsidP="003C6CC4">
      <w:pPr>
        <w:numPr>
          <w:ilvl w:val="0"/>
          <w:numId w:val="13"/>
        </w:numPr>
        <w:rPr>
          <w:color w:val="FF0000"/>
        </w:rPr>
      </w:pPr>
      <w:r w:rsidRPr="003C6CC4">
        <w:rPr>
          <w:color w:val="FF0000"/>
        </w:rPr>
        <w:t>26 weeks of Additional Maternity Leave (AML)</w:t>
      </w:r>
    </w:p>
    <w:p w14:paraId="5C37E900" w14:textId="77777777" w:rsidR="003C6CC4" w:rsidRPr="003C6CC4" w:rsidRDefault="003C6CC4" w:rsidP="003C6CC4">
      <w:pPr>
        <w:rPr>
          <w:color w:val="FF0000"/>
        </w:rPr>
      </w:pPr>
      <w:r w:rsidRPr="003C6CC4">
        <w:rPr>
          <w:color w:val="FF0000"/>
        </w:rPr>
        <w:t>You don’t need to meet a minimum service requirement to take maternity leave, although you must give the correct notice. However, to receive Statutory Maternity Pay (SMP), you must have:</w:t>
      </w:r>
    </w:p>
    <w:p w14:paraId="67F28DD3" w14:textId="77777777" w:rsidR="003C6CC4" w:rsidRPr="003C6CC4" w:rsidRDefault="003C6CC4" w:rsidP="003C6CC4">
      <w:pPr>
        <w:numPr>
          <w:ilvl w:val="0"/>
          <w:numId w:val="14"/>
        </w:numPr>
        <w:rPr>
          <w:color w:val="FF0000"/>
        </w:rPr>
      </w:pPr>
      <w:r w:rsidRPr="003C6CC4">
        <w:rPr>
          <w:color w:val="FF0000"/>
        </w:rPr>
        <w:t>26 weeks' continuous service by the 15th week before your due date</w:t>
      </w:r>
    </w:p>
    <w:p w14:paraId="5F37B5E9" w14:textId="77777777" w:rsidR="003C6CC4" w:rsidRPr="003C6CC4" w:rsidRDefault="003C6CC4" w:rsidP="003C6CC4">
      <w:pPr>
        <w:numPr>
          <w:ilvl w:val="0"/>
          <w:numId w:val="14"/>
        </w:numPr>
        <w:rPr>
          <w:color w:val="FF0000"/>
        </w:rPr>
      </w:pPr>
      <w:r w:rsidRPr="003C6CC4">
        <w:rPr>
          <w:color w:val="FF0000"/>
        </w:rPr>
        <w:t>Average weekly earnings above the lower earnings limit</w:t>
      </w:r>
    </w:p>
    <w:p w14:paraId="774A98D0" w14:textId="77777777" w:rsidR="003C6CC4" w:rsidRPr="003C6CC4" w:rsidRDefault="003C6CC4" w:rsidP="003C6CC4">
      <w:pPr>
        <w:rPr>
          <w:color w:val="FF0000"/>
        </w:rPr>
      </w:pPr>
      <w:r w:rsidRPr="003C6CC4">
        <w:rPr>
          <w:color w:val="FF0000"/>
        </w:rPr>
        <w:t>SMP is paid for up to 39 weeks:</w:t>
      </w:r>
    </w:p>
    <w:p w14:paraId="03D5565B" w14:textId="77777777" w:rsidR="003C6CC4" w:rsidRPr="003C6CC4" w:rsidRDefault="003C6CC4" w:rsidP="003C6CC4">
      <w:pPr>
        <w:numPr>
          <w:ilvl w:val="0"/>
          <w:numId w:val="15"/>
        </w:numPr>
        <w:rPr>
          <w:color w:val="FF0000"/>
        </w:rPr>
      </w:pPr>
      <w:r w:rsidRPr="003C6CC4">
        <w:rPr>
          <w:color w:val="FF0000"/>
        </w:rPr>
        <w:t>90% of your average weekly earnings for the first six weeks</w:t>
      </w:r>
    </w:p>
    <w:p w14:paraId="2A5E9F07" w14:textId="77777777" w:rsidR="003C6CC4" w:rsidRPr="003C6CC4" w:rsidRDefault="003C6CC4" w:rsidP="003C6CC4">
      <w:pPr>
        <w:numPr>
          <w:ilvl w:val="0"/>
          <w:numId w:val="15"/>
        </w:numPr>
        <w:rPr>
          <w:color w:val="FF0000"/>
        </w:rPr>
      </w:pPr>
      <w:r w:rsidRPr="003C6CC4">
        <w:rPr>
          <w:color w:val="FF0000"/>
        </w:rPr>
        <w:t>Then a statutory rate for the remaining 33 weeks (Gov.uk, 2024)</w:t>
      </w:r>
    </w:p>
    <w:p w14:paraId="0B078B57" w14:textId="77777777" w:rsidR="003C6CC4" w:rsidRPr="003C6CC4" w:rsidRDefault="003C6CC4" w:rsidP="003C6CC4">
      <w:pPr>
        <w:rPr>
          <w:color w:val="FF0000"/>
        </w:rPr>
      </w:pPr>
      <w:r w:rsidRPr="003C6CC4">
        <w:rPr>
          <w:color w:val="FF0000"/>
        </w:rPr>
        <w:t>By contrast, Shared Parental Leave (SPL) allows you and your partner to share up to 50 weeks of leave and up to 37 weeks of pay, provided you both meet separate eligibility criteria. To qualify, you must end your maternity leave early and give proper notice (ACAS, 2024).</w:t>
      </w:r>
    </w:p>
    <w:p w14:paraId="3B793A22" w14:textId="77777777" w:rsidR="003C6CC4" w:rsidRPr="003C6CC4" w:rsidRDefault="003C6CC4" w:rsidP="003C6CC4">
      <w:pPr>
        <w:rPr>
          <w:color w:val="FF0000"/>
        </w:rPr>
      </w:pPr>
      <w:r w:rsidRPr="003C6CC4">
        <w:rPr>
          <w:color w:val="FF0000"/>
        </w:rPr>
        <w:t>Some of the key differences:</w:t>
      </w:r>
    </w:p>
    <w:p w14:paraId="34B806AA" w14:textId="09D63800" w:rsidR="003C6CC4" w:rsidRPr="003C6CC4" w:rsidRDefault="003C6CC4" w:rsidP="003C6CC4">
      <w:pPr>
        <w:numPr>
          <w:ilvl w:val="0"/>
          <w:numId w:val="16"/>
        </w:numPr>
        <w:rPr>
          <w:color w:val="FF0000"/>
        </w:rPr>
      </w:pPr>
      <w:r w:rsidRPr="003C6CC4">
        <w:rPr>
          <w:color w:val="FF0000"/>
        </w:rPr>
        <w:t>Maternity leave is an individual right</w:t>
      </w:r>
      <w:r>
        <w:rPr>
          <w:color w:val="FF0000"/>
        </w:rPr>
        <w:t xml:space="preserve">, </w:t>
      </w:r>
      <w:r w:rsidRPr="003C6CC4">
        <w:rPr>
          <w:color w:val="FF0000"/>
        </w:rPr>
        <w:t>it’s automatically available to pregnant employees and protects your job.</w:t>
      </w:r>
    </w:p>
    <w:p w14:paraId="12E47935" w14:textId="60C845D7" w:rsidR="003C6CC4" w:rsidRPr="003C6CC4" w:rsidRDefault="003C6CC4" w:rsidP="003C6CC4">
      <w:pPr>
        <w:numPr>
          <w:ilvl w:val="0"/>
          <w:numId w:val="16"/>
        </w:numPr>
        <w:rPr>
          <w:color w:val="FF0000"/>
        </w:rPr>
      </w:pPr>
      <w:r w:rsidRPr="003C6CC4">
        <w:rPr>
          <w:color w:val="FF0000"/>
        </w:rPr>
        <w:t>SPL is optional and must be opted into</w:t>
      </w:r>
      <w:r>
        <w:rPr>
          <w:color w:val="FF0000"/>
        </w:rPr>
        <w:t xml:space="preserve">, </w:t>
      </w:r>
      <w:r w:rsidRPr="003C6CC4">
        <w:rPr>
          <w:color w:val="FF0000"/>
        </w:rPr>
        <w:t>it requires both parents to meet eligibility and coordinate leave plans.</w:t>
      </w:r>
    </w:p>
    <w:p w14:paraId="620AAABD" w14:textId="77777777" w:rsidR="003C6CC4" w:rsidRPr="003C6CC4" w:rsidRDefault="003C6CC4" w:rsidP="003C6CC4">
      <w:pPr>
        <w:numPr>
          <w:ilvl w:val="0"/>
          <w:numId w:val="16"/>
        </w:numPr>
        <w:rPr>
          <w:color w:val="FF0000"/>
        </w:rPr>
      </w:pPr>
      <w:r w:rsidRPr="003C6CC4">
        <w:rPr>
          <w:color w:val="FF0000"/>
        </w:rPr>
        <w:t>Maternity leave must be taken in one continuous block, whereas SPL can be split into separate periods and even taken at the same time by both parents.</w:t>
      </w:r>
    </w:p>
    <w:p w14:paraId="4E44EF3F" w14:textId="77777777" w:rsidR="003C6CC4" w:rsidRPr="003C6CC4" w:rsidRDefault="003C6CC4" w:rsidP="003C6CC4">
      <w:pPr>
        <w:numPr>
          <w:ilvl w:val="0"/>
          <w:numId w:val="16"/>
        </w:numPr>
        <w:rPr>
          <w:color w:val="FF0000"/>
        </w:rPr>
      </w:pPr>
      <w:r w:rsidRPr="003C6CC4">
        <w:rPr>
          <w:color w:val="FF0000"/>
        </w:rPr>
        <w:t>Maternity pay is usually higher in the early weeks, especially with the 90% pay period, while Shared Parental Pay (</w:t>
      </w:r>
      <w:proofErr w:type="spellStart"/>
      <w:r w:rsidRPr="003C6CC4">
        <w:rPr>
          <w:color w:val="FF0000"/>
        </w:rPr>
        <w:t>ShPP</w:t>
      </w:r>
      <w:proofErr w:type="spellEnd"/>
      <w:r w:rsidRPr="003C6CC4">
        <w:rPr>
          <w:color w:val="FF0000"/>
        </w:rPr>
        <w:t>) is paid at the flat statutory rate throughout.</w:t>
      </w:r>
    </w:p>
    <w:p w14:paraId="459B34E1" w14:textId="77777777" w:rsidR="003C6CC4" w:rsidRPr="003C6CC4" w:rsidRDefault="003C6CC4" w:rsidP="003C6CC4">
      <w:pPr>
        <w:rPr>
          <w:color w:val="FF0000"/>
        </w:rPr>
      </w:pPr>
      <w:r w:rsidRPr="003C6CC4">
        <w:rPr>
          <w:color w:val="FF0000"/>
        </w:rPr>
        <w:t>SPL offers more flexibility but is also more administratively complex and depends on what your partner is entitled to and willing to take.</w:t>
      </w:r>
    </w:p>
    <w:p w14:paraId="6E487247" w14:textId="77777777" w:rsidR="003C6CC4" w:rsidRPr="003C6CC4" w:rsidRDefault="003C6CC4" w:rsidP="003C6CC4">
      <w:pPr>
        <w:rPr>
          <w:color w:val="FF0000"/>
        </w:rPr>
      </w:pPr>
      <w:r w:rsidRPr="003C6CC4">
        <w:rPr>
          <w:color w:val="FF0000"/>
        </w:rPr>
        <w:t>If you're unsure which option is more suitable financially or practically, I’d recommend checking your organisation’s family leave policy or using the Shared Parental Leave and Pay calculator on GOV.UK.</w:t>
      </w:r>
    </w:p>
    <w:p w14:paraId="6C550620" w14:textId="77777777" w:rsidR="003C6CC4" w:rsidRPr="003C6CC4" w:rsidRDefault="003C6CC4" w:rsidP="003C6CC4">
      <w:pPr>
        <w:rPr>
          <w:color w:val="FF0000"/>
        </w:rPr>
      </w:pPr>
      <w:r w:rsidRPr="003C6CC4">
        <w:rPr>
          <w:color w:val="FF0000"/>
        </w:rPr>
        <w:t>Let me know if you want help reviewing your eligibility or submitting the forms.</w:t>
      </w:r>
    </w:p>
    <w:p w14:paraId="14D8EF0A" w14:textId="2FB2A8B0" w:rsidR="003C6CC4" w:rsidRPr="003C6CC4" w:rsidRDefault="003C6CC4" w:rsidP="003C6CC4">
      <w:pPr>
        <w:rPr>
          <w:color w:val="FF0000"/>
        </w:rPr>
      </w:pPr>
      <w:r w:rsidRPr="003C6CC4">
        <w:rPr>
          <w:color w:val="FF0000"/>
        </w:rPr>
        <w:t>Best wishes,</w:t>
      </w:r>
      <w:r w:rsidRPr="003C6CC4">
        <w:rPr>
          <w:color w:val="FF0000"/>
        </w:rPr>
        <w:br/>
      </w:r>
      <w:r>
        <w:rPr>
          <w:color w:val="FF0000"/>
        </w:rPr>
        <w:t xml:space="preserve">Donna </w:t>
      </w:r>
    </w:p>
    <w:p w14:paraId="4B697B0F" w14:textId="77777777" w:rsidR="004644C7" w:rsidRPr="003C6CC4" w:rsidRDefault="004644C7" w:rsidP="004644C7">
      <w:pPr>
        <w:rPr>
          <w:strike/>
        </w:rPr>
      </w:pPr>
    </w:p>
    <w:p w14:paraId="0926C255" w14:textId="77777777" w:rsidR="004644C7" w:rsidRDefault="004644C7" w:rsidP="004644C7"/>
    <w:p w14:paraId="7D13E6D4" w14:textId="77777777" w:rsidR="004644C7" w:rsidRPr="004644C7" w:rsidRDefault="004644C7" w:rsidP="004644C7">
      <w:r w:rsidRPr="004644C7">
        <w:rPr>
          <w:b/>
          <w:bCs/>
        </w:rPr>
        <w:t>AC 4.3 Explain employment rights relating to flexible working</w:t>
      </w:r>
    </w:p>
    <w:p w14:paraId="7F8B4713" w14:textId="77777777" w:rsidR="004644C7" w:rsidRPr="00E341EF" w:rsidRDefault="004644C7" w:rsidP="004644C7">
      <w:pPr>
        <w:rPr>
          <w:strike/>
        </w:rPr>
      </w:pPr>
      <w:r w:rsidRPr="00E341EF">
        <w:rPr>
          <w:strike/>
        </w:rPr>
        <w:t>Flexible working allows employees to request changes to their working pattern, hours or location to suit personal needs. This right is particularly relevant in modern workplaces, especially with the rise in hybrid and remote working. The statutory right to request flexible working is governed by the Employment Rights Act 1996 (as amended) and the Flexible Working Regulations 2014.</w:t>
      </w:r>
    </w:p>
    <w:p w14:paraId="1D32B20B" w14:textId="77777777" w:rsidR="004644C7" w:rsidRPr="00E341EF" w:rsidRDefault="004644C7" w:rsidP="004644C7">
      <w:pPr>
        <w:rPr>
          <w:strike/>
        </w:rPr>
      </w:pPr>
      <w:r w:rsidRPr="00E341EF">
        <w:rPr>
          <w:strike/>
        </w:rPr>
        <w:t>As of April 2024, employees have the right to make two statutory flexible working requests in any 12-month period from day one of employment. This replaces the previous 26-week qualifying period. The request must be made in writing, stating that it is a statutory request and providing the date of any previous applications. Employers must respond within two months, including time for any appeal, unless an extension is agreed.</w:t>
      </w:r>
    </w:p>
    <w:p w14:paraId="3CE51980" w14:textId="77777777" w:rsidR="004644C7" w:rsidRPr="00E341EF" w:rsidRDefault="004644C7" w:rsidP="004644C7">
      <w:pPr>
        <w:rPr>
          <w:strike/>
        </w:rPr>
      </w:pPr>
      <w:r w:rsidRPr="00E341EF">
        <w:rPr>
          <w:strike/>
        </w:rPr>
        <w:t>Employers are not required to approve every request, but they must deal with it in a reasonable manner. If the request is refused, the decision must be based on one or more of the eight business reasons set out in the legislation. These include the burden of additional costs, a detrimental impact on quality or performance, the inability to reorganise work among staff, and insufficient work during proposed hours. The process should involve a proper meeting and genuine consideration of the request.</w:t>
      </w:r>
    </w:p>
    <w:p w14:paraId="3C10249C" w14:textId="77777777" w:rsidR="004644C7" w:rsidRPr="00E341EF" w:rsidRDefault="004644C7" w:rsidP="004644C7">
      <w:pPr>
        <w:rPr>
          <w:strike/>
        </w:rPr>
      </w:pPr>
      <w:r w:rsidRPr="00E341EF">
        <w:rPr>
          <w:strike/>
        </w:rPr>
        <w:t xml:space="preserve">Failure to handle the request fairly may lead to claims in the Employment Tribunal. If an employer does not follow procedure or bases a refusal on incorrect facts, the employee can claim for a breach of the statutory process. There are also risks of indirect discrimination claims if flexible working requests are refused without good reason, particularly where the refusal disproportionately affects groups with protected characteristics. For example, in </w:t>
      </w:r>
      <w:r w:rsidRPr="00E341EF">
        <w:rPr>
          <w:i/>
          <w:iCs/>
          <w:strike/>
        </w:rPr>
        <w:t xml:space="preserve">Thompson v </w:t>
      </w:r>
      <w:proofErr w:type="spellStart"/>
      <w:r w:rsidRPr="00E341EF">
        <w:rPr>
          <w:i/>
          <w:iCs/>
          <w:strike/>
        </w:rPr>
        <w:t>Scancrown</w:t>
      </w:r>
      <w:proofErr w:type="spellEnd"/>
      <w:r w:rsidRPr="00E341EF">
        <w:rPr>
          <w:i/>
          <w:iCs/>
          <w:strike/>
        </w:rPr>
        <w:t xml:space="preserve"> Ltd (t/a Manors)</w:t>
      </w:r>
      <w:r w:rsidRPr="00E341EF">
        <w:rPr>
          <w:strike/>
        </w:rPr>
        <w:t xml:space="preserve"> [2021] ET, a female estate agent was awarded compensation after her request to work shorter hours following maternity leave was unfairly rejected.</w:t>
      </w:r>
    </w:p>
    <w:p w14:paraId="525937BB" w14:textId="77777777" w:rsidR="004644C7" w:rsidRPr="00E341EF" w:rsidRDefault="004644C7" w:rsidP="004644C7">
      <w:pPr>
        <w:rPr>
          <w:strike/>
        </w:rPr>
      </w:pPr>
      <w:r w:rsidRPr="00E341EF">
        <w:rPr>
          <w:strike/>
        </w:rPr>
        <w:lastRenderedPageBreak/>
        <w:t>Employees who are dismissed, demoted or otherwise treated unfavourably for making a request may also bring claims for detriment or automatic unfair dismissal under sections 47E and 104C of the Employment Rights Act 1996. Remedies can include compensation, reinstatement or an order for the request to be reconsidered.</w:t>
      </w:r>
    </w:p>
    <w:p w14:paraId="43BBF094" w14:textId="77777777" w:rsidR="004644C7" w:rsidRDefault="004644C7" w:rsidP="004644C7">
      <w:pPr>
        <w:rPr>
          <w:strike/>
        </w:rPr>
      </w:pPr>
      <w:r w:rsidRPr="00E341EF">
        <w:rPr>
          <w:strike/>
        </w:rPr>
        <w:t>In summary, while the right to request flexible working is not a right to insist on it, employers must handle requests fairly, lawfully and without discrimination. A refusal must be evidence-based and proportionate to the business impact.</w:t>
      </w:r>
    </w:p>
    <w:p w14:paraId="07B025CF" w14:textId="77777777" w:rsidR="00E341EF" w:rsidRDefault="00E341EF" w:rsidP="004644C7">
      <w:pPr>
        <w:rPr>
          <w:strike/>
        </w:rPr>
      </w:pPr>
    </w:p>
    <w:p w14:paraId="0F105A44" w14:textId="77777777" w:rsidR="00E341EF" w:rsidRPr="00E341EF" w:rsidRDefault="00E341EF" w:rsidP="00E341EF">
      <w:pPr>
        <w:rPr>
          <w:color w:val="FF0000"/>
        </w:rPr>
      </w:pPr>
      <w:r w:rsidRPr="00E341EF">
        <w:rPr>
          <w:color w:val="FF0000"/>
        </w:rPr>
        <w:t>Hi,</w:t>
      </w:r>
    </w:p>
    <w:p w14:paraId="0163A9AA" w14:textId="77777777" w:rsidR="00E341EF" w:rsidRPr="00E341EF" w:rsidRDefault="00E341EF" w:rsidP="00E341EF">
      <w:pPr>
        <w:rPr>
          <w:color w:val="FF0000"/>
        </w:rPr>
      </w:pPr>
      <w:r w:rsidRPr="00E341EF">
        <w:rPr>
          <w:color w:val="FF0000"/>
        </w:rPr>
        <w:t>Thanks for flagging this request from the new administrative officer regarding working from home three days a week. I appreciate your concern about the potential knock-on effect on other staff and the quality of service, so I’ve set out below the legal position and some thoughts on how we could manage the situation.</w:t>
      </w:r>
    </w:p>
    <w:p w14:paraId="677092C2" w14:textId="77777777" w:rsidR="00E341EF" w:rsidRPr="00E341EF" w:rsidRDefault="00E341EF" w:rsidP="00E341EF">
      <w:pPr>
        <w:rPr>
          <w:color w:val="FF0000"/>
        </w:rPr>
      </w:pPr>
      <w:r w:rsidRPr="00E341EF">
        <w:rPr>
          <w:color w:val="FF0000"/>
        </w:rPr>
        <w:t>Under the Flexible Working Regulations 2014 and Employment Rights Act 1996, all employees now have the legal right to request flexible working from day one of employment (ACAS, 2024). They may make up to two statutory requests per year, and we must respond within two months, including any appeal.</w:t>
      </w:r>
    </w:p>
    <w:p w14:paraId="64BAF890" w14:textId="77777777" w:rsidR="00E341EF" w:rsidRPr="00E341EF" w:rsidRDefault="00E341EF" w:rsidP="00E341EF">
      <w:pPr>
        <w:rPr>
          <w:color w:val="FF0000"/>
        </w:rPr>
      </w:pPr>
      <w:r w:rsidRPr="00E341EF">
        <w:rPr>
          <w:color w:val="FF0000"/>
        </w:rPr>
        <w:t>While there’s no obligation to grant the request, the law requires us to consider it reasonably. That includes assessing the potential impact on service delivery and team performance, and whether those concerns can be managed without rejecting the request outright.</w:t>
      </w:r>
    </w:p>
    <w:p w14:paraId="73DE9AAE" w14:textId="77777777" w:rsidR="00E341EF" w:rsidRPr="00E341EF" w:rsidRDefault="00E341EF" w:rsidP="00E341EF">
      <w:pPr>
        <w:rPr>
          <w:color w:val="FF0000"/>
        </w:rPr>
      </w:pPr>
      <w:r w:rsidRPr="00E341EF">
        <w:rPr>
          <w:color w:val="FF0000"/>
        </w:rPr>
        <w:t>There are eight statutory reasons an employer can use to refuse a flexible working request, including:</w:t>
      </w:r>
    </w:p>
    <w:p w14:paraId="3DE0F468" w14:textId="77777777" w:rsidR="00E341EF" w:rsidRPr="00E341EF" w:rsidRDefault="00E341EF" w:rsidP="00E341EF">
      <w:pPr>
        <w:numPr>
          <w:ilvl w:val="0"/>
          <w:numId w:val="17"/>
        </w:numPr>
        <w:rPr>
          <w:color w:val="FF0000"/>
        </w:rPr>
      </w:pPr>
      <w:r w:rsidRPr="00E341EF">
        <w:rPr>
          <w:color w:val="FF0000"/>
        </w:rPr>
        <w:t>Detrimental effect on ability to meet customer demand</w:t>
      </w:r>
    </w:p>
    <w:p w14:paraId="7A0D0289" w14:textId="77777777" w:rsidR="00E341EF" w:rsidRPr="00E341EF" w:rsidRDefault="00E341EF" w:rsidP="00E341EF">
      <w:pPr>
        <w:numPr>
          <w:ilvl w:val="0"/>
          <w:numId w:val="17"/>
        </w:numPr>
        <w:rPr>
          <w:color w:val="FF0000"/>
        </w:rPr>
      </w:pPr>
      <w:r w:rsidRPr="00E341EF">
        <w:rPr>
          <w:color w:val="FF0000"/>
        </w:rPr>
        <w:t>Inability to reorganise work among existing staff</w:t>
      </w:r>
    </w:p>
    <w:p w14:paraId="602729EB" w14:textId="77777777" w:rsidR="00E341EF" w:rsidRPr="00E341EF" w:rsidRDefault="00E341EF" w:rsidP="00E341EF">
      <w:pPr>
        <w:numPr>
          <w:ilvl w:val="0"/>
          <w:numId w:val="17"/>
        </w:numPr>
        <w:rPr>
          <w:color w:val="FF0000"/>
        </w:rPr>
      </w:pPr>
      <w:r w:rsidRPr="00E341EF">
        <w:rPr>
          <w:color w:val="FF0000"/>
        </w:rPr>
        <w:t>Detrimental impact on performance or quality (Employment Rights Act 1996, section 80G)</w:t>
      </w:r>
    </w:p>
    <w:p w14:paraId="598008CB" w14:textId="304E698F" w:rsidR="00E341EF" w:rsidRPr="00E341EF" w:rsidRDefault="00E341EF" w:rsidP="00E341EF">
      <w:pPr>
        <w:rPr>
          <w:color w:val="FF0000"/>
        </w:rPr>
      </w:pPr>
      <w:r w:rsidRPr="00E341EF">
        <w:rPr>
          <w:color w:val="FF0000"/>
        </w:rPr>
        <w:t>In your case, you’d need to clearly evidence how three days of remote work would harm service delivery and why that risk cannot be mitigated</w:t>
      </w:r>
      <w:r>
        <w:rPr>
          <w:color w:val="FF0000"/>
        </w:rPr>
        <w:t xml:space="preserve">, </w:t>
      </w:r>
      <w:r w:rsidRPr="00E341EF">
        <w:rPr>
          <w:color w:val="FF0000"/>
        </w:rPr>
        <w:t>for example, by adjusting workload distribution or trialling the arrangement. Simply fearing that others might request the same is not by itself a valid reason under the law.</w:t>
      </w:r>
    </w:p>
    <w:p w14:paraId="1FDE2738" w14:textId="77777777" w:rsidR="00E341EF" w:rsidRPr="00E341EF" w:rsidRDefault="00E341EF" w:rsidP="00E341EF">
      <w:pPr>
        <w:rPr>
          <w:color w:val="FF0000"/>
        </w:rPr>
      </w:pPr>
      <w:r w:rsidRPr="00E341EF">
        <w:rPr>
          <w:color w:val="FF0000"/>
        </w:rPr>
        <w:t xml:space="preserve">It’s also worth considering the risk of indirect discrimination, particularly if the refusal disproportionately affects people with caring responsibilities or health conditions. For example, in </w:t>
      </w:r>
      <w:r w:rsidRPr="00E341EF">
        <w:rPr>
          <w:i/>
          <w:iCs/>
          <w:color w:val="FF0000"/>
        </w:rPr>
        <w:t xml:space="preserve">Thompson v </w:t>
      </w:r>
      <w:proofErr w:type="spellStart"/>
      <w:r w:rsidRPr="00E341EF">
        <w:rPr>
          <w:i/>
          <w:iCs/>
          <w:color w:val="FF0000"/>
        </w:rPr>
        <w:t>Scancrown</w:t>
      </w:r>
      <w:proofErr w:type="spellEnd"/>
      <w:r w:rsidRPr="00E341EF">
        <w:rPr>
          <w:i/>
          <w:iCs/>
          <w:color w:val="FF0000"/>
        </w:rPr>
        <w:t xml:space="preserve"> Ltd [2021]</w:t>
      </w:r>
      <w:r w:rsidRPr="00E341EF">
        <w:rPr>
          <w:color w:val="FF0000"/>
        </w:rPr>
        <w:t>, an employer's inflexible stance led to a successful sex discrimination claim after rejecting a mother’s request to work part-time (People Management, 2021).</w:t>
      </w:r>
    </w:p>
    <w:p w14:paraId="28935029" w14:textId="77777777" w:rsidR="00E341EF" w:rsidRPr="00E341EF" w:rsidRDefault="00E341EF" w:rsidP="00E341EF">
      <w:pPr>
        <w:rPr>
          <w:color w:val="FF0000"/>
        </w:rPr>
      </w:pPr>
      <w:r w:rsidRPr="00E341EF">
        <w:rPr>
          <w:color w:val="FF0000"/>
        </w:rPr>
        <w:t>We could consider agreeing to a time-limited trial period to assess the impact before committing long term. That way, we remain compliant while protecting operational needs.</w:t>
      </w:r>
    </w:p>
    <w:p w14:paraId="3676ECF1" w14:textId="77777777" w:rsidR="00E341EF" w:rsidRPr="00E341EF" w:rsidRDefault="00E341EF" w:rsidP="00E341EF">
      <w:pPr>
        <w:rPr>
          <w:color w:val="FF0000"/>
        </w:rPr>
      </w:pPr>
      <w:r w:rsidRPr="00E341EF">
        <w:rPr>
          <w:color w:val="FF0000"/>
        </w:rPr>
        <w:t>Let me know if you’d like help drafting a formal response or discussing how a trial arrangement might work fairly for the team.</w:t>
      </w:r>
    </w:p>
    <w:p w14:paraId="29244A6F" w14:textId="007D61E0" w:rsidR="00E341EF" w:rsidRDefault="00E341EF" w:rsidP="004644C7">
      <w:pPr>
        <w:rPr>
          <w:color w:val="FF0000"/>
        </w:rPr>
      </w:pPr>
      <w:r>
        <w:rPr>
          <w:color w:val="FF0000"/>
        </w:rPr>
        <w:t xml:space="preserve">Many thanks </w:t>
      </w:r>
    </w:p>
    <w:p w14:paraId="2BD491DA" w14:textId="7796F834" w:rsidR="00E341EF" w:rsidRDefault="00E341EF" w:rsidP="004644C7">
      <w:pPr>
        <w:rPr>
          <w:strike/>
        </w:rPr>
      </w:pPr>
      <w:r>
        <w:rPr>
          <w:color w:val="FF0000"/>
        </w:rPr>
        <w:t xml:space="preserve">Donna </w:t>
      </w:r>
    </w:p>
    <w:p w14:paraId="5F4EFC2B" w14:textId="77777777" w:rsidR="00E341EF" w:rsidRDefault="00E341EF" w:rsidP="004644C7">
      <w:pPr>
        <w:rPr>
          <w:strike/>
        </w:rPr>
      </w:pPr>
    </w:p>
    <w:p w14:paraId="7A047C7F" w14:textId="77777777" w:rsidR="00E341EF" w:rsidRPr="00E341EF" w:rsidRDefault="00E341EF" w:rsidP="004644C7">
      <w:pPr>
        <w:rPr>
          <w:color w:val="FF0000"/>
        </w:rPr>
      </w:pPr>
    </w:p>
    <w:p w14:paraId="52F562B7" w14:textId="77777777" w:rsidR="00CE42CF" w:rsidRPr="00F24947" w:rsidRDefault="00CE42CF" w:rsidP="00CE42CF">
      <w:pPr>
        <w:rPr>
          <w:b/>
          <w:bCs/>
          <w:strike/>
        </w:rPr>
      </w:pPr>
      <w:r w:rsidRPr="00F24947">
        <w:rPr>
          <w:b/>
          <w:bCs/>
          <w:strike/>
        </w:rPr>
        <w:t>References</w:t>
      </w:r>
    </w:p>
    <w:p w14:paraId="2AD8D90E" w14:textId="77777777" w:rsidR="00CE42CF" w:rsidRPr="00F24947" w:rsidRDefault="00CE42CF" w:rsidP="00CE42CF">
      <w:pPr>
        <w:rPr>
          <w:strike/>
        </w:rPr>
      </w:pPr>
      <w:r w:rsidRPr="00F24947">
        <w:rPr>
          <w:strike/>
        </w:rPr>
        <w:t xml:space="preserve">ACAS (2025) </w:t>
      </w:r>
      <w:r w:rsidRPr="00F24947">
        <w:rPr>
          <w:i/>
          <w:iCs/>
          <w:strike/>
        </w:rPr>
        <w:t>Annual Report 2023–24</w:t>
      </w:r>
      <w:r w:rsidRPr="00F24947">
        <w:rPr>
          <w:strike/>
        </w:rPr>
        <w:t>. [online] Available at: https://www.acas.org.uk/about-us/annual-reports [Accessed 2 June 2025].</w:t>
      </w:r>
    </w:p>
    <w:p w14:paraId="5C0BA801" w14:textId="77777777" w:rsidR="00CE42CF" w:rsidRPr="00F24947" w:rsidRDefault="00CE42CF" w:rsidP="00CE42CF">
      <w:pPr>
        <w:rPr>
          <w:strike/>
        </w:rPr>
      </w:pPr>
      <w:r w:rsidRPr="00F24947">
        <w:rPr>
          <w:strike/>
        </w:rPr>
        <w:t xml:space="preserve">ACAS (2025) </w:t>
      </w:r>
      <w:r w:rsidRPr="00F24947">
        <w:rPr>
          <w:i/>
          <w:iCs/>
          <w:strike/>
        </w:rPr>
        <w:t>Making a Claim to an Employment Tribunal</w:t>
      </w:r>
      <w:r w:rsidRPr="00F24947">
        <w:rPr>
          <w:strike/>
        </w:rPr>
        <w:t>. [online] Available at: https://www.acas.org.uk/employment-tribunals [Accessed 28 May 2025].</w:t>
      </w:r>
    </w:p>
    <w:p w14:paraId="463917DD" w14:textId="77777777" w:rsidR="00CE42CF" w:rsidRPr="00F24947" w:rsidRDefault="00CE42CF" w:rsidP="00CE42CF">
      <w:pPr>
        <w:rPr>
          <w:strike/>
        </w:rPr>
      </w:pPr>
      <w:r w:rsidRPr="00F24947">
        <w:rPr>
          <w:strike/>
        </w:rPr>
        <w:t xml:space="preserve">Armstrong, M. and Taylor, S. (2023) </w:t>
      </w:r>
      <w:r w:rsidRPr="00F24947">
        <w:rPr>
          <w:i/>
          <w:iCs/>
          <w:strike/>
        </w:rPr>
        <w:t>Armstrong’s Handbook of Human Resource Management Practice</w:t>
      </w:r>
      <w:r w:rsidRPr="00F24947">
        <w:rPr>
          <w:strike/>
        </w:rPr>
        <w:t>. 16th ed. London: Kogan Page.</w:t>
      </w:r>
    </w:p>
    <w:p w14:paraId="17554989" w14:textId="77777777" w:rsidR="00CE42CF" w:rsidRPr="00F24947" w:rsidRDefault="00CE42CF" w:rsidP="00CE42CF">
      <w:pPr>
        <w:rPr>
          <w:strike/>
        </w:rPr>
      </w:pPr>
      <w:r w:rsidRPr="00F24947">
        <w:rPr>
          <w:strike/>
        </w:rPr>
        <w:t xml:space="preserve">Daniels, K. (2022) </w:t>
      </w:r>
      <w:r w:rsidRPr="00F24947">
        <w:rPr>
          <w:i/>
          <w:iCs/>
          <w:strike/>
        </w:rPr>
        <w:t>Introduction to Employment Law: Fundamentals for HR and Business Students</w:t>
      </w:r>
      <w:r w:rsidRPr="00F24947">
        <w:rPr>
          <w:strike/>
        </w:rPr>
        <w:t>. 6th ed. London: CIPD/Kogan Page.</w:t>
      </w:r>
    </w:p>
    <w:p w14:paraId="3DF2D4DA" w14:textId="77777777" w:rsidR="00CE42CF" w:rsidRPr="00F24947" w:rsidRDefault="00CE42CF" w:rsidP="00CE42CF">
      <w:pPr>
        <w:rPr>
          <w:strike/>
        </w:rPr>
      </w:pPr>
      <w:r w:rsidRPr="00F24947">
        <w:rPr>
          <w:strike/>
        </w:rPr>
        <w:t>Equality Act 2010. [online] Available at: https://www.legislation.gov.uk/ukpga/2010/15/contents [Accessed 2 June 2025].</w:t>
      </w:r>
    </w:p>
    <w:p w14:paraId="27DC7EFF" w14:textId="77777777" w:rsidR="00CE42CF" w:rsidRPr="00F24947" w:rsidRDefault="00CE42CF" w:rsidP="00CE42CF">
      <w:pPr>
        <w:rPr>
          <w:strike/>
        </w:rPr>
      </w:pPr>
      <w:r w:rsidRPr="00F24947">
        <w:rPr>
          <w:strike/>
        </w:rPr>
        <w:t>Employment Rights Act 1996. [online] Available at: https://www.legislation.gov.uk/ukpga/1996/18/contents [Accessed 24 May 2025].</w:t>
      </w:r>
    </w:p>
    <w:p w14:paraId="5100C145" w14:textId="77777777" w:rsidR="00CE42CF" w:rsidRPr="00F24947" w:rsidRDefault="00CE42CF" w:rsidP="00CE42CF">
      <w:pPr>
        <w:rPr>
          <w:strike/>
        </w:rPr>
      </w:pPr>
      <w:r w:rsidRPr="00F24947">
        <w:rPr>
          <w:strike/>
        </w:rPr>
        <w:t>Flexible Working Regulations 2014. [online] Available at: https://www.legislation.gov.uk/uksi/2014/1398/contents/made [Accessed 25 May 2025].</w:t>
      </w:r>
    </w:p>
    <w:p w14:paraId="25035C98" w14:textId="77777777" w:rsidR="00CE42CF" w:rsidRPr="00F24947" w:rsidRDefault="00CE42CF" w:rsidP="00CE42CF">
      <w:pPr>
        <w:rPr>
          <w:strike/>
        </w:rPr>
      </w:pPr>
      <w:r w:rsidRPr="00F24947">
        <w:rPr>
          <w:strike/>
        </w:rPr>
        <w:t>Limitation Act 1980. [online] Available at: https://www.legislation.gov.uk/ukpga/1980/58/contents [Accessed 26 April 2025].</w:t>
      </w:r>
    </w:p>
    <w:p w14:paraId="0D03F59C" w14:textId="77777777" w:rsidR="00CE42CF" w:rsidRPr="00F24947" w:rsidRDefault="00CE42CF" w:rsidP="00CE42CF">
      <w:pPr>
        <w:rPr>
          <w:strike/>
        </w:rPr>
      </w:pPr>
      <w:r w:rsidRPr="00F24947">
        <w:rPr>
          <w:strike/>
        </w:rPr>
        <w:lastRenderedPageBreak/>
        <w:t>Retained EU Law (Revocation and Reform) Act 2023. [online] Available at: https://www.legislation.gov.uk/ukpga/2023/28/contents/enacted [Accessed 30 May 2025].</w:t>
      </w:r>
    </w:p>
    <w:p w14:paraId="6BF21299" w14:textId="77777777" w:rsidR="00CE42CF" w:rsidRPr="00F24947" w:rsidRDefault="00CE42CF" w:rsidP="00CE42CF">
      <w:pPr>
        <w:rPr>
          <w:strike/>
        </w:rPr>
      </w:pPr>
      <w:r w:rsidRPr="00F24947">
        <w:rPr>
          <w:strike/>
        </w:rPr>
        <w:t>Trade Union and Labour Relations (Consolidation) Act 1992. [online] Available at: https://www.legislation.gov.uk/ukpga/1992/52/contents [Accessed 15 May 2025].</w:t>
      </w:r>
    </w:p>
    <w:p w14:paraId="40C068E0" w14:textId="77777777" w:rsidR="00CE42CF" w:rsidRPr="00F24947" w:rsidRDefault="00CE42CF" w:rsidP="00CE42CF">
      <w:pPr>
        <w:rPr>
          <w:strike/>
        </w:rPr>
      </w:pPr>
      <w:r w:rsidRPr="00F24947">
        <w:rPr>
          <w:strike/>
        </w:rPr>
        <w:t>Working Time Regulations 1998. [online] Available at: https://www.legislation.gov.uk/uksi/1998/1833/contents/made [Accessed 1 June 2025].</w:t>
      </w:r>
    </w:p>
    <w:p w14:paraId="3084256E" w14:textId="13DC10E7" w:rsidR="00CE42CF" w:rsidRPr="00F24947" w:rsidRDefault="00CE42CF" w:rsidP="00CE42CF">
      <w:pPr>
        <w:rPr>
          <w:strike/>
        </w:rPr>
      </w:pPr>
    </w:p>
    <w:p w14:paraId="589CAE72" w14:textId="77777777" w:rsidR="00CE42CF" w:rsidRPr="00F24947" w:rsidRDefault="00CE42CF" w:rsidP="00CE42CF">
      <w:pPr>
        <w:rPr>
          <w:b/>
          <w:bCs/>
          <w:strike/>
        </w:rPr>
      </w:pPr>
      <w:r w:rsidRPr="00F24947">
        <w:rPr>
          <w:b/>
          <w:bCs/>
          <w:strike/>
        </w:rPr>
        <w:t>Case Law</w:t>
      </w:r>
    </w:p>
    <w:p w14:paraId="0DDD422E" w14:textId="77777777" w:rsidR="00CE42CF" w:rsidRPr="00F24947" w:rsidRDefault="00CE42CF" w:rsidP="00CE42CF">
      <w:pPr>
        <w:rPr>
          <w:strike/>
        </w:rPr>
      </w:pPr>
      <w:r w:rsidRPr="00F24947">
        <w:rPr>
          <w:i/>
          <w:iCs/>
          <w:strike/>
        </w:rPr>
        <w:t>Amicus v GMB</w:t>
      </w:r>
      <w:r w:rsidRPr="00F24947">
        <w:rPr>
          <w:strike/>
        </w:rPr>
        <w:t xml:space="preserve"> [2004] IRLR 430 (EAT)</w:t>
      </w:r>
    </w:p>
    <w:p w14:paraId="7C408E5D" w14:textId="77777777" w:rsidR="00CE42CF" w:rsidRPr="00F24947" w:rsidRDefault="00CE42CF" w:rsidP="00CE42CF">
      <w:pPr>
        <w:rPr>
          <w:strike/>
        </w:rPr>
      </w:pPr>
      <w:r w:rsidRPr="00F24947">
        <w:rPr>
          <w:i/>
          <w:iCs/>
          <w:strike/>
        </w:rPr>
        <w:t>Birmingham City Council v Abdulla and Others</w:t>
      </w:r>
      <w:r w:rsidRPr="00F24947">
        <w:rPr>
          <w:strike/>
        </w:rPr>
        <w:t xml:space="preserve"> [2012] UKSC 47</w:t>
      </w:r>
    </w:p>
    <w:p w14:paraId="53A273B4" w14:textId="77777777" w:rsidR="00CE42CF" w:rsidRPr="00F24947" w:rsidRDefault="00CE42CF" w:rsidP="00CE42CF">
      <w:pPr>
        <w:rPr>
          <w:strike/>
        </w:rPr>
      </w:pPr>
      <w:r w:rsidRPr="00F24947">
        <w:rPr>
          <w:i/>
          <w:iCs/>
          <w:strike/>
        </w:rPr>
        <w:t>Essop v Home Office (UK Border Agency)</w:t>
      </w:r>
      <w:r w:rsidRPr="00F24947">
        <w:rPr>
          <w:strike/>
        </w:rPr>
        <w:t xml:space="preserve"> [2017] UKSC 27</w:t>
      </w:r>
    </w:p>
    <w:p w14:paraId="1A3DAC37" w14:textId="77777777" w:rsidR="00CE42CF" w:rsidRPr="00F24947" w:rsidRDefault="00CE42CF" w:rsidP="00CE42CF">
      <w:pPr>
        <w:rPr>
          <w:strike/>
        </w:rPr>
      </w:pPr>
      <w:r w:rsidRPr="00F24947">
        <w:rPr>
          <w:i/>
          <w:iCs/>
          <w:strike/>
        </w:rPr>
        <w:t>Furlong v Chief Constable of Cheshire Police</w:t>
      </w:r>
      <w:r w:rsidRPr="00F24947">
        <w:rPr>
          <w:strike/>
        </w:rPr>
        <w:t xml:space="preserve"> [2019] ET/2405577/18</w:t>
      </w:r>
    </w:p>
    <w:p w14:paraId="4B047C11" w14:textId="77777777" w:rsidR="00CE42CF" w:rsidRPr="00F24947" w:rsidRDefault="00CE42CF" w:rsidP="00CE42CF">
      <w:pPr>
        <w:rPr>
          <w:strike/>
        </w:rPr>
      </w:pPr>
      <w:r w:rsidRPr="00F24947">
        <w:rPr>
          <w:i/>
          <w:iCs/>
          <w:strike/>
        </w:rPr>
        <w:t xml:space="preserve">Hayward v </w:t>
      </w:r>
      <w:proofErr w:type="spellStart"/>
      <w:r w:rsidRPr="00F24947">
        <w:rPr>
          <w:i/>
          <w:iCs/>
          <w:strike/>
        </w:rPr>
        <w:t>Cammell</w:t>
      </w:r>
      <w:proofErr w:type="spellEnd"/>
      <w:r w:rsidRPr="00F24947">
        <w:rPr>
          <w:i/>
          <w:iCs/>
          <w:strike/>
        </w:rPr>
        <w:t xml:space="preserve"> Laird Shipbuilders Ltd</w:t>
      </w:r>
      <w:r w:rsidRPr="00F24947">
        <w:rPr>
          <w:strike/>
        </w:rPr>
        <w:t xml:space="preserve"> [1988] AC 894</w:t>
      </w:r>
    </w:p>
    <w:p w14:paraId="061879F6" w14:textId="77777777" w:rsidR="00CE42CF" w:rsidRPr="00F24947" w:rsidRDefault="00CE42CF" w:rsidP="00CE42CF">
      <w:pPr>
        <w:rPr>
          <w:strike/>
        </w:rPr>
      </w:pPr>
      <w:r w:rsidRPr="00F24947">
        <w:rPr>
          <w:i/>
          <w:iCs/>
          <w:strike/>
        </w:rPr>
        <w:t>James v Eastleigh Borough Council</w:t>
      </w:r>
      <w:r w:rsidRPr="00F24947">
        <w:rPr>
          <w:strike/>
        </w:rPr>
        <w:t xml:space="preserve"> [1990] 2 AC 751</w:t>
      </w:r>
    </w:p>
    <w:p w14:paraId="740B876A" w14:textId="77777777" w:rsidR="00CE42CF" w:rsidRPr="00F24947" w:rsidRDefault="00CE42CF" w:rsidP="00CE42CF">
      <w:pPr>
        <w:rPr>
          <w:strike/>
        </w:rPr>
      </w:pPr>
      <w:r w:rsidRPr="00F24947">
        <w:rPr>
          <w:i/>
          <w:iCs/>
          <w:strike/>
        </w:rPr>
        <w:t xml:space="preserve">Keeley v </w:t>
      </w:r>
      <w:proofErr w:type="spellStart"/>
      <w:r w:rsidRPr="00F24947">
        <w:rPr>
          <w:i/>
          <w:iCs/>
          <w:strike/>
        </w:rPr>
        <w:t>Fosroc</w:t>
      </w:r>
      <w:proofErr w:type="spellEnd"/>
      <w:r w:rsidRPr="00F24947">
        <w:rPr>
          <w:i/>
          <w:iCs/>
          <w:strike/>
        </w:rPr>
        <w:t xml:space="preserve"> International Ltd</w:t>
      </w:r>
      <w:r w:rsidRPr="00F24947">
        <w:rPr>
          <w:strike/>
        </w:rPr>
        <w:t xml:space="preserve"> [2006] EWCA </w:t>
      </w:r>
      <w:proofErr w:type="spellStart"/>
      <w:r w:rsidRPr="00F24947">
        <w:rPr>
          <w:strike/>
        </w:rPr>
        <w:t>Civ</w:t>
      </w:r>
      <w:proofErr w:type="spellEnd"/>
      <w:r w:rsidRPr="00F24947">
        <w:rPr>
          <w:strike/>
        </w:rPr>
        <w:t xml:space="preserve"> 1277</w:t>
      </w:r>
    </w:p>
    <w:p w14:paraId="7956DE6C" w14:textId="77777777" w:rsidR="00CE42CF" w:rsidRPr="00F24947" w:rsidRDefault="00CE42CF" w:rsidP="00CE42CF">
      <w:pPr>
        <w:rPr>
          <w:strike/>
        </w:rPr>
      </w:pPr>
      <w:r w:rsidRPr="00F24947">
        <w:rPr>
          <w:i/>
          <w:iCs/>
          <w:strike/>
        </w:rPr>
        <w:t>Kostal UK Ltd v Dunkley and others</w:t>
      </w:r>
      <w:r w:rsidRPr="00F24947">
        <w:rPr>
          <w:strike/>
        </w:rPr>
        <w:t xml:space="preserve"> [2021] UKSC 47</w:t>
      </w:r>
    </w:p>
    <w:p w14:paraId="149FCB40" w14:textId="77777777" w:rsidR="00CE42CF" w:rsidRPr="00F24947" w:rsidRDefault="00CE42CF" w:rsidP="00CE42CF">
      <w:pPr>
        <w:rPr>
          <w:strike/>
        </w:rPr>
      </w:pPr>
      <w:r w:rsidRPr="00F24947">
        <w:rPr>
          <w:i/>
          <w:iCs/>
          <w:strike/>
        </w:rPr>
        <w:t>Litster v Forth Dry Dock and Engineering Co Ltd</w:t>
      </w:r>
      <w:r w:rsidRPr="00F24947">
        <w:rPr>
          <w:strike/>
        </w:rPr>
        <w:t xml:space="preserve"> [1989] ICR 341</w:t>
      </w:r>
    </w:p>
    <w:p w14:paraId="51450D06" w14:textId="77777777" w:rsidR="00CE42CF" w:rsidRPr="00F24947" w:rsidRDefault="00CE42CF" w:rsidP="00CE42CF">
      <w:pPr>
        <w:rPr>
          <w:strike/>
        </w:rPr>
      </w:pPr>
      <w:r w:rsidRPr="00F24947">
        <w:rPr>
          <w:i/>
          <w:iCs/>
          <w:strike/>
        </w:rPr>
        <w:t>Lock v British Gas Trading Ltd</w:t>
      </w:r>
      <w:r w:rsidRPr="00F24947">
        <w:rPr>
          <w:strike/>
        </w:rPr>
        <w:t xml:space="preserve"> [2014] EUECJ C-539/12</w:t>
      </w:r>
    </w:p>
    <w:p w14:paraId="6111708D" w14:textId="77777777" w:rsidR="00CE42CF" w:rsidRPr="00F24947" w:rsidRDefault="00CE42CF" w:rsidP="00CE42CF">
      <w:pPr>
        <w:rPr>
          <w:strike/>
        </w:rPr>
      </w:pPr>
      <w:r w:rsidRPr="00F24947">
        <w:rPr>
          <w:i/>
          <w:iCs/>
          <w:strike/>
        </w:rPr>
        <w:t>Mandla v Dowell Lee</w:t>
      </w:r>
      <w:r w:rsidRPr="00F24947">
        <w:rPr>
          <w:strike/>
        </w:rPr>
        <w:t xml:space="preserve"> [1983] 2 AC 548</w:t>
      </w:r>
    </w:p>
    <w:p w14:paraId="7517B519" w14:textId="77777777" w:rsidR="00CE42CF" w:rsidRPr="00F24947" w:rsidRDefault="00CE42CF" w:rsidP="00CE42CF">
      <w:pPr>
        <w:rPr>
          <w:strike/>
        </w:rPr>
      </w:pPr>
      <w:r w:rsidRPr="00F24947">
        <w:rPr>
          <w:i/>
          <w:iCs/>
          <w:strike/>
        </w:rPr>
        <w:t>Miller v Rentokil Initial UK Ltd</w:t>
      </w:r>
      <w:r w:rsidRPr="00F24947">
        <w:rPr>
          <w:strike/>
        </w:rPr>
        <w:t xml:space="preserve"> [2021] ET</w:t>
      </w:r>
    </w:p>
    <w:p w14:paraId="298B8528" w14:textId="77777777" w:rsidR="00CE42CF" w:rsidRPr="00F24947" w:rsidRDefault="00CE42CF" w:rsidP="00CE42CF">
      <w:pPr>
        <w:rPr>
          <w:strike/>
        </w:rPr>
      </w:pPr>
      <w:r w:rsidRPr="00F24947">
        <w:rPr>
          <w:i/>
          <w:iCs/>
          <w:strike/>
        </w:rPr>
        <w:t>Smith v Pimlico Plumbers Ltd</w:t>
      </w:r>
      <w:r w:rsidRPr="00F24947">
        <w:rPr>
          <w:strike/>
        </w:rPr>
        <w:t xml:space="preserve"> [2022] EWCA </w:t>
      </w:r>
      <w:proofErr w:type="spellStart"/>
      <w:r w:rsidRPr="00F24947">
        <w:rPr>
          <w:strike/>
        </w:rPr>
        <w:t>Civ</w:t>
      </w:r>
      <w:proofErr w:type="spellEnd"/>
      <w:r w:rsidRPr="00F24947">
        <w:rPr>
          <w:strike/>
        </w:rPr>
        <w:t xml:space="preserve"> 70</w:t>
      </w:r>
    </w:p>
    <w:p w14:paraId="688019C8" w14:textId="77777777" w:rsidR="00CE42CF" w:rsidRPr="00F24947" w:rsidRDefault="00CE42CF" w:rsidP="00CE42CF">
      <w:pPr>
        <w:rPr>
          <w:strike/>
        </w:rPr>
      </w:pPr>
      <w:r w:rsidRPr="00F24947">
        <w:rPr>
          <w:i/>
          <w:iCs/>
          <w:strike/>
        </w:rPr>
        <w:t xml:space="preserve">Thompson v </w:t>
      </w:r>
      <w:proofErr w:type="spellStart"/>
      <w:r w:rsidRPr="00F24947">
        <w:rPr>
          <w:i/>
          <w:iCs/>
          <w:strike/>
        </w:rPr>
        <w:t>Scancrown</w:t>
      </w:r>
      <w:proofErr w:type="spellEnd"/>
      <w:r w:rsidRPr="00F24947">
        <w:rPr>
          <w:i/>
          <w:iCs/>
          <w:strike/>
        </w:rPr>
        <w:t xml:space="preserve"> Ltd (t/a Manors)</w:t>
      </w:r>
      <w:r w:rsidRPr="00F24947">
        <w:rPr>
          <w:strike/>
        </w:rPr>
        <w:t xml:space="preserve"> [2021] ET/2205199/2019</w:t>
      </w:r>
    </w:p>
    <w:p w14:paraId="156A0E16" w14:textId="77777777" w:rsidR="00CE42CF" w:rsidRPr="00F24947" w:rsidRDefault="00CE42CF" w:rsidP="00CE42CF">
      <w:pPr>
        <w:rPr>
          <w:strike/>
        </w:rPr>
      </w:pPr>
      <w:r w:rsidRPr="00F24947">
        <w:rPr>
          <w:i/>
          <w:iCs/>
          <w:strike/>
        </w:rPr>
        <w:t>United Bank Ltd v Akhtar</w:t>
      </w:r>
      <w:r w:rsidRPr="00F24947">
        <w:rPr>
          <w:strike/>
        </w:rPr>
        <w:t xml:space="preserve"> [1989] IRLR 507</w:t>
      </w:r>
    </w:p>
    <w:p w14:paraId="20AB2235" w14:textId="77777777" w:rsidR="00CE42CF" w:rsidRPr="00F24947" w:rsidRDefault="00CE42CF" w:rsidP="00CE42CF">
      <w:pPr>
        <w:rPr>
          <w:strike/>
        </w:rPr>
      </w:pPr>
      <w:r w:rsidRPr="00F24947">
        <w:rPr>
          <w:i/>
          <w:iCs/>
          <w:strike/>
        </w:rPr>
        <w:t>Webb v EMO Air Cargo (UK) Ltd</w:t>
      </w:r>
      <w:r w:rsidRPr="00F24947">
        <w:rPr>
          <w:strike/>
        </w:rPr>
        <w:t xml:space="preserve"> [1994] ICR 770</w:t>
      </w:r>
    </w:p>
    <w:p w14:paraId="604C1847" w14:textId="77777777" w:rsidR="00CE42CF" w:rsidRPr="00F24947" w:rsidRDefault="00CE42CF" w:rsidP="00CE42CF">
      <w:pPr>
        <w:rPr>
          <w:strike/>
        </w:rPr>
      </w:pPr>
      <w:r w:rsidRPr="00F24947">
        <w:rPr>
          <w:i/>
          <w:iCs/>
          <w:strike/>
        </w:rPr>
        <w:t xml:space="preserve">Williams v </w:t>
      </w:r>
      <w:proofErr w:type="spellStart"/>
      <w:r w:rsidRPr="00F24947">
        <w:rPr>
          <w:i/>
          <w:iCs/>
          <w:strike/>
        </w:rPr>
        <w:t>Compair</w:t>
      </w:r>
      <w:proofErr w:type="spellEnd"/>
      <w:r w:rsidRPr="00F24947">
        <w:rPr>
          <w:i/>
          <w:iCs/>
          <w:strike/>
        </w:rPr>
        <w:t xml:space="preserve"> Maxam Ltd</w:t>
      </w:r>
      <w:r w:rsidRPr="00F24947">
        <w:rPr>
          <w:strike/>
        </w:rPr>
        <w:t xml:space="preserve"> [1982] ICR 156</w:t>
      </w:r>
    </w:p>
    <w:p w14:paraId="28AA3453" w14:textId="77777777" w:rsidR="00F24947" w:rsidRDefault="00F24947" w:rsidP="00F24947">
      <w:pPr>
        <w:rPr>
          <w:strike/>
        </w:rPr>
      </w:pPr>
    </w:p>
    <w:p w14:paraId="78546EC5" w14:textId="19B0A4AD" w:rsidR="00F24947" w:rsidRPr="00F24947" w:rsidRDefault="00F24947" w:rsidP="00F24947">
      <w:pPr>
        <w:rPr>
          <w:b/>
          <w:bCs/>
          <w:color w:val="FF0000"/>
        </w:rPr>
      </w:pPr>
      <w:r w:rsidRPr="00F24947">
        <w:rPr>
          <w:b/>
          <w:bCs/>
          <w:color w:val="FF0000"/>
        </w:rPr>
        <w:t>References</w:t>
      </w:r>
    </w:p>
    <w:p w14:paraId="5A2A6810" w14:textId="550B2811" w:rsidR="00F24947" w:rsidRPr="00F24947" w:rsidRDefault="00F24947" w:rsidP="00F24947">
      <w:r w:rsidRPr="00F24947">
        <w:rPr>
          <w:b/>
          <w:bCs/>
        </w:rPr>
        <w:t>ACAS</w:t>
      </w:r>
      <w:r w:rsidRPr="00F24947">
        <w:t xml:space="preserve"> (2025) </w:t>
      </w:r>
      <w:r w:rsidRPr="00F24947">
        <w:rPr>
          <w:i/>
          <w:iCs/>
        </w:rPr>
        <w:t>Annual Report 2023–24</w:t>
      </w:r>
      <w:r w:rsidRPr="00F24947">
        <w:t xml:space="preserve">. [online] Available at: </w:t>
      </w:r>
      <w:hyperlink r:id="rId5" w:tgtFrame="_new" w:history="1">
        <w:r w:rsidRPr="00F24947">
          <w:rPr>
            <w:rStyle w:val="Hyperlink"/>
          </w:rPr>
          <w:t>https://www.acas.org.uk/about-us/annual-reports</w:t>
        </w:r>
      </w:hyperlink>
      <w:r w:rsidRPr="00F24947">
        <w:t xml:space="preserve"> [Accessed 2 June 2025].</w:t>
      </w:r>
      <w:r w:rsidRPr="00F24947">
        <w:br/>
      </w:r>
      <w:r w:rsidRPr="00F24947">
        <w:rPr>
          <w:b/>
          <w:bCs/>
        </w:rPr>
        <w:t>ACAS</w:t>
      </w:r>
      <w:r w:rsidRPr="00F24947">
        <w:t xml:space="preserve"> (2025) </w:t>
      </w:r>
      <w:r w:rsidRPr="00F24947">
        <w:rPr>
          <w:i/>
          <w:iCs/>
        </w:rPr>
        <w:t>Making a Claim to an Employment Tribunal</w:t>
      </w:r>
      <w:r w:rsidRPr="00F24947">
        <w:t xml:space="preserve">. [online] Available at: </w:t>
      </w:r>
      <w:hyperlink r:id="rId6" w:tgtFrame="_new" w:history="1">
        <w:r w:rsidRPr="00F24947">
          <w:rPr>
            <w:rStyle w:val="Hyperlink"/>
          </w:rPr>
          <w:t>https://www.acas.org.uk/employment-tribunals</w:t>
        </w:r>
      </w:hyperlink>
      <w:r w:rsidRPr="00F24947">
        <w:t xml:space="preserve"> [Accessed 28 May 2025].</w:t>
      </w:r>
      <w:r w:rsidRPr="00F24947">
        <w:br/>
      </w:r>
      <w:r w:rsidRPr="00F24947">
        <w:rPr>
          <w:b/>
          <w:bCs/>
        </w:rPr>
        <w:t>ACAS</w:t>
      </w:r>
      <w:r w:rsidRPr="00F24947">
        <w:t xml:space="preserve"> (2024) </w:t>
      </w:r>
      <w:r w:rsidRPr="00F24947">
        <w:rPr>
          <w:i/>
          <w:iCs/>
        </w:rPr>
        <w:t>Early Conciliation: How it works</w:t>
      </w:r>
      <w:r w:rsidRPr="00F24947">
        <w:t xml:space="preserve">. [online] Available at: </w:t>
      </w:r>
      <w:hyperlink r:id="rId7" w:history="1">
        <w:r w:rsidRPr="00F24947">
          <w:rPr>
            <w:rStyle w:val="Hyperlink"/>
          </w:rPr>
          <w:t>https://www.acas.org.uk/early-conciliation</w:t>
        </w:r>
      </w:hyperlink>
      <w:r w:rsidRPr="00F24947">
        <w:t xml:space="preserve"> [Accessed 22 July 2025].</w:t>
      </w:r>
      <w:r w:rsidRPr="00F24947">
        <w:br/>
      </w:r>
      <w:r w:rsidRPr="00F24947">
        <w:rPr>
          <w:b/>
          <w:bCs/>
        </w:rPr>
        <w:t>Armstrong, M. and Taylor, S.</w:t>
      </w:r>
      <w:r w:rsidRPr="00F24947">
        <w:t xml:space="preserve"> (2023) </w:t>
      </w:r>
      <w:r w:rsidRPr="00F24947">
        <w:rPr>
          <w:i/>
          <w:iCs/>
        </w:rPr>
        <w:t>Armstrong’s Handbook of Human Resource Management Practice</w:t>
      </w:r>
      <w:r w:rsidRPr="00F24947">
        <w:t>. 16th ed. London: Kogan Page.</w:t>
      </w:r>
      <w:r w:rsidRPr="00F24947">
        <w:br/>
      </w:r>
      <w:r w:rsidRPr="00F24947">
        <w:rPr>
          <w:b/>
          <w:bCs/>
        </w:rPr>
        <w:t>CIPD</w:t>
      </w:r>
      <w:r w:rsidRPr="00F24947">
        <w:t xml:space="preserve"> (2023) </w:t>
      </w:r>
      <w:r w:rsidRPr="00F24947">
        <w:rPr>
          <w:i/>
          <w:iCs/>
        </w:rPr>
        <w:t>Employment tribunals and the courts</w:t>
      </w:r>
      <w:r w:rsidRPr="00F24947">
        <w:t xml:space="preserve">. [online] Available at: </w:t>
      </w:r>
      <w:hyperlink r:id="rId8" w:history="1">
        <w:r w:rsidRPr="00F24947">
          <w:rPr>
            <w:rStyle w:val="Hyperlink"/>
          </w:rPr>
          <w:t>https://www.cipd.org/uk/knowledge/factsheets/employment-tribunals/</w:t>
        </w:r>
      </w:hyperlink>
      <w:r w:rsidRPr="00F24947">
        <w:t xml:space="preserve"> [Accessed 26 July 2025].</w:t>
      </w:r>
      <w:r w:rsidRPr="00F24947">
        <w:br/>
      </w:r>
      <w:r w:rsidRPr="00F24947">
        <w:rPr>
          <w:b/>
          <w:bCs/>
        </w:rPr>
        <w:t>CIPD</w:t>
      </w:r>
      <w:r w:rsidRPr="00F24947">
        <w:t xml:space="preserve"> (2024) </w:t>
      </w:r>
      <w:r w:rsidRPr="00F24947">
        <w:rPr>
          <w:i/>
          <w:iCs/>
        </w:rPr>
        <w:t>Collective bargaining and trade unions</w:t>
      </w:r>
      <w:r w:rsidRPr="00F24947">
        <w:t xml:space="preserve">. [online] Available at: </w:t>
      </w:r>
      <w:hyperlink r:id="rId9" w:history="1">
        <w:r w:rsidRPr="00F24947">
          <w:rPr>
            <w:rStyle w:val="Hyperlink"/>
          </w:rPr>
          <w:t>https://www.cipd.org/uk/knowledge/factsheets/collective-bargaining/</w:t>
        </w:r>
      </w:hyperlink>
      <w:r w:rsidRPr="00F24947">
        <w:t xml:space="preserve"> [Accessed 23 July 2025].</w:t>
      </w:r>
      <w:r w:rsidRPr="00F24947">
        <w:br/>
      </w:r>
      <w:r w:rsidRPr="00F24947">
        <w:rPr>
          <w:b/>
          <w:bCs/>
        </w:rPr>
        <w:t>Daniels, K.</w:t>
      </w:r>
      <w:r w:rsidRPr="00F24947">
        <w:t xml:space="preserve"> (2022) </w:t>
      </w:r>
      <w:r w:rsidRPr="00F24947">
        <w:rPr>
          <w:i/>
          <w:iCs/>
        </w:rPr>
        <w:t>Introduction to Employment Law: Fundamentals for HR and Business Students</w:t>
      </w:r>
      <w:r w:rsidRPr="00F24947">
        <w:t>. 6th ed. London: CIPD/Kogan Page.</w:t>
      </w:r>
      <w:r w:rsidRPr="00F24947">
        <w:br/>
      </w:r>
      <w:r w:rsidRPr="00F24947">
        <w:rPr>
          <w:b/>
          <w:bCs/>
        </w:rPr>
        <w:t>EHRC</w:t>
      </w:r>
      <w:r w:rsidRPr="00F24947">
        <w:t xml:space="preserve"> (2023) </w:t>
      </w:r>
      <w:r w:rsidRPr="00F24947">
        <w:rPr>
          <w:i/>
          <w:iCs/>
        </w:rPr>
        <w:t>Holiday and holiday pay</w:t>
      </w:r>
      <w:r w:rsidRPr="00F24947">
        <w:t xml:space="preserve">. [online] Available at: </w:t>
      </w:r>
      <w:hyperlink r:id="rId10" w:history="1">
        <w:r w:rsidRPr="00F24947">
          <w:rPr>
            <w:rStyle w:val="Hyperlink"/>
          </w:rPr>
          <w:t>https://www.equalityhumanrights.com/en/holiday-pay</w:t>
        </w:r>
      </w:hyperlink>
      <w:r w:rsidRPr="00F24947">
        <w:t xml:space="preserve"> [Accessed 24 July 2025].</w:t>
      </w:r>
      <w:r w:rsidRPr="00F24947">
        <w:br/>
      </w:r>
      <w:r w:rsidRPr="00F24947">
        <w:rPr>
          <w:b/>
          <w:bCs/>
        </w:rPr>
        <w:t>Equality Act 2010</w:t>
      </w:r>
      <w:r w:rsidRPr="00F24947">
        <w:t xml:space="preserve">. [online] Available at: </w:t>
      </w:r>
      <w:hyperlink r:id="rId11" w:tgtFrame="_new" w:history="1">
        <w:r w:rsidRPr="00F24947">
          <w:rPr>
            <w:rStyle w:val="Hyperlink"/>
          </w:rPr>
          <w:t>https://www.legislation.gov.uk/ukpga/2010/15/contents</w:t>
        </w:r>
      </w:hyperlink>
      <w:r w:rsidRPr="00F24947">
        <w:t xml:space="preserve"> [Accessed 2 June 2025].</w:t>
      </w:r>
      <w:r w:rsidRPr="00F24947">
        <w:br/>
      </w:r>
      <w:r w:rsidRPr="00F24947">
        <w:rPr>
          <w:b/>
          <w:bCs/>
        </w:rPr>
        <w:t>Equality and Human Rights Commission</w:t>
      </w:r>
      <w:r w:rsidRPr="00F24947">
        <w:t xml:space="preserve"> (2024) </w:t>
      </w:r>
      <w:r w:rsidRPr="00F24947">
        <w:rPr>
          <w:i/>
          <w:iCs/>
        </w:rPr>
        <w:t>Your rights at work</w:t>
      </w:r>
      <w:r w:rsidRPr="00F24947">
        <w:t xml:space="preserve">. [online] Available at: </w:t>
      </w:r>
      <w:hyperlink r:id="rId12" w:history="1">
        <w:r w:rsidRPr="00F24947">
          <w:rPr>
            <w:rStyle w:val="Hyperlink"/>
          </w:rPr>
          <w:t>https://www.equalityhumanrights.com/en/your-rights-work</w:t>
        </w:r>
      </w:hyperlink>
      <w:r w:rsidRPr="00F24947">
        <w:t xml:space="preserve"> [Accessed 27 July 2025].</w:t>
      </w:r>
      <w:r w:rsidRPr="00F24947">
        <w:br/>
      </w:r>
      <w:r w:rsidRPr="00F24947">
        <w:rPr>
          <w:b/>
          <w:bCs/>
        </w:rPr>
        <w:t>Employment Rights Act 1996</w:t>
      </w:r>
      <w:r w:rsidRPr="00F24947">
        <w:t xml:space="preserve">. [online] Available at: </w:t>
      </w:r>
      <w:hyperlink r:id="rId13" w:tgtFrame="_new" w:history="1">
        <w:r w:rsidRPr="00F24947">
          <w:rPr>
            <w:rStyle w:val="Hyperlink"/>
          </w:rPr>
          <w:t>https://www.legislation.gov.uk/ukpga/1996/18/contents</w:t>
        </w:r>
      </w:hyperlink>
      <w:r w:rsidRPr="00F24947">
        <w:t xml:space="preserve"> [Accessed 24 May 2025].</w:t>
      </w:r>
      <w:r w:rsidRPr="00F24947">
        <w:br/>
      </w:r>
      <w:r w:rsidRPr="00F24947">
        <w:rPr>
          <w:b/>
          <w:bCs/>
        </w:rPr>
        <w:t>Flexible Working Regulations 2014</w:t>
      </w:r>
      <w:r w:rsidRPr="00F24947">
        <w:t xml:space="preserve">. [online] Available at: </w:t>
      </w:r>
      <w:hyperlink r:id="rId14" w:tgtFrame="_new" w:history="1">
        <w:r w:rsidRPr="00F24947">
          <w:rPr>
            <w:rStyle w:val="Hyperlink"/>
          </w:rPr>
          <w:t>https://www.legislation.gov.uk/uksi/2014/1398/contents/made</w:t>
        </w:r>
      </w:hyperlink>
      <w:r w:rsidRPr="00F24947">
        <w:t xml:space="preserve"> [Accessed 25 May 2025].</w:t>
      </w:r>
      <w:r w:rsidRPr="00F24947">
        <w:br/>
      </w:r>
      <w:r w:rsidRPr="00F24947">
        <w:rPr>
          <w:b/>
          <w:bCs/>
        </w:rPr>
        <w:t>GOV.UK</w:t>
      </w:r>
      <w:r w:rsidRPr="00F24947">
        <w:t xml:space="preserve"> (2024a) </w:t>
      </w:r>
      <w:r w:rsidRPr="00F24947">
        <w:rPr>
          <w:i/>
          <w:iCs/>
        </w:rPr>
        <w:t>Holiday pay: Calculating leave for irregular hours and part-year workers</w:t>
      </w:r>
      <w:r w:rsidRPr="00F24947">
        <w:t xml:space="preserve">. [online] Available at: </w:t>
      </w:r>
      <w:hyperlink r:id="rId15" w:history="1">
        <w:r w:rsidRPr="00F24947">
          <w:rPr>
            <w:rStyle w:val="Hyperlink"/>
          </w:rPr>
          <w:t>https://www.gov.uk/holiday-entitlement-rights</w:t>
        </w:r>
      </w:hyperlink>
      <w:r w:rsidRPr="00F24947">
        <w:t xml:space="preserve"> [Accessed 29 July 2025].</w:t>
      </w:r>
      <w:r w:rsidRPr="00F24947">
        <w:br/>
      </w:r>
      <w:r w:rsidRPr="00F24947">
        <w:rPr>
          <w:b/>
          <w:bCs/>
        </w:rPr>
        <w:t>GOV.UK</w:t>
      </w:r>
      <w:r w:rsidRPr="00F24947">
        <w:t xml:space="preserve"> (2024b) </w:t>
      </w:r>
      <w:r w:rsidRPr="00F24947">
        <w:rPr>
          <w:i/>
          <w:iCs/>
        </w:rPr>
        <w:t>Shared Parental Leave and Pay</w:t>
      </w:r>
      <w:r w:rsidRPr="00F24947">
        <w:t xml:space="preserve">. [online] Available at: </w:t>
      </w:r>
      <w:hyperlink r:id="rId16" w:history="1">
        <w:r w:rsidRPr="00F24947">
          <w:rPr>
            <w:rStyle w:val="Hyperlink"/>
          </w:rPr>
          <w:t>https://www.gov.uk/shared-parental-leave-and-pay</w:t>
        </w:r>
      </w:hyperlink>
      <w:r w:rsidRPr="00F24947">
        <w:t xml:space="preserve"> [Accessed 30 July 2025].</w:t>
      </w:r>
      <w:r w:rsidRPr="00F24947">
        <w:br/>
      </w:r>
      <w:r w:rsidRPr="00F24947">
        <w:rPr>
          <w:b/>
          <w:bCs/>
        </w:rPr>
        <w:t>GOV.UK</w:t>
      </w:r>
      <w:r w:rsidRPr="00F24947">
        <w:t xml:space="preserve"> (2024c) </w:t>
      </w:r>
      <w:r w:rsidRPr="00F24947">
        <w:rPr>
          <w:i/>
          <w:iCs/>
        </w:rPr>
        <w:t>Maternity Pay and Leave</w:t>
      </w:r>
      <w:r w:rsidRPr="00F24947">
        <w:t xml:space="preserve">. [online] Available at: </w:t>
      </w:r>
      <w:hyperlink r:id="rId17" w:history="1">
        <w:r w:rsidRPr="00F24947">
          <w:rPr>
            <w:rStyle w:val="Hyperlink"/>
          </w:rPr>
          <w:t>https://www.gov.uk/maternity-pay-leave</w:t>
        </w:r>
      </w:hyperlink>
      <w:r w:rsidRPr="00F24947">
        <w:t xml:space="preserve"> [Accessed 22 July 2025].</w:t>
      </w:r>
      <w:r w:rsidRPr="00F24947">
        <w:br/>
      </w:r>
      <w:r w:rsidRPr="00F24947">
        <w:rPr>
          <w:b/>
          <w:bCs/>
        </w:rPr>
        <w:t>Limitation Act 1980</w:t>
      </w:r>
      <w:r w:rsidRPr="00F24947">
        <w:t xml:space="preserve">. [online] Available at: </w:t>
      </w:r>
      <w:hyperlink r:id="rId18" w:tgtFrame="_new" w:history="1">
        <w:r w:rsidRPr="00F24947">
          <w:rPr>
            <w:rStyle w:val="Hyperlink"/>
          </w:rPr>
          <w:t>https://www.legislation.gov.uk/ukpga/1980/58/contents</w:t>
        </w:r>
      </w:hyperlink>
      <w:r w:rsidRPr="00F24947">
        <w:t xml:space="preserve"> [Accessed 26 April 2025].</w:t>
      </w:r>
      <w:r w:rsidRPr="00F24947">
        <w:br/>
      </w:r>
      <w:r w:rsidRPr="00F24947">
        <w:rPr>
          <w:b/>
          <w:bCs/>
        </w:rPr>
        <w:t>Maternity Action</w:t>
      </w:r>
      <w:r w:rsidRPr="00F24947">
        <w:t xml:space="preserve"> (2023) </w:t>
      </w:r>
      <w:r w:rsidRPr="00F24947">
        <w:rPr>
          <w:i/>
          <w:iCs/>
        </w:rPr>
        <w:t>Time limits for making a tribunal claim</w:t>
      </w:r>
      <w:r w:rsidRPr="00F24947">
        <w:t xml:space="preserve">. [online] Available at: </w:t>
      </w:r>
      <w:hyperlink r:id="rId19" w:history="1">
        <w:r w:rsidRPr="00F24947">
          <w:rPr>
            <w:rStyle w:val="Hyperlink"/>
          </w:rPr>
          <w:t>https://maternityaction.org.uk/advice/time-limits-for-claims/</w:t>
        </w:r>
      </w:hyperlink>
      <w:r w:rsidRPr="00F24947">
        <w:t xml:space="preserve"> [Accessed 25 July 2025].</w:t>
      </w:r>
      <w:r w:rsidRPr="00F24947">
        <w:br/>
      </w:r>
      <w:r w:rsidRPr="00F24947">
        <w:rPr>
          <w:b/>
          <w:bCs/>
        </w:rPr>
        <w:t>NHS Employers</w:t>
      </w:r>
      <w:r w:rsidRPr="00F24947">
        <w:t xml:space="preserve"> (2023) </w:t>
      </w:r>
      <w:r w:rsidRPr="00F24947">
        <w:rPr>
          <w:i/>
          <w:iCs/>
        </w:rPr>
        <w:t>Flexible working in the NHS</w:t>
      </w:r>
      <w:r w:rsidRPr="00F24947">
        <w:t xml:space="preserve">. [online] Available at: </w:t>
      </w:r>
      <w:hyperlink r:id="rId20" w:history="1">
        <w:r w:rsidRPr="00F24947">
          <w:rPr>
            <w:rStyle w:val="Hyperlink"/>
          </w:rPr>
          <w:t>https://www.nhsemployers.org/articles/flexible-working</w:t>
        </w:r>
      </w:hyperlink>
      <w:r w:rsidRPr="00F24947">
        <w:t xml:space="preserve"> [Accessed 30 July 2025].</w:t>
      </w:r>
      <w:r w:rsidRPr="00F24947">
        <w:br/>
      </w:r>
      <w:r w:rsidRPr="00F24947">
        <w:rPr>
          <w:b/>
          <w:bCs/>
        </w:rPr>
        <w:t>Retained EU Law (Revocation and Reform) Act 2023</w:t>
      </w:r>
      <w:r w:rsidRPr="00F24947">
        <w:t xml:space="preserve">. [online] Available at: </w:t>
      </w:r>
      <w:hyperlink r:id="rId21" w:tgtFrame="_new" w:history="1">
        <w:r w:rsidRPr="00F24947">
          <w:rPr>
            <w:rStyle w:val="Hyperlink"/>
          </w:rPr>
          <w:t>https://www.legislation.gov.uk/ukpga/2023/28/contents/enacted</w:t>
        </w:r>
      </w:hyperlink>
      <w:r w:rsidRPr="00F24947">
        <w:t xml:space="preserve"> [Accessed 30 May 2025].</w:t>
      </w:r>
      <w:r w:rsidRPr="00F24947">
        <w:br/>
      </w:r>
      <w:r w:rsidRPr="00F24947">
        <w:rPr>
          <w:b/>
          <w:bCs/>
        </w:rPr>
        <w:t>Working Time Regulations 1998</w:t>
      </w:r>
      <w:r w:rsidRPr="00F24947">
        <w:t xml:space="preserve">. [online] Available at: </w:t>
      </w:r>
      <w:hyperlink r:id="rId22" w:tgtFrame="_new" w:history="1">
        <w:r w:rsidRPr="00F24947">
          <w:rPr>
            <w:rStyle w:val="Hyperlink"/>
          </w:rPr>
          <w:t>https://www.legislation.gov.uk/uksi/1998/1833/contents/made</w:t>
        </w:r>
      </w:hyperlink>
      <w:r w:rsidRPr="00F24947">
        <w:t xml:space="preserve"> [Accessed 1 June 2025].</w:t>
      </w:r>
    </w:p>
    <w:p w14:paraId="27E70841" w14:textId="65EB9499" w:rsidR="00F24947" w:rsidRPr="00F24947" w:rsidRDefault="00F24947" w:rsidP="00F24947"/>
    <w:p w14:paraId="6534624E" w14:textId="3BF5F603" w:rsidR="00F24947" w:rsidRPr="00F24947" w:rsidRDefault="00F24947" w:rsidP="00F24947">
      <w:pPr>
        <w:rPr>
          <w:b/>
          <w:bCs/>
        </w:rPr>
      </w:pPr>
      <w:r w:rsidRPr="00F24947">
        <w:rPr>
          <w:b/>
          <w:bCs/>
        </w:rPr>
        <w:t xml:space="preserve">Case Law </w:t>
      </w:r>
    </w:p>
    <w:p w14:paraId="25AC291F" w14:textId="77777777" w:rsidR="00F24947" w:rsidRPr="00F24947" w:rsidRDefault="00F24947" w:rsidP="00F24947">
      <w:pPr>
        <w:numPr>
          <w:ilvl w:val="0"/>
          <w:numId w:val="18"/>
        </w:numPr>
      </w:pPr>
      <w:r w:rsidRPr="00F24947">
        <w:rPr>
          <w:i/>
          <w:iCs/>
        </w:rPr>
        <w:t>Amicus v GMB</w:t>
      </w:r>
      <w:r w:rsidRPr="00F24947">
        <w:t xml:space="preserve"> [2004] IRLR 430 (EAT)</w:t>
      </w:r>
    </w:p>
    <w:p w14:paraId="58B25B7C" w14:textId="77777777" w:rsidR="00F24947" w:rsidRPr="00F24947" w:rsidRDefault="00F24947" w:rsidP="00F24947">
      <w:pPr>
        <w:numPr>
          <w:ilvl w:val="0"/>
          <w:numId w:val="18"/>
        </w:numPr>
      </w:pPr>
      <w:r w:rsidRPr="00F24947">
        <w:rPr>
          <w:i/>
          <w:iCs/>
        </w:rPr>
        <w:t>Birmingham City Council v Abdulla and Others</w:t>
      </w:r>
      <w:r w:rsidRPr="00F24947">
        <w:t xml:space="preserve"> [2012] UKSC 47</w:t>
      </w:r>
    </w:p>
    <w:p w14:paraId="4D6C79FD" w14:textId="77777777" w:rsidR="00F24947" w:rsidRPr="00F24947" w:rsidRDefault="00F24947" w:rsidP="00F24947">
      <w:pPr>
        <w:numPr>
          <w:ilvl w:val="0"/>
          <w:numId w:val="18"/>
        </w:numPr>
      </w:pPr>
      <w:r w:rsidRPr="00F24947">
        <w:rPr>
          <w:i/>
          <w:iCs/>
        </w:rPr>
        <w:t>Essop v Home Office (UK Border Agency)</w:t>
      </w:r>
      <w:r w:rsidRPr="00F24947">
        <w:t xml:space="preserve"> [2017] UKSC 27</w:t>
      </w:r>
    </w:p>
    <w:p w14:paraId="5590C5DC" w14:textId="77777777" w:rsidR="00F24947" w:rsidRPr="00F24947" w:rsidRDefault="00F24947" w:rsidP="00F24947">
      <w:pPr>
        <w:numPr>
          <w:ilvl w:val="0"/>
          <w:numId w:val="18"/>
        </w:numPr>
      </w:pPr>
      <w:r w:rsidRPr="00F24947">
        <w:rPr>
          <w:i/>
          <w:iCs/>
        </w:rPr>
        <w:t>Furlong v Chief Constable of Cheshire Police</w:t>
      </w:r>
      <w:r w:rsidRPr="00F24947">
        <w:t xml:space="preserve"> [2019] ET/2405577/18</w:t>
      </w:r>
    </w:p>
    <w:p w14:paraId="2E0378CB" w14:textId="77777777" w:rsidR="00F24947" w:rsidRPr="00F24947" w:rsidRDefault="00F24947" w:rsidP="00F24947">
      <w:pPr>
        <w:numPr>
          <w:ilvl w:val="0"/>
          <w:numId w:val="18"/>
        </w:numPr>
      </w:pPr>
      <w:r w:rsidRPr="00F24947">
        <w:rPr>
          <w:i/>
          <w:iCs/>
        </w:rPr>
        <w:t xml:space="preserve">Hayward v </w:t>
      </w:r>
      <w:proofErr w:type="spellStart"/>
      <w:r w:rsidRPr="00F24947">
        <w:rPr>
          <w:i/>
          <w:iCs/>
        </w:rPr>
        <w:t>Cammell</w:t>
      </w:r>
      <w:proofErr w:type="spellEnd"/>
      <w:r w:rsidRPr="00F24947">
        <w:rPr>
          <w:i/>
          <w:iCs/>
        </w:rPr>
        <w:t xml:space="preserve"> Laird Shipbuilders Ltd</w:t>
      </w:r>
      <w:r w:rsidRPr="00F24947">
        <w:t xml:space="preserve"> [1988] AC 894</w:t>
      </w:r>
    </w:p>
    <w:p w14:paraId="563DBE7D" w14:textId="77777777" w:rsidR="00F24947" w:rsidRPr="00F24947" w:rsidRDefault="00F24947" w:rsidP="00F24947">
      <w:pPr>
        <w:numPr>
          <w:ilvl w:val="0"/>
          <w:numId w:val="18"/>
        </w:numPr>
      </w:pPr>
      <w:r w:rsidRPr="00F24947">
        <w:rPr>
          <w:i/>
          <w:iCs/>
        </w:rPr>
        <w:t>James v Eastleigh Borough Council</w:t>
      </w:r>
      <w:r w:rsidRPr="00F24947">
        <w:t xml:space="preserve"> [1990] 2 AC 751</w:t>
      </w:r>
    </w:p>
    <w:p w14:paraId="19C1AAD6" w14:textId="77777777" w:rsidR="00F24947" w:rsidRPr="00F24947" w:rsidRDefault="00F24947" w:rsidP="00F24947">
      <w:pPr>
        <w:numPr>
          <w:ilvl w:val="0"/>
          <w:numId w:val="18"/>
        </w:numPr>
      </w:pPr>
      <w:r w:rsidRPr="00F24947">
        <w:rPr>
          <w:i/>
          <w:iCs/>
        </w:rPr>
        <w:t xml:space="preserve">Keeley v </w:t>
      </w:r>
      <w:proofErr w:type="spellStart"/>
      <w:r w:rsidRPr="00F24947">
        <w:rPr>
          <w:i/>
          <w:iCs/>
        </w:rPr>
        <w:t>Fosroc</w:t>
      </w:r>
      <w:proofErr w:type="spellEnd"/>
      <w:r w:rsidRPr="00F24947">
        <w:rPr>
          <w:i/>
          <w:iCs/>
        </w:rPr>
        <w:t xml:space="preserve"> International Ltd</w:t>
      </w:r>
      <w:r w:rsidRPr="00F24947">
        <w:t xml:space="preserve"> [2006] EWCA </w:t>
      </w:r>
      <w:proofErr w:type="spellStart"/>
      <w:r w:rsidRPr="00F24947">
        <w:t>Civ</w:t>
      </w:r>
      <w:proofErr w:type="spellEnd"/>
      <w:r w:rsidRPr="00F24947">
        <w:t xml:space="preserve"> 1277</w:t>
      </w:r>
    </w:p>
    <w:p w14:paraId="35C39D06" w14:textId="77777777" w:rsidR="00F24947" w:rsidRPr="00F24947" w:rsidRDefault="00F24947" w:rsidP="00F24947">
      <w:pPr>
        <w:numPr>
          <w:ilvl w:val="0"/>
          <w:numId w:val="18"/>
        </w:numPr>
      </w:pPr>
      <w:r w:rsidRPr="00F24947">
        <w:rPr>
          <w:i/>
          <w:iCs/>
        </w:rPr>
        <w:t>Kostal UK Ltd v Dunkley and others</w:t>
      </w:r>
      <w:r w:rsidRPr="00F24947">
        <w:t xml:space="preserve"> [2021] UKSC 47</w:t>
      </w:r>
    </w:p>
    <w:p w14:paraId="2C6BBB62" w14:textId="77777777" w:rsidR="00F24947" w:rsidRPr="00F24947" w:rsidRDefault="00F24947" w:rsidP="00F24947">
      <w:pPr>
        <w:numPr>
          <w:ilvl w:val="0"/>
          <w:numId w:val="18"/>
        </w:numPr>
      </w:pPr>
      <w:r w:rsidRPr="00F24947">
        <w:rPr>
          <w:i/>
          <w:iCs/>
        </w:rPr>
        <w:t>Litster v Forth Dry Dock and Engineering Co Ltd</w:t>
      </w:r>
      <w:r w:rsidRPr="00F24947">
        <w:t xml:space="preserve"> [1989] ICR 341</w:t>
      </w:r>
    </w:p>
    <w:p w14:paraId="3C006E07" w14:textId="77777777" w:rsidR="00F24947" w:rsidRPr="00F24947" w:rsidRDefault="00F24947" w:rsidP="00F24947">
      <w:pPr>
        <w:numPr>
          <w:ilvl w:val="0"/>
          <w:numId w:val="18"/>
        </w:numPr>
      </w:pPr>
      <w:r w:rsidRPr="00F24947">
        <w:rPr>
          <w:i/>
          <w:iCs/>
        </w:rPr>
        <w:t>Lock v British Gas Trading Ltd</w:t>
      </w:r>
      <w:r w:rsidRPr="00F24947">
        <w:t xml:space="preserve"> [2014] EUECJ C-539/12</w:t>
      </w:r>
    </w:p>
    <w:p w14:paraId="7789CAB2" w14:textId="77777777" w:rsidR="00F24947" w:rsidRPr="00F24947" w:rsidRDefault="00F24947" w:rsidP="00F24947">
      <w:pPr>
        <w:numPr>
          <w:ilvl w:val="0"/>
          <w:numId w:val="18"/>
        </w:numPr>
      </w:pPr>
      <w:r w:rsidRPr="00F24947">
        <w:rPr>
          <w:i/>
          <w:iCs/>
        </w:rPr>
        <w:t>Mandla v Dowell Lee</w:t>
      </w:r>
      <w:r w:rsidRPr="00F24947">
        <w:t xml:space="preserve"> [1983] 2 AC 548</w:t>
      </w:r>
    </w:p>
    <w:p w14:paraId="7C320BCA" w14:textId="77777777" w:rsidR="00F24947" w:rsidRPr="00F24947" w:rsidRDefault="00F24947" w:rsidP="00F24947">
      <w:pPr>
        <w:numPr>
          <w:ilvl w:val="0"/>
          <w:numId w:val="18"/>
        </w:numPr>
      </w:pPr>
      <w:r w:rsidRPr="00F24947">
        <w:rPr>
          <w:i/>
          <w:iCs/>
        </w:rPr>
        <w:t>Miller v Rentokil Initial UK Ltd</w:t>
      </w:r>
      <w:r w:rsidRPr="00F24947">
        <w:t xml:space="preserve"> [2021] ET</w:t>
      </w:r>
    </w:p>
    <w:p w14:paraId="26FB51C6" w14:textId="77777777" w:rsidR="00F24947" w:rsidRPr="00F24947" w:rsidRDefault="00F24947" w:rsidP="00F24947">
      <w:pPr>
        <w:numPr>
          <w:ilvl w:val="0"/>
          <w:numId w:val="18"/>
        </w:numPr>
      </w:pPr>
      <w:r w:rsidRPr="00F24947">
        <w:rPr>
          <w:i/>
          <w:iCs/>
        </w:rPr>
        <w:t>Smith v Pimlico Plumbers Ltd</w:t>
      </w:r>
      <w:r w:rsidRPr="00F24947">
        <w:t xml:space="preserve"> [2022] EWCA </w:t>
      </w:r>
      <w:proofErr w:type="spellStart"/>
      <w:r w:rsidRPr="00F24947">
        <w:t>Civ</w:t>
      </w:r>
      <w:proofErr w:type="spellEnd"/>
      <w:r w:rsidRPr="00F24947">
        <w:t xml:space="preserve"> 70</w:t>
      </w:r>
    </w:p>
    <w:p w14:paraId="127CE97B" w14:textId="77777777" w:rsidR="00F24947" w:rsidRPr="00F24947" w:rsidRDefault="00F24947" w:rsidP="00F24947">
      <w:pPr>
        <w:numPr>
          <w:ilvl w:val="0"/>
          <w:numId w:val="18"/>
        </w:numPr>
      </w:pPr>
      <w:r w:rsidRPr="00F24947">
        <w:rPr>
          <w:i/>
          <w:iCs/>
        </w:rPr>
        <w:t xml:space="preserve">Thompson v </w:t>
      </w:r>
      <w:proofErr w:type="spellStart"/>
      <w:r w:rsidRPr="00F24947">
        <w:rPr>
          <w:i/>
          <w:iCs/>
        </w:rPr>
        <w:t>Scancrown</w:t>
      </w:r>
      <w:proofErr w:type="spellEnd"/>
      <w:r w:rsidRPr="00F24947">
        <w:rPr>
          <w:i/>
          <w:iCs/>
        </w:rPr>
        <w:t xml:space="preserve"> Ltd (t/a Manors)</w:t>
      </w:r>
      <w:r w:rsidRPr="00F24947">
        <w:t xml:space="preserve"> [2021] ET/2205199/2019</w:t>
      </w:r>
    </w:p>
    <w:p w14:paraId="5D15D146" w14:textId="77777777" w:rsidR="00F24947" w:rsidRPr="00F24947" w:rsidRDefault="00F24947" w:rsidP="00F24947">
      <w:pPr>
        <w:numPr>
          <w:ilvl w:val="0"/>
          <w:numId w:val="18"/>
        </w:numPr>
      </w:pPr>
      <w:r w:rsidRPr="00F24947">
        <w:rPr>
          <w:i/>
          <w:iCs/>
        </w:rPr>
        <w:t>United Bank Ltd v Akhtar</w:t>
      </w:r>
      <w:r w:rsidRPr="00F24947">
        <w:t xml:space="preserve"> [1989] IRLR 507</w:t>
      </w:r>
    </w:p>
    <w:p w14:paraId="290A501C" w14:textId="77777777" w:rsidR="00F24947" w:rsidRPr="00F24947" w:rsidRDefault="00F24947" w:rsidP="00F24947">
      <w:pPr>
        <w:numPr>
          <w:ilvl w:val="0"/>
          <w:numId w:val="18"/>
        </w:numPr>
      </w:pPr>
      <w:r w:rsidRPr="00F24947">
        <w:rPr>
          <w:i/>
          <w:iCs/>
        </w:rPr>
        <w:t>Webb v EMO Air Cargo (UK) Ltd</w:t>
      </w:r>
      <w:r w:rsidRPr="00F24947">
        <w:t xml:space="preserve"> [1994] ICR 770</w:t>
      </w:r>
    </w:p>
    <w:p w14:paraId="0BB0084F" w14:textId="77777777" w:rsidR="00F24947" w:rsidRPr="00F24947" w:rsidRDefault="00F24947" w:rsidP="00F24947">
      <w:pPr>
        <w:numPr>
          <w:ilvl w:val="0"/>
          <w:numId w:val="18"/>
        </w:numPr>
      </w:pPr>
      <w:r w:rsidRPr="00F24947">
        <w:rPr>
          <w:i/>
          <w:iCs/>
        </w:rPr>
        <w:t xml:space="preserve">Williams v </w:t>
      </w:r>
      <w:proofErr w:type="spellStart"/>
      <w:r w:rsidRPr="00F24947">
        <w:rPr>
          <w:i/>
          <w:iCs/>
        </w:rPr>
        <w:t>Compair</w:t>
      </w:r>
      <w:proofErr w:type="spellEnd"/>
      <w:r w:rsidRPr="00F24947">
        <w:rPr>
          <w:i/>
          <w:iCs/>
        </w:rPr>
        <w:t xml:space="preserve"> Maxam Ltd</w:t>
      </w:r>
      <w:r w:rsidRPr="00F24947">
        <w:t xml:space="preserve"> [1982] ICR 156</w:t>
      </w:r>
    </w:p>
    <w:p w14:paraId="1F9151D7" w14:textId="77777777" w:rsidR="004644C7" w:rsidRPr="004644C7" w:rsidRDefault="004644C7" w:rsidP="004644C7"/>
    <w:p w14:paraId="3C70117E" w14:textId="77777777" w:rsidR="004644C7" w:rsidRPr="00595DC6" w:rsidRDefault="004644C7" w:rsidP="00595DC6"/>
    <w:sectPr w:rsidR="004644C7" w:rsidRPr="00595D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A7CED"/>
    <w:multiLevelType w:val="multilevel"/>
    <w:tmpl w:val="A6CC4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060151"/>
    <w:multiLevelType w:val="multilevel"/>
    <w:tmpl w:val="4F78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006376"/>
    <w:multiLevelType w:val="multilevel"/>
    <w:tmpl w:val="CD4C6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E22A2F"/>
    <w:multiLevelType w:val="multilevel"/>
    <w:tmpl w:val="2DAC8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4A4D02"/>
    <w:multiLevelType w:val="multilevel"/>
    <w:tmpl w:val="3C24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2F3AA2"/>
    <w:multiLevelType w:val="multilevel"/>
    <w:tmpl w:val="3F9CB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305D10"/>
    <w:multiLevelType w:val="multilevel"/>
    <w:tmpl w:val="F9F49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CA0C5B"/>
    <w:multiLevelType w:val="multilevel"/>
    <w:tmpl w:val="6DD2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19135D"/>
    <w:multiLevelType w:val="multilevel"/>
    <w:tmpl w:val="11F2D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CC4204"/>
    <w:multiLevelType w:val="multilevel"/>
    <w:tmpl w:val="BE463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9906FC"/>
    <w:multiLevelType w:val="multilevel"/>
    <w:tmpl w:val="35FA3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4F6CB3"/>
    <w:multiLevelType w:val="multilevel"/>
    <w:tmpl w:val="C5AE3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506B15"/>
    <w:multiLevelType w:val="multilevel"/>
    <w:tmpl w:val="9D880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974B4C"/>
    <w:multiLevelType w:val="multilevel"/>
    <w:tmpl w:val="C2304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432E26"/>
    <w:multiLevelType w:val="multilevel"/>
    <w:tmpl w:val="5A38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D35D0A"/>
    <w:multiLevelType w:val="multilevel"/>
    <w:tmpl w:val="0CE62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6B5F4C"/>
    <w:multiLevelType w:val="multilevel"/>
    <w:tmpl w:val="6194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BE0E54"/>
    <w:multiLevelType w:val="multilevel"/>
    <w:tmpl w:val="9B126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4835695">
    <w:abstractNumId w:val="10"/>
  </w:num>
  <w:num w:numId="2" w16cid:durableId="1688213505">
    <w:abstractNumId w:val="5"/>
  </w:num>
  <w:num w:numId="3" w16cid:durableId="1919287315">
    <w:abstractNumId w:val="0"/>
  </w:num>
  <w:num w:numId="4" w16cid:durableId="1893467648">
    <w:abstractNumId w:val="9"/>
  </w:num>
  <w:num w:numId="5" w16cid:durableId="2047021059">
    <w:abstractNumId w:val="8"/>
  </w:num>
  <w:num w:numId="6" w16cid:durableId="1739739982">
    <w:abstractNumId w:val="12"/>
  </w:num>
  <w:num w:numId="7" w16cid:durableId="1139305715">
    <w:abstractNumId w:val="2"/>
  </w:num>
  <w:num w:numId="8" w16cid:durableId="1078408445">
    <w:abstractNumId w:val="14"/>
  </w:num>
  <w:num w:numId="9" w16cid:durableId="1158837250">
    <w:abstractNumId w:val="15"/>
  </w:num>
  <w:num w:numId="10" w16cid:durableId="1370952965">
    <w:abstractNumId w:val="11"/>
  </w:num>
  <w:num w:numId="11" w16cid:durableId="430050628">
    <w:abstractNumId w:val="6"/>
  </w:num>
  <w:num w:numId="12" w16cid:durableId="977033385">
    <w:abstractNumId w:val="13"/>
  </w:num>
  <w:num w:numId="13" w16cid:durableId="137261446">
    <w:abstractNumId w:val="7"/>
  </w:num>
  <w:num w:numId="14" w16cid:durableId="1091390922">
    <w:abstractNumId w:val="16"/>
  </w:num>
  <w:num w:numId="15" w16cid:durableId="974992562">
    <w:abstractNumId w:val="17"/>
  </w:num>
  <w:num w:numId="16" w16cid:durableId="1578125956">
    <w:abstractNumId w:val="3"/>
  </w:num>
  <w:num w:numId="17" w16cid:durableId="554775370">
    <w:abstractNumId w:val="4"/>
  </w:num>
  <w:num w:numId="18" w16cid:durableId="787819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D40"/>
    <w:rsid w:val="00085D40"/>
    <w:rsid w:val="00157886"/>
    <w:rsid w:val="00163901"/>
    <w:rsid w:val="00266DE0"/>
    <w:rsid w:val="00281EF3"/>
    <w:rsid w:val="003C6CC4"/>
    <w:rsid w:val="004644C7"/>
    <w:rsid w:val="00487E38"/>
    <w:rsid w:val="00555ADD"/>
    <w:rsid w:val="00595DC6"/>
    <w:rsid w:val="006759F8"/>
    <w:rsid w:val="0071026D"/>
    <w:rsid w:val="00800855"/>
    <w:rsid w:val="00884DF3"/>
    <w:rsid w:val="008B07EC"/>
    <w:rsid w:val="009C6477"/>
    <w:rsid w:val="00AF1D90"/>
    <w:rsid w:val="00CE42CF"/>
    <w:rsid w:val="00D6287F"/>
    <w:rsid w:val="00E341EF"/>
    <w:rsid w:val="00F24947"/>
    <w:rsid w:val="00FF3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03EB2"/>
  <w15:chartTrackingRefBased/>
  <w15:docId w15:val="{18D673EE-BDF0-4BD9-9380-2D72094F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5D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5D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5D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5D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5D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5D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5D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5D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5D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D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5D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5D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5D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5D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5D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5D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5D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5D40"/>
    <w:rPr>
      <w:rFonts w:eastAsiaTheme="majorEastAsia" w:cstheme="majorBidi"/>
      <w:color w:val="272727" w:themeColor="text1" w:themeTint="D8"/>
    </w:rPr>
  </w:style>
  <w:style w:type="paragraph" w:styleId="Title">
    <w:name w:val="Title"/>
    <w:basedOn w:val="Normal"/>
    <w:next w:val="Normal"/>
    <w:link w:val="TitleChar"/>
    <w:uiPriority w:val="10"/>
    <w:qFormat/>
    <w:rsid w:val="00085D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5D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5D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5D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5D40"/>
    <w:pPr>
      <w:spacing w:before="160"/>
      <w:jc w:val="center"/>
    </w:pPr>
    <w:rPr>
      <w:i/>
      <w:iCs/>
      <w:color w:val="404040" w:themeColor="text1" w:themeTint="BF"/>
    </w:rPr>
  </w:style>
  <w:style w:type="character" w:customStyle="1" w:styleId="QuoteChar">
    <w:name w:val="Quote Char"/>
    <w:basedOn w:val="DefaultParagraphFont"/>
    <w:link w:val="Quote"/>
    <w:uiPriority w:val="29"/>
    <w:rsid w:val="00085D40"/>
    <w:rPr>
      <w:i/>
      <w:iCs/>
      <w:color w:val="404040" w:themeColor="text1" w:themeTint="BF"/>
    </w:rPr>
  </w:style>
  <w:style w:type="paragraph" w:styleId="ListParagraph">
    <w:name w:val="List Paragraph"/>
    <w:basedOn w:val="Normal"/>
    <w:uiPriority w:val="34"/>
    <w:qFormat/>
    <w:rsid w:val="00085D40"/>
    <w:pPr>
      <w:ind w:left="720"/>
      <w:contextualSpacing/>
    </w:pPr>
  </w:style>
  <w:style w:type="character" w:styleId="IntenseEmphasis">
    <w:name w:val="Intense Emphasis"/>
    <w:basedOn w:val="DefaultParagraphFont"/>
    <w:uiPriority w:val="21"/>
    <w:qFormat/>
    <w:rsid w:val="00085D40"/>
    <w:rPr>
      <w:i/>
      <w:iCs/>
      <w:color w:val="0F4761" w:themeColor="accent1" w:themeShade="BF"/>
    </w:rPr>
  </w:style>
  <w:style w:type="paragraph" w:styleId="IntenseQuote">
    <w:name w:val="Intense Quote"/>
    <w:basedOn w:val="Normal"/>
    <w:next w:val="Normal"/>
    <w:link w:val="IntenseQuoteChar"/>
    <w:uiPriority w:val="30"/>
    <w:qFormat/>
    <w:rsid w:val="00085D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5D40"/>
    <w:rPr>
      <w:i/>
      <w:iCs/>
      <w:color w:val="0F4761" w:themeColor="accent1" w:themeShade="BF"/>
    </w:rPr>
  </w:style>
  <w:style w:type="character" w:styleId="IntenseReference">
    <w:name w:val="Intense Reference"/>
    <w:basedOn w:val="DefaultParagraphFont"/>
    <w:uiPriority w:val="32"/>
    <w:qFormat/>
    <w:rsid w:val="00085D40"/>
    <w:rPr>
      <w:b/>
      <w:bCs/>
      <w:smallCaps/>
      <w:color w:val="0F4761" w:themeColor="accent1" w:themeShade="BF"/>
      <w:spacing w:val="5"/>
    </w:rPr>
  </w:style>
  <w:style w:type="character" w:styleId="Hyperlink">
    <w:name w:val="Hyperlink"/>
    <w:basedOn w:val="DefaultParagraphFont"/>
    <w:uiPriority w:val="99"/>
    <w:unhideWhenUsed/>
    <w:rsid w:val="00884DF3"/>
    <w:rPr>
      <w:color w:val="467886" w:themeColor="hyperlink"/>
      <w:u w:val="single"/>
    </w:rPr>
  </w:style>
  <w:style w:type="character" w:styleId="UnresolvedMention">
    <w:name w:val="Unresolved Mention"/>
    <w:basedOn w:val="DefaultParagraphFont"/>
    <w:uiPriority w:val="99"/>
    <w:semiHidden/>
    <w:unhideWhenUsed/>
    <w:rsid w:val="00884D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704">
      <w:bodyDiv w:val="1"/>
      <w:marLeft w:val="0"/>
      <w:marRight w:val="0"/>
      <w:marTop w:val="0"/>
      <w:marBottom w:val="0"/>
      <w:divBdr>
        <w:top w:val="none" w:sz="0" w:space="0" w:color="auto"/>
        <w:left w:val="none" w:sz="0" w:space="0" w:color="auto"/>
        <w:bottom w:val="none" w:sz="0" w:space="0" w:color="auto"/>
        <w:right w:val="none" w:sz="0" w:space="0" w:color="auto"/>
      </w:divBdr>
    </w:div>
    <w:div w:id="9769378">
      <w:bodyDiv w:val="1"/>
      <w:marLeft w:val="0"/>
      <w:marRight w:val="0"/>
      <w:marTop w:val="0"/>
      <w:marBottom w:val="0"/>
      <w:divBdr>
        <w:top w:val="none" w:sz="0" w:space="0" w:color="auto"/>
        <w:left w:val="none" w:sz="0" w:space="0" w:color="auto"/>
        <w:bottom w:val="none" w:sz="0" w:space="0" w:color="auto"/>
        <w:right w:val="none" w:sz="0" w:space="0" w:color="auto"/>
      </w:divBdr>
    </w:div>
    <w:div w:id="31348086">
      <w:bodyDiv w:val="1"/>
      <w:marLeft w:val="0"/>
      <w:marRight w:val="0"/>
      <w:marTop w:val="0"/>
      <w:marBottom w:val="0"/>
      <w:divBdr>
        <w:top w:val="none" w:sz="0" w:space="0" w:color="auto"/>
        <w:left w:val="none" w:sz="0" w:space="0" w:color="auto"/>
        <w:bottom w:val="none" w:sz="0" w:space="0" w:color="auto"/>
        <w:right w:val="none" w:sz="0" w:space="0" w:color="auto"/>
      </w:divBdr>
    </w:div>
    <w:div w:id="41028075">
      <w:bodyDiv w:val="1"/>
      <w:marLeft w:val="0"/>
      <w:marRight w:val="0"/>
      <w:marTop w:val="0"/>
      <w:marBottom w:val="0"/>
      <w:divBdr>
        <w:top w:val="none" w:sz="0" w:space="0" w:color="auto"/>
        <w:left w:val="none" w:sz="0" w:space="0" w:color="auto"/>
        <w:bottom w:val="none" w:sz="0" w:space="0" w:color="auto"/>
        <w:right w:val="none" w:sz="0" w:space="0" w:color="auto"/>
      </w:divBdr>
    </w:div>
    <w:div w:id="115415576">
      <w:bodyDiv w:val="1"/>
      <w:marLeft w:val="0"/>
      <w:marRight w:val="0"/>
      <w:marTop w:val="0"/>
      <w:marBottom w:val="0"/>
      <w:divBdr>
        <w:top w:val="none" w:sz="0" w:space="0" w:color="auto"/>
        <w:left w:val="none" w:sz="0" w:space="0" w:color="auto"/>
        <w:bottom w:val="none" w:sz="0" w:space="0" w:color="auto"/>
        <w:right w:val="none" w:sz="0" w:space="0" w:color="auto"/>
      </w:divBdr>
    </w:div>
    <w:div w:id="204684045">
      <w:bodyDiv w:val="1"/>
      <w:marLeft w:val="0"/>
      <w:marRight w:val="0"/>
      <w:marTop w:val="0"/>
      <w:marBottom w:val="0"/>
      <w:divBdr>
        <w:top w:val="none" w:sz="0" w:space="0" w:color="auto"/>
        <w:left w:val="none" w:sz="0" w:space="0" w:color="auto"/>
        <w:bottom w:val="none" w:sz="0" w:space="0" w:color="auto"/>
        <w:right w:val="none" w:sz="0" w:space="0" w:color="auto"/>
      </w:divBdr>
    </w:div>
    <w:div w:id="230580390">
      <w:bodyDiv w:val="1"/>
      <w:marLeft w:val="0"/>
      <w:marRight w:val="0"/>
      <w:marTop w:val="0"/>
      <w:marBottom w:val="0"/>
      <w:divBdr>
        <w:top w:val="none" w:sz="0" w:space="0" w:color="auto"/>
        <w:left w:val="none" w:sz="0" w:space="0" w:color="auto"/>
        <w:bottom w:val="none" w:sz="0" w:space="0" w:color="auto"/>
        <w:right w:val="none" w:sz="0" w:space="0" w:color="auto"/>
      </w:divBdr>
    </w:div>
    <w:div w:id="278335991">
      <w:bodyDiv w:val="1"/>
      <w:marLeft w:val="0"/>
      <w:marRight w:val="0"/>
      <w:marTop w:val="0"/>
      <w:marBottom w:val="0"/>
      <w:divBdr>
        <w:top w:val="none" w:sz="0" w:space="0" w:color="auto"/>
        <w:left w:val="none" w:sz="0" w:space="0" w:color="auto"/>
        <w:bottom w:val="none" w:sz="0" w:space="0" w:color="auto"/>
        <w:right w:val="none" w:sz="0" w:space="0" w:color="auto"/>
      </w:divBdr>
    </w:div>
    <w:div w:id="331106010">
      <w:bodyDiv w:val="1"/>
      <w:marLeft w:val="0"/>
      <w:marRight w:val="0"/>
      <w:marTop w:val="0"/>
      <w:marBottom w:val="0"/>
      <w:divBdr>
        <w:top w:val="none" w:sz="0" w:space="0" w:color="auto"/>
        <w:left w:val="none" w:sz="0" w:space="0" w:color="auto"/>
        <w:bottom w:val="none" w:sz="0" w:space="0" w:color="auto"/>
        <w:right w:val="none" w:sz="0" w:space="0" w:color="auto"/>
      </w:divBdr>
    </w:div>
    <w:div w:id="375812048">
      <w:bodyDiv w:val="1"/>
      <w:marLeft w:val="0"/>
      <w:marRight w:val="0"/>
      <w:marTop w:val="0"/>
      <w:marBottom w:val="0"/>
      <w:divBdr>
        <w:top w:val="none" w:sz="0" w:space="0" w:color="auto"/>
        <w:left w:val="none" w:sz="0" w:space="0" w:color="auto"/>
        <w:bottom w:val="none" w:sz="0" w:space="0" w:color="auto"/>
        <w:right w:val="none" w:sz="0" w:space="0" w:color="auto"/>
      </w:divBdr>
    </w:div>
    <w:div w:id="405953723">
      <w:bodyDiv w:val="1"/>
      <w:marLeft w:val="0"/>
      <w:marRight w:val="0"/>
      <w:marTop w:val="0"/>
      <w:marBottom w:val="0"/>
      <w:divBdr>
        <w:top w:val="none" w:sz="0" w:space="0" w:color="auto"/>
        <w:left w:val="none" w:sz="0" w:space="0" w:color="auto"/>
        <w:bottom w:val="none" w:sz="0" w:space="0" w:color="auto"/>
        <w:right w:val="none" w:sz="0" w:space="0" w:color="auto"/>
      </w:divBdr>
    </w:div>
    <w:div w:id="458842693">
      <w:bodyDiv w:val="1"/>
      <w:marLeft w:val="0"/>
      <w:marRight w:val="0"/>
      <w:marTop w:val="0"/>
      <w:marBottom w:val="0"/>
      <w:divBdr>
        <w:top w:val="none" w:sz="0" w:space="0" w:color="auto"/>
        <w:left w:val="none" w:sz="0" w:space="0" w:color="auto"/>
        <w:bottom w:val="none" w:sz="0" w:space="0" w:color="auto"/>
        <w:right w:val="none" w:sz="0" w:space="0" w:color="auto"/>
      </w:divBdr>
    </w:div>
    <w:div w:id="468481231">
      <w:bodyDiv w:val="1"/>
      <w:marLeft w:val="0"/>
      <w:marRight w:val="0"/>
      <w:marTop w:val="0"/>
      <w:marBottom w:val="0"/>
      <w:divBdr>
        <w:top w:val="none" w:sz="0" w:space="0" w:color="auto"/>
        <w:left w:val="none" w:sz="0" w:space="0" w:color="auto"/>
        <w:bottom w:val="none" w:sz="0" w:space="0" w:color="auto"/>
        <w:right w:val="none" w:sz="0" w:space="0" w:color="auto"/>
      </w:divBdr>
    </w:div>
    <w:div w:id="471557137">
      <w:bodyDiv w:val="1"/>
      <w:marLeft w:val="0"/>
      <w:marRight w:val="0"/>
      <w:marTop w:val="0"/>
      <w:marBottom w:val="0"/>
      <w:divBdr>
        <w:top w:val="none" w:sz="0" w:space="0" w:color="auto"/>
        <w:left w:val="none" w:sz="0" w:space="0" w:color="auto"/>
        <w:bottom w:val="none" w:sz="0" w:space="0" w:color="auto"/>
        <w:right w:val="none" w:sz="0" w:space="0" w:color="auto"/>
      </w:divBdr>
    </w:div>
    <w:div w:id="512381823">
      <w:bodyDiv w:val="1"/>
      <w:marLeft w:val="0"/>
      <w:marRight w:val="0"/>
      <w:marTop w:val="0"/>
      <w:marBottom w:val="0"/>
      <w:divBdr>
        <w:top w:val="none" w:sz="0" w:space="0" w:color="auto"/>
        <w:left w:val="none" w:sz="0" w:space="0" w:color="auto"/>
        <w:bottom w:val="none" w:sz="0" w:space="0" w:color="auto"/>
        <w:right w:val="none" w:sz="0" w:space="0" w:color="auto"/>
      </w:divBdr>
    </w:div>
    <w:div w:id="528181554">
      <w:bodyDiv w:val="1"/>
      <w:marLeft w:val="0"/>
      <w:marRight w:val="0"/>
      <w:marTop w:val="0"/>
      <w:marBottom w:val="0"/>
      <w:divBdr>
        <w:top w:val="none" w:sz="0" w:space="0" w:color="auto"/>
        <w:left w:val="none" w:sz="0" w:space="0" w:color="auto"/>
        <w:bottom w:val="none" w:sz="0" w:space="0" w:color="auto"/>
        <w:right w:val="none" w:sz="0" w:space="0" w:color="auto"/>
      </w:divBdr>
    </w:div>
    <w:div w:id="602306552">
      <w:bodyDiv w:val="1"/>
      <w:marLeft w:val="0"/>
      <w:marRight w:val="0"/>
      <w:marTop w:val="0"/>
      <w:marBottom w:val="0"/>
      <w:divBdr>
        <w:top w:val="none" w:sz="0" w:space="0" w:color="auto"/>
        <w:left w:val="none" w:sz="0" w:space="0" w:color="auto"/>
        <w:bottom w:val="none" w:sz="0" w:space="0" w:color="auto"/>
        <w:right w:val="none" w:sz="0" w:space="0" w:color="auto"/>
      </w:divBdr>
    </w:div>
    <w:div w:id="668674389">
      <w:bodyDiv w:val="1"/>
      <w:marLeft w:val="0"/>
      <w:marRight w:val="0"/>
      <w:marTop w:val="0"/>
      <w:marBottom w:val="0"/>
      <w:divBdr>
        <w:top w:val="none" w:sz="0" w:space="0" w:color="auto"/>
        <w:left w:val="none" w:sz="0" w:space="0" w:color="auto"/>
        <w:bottom w:val="none" w:sz="0" w:space="0" w:color="auto"/>
        <w:right w:val="none" w:sz="0" w:space="0" w:color="auto"/>
      </w:divBdr>
    </w:div>
    <w:div w:id="682820605">
      <w:bodyDiv w:val="1"/>
      <w:marLeft w:val="0"/>
      <w:marRight w:val="0"/>
      <w:marTop w:val="0"/>
      <w:marBottom w:val="0"/>
      <w:divBdr>
        <w:top w:val="none" w:sz="0" w:space="0" w:color="auto"/>
        <w:left w:val="none" w:sz="0" w:space="0" w:color="auto"/>
        <w:bottom w:val="none" w:sz="0" w:space="0" w:color="auto"/>
        <w:right w:val="none" w:sz="0" w:space="0" w:color="auto"/>
      </w:divBdr>
    </w:div>
    <w:div w:id="692996393">
      <w:bodyDiv w:val="1"/>
      <w:marLeft w:val="0"/>
      <w:marRight w:val="0"/>
      <w:marTop w:val="0"/>
      <w:marBottom w:val="0"/>
      <w:divBdr>
        <w:top w:val="none" w:sz="0" w:space="0" w:color="auto"/>
        <w:left w:val="none" w:sz="0" w:space="0" w:color="auto"/>
        <w:bottom w:val="none" w:sz="0" w:space="0" w:color="auto"/>
        <w:right w:val="none" w:sz="0" w:space="0" w:color="auto"/>
      </w:divBdr>
    </w:div>
    <w:div w:id="698091091">
      <w:bodyDiv w:val="1"/>
      <w:marLeft w:val="0"/>
      <w:marRight w:val="0"/>
      <w:marTop w:val="0"/>
      <w:marBottom w:val="0"/>
      <w:divBdr>
        <w:top w:val="none" w:sz="0" w:space="0" w:color="auto"/>
        <w:left w:val="none" w:sz="0" w:space="0" w:color="auto"/>
        <w:bottom w:val="none" w:sz="0" w:space="0" w:color="auto"/>
        <w:right w:val="none" w:sz="0" w:space="0" w:color="auto"/>
      </w:divBdr>
    </w:div>
    <w:div w:id="752700103">
      <w:bodyDiv w:val="1"/>
      <w:marLeft w:val="0"/>
      <w:marRight w:val="0"/>
      <w:marTop w:val="0"/>
      <w:marBottom w:val="0"/>
      <w:divBdr>
        <w:top w:val="none" w:sz="0" w:space="0" w:color="auto"/>
        <w:left w:val="none" w:sz="0" w:space="0" w:color="auto"/>
        <w:bottom w:val="none" w:sz="0" w:space="0" w:color="auto"/>
        <w:right w:val="none" w:sz="0" w:space="0" w:color="auto"/>
      </w:divBdr>
    </w:div>
    <w:div w:id="759983898">
      <w:bodyDiv w:val="1"/>
      <w:marLeft w:val="0"/>
      <w:marRight w:val="0"/>
      <w:marTop w:val="0"/>
      <w:marBottom w:val="0"/>
      <w:divBdr>
        <w:top w:val="none" w:sz="0" w:space="0" w:color="auto"/>
        <w:left w:val="none" w:sz="0" w:space="0" w:color="auto"/>
        <w:bottom w:val="none" w:sz="0" w:space="0" w:color="auto"/>
        <w:right w:val="none" w:sz="0" w:space="0" w:color="auto"/>
      </w:divBdr>
    </w:div>
    <w:div w:id="774516028">
      <w:bodyDiv w:val="1"/>
      <w:marLeft w:val="0"/>
      <w:marRight w:val="0"/>
      <w:marTop w:val="0"/>
      <w:marBottom w:val="0"/>
      <w:divBdr>
        <w:top w:val="none" w:sz="0" w:space="0" w:color="auto"/>
        <w:left w:val="none" w:sz="0" w:space="0" w:color="auto"/>
        <w:bottom w:val="none" w:sz="0" w:space="0" w:color="auto"/>
        <w:right w:val="none" w:sz="0" w:space="0" w:color="auto"/>
      </w:divBdr>
    </w:div>
    <w:div w:id="886918276">
      <w:bodyDiv w:val="1"/>
      <w:marLeft w:val="0"/>
      <w:marRight w:val="0"/>
      <w:marTop w:val="0"/>
      <w:marBottom w:val="0"/>
      <w:divBdr>
        <w:top w:val="none" w:sz="0" w:space="0" w:color="auto"/>
        <w:left w:val="none" w:sz="0" w:space="0" w:color="auto"/>
        <w:bottom w:val="none" w:sz="0" w:space="0" w:color="auto"/>
        <w:right w:val="none" w:sz="0" w:space="0" w:color="auto"/>
      </w:divBdr>
    </w:div>
    <w:div w:id="924921236">
      <w:bodyDiv w:val="1"/>
      <w:marLeft w:val="0"/>
      <w:marRight w:val="0"/>
      <w:marTop w:val="0"/>
      <w:marBottom w:val="0"/>
      <w:divBdr>
        <w:top w:val="none" w:sz="0" w:space="0" w:color="auto"/>
        <w:left w:val="none" w:sz="0" w:space="0" w:color="auto"/>
        <w:bottom w:val="none" w:sz="0" w:space="0" w:color="auto"/>
        <w:right w:val="none" w:sz="0" w:space="0" w:color="auto"/>
      </w:divBdr>
    </w:div>
    <w:div w:id="951522471">
      <w:bodyDiv w:val="1"/>
      <w:marLeft w:val="0"/>
      <w:marRight w:val="0"/>
      <w:marTop w:val="0"/>
      <w:marBottom w:val="0"/>
      <w:divBdr>
        <w:top w:val="none" w:sz="0" w:space="0" w:color="auto"/>
        <w:left w:val="none" w:sz="0" w:space="0" w:color="auto"/>
        <w:bottom w:val="none" w:sz="0" w:space="0" w:color="auto"/>
        <w:right w:val="none" w:sz="0" w:space="0" w:color="auto"/>
      </w:divBdr>
    </w:div>
    <w:div w:id="958146512">
      <w:bodyDiv w:val="1"/>
      <w:marLeft w:val="0"/>
      <w:marRight w:val="0"/>
      <w:marTop w:val="0"/>
      <w:marBottom w:val="0"/>
      <w:divBdr>
        <w:top w:val="none" w:sz="0" w:space="0" w:color="auto"/>
        <w:left w:val="none" w:sz="0" w:space="0" w:color="auto"/>
        <w:bottom w:val="none" w:sz="0" w:space="0" w:color="auto"/>
        <w:right w:val="none" w:sz="0" w:space="0" w:color="auto"/>
      </w:divBdr>
    </w:div>
    <w:div w:id="1026712792">
      <w:bodyDiv w:val="1"/>
      <w:marLeft w:val="0"/>
      <w:marRight w:val="0"/>
      <w:marTop w:val="0"/>
      <w:marBottom w:val="0"/>
      <w:divBdr>
        <w:top w:val="none" w:sz="0" w:space="0" w:color="auto"/>
        <w:left w:val="none" w:sz="0" w:space="0" w:color="auto"/>
        <w:bottom w:val="none" w:sz="0" w:space="0" w:color="auto"/>
        <w:right w:val="none" w:sz="0" w:space="0" w:color="auto"/>
      </w:divBdr>
    </w:div>
    <w:div w:id="1093744901">
      <w:bodyDiv w:val="1"/>
      <w:marLeft w:val="0"/>
      <w:marRight w:val="0"/>
      <w:marTop w:val="0"/>
      <w:marBottom w:val="0"/>
      <w:divBdr>
        <w:top w:val="none" w:sz="0" w:space="0" w:color="auto"/>
        <w:left w:val="none" w:sz="0" w:space="0" w:color="auto"/>
        <w:bottom w:val="none" w:sz="0" w:space="0" w:color="auto"/>
        <w:right w:val="none" w:sz="0" w:space="0" w:color="auto"/>
      </w:divBdr>
    </w:div>
    <w:div w:id="1221287415">
      <w:bodyDiv w:val="1"/>
      <w:marLeft w:val="0"/>
      <w:marRight w:val="0"/>
      <w:marTop w:val="0"/>
      <w:marBottom w:val="0"/>
      <w:divBdr>
        <w:top w:val="none" w:sz="0" w:space="0" w:color="auto"/>
        <w:left w:val="none" w:sz="0" w:space="0" w:color="auto"/>
        <w:bottom w:val="none" w:sz="0" w:space="0" w:color="auto"/>
        <w:right w:val="none" w:sz="0" w:space="0" w:color="auto"/>
      </w:divBdr>
    </w:div>
    <w:div w:id="1221794195">
      <w:bodyDiv w:val="1"/>
      <w:marLeft w:val="0"/>
      <w:marRight w:val="0"/>
      <w:marTop w:val="0"/>
      <w:marBottom w:val="0"/>
      <w:divBdr>
        <w:top w:val="none" w:sz="0" w:space="0" w:color="auto"/>
        <w:left w:val="none" w:sz="0" w:space="0" w:color="auto"/>
        <w:bottom w:val="none" w:sz="0" w:space="0" w:color="auto"/>
        <w:right w:val="none" w:sz="0" w:space="0" w:color="auto"/>
      </w:divBdr>
    </w:div>
    <w:div w:id="1251424995">
      <w:bodyDiv w:val="1"/>
      <w:marLeft w:val="0"/>
      <w:marRight w:val="0"/>
      <w:marTop w:val="0"/>
      <w:marBottom w:val="0"/>
      <w:divBdr>
        <w:top w:val="none" w:sz="0" w:space="0" w:color="auto"/>
        <w:left w:val="none" w:sz="0" w:space="0" w:color="auto"/>
        <w:bottom w:val="none" w:sz="0" w:space="0" w:color="auto"/>
        <w:right w:val="none" w:sz="0" w:space="0" w:color="auto"/>
      </w:divBdr>
    </w:div>
    <w:div w:id="1262758240">
      <w:bodyDiv w:val="1"/>
      <w:marLeft w:val="0"/>
      <w:marRight w:val="0"/>
      <w:marTop w:val="0"/>
      <w:marBottom w:val="0"/>
      <w:divBdr>
        <w:top w:val="none" w:sz="0" w:space="0" w:color="auto"/>
        <w:left w:val="none" w:sz="0" w:space="0" w:color="auto"/>
        <w:bottom w:val="none" w:sz="0" w:space="0" w:color="auto"/>
        <w:right w:val="none" w:sz="0" w:space="0" w:color="auto"/>
      </w:divBdr>
    </w:div>
    <w:div w:id="1266420653">
      <w:bodyDiv w:val="1"/>
      <w:marLeft w:val="0"/>
      <w:marRight w:val="0"/>
      <w:marTop w:val="0"/>
      <w:marBottom w:val="0"/>
      <w:divBdr>
        <w:top w:val="none" w:sz="0" w:space="0" w:color="auto"/>
        <w:left w:val="none" w:sz="0" w:space="0" w:color="auto"/>
        <w:bottom w:val="none" w:sz="0" w:space="0" w:color="auto"/>
        <w:right w:val="none" w:sz="0" w:space="0" w:color="auto"/>
      </w:divBdr>
    </w:div>
    <w:div w:id="1355032056">
      <w:bodyDiv w:val="1"/>
      <w:marLeft w:val="0"/>
      <w:marRight w:val="0"/>
      <w:marTop w:val="0"/>
      <w:marBottom w:val="0"/>
      <w:divBdr>
        <w:top w:val="none" w:sz="0" w:space="0" w:color="auto"/>
        <w:left w:val="none" w:sz="0" w:space="0" w:color="auto"/>
        <w:bottom w:val="none" w:sz="0" w:space="0" w:color="auto"/>
        <w:right w:val="none" w:sz="0" w:space="0" w:color="auto"/>
      </w:divBdr>
    </w:div>
    <w:div w:id="1389377808">
      <w:bodyDiv w:val="1"/>
      <w:marLeft w:val="0"/>
      <w:marRight w:val="0"/>
      <w:marTop w:val="0"/>
      <w:marBottom w:val="0"/>
      <w:divBdr>
        <w:top w:val="none" w:sz="0" w:space="0" w:color="auto"/>
        <w:left w:val="none" w:sz="0" w:space="0" w:color="auto"/>
        <w:bottom w:val="none" w:sz="0" w:space="0" w:color="auto"/>
        <w:right w:val="none" w:sz="0" w:space="0" w:color="auto"/>
      </w:divBdr>
    </w:div>
    <w:div w:id="1423721581">
      <w:bodyDiv w:val="1"/>
      <w:marLeft w:val="0"/>
      <w:marRight w:val="0"/>
      <w:marTop w:val="0"/>
      <w:marBottom w:val="0"/>
      <w:divBdr>
        <w:top w:val="none" w:sz="0" w:space="0" w:color="auto"/>
        <w:left w:val="none" w:sz="0" w:space="0" w:color="auto"/>
        <w:bottom w:val="none" w:sz="0" w:space="0" w:color="auto"/>
        <w:right w:val="none" w:sz="0" w:space="0" w:color="auto"/>
      </w:divBdr>
    </w:div>
    <w:div w:id="1435400626">
      <w:bodyDiv w:val="1"/>
      <w:marLeft w:val="0"/>
      <w:marRight w:val="0"/>
      <w:marTop w:val="0"/>
      <w:marBottom w:val="0"/>
      <w:divBdr>
        <w:top w:val="none" w:sz="0" w:space="0" w:color="auto"/>
        <w:left w:val="none" w:sz="0" w:space="0" w:color="auto"/>
        <w:bottom w:val="none" w:sz="0" w:space="0" w:color="auto"/>
        <w:right w:val="none" w:sz="0" w:space="0" w:color="auto"/>
      </w:divBdr>
    </w:div>
    <w:div w:id="1446004501">
      <w:bodyDiv w:val="1"/>
      <w:marLeft w:val="0"/>
      <w:marRight w:val="0"/>
      <w:marTop w:val="0"/>
      <w:marBottom w:val="0"/>
      <w:divBdr>
        <w:top w:val="none" w:sz="0" w:space="0" w:color="auto"/>
        <w:left w:val="none" w:sz="0" w:space="0" w:color="auto"/>
        <w:bottom w:val="none" w:sz="0" w:space="0" w:color="auto"/>
        <w:right w:val="none" w:sz="0" w:space="0" w:color="auto"/>
      </w:divBdr>
    </w:div>
    <w:div w:id="1465466347">
      <w:bodyDiv w:val="1"/>
      <w:marLeft w:val="0"/>
      <w:marRight w:val="0"/>
      <w:marTop w:val="0"/>
      <w:marBottom w:val="0"/>
      <w:divBdr>
        <w:top w:val="none" w:sz="0" w:space="0" w:color="auto"/>
        <w:left w:val="none" w:sz="0" w:space="0" w:color="auto"/>
        <w:bottom w:val="none" w:sz="0" w:space="0" w:color="auto"/>
        <w:right w:val="none" w:sz="0" w:space="0" w:color="auto"/>
      </w:divBdr>
    </w:div>
    <w:div w:id="1474642519">
      <w:bodyDiv w:val="1"/>
      <w:marLeft w:val="0"/>
      <w:marRight w:val="0"/>
      <w:marTop w:val="0"/>
      <w:marBottom w:val="0"/>
      <w:divBdr>
        <w:top w:val="none" w:sz="0" w:space="0" w:color="auto"/>
        <w:left w:val="none" w:sz="0" w:space="0" w:color="auto"/>
        <w:bottom w:val="none" w:sz="0" w:space="0" w:color="auto"/>
        <w:right w:val="none" w:sz="0" w:space="0" w:color="auto"/>
      </w:divBdr>
    </w:div>
    <w:div w:id="1520925775">
      <w:bodyDiv w:val="1"/>
      <w:marLeft w:val="0"/>
      <w:marRight w:val="0"/>
      <w:marTop w:val="0"/>
      <w:marBottom w:val="0"/>
      <w:divBdr>
        <w:top w:val="none" w:sz="0" w:space="0" w:color="auto"/>
        <w:left w:val="none" w:sz="0" w:space="0" w:color="auto"/>
        <w:bottom w:val="none" w:sz="0" w:space="0" w:color="auto"/>
        <w:right w:val="none" w:sz="0" w:space="0" w:color="auto"/>
      </w:divBdr>
    </w:div>
    <w:div w:id="1577129101">
      <w:bodyDiv w:val="1"/>
      <w:marLeft w:val="0"/>
      <w:marRight w:val="0"/>
      <w:marTop w:val="0"/>
      <w:marBottom w:val="0"/>
      <w:divBdr>
        <w:top w:val="none" w:sz="0" w:space="0" w:color="auto"/>
        <w:left w:val="none" w:sz="0" w:space="0" w:color="auto"/>
        <w:bottom w:val="none" w:sz="0" w:space="0" w:color="auto"/>
        <w:right w:val="none" w:sz="0" w:space="0" w:color="auto"/>
      </w:divBdr>
    </w:div>
    <w:div w:id="1630815866">
      <w:bodyDiv w:val="1"/>
      <w:marLeft w:val="0"/>
      <w:marRight w:val="0"/>
      <w:marTop w:val="0"/>
      <w:marBottom w:val="0"/>
      <w:divBdr>
        <w:top w:val="none" w:sz="0" w:space="0" w:color="auto"/>
        <w:left w:val="none" w:sz="0" w:space="0" w:color="auto"/>
        <w:bottom w:val="none" w:sz="0" w:space="0" w:color="auto"/>
        <w:right w:val="none" w:sz="0" w:space="0" w:color="auto"/>
      </w:divBdr>
    </w:div>
    <w:div w:id="1644851845">
      <w:bodyDiv w:val="1"/>
      <w:marLeft w:val="0"/>
      <w:marRight w:val="0"/>
      <w:marTop w:val="0"/>
      <w:marBottom w:val="0"/>
      <w:divBdr>
        <w:top w:val="none" w:sz="0" w:space="0" w:color="auto"/>
        <w:left w:val="none" w:sz="0" w:space="0" w:color="auto"/>
        <w:bottom w:val="none" w:sz="0" w:space="0" w:color="auto"/>
        <w:right w:val="none" w:sz="0" w:space="0" w:color="auto"/>
      </w:divBdr>
    </w:div>
    <w:div w:id="1653606356">
      <w:bodyDiv w:val="1"/>
      <w:marLeft w:val="0"/>
      <w:marRight w:val="0"/>
      <w:marTop w:val="0"/>
      <w:marBottom w:val="0"/>
      <w:divBdr>
        <w:top w:val="none" w:sz="0" w:space="0" w:color="auto"/>
        <w:left w:val="none" w:sz="0" w:space="0" w:color="auto"/>
        <w:bottom w:val="none" w:sz="0" w:space="0" w:color="auto"/>
        <w:right w:val="none" w:sz="0" w:space="0" w:color="auto"/>
      </w:divBdr>
    </w:div>
    <w:div w:id="1695375782">
      <w:bodyDiv w:val="1"/>
      <w:marLeft w:val="0"/>
      <w:marRight w:val="0"/>
      <w:marTop w:val="0"/>
      <w:marBottom w:val="0"/>
      <w:divBdr>
        <w:top w:val="none" w:sz="0" w:space="0" w:color="auto"/>
        <w:left w:val="none" w:sz="0" w:space="0" w:color="auto"/>
        <w:bottom w:val="none" w:sz="0" w:space="0" w:color="auto"/>
        <w:right w:val="none" w:sz="0" w:space="0" w:color="auto"/>
      </w:divBdr>
    </w:div>
    <w:div w:id="1703674483">
      <w:bodyDiv w:val="1"/>
      <w:marLeft w:val="0"/>
      <w:marRight w:val="0"/>
      <w:marTop w:val="0"/>
      <w:marBottom w:val="0"/>
      <w:divBdr>
        <w:top w:val="none" w:sz="0" w:space="0" w:color="auto"/>
        <w:left w:val="none" w:sz="0" w:space="0" w:color="auto"/>
        <w:bottom w:val="none" w:sz="0" w:space="0" w:color="auto"/>
        <w:right w:val="none" w:sz="0" w:space="0" w:color="auto"/>
      </w:divBdr>
    </w:div>
    <w:div w:id="1718969179">
      <w:bodyDiv w:val="1"/>
      <w:marLeft w:val="0"/>
      <w:marRight w:val="0"/>
      <w:marTop w:val="0"/>
      <w:marBottom w:val="0"/>
      <w:divBdr>
        <w:top w:val="none" w:sz="0" w:space="0" w:color="auto"/>
        <w:left w:val="none" w:sz="0" w:space="0" w:color="auto"/>
        <w:bottom w:val="none" w:sz="0" w:space="0" w:color="auto"/>
        <w:right w:val="none" w:sz="0" w:space="0" w:color="auto"/>
      </w:divBdr>
      <w:divsChild>
        <w:div w:id="1334147133">
          <w:marLeft w:val="0"/>
          <w:marRight w:val="0"/>
          <w:marTop w:val="0"/>
          <w:marBottom w:val="0"/>
          <w:divBdr>
            <w:top w:val="none" w:sz="0" w:space="0" w:color="auto"/>
            <w:left w:val="none" w:sz="0" w:space="0" w:color="auto"/>
            <w:bottom w:val="none" w:sz="0" w:space="0" w:color="auto"/>
            <w:right w:val="none" w:sz="0" w:space="0" w:color="auto"/>
          </w:divBdr>
          <w:divsChild>
            <w:div w:id="126973212">
              <w:marLeft w:val="0"/>
              <w:marRight w:val="0"/>
              <w:marTop w:val="0"/>
              <w:marBottom w:val="0"/>
              <w:divBdr>
                <w:top w:val="none" w:sz="0" w:space="0" w:color="auto"/>
                <w:left w:val="none" w:sz="0" w:space="0" w:color="auto"/>
                <w:bottom w:val="none" w:sz="0" w:space="0" w:color="auto"/>
                <w:right w:val="none" w:sz="0" w:space="0" w:color="auto"/>
              </w:divBdr>
              <w:divsChild>
                <w:div w:id="929974280">
                  <w:marLeft w:val="0"/>
                  <w:marRight w:val="0"/>
                  <w:marTop w:val="0"/>
                  <w:marBottom w:val="0"/>
                  <w:divBdr>
                    <w:top w:val="none" w:sz="0" w:space="0" w:color="auto"/>
                    <w:left w:val="none" w:sz="0" w:space="0" w:color="auto"/>
                    <w:bottom w:val="none" w:sz="0" w:space="0" w:color="auto"/>
                    <w:right w:val="none" w:sz="0" w:space="0" w:color="auto"/>
                  </w:divBdr>
                  <w:divsChild>
                    <w:div w:id="1608346446">
                      <w:marLeft w:val="0"/>
                      <w:marRight w:val="0"/>
                      <w:marTop w:val="0"/>
                      <w:marBottom w:val="0"/>
                      <w:divBdr>
                        <w:top w:val="none" w:sz="0" w:space="0" w:color="auto"/>
                        <w:left w:val="none" w:sz="0" w:space="0" w:color="auto"/>
                        <w:bottom w:val="none" w:sz="0" w:space="0" w:color="auto"/>
                        <w:right w:val="none" w:sz="0" w:space="0" w:color="auto"/>
                      </w:divBdr>
                      <w:divsChild>
                        <w:div w:id="1379426880">
                          <w:marLeft w:val="0"/>
                          <w:marRight w:val="0"/>
                          <w:marTop w:val="0"/>
                          <w:marBottom w:val="0"/>
                          <w:divBdr>
                            <w:top w:val="none" w:sz="0" w:space="0" w:color="auto"/>
                            <w:left w:val="none" w:sz="0" w:space="0" w:color="auto"/>
                            <w:bottom w:val="none" w:sz="0" w:space="0" w:color="auto"/>
                            <w:right w:val="none" w:sz="0" w:space="0" w:color="auto"/>
                          </w:divBdr>
                          <w:divsChild>
                            <w:div w:id="666707893">
                              <w:marLeft w:val="0"/>
                              <w:marRight w:val="0"/>
                              <w:marTop w:val="0"/>
                              <w:marBottom w:val="0"/>
                              <w:divBdr>
                                <w:top w:val="none" w:sz="0" w:space="0" w:color="auto"/>
                                <w:left w:val="none" w:sz="0" w:space="0" w:color="auto"/>
                                <w:bottom w:val="none" w:sz="0" w:space="0" w:color="auto"/>
                                <w:right w:val="none" w:sz="0" w:space="0" w:color="auto"/>
                              </w:divBdr>
                              <w:divsChild>
                                <w:div w:id="438723446">
                                  <w:marLeft w:val="0"/>
                                  <w:marRight w:val="0"/>
                                  <w:marTop w:val="0"/>
                                  <w:marBottom w:val="0"/>
                                  <w:divBdr>
                                    <w:top w:val="none" w:sz="0" w:space="0" w:color="auto"/>
                                    <w:left w:val="none" w:sz="0" w:space="0" w:color="auto"/>
                                    <w:bottom w:val="none" w:sz="0" w:space="0" w:color="auto"/>
                                    <w:right w:val="none" w:sz="0" w:space="0" w:color="auto"/>
                                  </w:divBdr>
                                  <w:divsChild>
                                    <w:div w:id="1206715826">
                                      <w:marLeft w:val="0"/>
                                      <w:marRight w:val="0"/>
                                      <w:marTop w:val="0"/>
                                      <w:marBottom w:val="0"/>
                                      <w:divBdr>
                                        <w:top w:val="none" w:sz="0" w:space="0" w:color="auto"/>
                                        <w:left w:val="none" w:sz="0" w:space="0" w:color="auto"/>
                                        <w:bottom w:val="none" w:sz="0" w:space="0" w:color="auto"/>
                                        <w:right w:val="none" w:sz="0" w:space="0" w:color="auto"/>
                                      </w:divBdr>
                                      <w:divsChild>
                                        <w:div w:id="1041784707">
                                          <w:marLeft w:val="0"/>
                                          <w:marRight w:val="0"/>
                                          <w:marTop w:val="0"/>
                                          <w:marBottom w:val="0"/>
                                          <w:divBdr>
                                            <w:top w:val="none" w:sz="0" w:space="0" w:color="auto"/>
                                            <w:left w:val="none" w:sz="0" w:space="0" w:color="auto"/>
                                            <w:bottom w:val="none" w:sz="0" w:space="0" w:color="auto"/>
                                            <w:right w:val="none" w:sz="0" w:space="0" w:color="auto"/>
                                          </w:divBdr>
                                          <w:divsChild>
                                            <w:div w:id="66486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032746">
                                  <w:marLeft w:val="0"/>
                                  <w:marRight w:val="0"/>
                                  <w:marTop w:val="0"/>
                                  <w:marBottom w:val="0"/>
                                  <w:divBdr>
                                    <w:top w:val="none" w:sz="0" w:space="0" w:color="auto"/>
                                    <w:left w:val="none" w:sz="0" w:space="0" w:color="auto"/>
                                    <w:bottom w:val="none" w:sz="0" w:space="0" w:color="auto"/>
                                    <w:right w:val="none" w:sz="0" w:space="0" w:color="auto"/>
                                  </w:divBdr>
                                  <w:divsChild>
                                    <w:div w:id="158826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4262759">
          <w:marLeft w:val="0"/>
          <w:marRight w:val="0"/>
          <w:marTop w:val="0"/>
          <w:marBottom w:val="0"/>
          <w:divBdr>
            <w:top w:val="none" w:sz="0" w:space="0" w:color="auto"/>
            <w:left w:val="none" w:sz="0" w:space="0" w:color="auto"/>
            <w:bottom w:val="none" w:sz="0" w:space="0" w:color="auto"/>
            <w:right w:val="none" w:sz="0" w:space="0" w:color="auto"/>
          </w:divBdr>
          <w:divsChild>
            <w:div w:id="956259701">
              <w:marLeft w:val="0"/>
              <w:marRight w:val="0"/>
              <w:marTop w:val="0"/>
              <w:marBottom w:val="0"/>
              <w:divBdr>
                <w:top w:val="none" w:sz="0" w:space="0" w:color="auto"/>
                <w:left w:val="none" w:sz="0" w:space="0" w:color="auto"/>
                <w:bottom w:val="none" w:sz="0" w:space="0" w:color="auto"/>
                <w:right w:val="none" w:sz="0" w:space="0" w:color="auto"/>
              </w:divBdr>
              <w:divsChild>
                <w:div w:id="1372611692">
                  <w:marLeft w:val="0"/>
                  <w:marRight w:val="0"/>
                  <w:marTop w:val="0"/>
                  <w:marBottom w:val="0"/>
                  <w:divBdr>
                    <w:top w:val="none" w:sz="0" w:space="0" w:color="auto"/>
                    <w:left w:val="none" w:sz="0" w:space="0" w:color="auto"/>
                    <w:bottom w:val="none" w:sz="0" w:space="0" w:color="auto"/>
                    <w:right w:val="none" w:sz="0" w:space="0" w:color="auto"/>
                  </w:divBdr>
                  <w:divsChild>
                    <w:div w:id="1745757372">
                      <w:marLeft w:val="0"/>
                      <w:marRight w:val="0"/>
                      <w:marTop w:val="0"/>
                      <w:marBottom w:val="0"/>
                      <w:divBdr>
                        <w:top w:val="none" w:sz="0" w:space="0" w:color="auto"/>
                        <w:left w:val="none" w:sz="0" w:space="0" w:color="auto"/>
                        <w:bottom w:val="none" w:sz="0" w:space="0" w:color="auto"/>
                        <w:right w:val="none" w:sz="0" w:space="0" w:color="auto"/>
                      </w:divBdr>
                      <w:divsChild>
                        <w:div w:id="158356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1613415">
      <w:bodyDiv w:val="1"/>
      <w:marLeft w:val="0"/>
      <w:marRight w:val="0"/>
      <w:marTop w:val="0"/>
      <w:marBottom w:val="0"/>
      <w:divBdr>
        <w:top w:val="none" w:sz="0" w:space="0" w:color="auto"/>
        <w:left w:val="none" w:sz="0" w:space="0" w:color="auto"/>
        <w:bottom w:val="none" w:sz="0" w:space="0" w:color="auto"/>
        <w:right w:val="none" w:sz="0" w:space="0" w:color="auto"/>
      </w:divBdr>
    </w:div>
    <w:div w:id="1795097297">
      <w:bodyDiv w:val="1"/>
      <w:marLeft w:val="0"/>
      <w:marRight w:val="0"/>
      <w:marTop w:val="0"/>
      <w:marBottom w:val="0"/>
      <w:divBdr>
        <w:top w:val="none" w:sz="0" w:space="0" w:color="auto"/>
        <w:left w:val="none" w:sz="0" w:space="0" w:color="auto"/>
        <w:bottom w:val="none" w:sz="0" w:space="0" w:color="auto"/>
        <w:right w:val="none" w:sz="0" w:space="0" w:color="auto"/>
      </w:divBdr>
    </w:div>
    <w:div w:id="1843159396">
      <w:bodyDiv w:val="1"/>
      <w:marLeft w:val="0"/>
      <w:marRight w:val="0"/>
      <w:marTop w:val="0"/>
      <w:marBottom w:val="0"/>
      <w:divBdr>
        <w:top w:val="none" w:sz="0" w:space="0" w:color="auto"/>
        <w:left w:val="none" w:sz="0" w:space="0" w:color="auto"/>
        <w:bottom w:val="none" w:sz="0" w:space="0" w:color="auto"/>
        <w:right w:val="none" w:sz="0" w:space="0" w:color="auto"/>
      </w:divBdr>
    </w:div>
    <w:div w:id="1856186671">
      <w:bodyDiv w:val="1"/>
      <w:marLeft w:val="0"/>
      <w:marRight w:val="0"/>
      <w:marTop w:val="0"/>
      <w:marBottom w:val="0"/>
      <w:divBdr>
        <w:top w:val="none" w:sz="0" w:space="0" w:color="auto"/>
        <w:left w:val="none" w:sz="0" w:space="0" w:color="auto"/>
        <w:bottom w:val="none" w:sz="0" w:space="0" w:color="auto"/>
        <w:right w:val="none" w:sz="0" w:space="0" w:color="auto"/>
      </w:divBdr>
    </w:div>
    <w:div w:id="1962102196">
      <w:bodyDiv w:val="1"/>
      <w:marLeft w:val="0"/>
      <w:marRight w:val="0"/>
      <w:marTop w:val="0"/>
      <w:marBottom w:val="0"/>
      <w:divBdr>
        <w:top w:val="none" w:sz="0" w:space="0" w:color="auto"/>
        <w:left w:val="none" w:sz="0" w:space="0" w:color="auto"/>
        <w:bottom w:val="none" w:sz="0" w:space="0" w:color="auto"/>
        <w:right w:val="none" w:sz="0" w:space="0" w:color="auto"/>
      </w:divBdr>
    </w:div>
    <w:div w:id="1963263943">
      <w:bodyDiv w:val="1"/>
      <w:marLeft w:val="0"/>
      <w:marRight w:val="0"/>
      <w:marTop w:val="0"/>
      <w:marBottom w:val="0"/>
      <w:divBdr>
        <w:top w:val="none" w:sz="0" w:space="0" w:color="auto"/>
        <w:left w:val="none" w:sz="0" w:space="0" w:color="auto"/>
        <w:bottom w:val="none" w:sz="0" w:space="0" w:color="auto"/>
        <w:right w:val="none" w:sz="0" w:space="0" w:color="auto"/>
      </w:divBdr>
      <w:divsChild>
        <w:div w:id="573321347">
          <w:marLeft w:val="0"/>
          <w:marRight w:val="0"/>
          <w:marTop w:val="0"/>
          <w:marBottom w:val="0"/>
          <w:divBdr>
            <w:top w:val="none" w:sz="0" w:space="0" w:color="auto"/>
            <w:left w:val="none" w:sz="0" w:space="0" w:color="auto"/>
            <w:bottom w:val="none" w:sz="0" w:space="0" w:color="auto"/>
            <w:right w:val="none" w:sz="0" w:space="0" w:color="auto"/>
          </w:divBdr>
          <w:divsChild>
            <w:div w:id="1667828851">
              <w:marLeft w:val="0"/>
              <w:marRight w:val="0"/>
              <w:marTop w:val="0"/>
              <w:marBottom w:val="0"/>
              <w:divBdr>
                <w:top w:val="none" w:sz="0" w:space="0" w:color="auto"/>
                <w:left w:val="none" w:sz="0" w:space="0" w:color="auto"/>
                <w:bottom w:val="none" w:sz="0" w:space="0" w:color="auto"/>
                <w:right w:val="none" w:sz="0" w:space="0" w:color="auto"/>
              </w:divBdr>
              <w:divsChild>
                <w:div w:id="1676377736">
                  <w:marLeft w:val="0"/>
                  <w:marRight w:val="0"/>
                  <w:marTop w:val="0"/>
                  <w:marBottom w:val="0"/>
                  <w:divBdr>
                    <w:top w:val="none" w:sz="0" w:space="0" w:color="auto"/>
                    <w:left w:val="none" w:sz="0" w:space="0" w:color="auto"/>
                    <w:bottom w:val="none" w:sz="0" w:space="0" w:color="auto"/>
                    <w:right w:val="none" w:sz="0" w:space="0" w:color="auto"/>
                  </w:divBdr>
                  <w:divsChild>
                    <w:div w:id="969362176">
                      <w:marLeft w:val="0"/>
                      <w:marRight w:val="0"/>
                      <w:marTop w:val="0"/>
                      <w:marBottom w:val="0"/>
                      <w:divBdr>
                        <w:top w:val="none" w:sz="0" w:space="0" w:color="auto"/>
                        <w:left w:val="none" w:sz="0" w:space="0" w:color="auto"/>
                        <w:bottom w:val="none" w:sz="0" w:space="0" w:color="auto"/>
                        <w:right w:val="none" w:sz="0" w:space="0" w:color="auto"/>
                      </w:divBdr>
                      <w:divsChild>
                        <w:div w:id="476186369">
                          <w:marLeft w:val="0"/>
                          <w:marRight w:val="0"/>
                          <w:marTop w:val="0"/>
                          <w:marBottom w:val="0"/>
                          <w:divBdr>
                            <w:top w:val="none" w:sz="0" w:space="0" w:color="auto"/>
                            <w:left w:val="none" w:sz="0" w:space="0" w:color="auto"/>
                            <w:bottom w:val="none" w:sz="0" w:space="0" w:color="auto"/>
                            <w:right w:val="none" w:sz="0" w:space="0" w:color="auto"/>
                          </w:divBdr>
                          <w:divsChild>
                            <w:div w:id="1871531681">
                              <w:marLeft w:val="0"/>
                              <w:marRight w:val="0"/>
                              <w:marTop w:val="0"/>
                              <w:marBottom w:val="0"/>
                              <w:divBdr>
                                <w:top w:val="none" w:sz="0" w:space="0" w:color="auto"/>
                                <w:left w:val="none" w:sz="0" w:space="0" w:color="auto"/>
                                <w:bottom w:val="none" w:sz="0" w:space="0" w:color="auto"/>
                                <w:right w:val="none" w:sz="0" w:space="0" w:color="auto"/>
                              </w:divBdr>
                              <w:divsChild>
                                <w:div w:id="195626437">
                                  <w:marLeft w:val="0"/>
                                  <w:marRight w:val="0"/>
                                  <w:marTop w:val="0"/>
                                  <w:marBottom w:val="0"/>
                                  <w:divBdr>
                                    <w:top w:val="none" w:sz="0" w:space="0" w:color="auto"/>
                                    <w:left w:val="none" w:sz="0" w:space="0" w:color="auto"/>
                                    <w:bottom w:val="none" w:sz="0" w:space="0" w:color="auto"/>
                                    <w:right w:val="none" w:sz="0" w:space="0" w:color="auto"/>
                                  </w:divBdr>
                                  <w:divsChild>
                                    <w:div w:id="33076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2075476">
          <w:marLeft w:val="0"/>
          <w:marRight w:val="0"/>
          <w:marTop w:val="0"/>
          <w:marBottom w:val="0"/>
          <w:divBdr>
            <w:top w:val="none" w:sz="0" w:space="0" w:color="auto"/>
            <w:left w:val="none" w:sz="0" w:space="0" w:color="auto"/>
            <w:bottom w:val="none" w:sz="0" w:space="0" w:color="auto"/>
            <w:right w:val="none" w:sz="0" w:space="0" w:color="auto"/>
          </w:divBdr>
          <w:divsChild>
            <w:div w:id="195236603">
              <w:marLeft w:val="0"/>
              <w:marRight w:val="0"/>
              <w:marTop w:val="0"/>
              <w:marBottom w:val="0"/>
              <w:divBdr>
                <w:top w:val="none" w:sz="0" w:space="0" w:color="auto"/>
                <w:left w:val="none" w:sz="0" w:space="0" w:color="auto"/>
                <w:bottom w:val="none" w:sz="0" w:space="0" w:color="auto"/>
                <w:right w:val="none" w:sz="0" w:space="0" w:color="auto"/>
              </w:divBdr>
              <w:divsChild>
                <w:div w:id="1679310582">
                  <w:marLeft w:val="0"/>
                  <w:marRight w:val="0"/>
                  <w:marTop w:val="0"/>
                  <w:marBottom w:val="0"/>
                  <w:divBdr>
                    <w:top w:val="none" w:sz="0" w:space="0" w:color="auto"/>
                    <w:left w:val="none" w:sz="0" w:space="0" w:color="auto"/>
                    <w:bottom w:val="none" w:sz="0" w:space="0" w:color="auto"/>
                    <w:right w:val="none" w:sz="0" w:space="0" w:color="auto"/>
                  </w:divBdr>
                  <w:divsChild>
                    <w:div w:id="1402677270">
                      <w:marLeft w:val="0"/>
                      <w:marRight w:val="0"/>
                      <w:marTop w:val="0"/>
                      <w:marBottom w:val="0"/>
                      <w:divBdr>
                        <w:top w:val="none" w:sz="0" w:space="0" w:color="auto"/>
                        <w:left w:val="none" w:sz="0" w:space="0" w:color="auto"/>
                        <w:bottom w:val="none" w:sz="0" w:space="0" w:color="auto"/>
                        <w:right w:val="none" w:sz="0" w:space="0" w:color="auto"/>
                      </w:divBdr>
                      <w:divsChild>
                        <w:div w:id="1879198998">
                          <w:marLeft w:val="0"/>
                          <w:marRight w:val="0"/>
                          <w:marTop w:val="0"/>
                          <w:marBottom w:val="0"/>
                          <w:divBdr>
                            <w:top w:val="none" w:sz="0" w:space="0" w:color="auto"/>
                            <w:left w:val="none" w:sz="0" w:space="0" w:color="auto"/>
                            <w:bottom w:val="none" w:sz="0" w:space="0" w:color="auto"/>
                            <w:right w:val="none" w:sz="0" w:space="0" w:color="auto"/>
                          </w:divBdr>
                          <w:divsChild>
                            <w:div w:id="1360935162">
                              <w:marLeft w:val="0"/>
                              <w:marRight w:val="0"/>
                              <w:marTop w:val="0"/>
                              <w:marBottom w:val="0"/>
                              <w:divBdr>
                                <w:top w:val="none" w:sz="0" w:space="0" w:color="auto"/>
                                <w:left w:val="none" w:sz="0" w:space="0" w:color="auto"/>
                                <w:bottom w:val="none" w:sz="0" w:space="0" w:color="auto"/>
                                <w:right w:val="none" w:sz="0" w:space="0" w:color="auto"/>
                              </w:divBdr>
                              <w:divsChild>
                                <w:div w:id="1047801691">
                                  <w:marLeft w:val="0"/>
                                  <w:marRight w:val="0"/>
                                  <w:marTop w:val="0"/>
                                  <w:marBottom w:val="0"/>
                                  <w:divBdr>
                                    <w:top w:val="none" w:sz="0" w:space="0" w:color="auto"/>
                                    <w:left w:val="none" w:sz="0" w:space="0" w:color="auto"/>
                                    <w:bottom w:val="none" w:sz="0" w:space="0" w:color="auto"/>
                                    <w:right w:val="none" w:sz="0" w:space="0" w:color="auto"/>
                                  </w:divBdr>
                                  <w:divsChild>
                                    <w:div w:id="1305936047">
                                      <w:marLeft w:val="0"/>
                                      <w:marRight w:val="0"/>
                                      <w:marTop w:val="0"/>
                                      <w:marBottom w:val="0"/>
                                      <w:divBdr>
                                        <w:top w:val="none" w:sz="0" w:space="0" w:color="auto"/>
                                        <w:left w:val="none" w:sz="0" w:space="0" w:color="auto"/>
                                        <w:bottom w:val="none" w:sz="0" w:space="0" w:color="auto"/>
                                        <w:right w:val="none" w:sz="0" w:space="0" w:color="auto"/>
                                      </w:divBdr>
                                      <w:divsChild>
                                        <w:div w:id="77197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9707257">
          <w:marLeft w:val="0"/>
          <w:marRight w:val="0"/>
          <w:marTop w:val="0"/>
          <w:marBottom w:val="0"/>
          <w:divBdr>
            <w:top w:val="none" w:sz="0" w:space="0" w:color="auto"/>
            <w:left w:val="none" w:sz="0" w:space="0" w:color="auto"/>
            <w:bottom w:val="none" w:sz="0" w:space="0" w:color="auto"/>
            <w:right w:val="none" w:sz="0" w:space="0" w:color="auto"/>
          </w:divBdr>
          <w:divsChild>
            <w:div w:id="2108228868">
              <w:marLeft w:val="0"/>
              <w:marRight w:val="0"/>
              <w:marTop w:val="0"/>
              <w:marBottom w:val="0"/>
              <w:divBdr>
                <w:top w:val="none" w:sz="0" w:space="0" w:color="auto"/>
                <w:left w:val="none" w:sz="0" w:space="0" w:color="auto"/>
                <w:bottom w:val="none" w:sz="0" w:space="0" w:color="auto"/>
                <w:right w:val="none" w:sz="0" w:space="0" w:color="auto"/>
              </w:divBdr>
              <w:divsChild>
                <w:div w:id="149715079">
                  <w:marLeft w:val="0"/>
                  <w:marRight w:val="0"/>
                  <w:marTop w:val="0"/>
                  <w:marBottom w:val="0"/>
                  <w:divBdr>
                    <w:top w:val="none" w:sz="0" w:space="0" w:color="auto"/>
                    <w:left w:val="none" w:sz="0" w:space="0" w:color="auto"/>
                    <w:bottom w:val="none" w:sz="0" w:space="0" w:color="auto"/>
                    <w:right w:val="none" w:sz="0" w:space="0" w:color="auto"/>
                  </w:divBdr>
                  <w:divsChild>
                    <w:div w:id="2002193859">
                      <w:marLeft w:val="0"/>
                      <w:marRight w:val="0"/>
                      <w:marTop w:val="0"/>
                      <w:marBottom w:val="0"/>
                      <w:divBdr>
                        <w:top w:val="none" w:sz="0" w:space="0" w:color="auto"/>
                        <w:left w:val="none" w:sz="0" w:space="0" w:color="auto"/>
                        <w:bottom w:val="none" w:sz="0" w:space="0" w:color="auto"/>
                        <w:right w:val="none" w:sz="0" w:space="0" w:color="auto"/>
                      </w:divBdr>
                      <w:divsChild>
                        <w:div w:id="1485587170">
                          <w:marLeft w:val="0"/>
                          <w:marRight w:val="0"/>
                          <w:marTop w:val="0"/>
                          <w:marBottom w:val="0"/>
                          <w:divBdr>
                            <w:top w:val="none" w:sz="0" w:space="0" w:color="auto"/>
                            <w:left w:val="none" w:sz="0" w:space="0" w:color="auto"/>
                            <w:bottom w:val="none" w:sz="0" w:space="0" w:color="auto"/>
                            <w:right w:val="none" w:sz="0" w:space="0" w:color="auto"/>
                          </w:divBdr>
                          <w:divsChild>
                            <w:div w:id="1396473363">
                              <w:marLeft w:val="0"/>
                              <w:marRight w:val="0"/>
                              <w:marTop w:val="0"/>
                              <w:marBottom w:val="0"/>
                              <w:divBdr>
                                <w:top w:val="none" w:sz="0" w:space="0" w:color="auto"/>
                                <w:left w:val="none" w:sz="0" w:space="0" w:color="auto"/>
                                <w:bottom w:val="none" w:sz="0" w:space="0" w:color="auto"/>
                                <w:right w:val="none" w:sz="0" w:space="0" w:color="auto"/>
                              </w:divBdr>
                              <w:divsChild>
                                <w:div w:id="6446429">
                                  <w:marLeft w:val="0"/>
                                  <w:marRight w:val="0"/>
                                  <w:marTop w:val="0"/>
                                  <w:marBottom w:val="0"/>
                                  <w:divBdr>
                                    <w:top w:val="none" w:sz="0" w:space="0" w:color="auto"/>
                                    <w:left w:val="none" w:sz="0" w:space="0" w:color="auto"/>
                                    <w:bottom w:val="none" w:sz="0" w:space="0" w:color="auto"/>
                                    <w:right w:val="none" w:sz="0" w:space="0" w:color="auto"/>
                                  </w:divBdr>
                                  <w:divsChild>
                                    <w:div w:id="125019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9133380">
          <w:marLeft w:val="0"/>
          <w:marRight w:val="0"/>
          <w:marTop w:val="0"/>
          <w:marBottom w:val="0"/>
          <w:divBdr>
            <w:top w:val="none" w:sz="0" w:space="0" w:color="auto"/>
            <w:left w:val="none" w:sz="0" w:space="0" w:color="auto"/>
            <w:bottom w:val="none" w:sz="0" w:space="0" w:color="auto"/>
            <w:right w:val="none" w:sz="0" w:space="0" w:color="auto"/>
          </w:divBdr>
          <w:divsChild>
            <w:div w:id="204099925">
              <w:marLeft w:val="0"/>
              <w:marRight w:val="0"/>
              <w:marTop w:val="0"/>
              <w:marBottom w:val="0"/>
              <w:divBdr>
                <w:top w:val="none" w:sz="0" w:space="0" w:color="auto"/>
                <w:left w:val="none" w:sz="0" w:space="0" w:color="auto"/>
                <w:bottom w:val="none" w:sz="0" w:space="0" w:color="auto"/>
                <w:right w:val="none" w:sz="0" w:space="0" w:color="auto"/>
              </w:divBdr>
              <w:divsChild>
                <w:div w:id="1310982691">
                  <w:marLeft w:val="0"/>
                  <w:marRight w:val="0"/>
                  <w:marTop w:val="0"/>
                  <w:marBottom w:val="0"/>
                  <w:divBdr>
                    <w:top w:val="none" w:sz="0" w:space="0" w:color="auto"/>
                    <w:left w:val="none" w:sz="0" w:space="0" w:color="auto"/>
                    <w:bottom w:val="none" w:sz="0" w:space="0" w:color="auto"/>
                    <w:right w:val="none" w:sz="0" w:space="0" w:color="auto"/>
                  </w:divBdr>
                  <w:divsChild>
                    <w:div w:id="114906373">
                      <w:marLeft w:val="0"/>
                      <w:marRight w:val="0"/>
                      <w:marTop w:val="0"/>
                      <w:marBottom w:val="0"/>
                      <w:divBdr>
                        <w:top w:val="none" w:sz="0" w:space="0" w:color="auto"/>
                        <w:left w:val="none" w:sz="0" w:space="0" w:color="auto"/>
                        <w:bottom w:val="none" w:sz="0" w:space="0" w:color="auto"/>
                        <w:right w:val="none" w:sz="0" w:space="0" w:color="auto"/>
                      </w:divBdr>
                      <w:divsChild>
                        <w:div w:id="1744378258">
                          <w:marLeft w:val="0"/>
                          <w:marRight w:val="0"/>
                          <w:marTop w:val="0"/>
                          <w:marBottom w:val="0"/>
                          <w:divBdr>
                            <w:top w:val="none" w:sz="0" w:space="0" w:color="auto"/>
                            <w:left w:val="none" w:sz="0" w:space="0" w:color="auto"/>
                            <w:bottom w:val="none" w:sz="0" w:space="0" w:color="auto"/>
                            <w:right w:val="none" w:sz="0" w:space="0" w:color="auto"/>
                          </w:divBdr>
                          <w:divsChild>
                            <w:div w:id="874535925">
                              <w:marLeft w:val="0"/>
                              <w:marRight w:val="0"/>
                              <w:marTop w:val="0"/>
                              <w:marBottom w:val="0"/>
                              <w:divBdr>
                                <w:top w:val="none" w:sz="0" w:space="0" w:color="auto"/>
                                <w:left w:val="none" w:sz="0" w:space="0" w:color="auto"/>
                                <w:bottom w:val="none" w:sz="0" w:space="0" w:color="auto"/>
                                <w:right w:val="none" w:sz="0" w:space="0" w:color="auto"/>
                              </w:divBdr>
                              <w:divsChild>
                                <w:div w:id="713845972">
                                  <w:marLeft w:val="0"/>
                                  <w:marRight w:val="0"/>
                                  <w:marTop w:val="0"/>
                                  <w:marBottom w:val="0"/>
                                  <w:divBdr>
                                    <w:top w:val="none" w:sz="0" w:space="0" w:color="auto"/>
                                    <w:left w:val="none" w:sz="0" w:space="0" w:color="auto"/>
                                    <w:bottom w:val="none" w:sz="0" w:space="0" w:color="auto"/>
                                    <w:right w:val="none" w:sz="0" w:space="0" w:color="auto"/>
                                  </w:divBdr>
                                  <w:divsChild>
                                    <w:div w:id="933980702">
                                      <w:marLeft w:val="0"/>
                                      <w:marRight w:val="0"/>
                                      <w:marTop w:val="0"/>
                                      <w:marBottom w:val="0"/>
                                      <w:divBdr>
                                        <w:top w:val="none" w:sz="0" w:space="0" w:color="auto"/>
                                        <w:left w:val="none" w:sz="0" w:space="0" w:color="auto"/>
                                        <w:bottom w:val="none" w:sz="0" w:space="0" w:color="auto"/>
                                        <w:right w:val="none" w:sz="0" w:space="0" w:color="auto"/>
                                      </w:divBdr>
                                      <w:divsChild>
                                        <w:div w:id="62870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2033929">
          <w:marLeft w:val="0"/>
          <w:marRight w:val="0"/>
          <w:marTop w:val="0"/>
          <w:marBottom w:val="0"/>
          <w:divBdr>
            <w:top w:val="none" w:sz="0" w:space="0" w:color="auto"/>
            <w:left w:val="none" w:sz="0" w:space="0" w:color="auto"/>
            <w:bottom w:val="none" w:sz="0" w:space="0" w:color="auto"/>
            <w:right w:val="none" w:sz="0" w:space="0" w:color="auto"/>
          </w:divBdr>
          <w:divsChild>
            <w:div w:id="309218069">
              <w:marLeft w:val="0"/>
              <w:marRight w:val="0"/>
              <w:marTop w:val="0"/>
              <w:marBottom w:val="0"/>
              <w:divBdr>
                <w:top w:val="none" w:sz="0" w:space="0" w:color="auto"/>
                <w:left w:val="none" w:sz="0" w:space="0" w:color="auto"/>
                <w:bottom w:val="none" w:sz="0" w:space="0" w:color="auto"/>
                <w:right w:val="none" w:sz="0" w:space="0" w:color="auto"/>
              </w:divBdr>
              <w:divsChild>
                <w:div w:id="93984363">
                  <w:marLeft w:val="0"/>
                  <w:marRight w:val="0"/>
                  <w:marTop w:val="0"/>
                  <w:marBottom w:val="0"/>
                  <w:divBdr>
                    <w:top w:val="none" w:sz="0" w:space="0" w:color="auto"/>
                    <w:left w:val="none" w:sz="0" w:space="0" w:color="auto"/>
                    <w:bottom w:val="none" w:sz="0" w:space="0" w:color="auto"/>
                    <w:right w:val="none" w:sz="0" w:space="0" w:color="auto"/>
                  </w:divBdr>
                  <w:divsChild>
                    <w:div w:id="760760942">
                      <w:marLeft w:val="0"/>
                      <w:marRight w:val="0"/>
                      <w:marTop w:val="0"/>
                      <w:marBottom w:val="0"/>
                      <w:divBdr>
                        <w:top w:val="none" w:sz="0" w:space="0" w:color="auto"/>
                        <w:left w:val="none" w:sz="0" w:space="0" w:color="auto"/>
                        <w:bottom w:val="none" w:sz="0" w:space="0" w:color="auto"/>
                        <w:right w:val="none" w:sz="0" w:space="0" w:color="auto"/>
                      </w:divBdr>
                      <w:divsChild>
                        <w:div w:id="521742310">
                          <w:marLeft w:val="0"/>
                          <w:marRight w:val="0"/>
                          <w:marTop w:val="0"/>
                          <w:marBottom w:val="0"/>
                          <w:divBdr>
                            <w:top w:val="none" w:sz="0" w:space="0" w:color="auto"/>
                            <w:left w:val="none" w:sz="0" w:space="0" w:color="auto"/>
                            <w:bottom w:val="none" w:sz="0" w:space="0" w:color="auto"/>
                            <w:right w:val="none" w:sz="0" w:space="0" w:color="auto"/>
                          </w:divBdr>
                          <w:divsChild>
                            <w:div w:id="1662657833">
                              <w:marLeft w:val="0"/>
                              <w:marRight w:val="0"/>
                              <w:marTop w:val="0"/>
                              <w:marBottom w:val="0"/>
                              <w:divBdr>
                                <w:top w:val="none" w:sz="0" w:space="0" w:color="auto"/>
                                <w:left w:val="none" w:sz="0" w:space="0" w:color="auto"/>
                                <w:bottom w:val="none" w:sz="0" w:space="0" w:color="auto"/>
                                <w:right w:val="none" w:sz="0" w:space="0" w:color="auto"/>
                              </w:divBdr>
                              <w:divsChild>
                                <w:div w:id="853609772">
                                  <w:marLeft w:val="0"/>
                                  <w:marRight w:val="0"/>
                                  <w:marTop w:val="0"/>
                                  <w:marBottom w:val="0"/>
                                  <w:divBdr>
                                    <w:top w:val="none" w:sz="0" w:space="0" w:color="auto"/>
                                    <w:left w:val="none" w:sz="0" w:space="0" w:color="auto"/>
                                    <w:bottom w:val="none" w:sz="0" w:space="0" w:color="auto"/>
                                    <w:right w:val="none" w:sz="0" w:space="0" w:color="auto"/>
                                  </w:divBdr>
                                  <w:divsChild>
                                    <w:div w:id="147478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4404067">
      <w:bodyDiv w:val="1"/>
      <w:marLeft w:val="0"/>
      <w:marRight w:val="0"/>
      <w:marTop w:val="0"/>
      <w:marBottom w:val="0"/>
      <w:divBdr>
        <w:top w:val="none" w:sz="0" w:space="0" w:color="auto"/>
        <w:left w:val="none" w:sz="0" w:space="0" w:color="auto"/>
        <w:bottom w:val="none" w:sz="0" w:space="0" w:color="auto"/>
        <w:right w:val="none" w:sz="0" w:space="0" w:color="auto"/>
      </w:divBdr>
      <w:divsChild>
        <w:div w:id="2108117449">
          <w:marLeft w:val="0"/>
          <w:marRight w:val="0"/>
          <w:marTop w:val="0"/>
          <w:marBottom w:val="0"/>
          <w:divBdr>
            <w:top w:val="none" w:sz="0" w:space="0" w:color="auto"/>
            <w:left w:val="none" w:sz="0" w:space="0" w:color="auto"/>
            <w:bottom w:val="none" w:sz="0" w:space="0" w:color="auto"/>
            <w:right w:val="none" w:sz="0" w:space="0" w:color="auto"/>
          </w:divBdr>
          <w:divsChild>
            <w:div w:id="614485688">
              <w:marLeft w:val="0"/>
              <w:marRight w:val="0"/>
              <w:marTop w:val="0"/>
              <w:marBottom w:val="0"/>
              <w:divBdr>
                <w:top w:val="none" w:sz="0" w:space="0" w:color="auto"/>
                <w:left w:val="none" w:sz="0" w:space="0" w:color="auto"/>
                <w:bottom w:val="none" w:sz="0" w:space="0" w:color="auto"/>
                <w:right w:val="none" w:sz="0" w:space="0" w:color="auto"/>
              </w:divBdr>
              <w:divsChild>
                <w:div w:id="1577087825">
                  <w:marLeft w:val="0"/>
                  <w:marRight w:val="0"/>
                  <w:marTop w:val="0"/>
                  <w:marBottom w:val="0"/>
                  <w:divBdr>
                    <w:top w:val="none" w:sz="0" w:space="0" w:color="auto"/>
                    <w:left w:val="none" w:sz="0" w:space="0" w:color="auto"/>
                    <w:bottom w:val="none" w:sz="0" w:space="0" w:color="auto"/>
                    <w:right w:val="none" w:sz="0" w:space="0" w:color="auto"/>
                  </w:divBdr>
                  <w:divsChild>
                    <w:div w:id="712268632">
                      <w:marLeft w:val="0"/>
                      <w:marRight w:val="0"/>
                      <w:marTop w:val="0"/>
                      <w:marBottom w:val="0"/>
                      <w:divBdr>
                        <w:top w:val="none" w:sz="0" w:space="0" w:color="auto"/>
                        <w:left w:val="none" w:sz="0" w:space="0" w:color="auto"/>
                        <w:bottom w:val="none" w:sz="0" w:space="0" w:color="auto"/>
                        <w:right w:val="none" w:sz="0" w:space="0" w:color="auto"/>
                      </w:divBdr>
                      <w:divsChild>
                        <w:div w:id="1395153977">
                          <w:marLeft w:val="0"/>
                          <w:marRight w:val="0"/>
                          <w:marTop w:val="0"/>
                          <w:marBottom w:val="0"/>
                          <w:divBdr>
                            <w:top w:val="none" w:sz="0" w:space="0" w:color="auto"/>
                            <w:left w:val="none" w:sz="0" w:space="0" w:color="auto"/>
                            <w:bottom w:val="none" w:sz="0" w:space="0" w:color="auto"/>
                            <w:right w:val="none" w:sz="0" w:space="0" w:color="auto"/>
                          </w:divBdr>
                          <w:divsChild>
                            <w:div w:id="972442978">
                              <w:marLeft w:val="0"/>
                              <w:marRight w:val="0"/>
                              <w:marTop w:val="0"/>
                              <w:marBottom w:val="0"/>
                              <w:divBdr>
                                <w:top w:val="none" w:sz="0" w:space="0" w:color="auto"/>
                                <w:left w:val="none" w:sz="0" w:space="0" w:color="auto"/>
                                <w:bottom w:val="none" w:sz="0" w:space="0" w:color="auto"/>
                                <w:right w:val="none" w:sz="0" w:space="0" w:color="auto"/>
                              </w:divBdr>
                              <w:divsChild>
                                <w:div w:id="496043587">
                                  <w:marLeft w:val="0"/>
                                  <w:marRight w:val="0"/>
                                  <w:marTop w:val="0"/>
                                  <w:marBottom w:val="0"/>
                                  <w:divBdr>
                                    <w:top w:val="none" w:sz="0" w:space="0" w:color="auto"/>
                                    <w:left w:val="none" w:sz="0" w:space="0" w:color="auto"/>
                                    <w:bottom w:val="none" w:sz="0" w:space="0" w:color="auto"/>
                                    <w:right w:val="none" w:sz="0" w:space="0" w:color="auto"/>
                                  </w:divBdr>
                                  <w:divsChild>
                                    <w:div w:id="184536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3462759">
          <w:marLeft w:val="0"/>
          <w:marRight w:val="0"/>
          <w:marTop w:val="0"/>
          <w:marBottom w:val="0"/>
          <w:divBdr>
            <w:top w:val="none" w:sz="0" w:space="0" w:color="auto"/>
            <w:left w:val="none" w:sz="0" w:space="0" w:color="auto"/>
            <w:bottom w:val="none" w:sz="0" w:space="0" w:color="auto"/>
            <w:right w:val="none" w:sz="0" w:space="0" w:color="auto"/>
          </w:divBdr>
          <w:divsChild>
            <w:div w:id="775517310">
              <w:marLeft w:val="0"/>
              <w:marRight w:val="0"/>
              <w:marTop w:val="0"/>
              <w:marBottom w:val="0"/>
              <w:divBdr>
                <w:top w:val="none" w:sz="0" w:space="0" w:color="auto"/>
                <w:left w:val="none" w:sz="0" w:space="0" w:color="auto"/>
                <w:bottom w:val="none" w:sz="0" w:space="0" w:color="auto"/>
                <w:right w:val="none" w:sz="0" w:space="0" w:color="auto"/>
              </w:divBdr>
              <w:divsChild>
                <w:div w:id="1369986439">
                  <w:marLeft w:val="0"/>
                  <w:marRight w:val="0"/>
                  <w:marTop w:val="0"/>
                  <w:marBottom w:val="0"/>
                  <w:divBdr>
                    <w:top w:val="none" w:sz="0" w:space="0" w:color="auto"/>
                    <w:left w:val="none" w:sz="0" w:space="0" w:color="auto"/>
                    <w:bottom w:val="none" w:sz="0" w:space="0" w:color="auto"/>
                    <w:right w:val="none" w:sz="0" w:space="0" w:color="auto"/>
                  </w:divBdr>
                  <w:divsChild>
                    <w:div w:id="587468870">
                      <w:marLeft w:val="0"/>
                      <w:marRight w:val="0"/>
                      <w:marTop w:val="0"/>
                      <w:marBottom w:val="0"/>
                      <w:divBdr>
                        <w:top w:val="none" w:sz="0" w:space="0" w:color="auto"/>
                        <w:left w:val="none" w:sz="0" w:space="0" w:color="auto"/>
                        <w:bottom w:val="none" w:sz="0" w:space="0" w:color="auto"/>
                        <w:right w:val="none" w:sz="0" w:space="0" w:color="auto"/>
                      </w:divBdr>
                      <w:divsChild>
                        <w:div w:id="1725635477">
                          <w:marLeft w:val="0"/>
                          <w:marRight w:val="0"/>
                          <w:marTop w:val="0"/>
                          <w:marBottom w:val="0"/>
                          <w:divBdr>
                            <w:top w:val="none" w:sz="0" w:space="0" w:color="auto"/>
                            <w:left w:val="none" w:sz="0" w:space="0" w:color="auto"/>
                            <w:bottom w:val="none" w:sz="0" w:space="0" w:color="auto"/>
                            <w:right w:val="none" w:sz="0" w:space="0" w:color="auto"/>
                          </w:divBdr>
                          <w:divsChild>
                            <w:div w:id="1617327448">
                              <w:marLeft w:val="0"/>
                              <w:marRight w:val="0"/>
                              <w:marTop w:val="0"/>
                              <w:marBottom w:val="0"/>
                              <w:divBdr>
                                <w:top w:val="none" w:sz="0" w:space="0" w:color="auto"/>
                                <w:left w:val="none" w:sz="0" w:space="0" w:color="auto"/>
                                <w:bottom w:val="none" w:sz="0" w:space="0" w:color="auto"/>
                                <w:right w:val="none" w:sz="0" w:space="0" w:color="auto"/>
                              </w:divBdr>
                              <w:divsChild>
                                <w:div w:id="929895845">
                                  <w:marLeft w:val="0"/>
                                  <w:marRight w:val="0"/>
                                  <w:marTop w:val="0"/>
                                  <w:marBottom w:val="0"/>
                                  <w:divBdr>
                                    <w:top w:val="none" w:sz="0" w:space="0" w:color="auto"/>
                                    <w:left w:val="none" w:sz="0" w:space="0" w:color="auto"/>
                                    <w:bottom w:val="none" w:sz="0" w:space="0" w:color="auto"/>
                                    <w:right w:val="none" w:sz="0" w:space="0" w:color="auto"/>
                                  </w:divBdr>
                                  <w:divsChild>
                                    <w:div w:id="1361711170">
                                      <w:marLeft w:val="0"/>
                                      <w:marRight w:val="0"/>
                                      <w:marTop w:val="0"/>
                                      <w:marBottom w:val="0"/>
                                      <w:divBdr>
                                        <w:top w:val="none" w:sz="0" w:space="0" w:color="auto"/>
                                        <w:left w:val="none" w:sz="0" w:space="0" w:color="auto"/>
                                        <w:bottom w:val="none" w:sz="0" w:space="0" w:color="auto"/>
                                        <w:right w:val="none" w:sz="0" w:space="0" w:color="auto"/>
                                      </w:divBdr>
                                      <w:divsChild>
                                        <w:div w:id="45024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2131418">
          <w:marLeft w:val="0"/>
          <w:marRight w:val="0"/>
          <w:marTop w:val="0"/>
          <w:marBottom w:val="0"/>
          <w:divBdr>
            <w:top w:val="none" w:sz="0" w:space="0" w:color="auto"/>
            <w:left w:val="none" w:sz="0" w:space="0" w:color="auto"/>
            <w:bottom w:val="none" w:sz="0" w:space="0" w:color="auto"/>
            <w:right w:val="none" w:sz="0" w:space="0" w:color="auto"/>
          </w:divBdr>
          <w:divsChild>
            <w:div w:id="863784619">
              <w:marLeft w:val="0"/>
              <w:marRight w:val="0"/>
              <w:marTop w:val="0"/>
              <w:marBottom w:val="0"/>
              <w:divBdr>
                <w:top w:val="none" w:sz="0" w:space="0" w:color="auto"/>
                <w:left w:val="none" w:sz="0" w:space="0" w:color="auto"/>
                <w:bottom w:val="none" w:sz="0" w:space="0" w:color="auto"/>
                <w:right w:val="none" w:sz="0" w:space="0" w:color="auto"/>
              </w:divBdr>
              <w:divsChild>
                <w:div w:id="2015720007">
                  <w:marLeft w:val="0"/>
                  <w:marRight w:val="0"/>
                  <w:marTop w:val="0"/>
                  <w:marBottom w:val="0"/>
                  <w:divBdr>
                    <w:top w:val="none" w:sz="0" w:space="0" w:color="auto"/>
                    <w:left w:val="none" w:sz="0" w:space="0" w:color="auto"/>
                    <w:bottom w:val="none" w:sz="0" w:space="0" w:color="auto"/>
                    <w:right w:val="none" w:sz="0" w:space="0" w:color="auto"/>
                  </w:divBdr>
                  <w:divsChild>
                    <w:div w:id="737022583">
                      <w:marLeft w:val="0"/>
                      <w:marRight w:val="0"/>
                      <w:marTop w:val="0"/>
                      <w:marBottom w:val="0"/>
                      <w:divBdr>
                        <w:top w:val="none" w:sz="0" w:space="0" w:color="auto"/>
                        <w:left w:val="none" w:sz="0" w:space="0" w:color="auto"/>
                        <w:bottom w:val="none" w:sz="0" w:space="0" w:color="auto"/>
                        <w:right w:val="none" w:sz="0" w:space="0" w:color="auto"/>
                      </w:divBdr>
                      <w:divsChild>
                        <w:div w:id="512963302">
                          <w:marLeft w:val="0"/>
                          <w:marRight w:val="0"/>
                          <w:marTop w:val="0"/>
                          <w:marBottom w:val="0"/>
                          <w:divBdr>
                            <w:top w:val="none" w:sz="0" w:space="0" w:color="auto"/>
                            <w:left w:val="none" w:sz="0" w:space="0" w:color="auto"/>
                            <w:bottom w:val="none" w:sz="0" w:space="0" w:color="auto"/>
                            <w:right w:val="none" w:sz="0" w:space="0" w:color="auto"/>
                          </w:divBdr>
                          <w:divsChild>
                            <w:div w:id="1640380848">
                              <w:marLeft w:val="0"/>
                              <w:marRight w:val="0"/>
                              <w:marTop w:val="0"/>
                              <w:marBottom w:val="0"/>
                              <w:divBdr>
                                <w:top w:val="none" w:sz="0" w:space="0" w:color="auto"/>
                                <w:left w:val="none" w:sz="0" w:space="0" w:color="auto"/>
                                <w:bottom w:val="none" w:sz="0" w:space="0" w:color="auto"/>
                                <w:right w:val="none" w:sz="0" w:space="0" w:color="auto"/>
                              </w:divBdr>
                              <w:divsChild>
                                <w:div w:id="729809279">
                                  <w:marLeft w:val="0"/>
                                  <w:marRight w:val="0"/>
                                  <w:marTop w:val="0"/>
                                  <w:marBottom w:val="0"/>
                                  <w:divBdr>
                                    <w:top w:val="none" w:sz="0" w:space="0" w:color="auto"/>
                                    <w:left w:val="none" w:sz="0" w:space="0" w:color="auto"/>
                                    <w:bottom w:val="none" w:sz="0" w:space="0" w:color="auto"/>
                                    <w:right w:val="none" w:sz="0" w:space="0" w:color="auto"/>
                                  </w:divBdr>
                                  <w:divsChild>
                                    <w:div w:id="207141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4724643">
          <w:marLeft w:val="0"/>
          <w:marRight w:val="0"/>
          <w:marTop w:val="0"/>
          <w:marBottom w:val="0"/>
          <w:divBdr>
            <w:top w:val="none" w:sz="0" w:space="0" w:color="auto"/>
            <w:left w:val="none" w:sz="0" w:space="0" w:color="auto"/>
            <w:bottom w:val="none" w:sz="0" w:space="0" w:color="auto"/>
            <w:right w:val="none" w:sz="0" w:space="0" w:color="auto"/>
          </w:divBdr>
          <w:divsChild>
            <w:div w:id="1754087225">
              <w:marLeft w:val="0"/>
              <w:marRight w:val="0"/>
              <w:marTop w:val="0"/>
              <w:marBottom w:val="0"/>
              <w:divBdr>
                <w:top w:val="none" w:sz="0" w:space="0" w:color="auto"/>
                <w:left w:val="none" w:sz="0" w:space="0" w:color="auto"/>
                <w:bottom w:val="none" w:sz="0" w:space="0" w:color="auto"/>
                <w:right w:val="none" w:sz="0" w:space="0" w:color="auto"/>
              </w:divBdr>
              <w:divsChild>
                <w:div w:id="1701709600">
                  <w:marLeft w:val="0"/>
                  <w:marRight w:val="0"/>
                  <w:marTop w:val="0"/>
                  <w:marBottom w:val="0"/>
                  <w:divBdr>
                    <w:top w:val="none" w:sz="0" w:space="0" w:color="auto"/>
                    <w:left w:val="none" w:sz="0" w:space="0" w:color="auto"/>
                    <w:bottom w:val="none" w:sz="0" w:space="0" w:color="auto"/>
                    <w:right w:val="none" w:sz="0" w:space="0" w:color="auto"/>
                  </w:divBdr>
                  <w:divsChild>
                    <w:div w:id="637534597">
                      <w:marLeft w:val="0"/>
                      <w:marRight w:val="0"/>
                      <w:marTop w:val="0"/>
                      <w:marBottom w:val="0"/>
                      <w:divBdr>
                        <w:top w:val="none" w:sz="0" w:space="0" w:color="auto"/>
                        <w:left w:val="none" w:sz="0" w:space="0" w:color="auto"/>
                        <w:bottom w:val="none" w:sz="0" w:space="0" w:color="auto"/>
                        <w:right w:val="none" w:sz="0" w:space="0" w:color="auto"/>
                      </w:divBdr>
                      <w:divsChild>
                        <w:div w:id="884214969">
                          <w:marLeft w:val="0"/>
                          <w:marRight w:val="0"/>
                          <w:marTop w:val="0"/>
                          <w:marBottom w:val="0"/>
                          <w:divBdr>
                            <w:top w:val="none" w:sz="0" w:space="0" w:color="auto"/>
                            <w:left w:val="none" w:sz="0" w:space="0" w:color="auto"/>
                            <w:bottom w:val="none" w:sz="0" w:space="0" w:color="auto"/>
                            <w:right w:val="none" w:sz="0" w:space="0" w:color="auto"/>
                          </w:divBdr>
                          <w:divsChild>
                            <w:div w:id="1477574751">
                              <w:marLeft w:val="0"/>
                              <w:marRight w:val="0"/>
                              <w:marTop w:val="0"/>
                              <w:marBottom w:val="0"/>
                              <w:divBdr>
                                <w:top w:val="none" w:sz="0" w:space="0" w:color="auto"/>
                                <w:left w:val="none" w:sz="0" w:space="0" w:color="auto"/>
                                <w:bottom w:val="none" w:sz="0" w:space="0" w:color="auto"/>
                                <w:right w:val="none" w:sz="0" w:space="0" w:color="auto"/>
                              </w:divBdr>
                              <w:divsChild>
                                <w:div w:id="1179084696">
                                  <w:marLeft w:val="0"/>
                                  <w:marRight w:val="0"/>
                                  <w:marTop w:val="0"/>
                                  <w:marBottom w:val="0"/>
                                  <w:divBdr>
                                    <w:top w:val="none" w:sz="0" w:space="0" w:color="auto"/>
                                    <w:left w:val="none" w:sz="0" w:space="0" w:color="auto"/>
                                    <w:bottom w:val="none" w:sz="0" w:space="0" w:color="auto"/>
                                    <w:right w:val="none" w:sz="0" w:space="0" w:color="auto"/>
                                  </w:divBdr>
                                  <w:divsChild>
                                    <w:div w:id="834033558">
                                      <w:marLeft w:val="0"/>
                                      <w:marRight w:val="0"/>
                                      <w:marTop w:val="0"/>
                                      <w:marBottom w:val="0"/>
                                      <w:divBdr>
                                        <w:top w:val="none" w:sz="0" w:space="0" w:color="auto"/>
                                        <w:left w:val="none" w:sz="0" w:space="0" w:color="auto"/>
                                        <w:bottom w:val="none" w:sz="0" w:space="0" w:color="auto"/>
                                        <w:right w:val="none" w:sz="0" w:space="0" w:color="auto"/>
                                      </w:divBdr>
                                      <w:divsChild>
                                        <w:div w:id="195725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369349">
          <w:marLeft w:val="0"/>
          <w:marRight w:val="0"/>
          <w:marTop w:val="0"/>
          <w:marBottom w:val="0"/>
          <w:divBdr>
            <w:top w:val="none" w:sz="0" w:space="0" w:color="auto"/>
            <w:left w:val="none" w:sz="0" w:space="0" w:color="auto"/>
            <w:bottom w:val="none" w:sz="0" w:space="0" w:color="auto"/>
            <w:right w:val="none" w:sz="0" w:space="0" w:color="auto"/>
          </w:divBdr>
          <w:divsChild>
            <w:div w:id="1618175023">
              <w:marLeft w:val="0"/>
              <w:marRight w:val="0"/>
              <w:marTop w:val="0"/>
              <w:marBottom w:val="0"/>
              <w:divBdr>
                <w:top w:val="none" w:sz="0" w:space="0" w:color="auto"/>
                <w:left w:val="none" w:sz="0" w:space="0" w:color="auto"/>
                <w:bottom w:val="none" w:sz="0" w:space="0" w:color="auto"/>
                <w:right w:val="none" w:sz="0" w:space="0" w:color="auto"/>
              </w:divBdr>
              <w:divsChild>
                <w:div w:id="880556842">
                  <w:marLeft w:val="0"/>
                  <w:marRight w:val="0"/>
                  <w:marTop w:val="0"/>
                  <w:marBottom w:val="0"/>
                  <w:divBdr>
                    <w:top w:val="none" w:sz="0" w:space="0" w:color="auto"/>
                    <w:left w:val="none" w:sz="0" w:space="0" w:color="auto"/>
                    <w:bottom w:val="none" w:sz="0" w:space="0" w:color="auto"/>
                    <w:right w:val="none" w:sz="0" w:space="0" w:color="auto"/>
                  </w:divBdr>
                  <w:divsChild>
                    <w:div w:id="1211842132">
                      <w:marLeft w:val="0"/>
                      <w:marRight w:val="0"/>
                      <w:marTop w:val="0"/>
                      <w:marBottom w:val="0"/>
                      <w:divBdr>
                        <w:top w:val="none" w:sz="0" w:space="0" w:color="auto"/>
                        <w:left w:val="none" w:sz="0" w:space="0" w:color="auto"/>
                        <w:bottom w:val="none" w:sz="0" w:space="0" w:color="auto"/>
                        <w:right w:val="none" w:sz="0" w:space="0" w:color="auto"/>
                      </w:divBdr>
                      <w:divsChild>
                        <w:div w:id="374744936">
                          <w:marLeft w:val="0"/>
                          <w:marRight w:val="0"/>
                          <w:marTop w:val="0"/>
                          <w:marBottom w:val="0"/>
                          <w:divBdr>
                            <w:top w:val="none" w:sz="0" w:space="0" w:color="auto"/>
                            <w:left w:val="none" w:sz="0" w:space="0" w:color="auto"/>
                            <w:bottom w:val="none" w:sz="0" w:space="0" w:color="auto"/>
                            <w:right w:val="none" w:sz="0" w:space="0" w:color="auto"/>
                          </w:divBdr>
                          <w:divsChild>
                            <w:div w:id="1288316658">
                              <w:marLeft w:val="0"/>
                              <w:marRight w:val="0"/>
                              <w:marTop w:val="0"/>
                              <w:marBottom w:val="0"/>
                              <w:divBdr>
                                <w:top w:val="none" w:sz="0" w:space="0" w:color="auto"/>
                                <w:left w:val="none" w:sz="0" w:space="0" w:color="auto"/>
                                <w:bottom w:val="none" w:sz="0" w:space="0" w:color="auto"/>
                                <w:right w:val="none" w:sz="0" w:space="0" w:color="auto"/>
                              </w:divBdr>
                              <w:divsChild>
                                <w:div w:id="1585525816">
                                  <w:marLeft w:val="0"/>
                                  <w:marRight w:val="0"/>
                                  <w:marTop w:val="0"/>
                                  <w:marBottom w:val="0"/>
                                  <w:divBdr>
                                    <w:top w:val="none" w:sz="0" w:space="0" w:color="auto"/>
                                    <w:left w:val="none" w:sz="0" w:space="0" w:color="auto"/>
                                    <w:bottom w:val="none" w:sz="0" w:space="0" w:color="auto"/>
                                    <w:right w:val="none" w:sz="0" w:space="0" w:color="auto"/>
                                  </w:divBdr>
                                  <w:divsChild>
                                    <w:div w:id="121145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3384638">
      <w:bodyDiv w:val="1"/>
      <w:marLeft w:val="0"/>
      <w:marRight w:val="0"/>
      <w:marTop w:val="0"/>
      <w:marBottom w:val="0"/>
      <w:divBdr>
        <w:top w:val="none" w:sz="0" w:space="0" w:color="auto"/>
        <w:left w:val="none" w:sz="0" w:space="0" w:color="auto"/>
        <w:bottom w:val="none" w:sz="0" w:space="0" w:color="auto"/>
        <w:right w:val="none" w:sz="0" w:space="0" w:color="auto"/>
      </w:divBdr>
    </w:div>
    <w:div w:id="1983537779">
      <w:bodyDiv w:val="1"/>
      <w:marLeft w:val="0"/>
      <w:marRight w:val="0"/>
      <w:marTop w:val="0"/>
      <w:marBottom w:val="0"/>
      <w:divBdr>
        <w:top w:val="none" w:sz="0" w:space="0" w:color="auto"/>
        <w:left w:val="none" w:sz="0" w:space="0" w:color="auto"/>
        <w:bottom w:val="none" w:sz="0" w:space="0" w:color="auto"/>
        <w:right w:val="none" w:sz="0" w:space="0" w:color="auto"/>
      </w:divBdr>
    </w:div>
    <w:div w:id="1992831601">
      <w:bodyDiv w:val="1"/>
      <w:marLeft w:val="0"/>
      <w:marRight w:val="0"/>
      <w:marTop w:val="0"/>
      <w:marBottom w:val="0"/>
      <w:divBdr>
        <w:top w:val="none" w:sz="0" w:space="0" w:color="auto"/>
        <w:left w:val="none" w:sz="0" w:space="0" w:color="auto"/>
        <w:bottom w:val="none" w:sz="0" w:space="0" w:color="auto"/>
        <w:right w:val="none" w:sz="0" w:space="0" w:color="auto"/>
      </w:divBdr>
    </w:div>
    <w:div w:id="2048793916">
      <w:bodyDiv w:val="1"/>
      <w:marLeft w:val="0"/>
      <w:marRight w:val="0"/>
      <w:marTop w:val="0"/>
      <w:marBottom w:val="0"/>
      <w:divBdr>
        <w:top w:val="none" w:sz="0" w:space="0" w:color="auto"/>
        <w:left w:val="none" w:sz="0" w:space="0" w:color="auto"/>
        <w:bottom w:val="none" w:sz="0" w:space="0" w:color="auto"/>
        <w:right w:val="none" w:sz="0" w:space="0" w:color="auto"/>
      </w:divBdr>
    </w:div>
    <w:div w:id="2057587526">
      <w:bodyDiv w:val="1"/>
      <w:marLeft w:val="0"/>
      <w:marRight w:val="0"/>
      <w:marTop w:val="0"/>
      <w:marBottom w:val="0"/>
      <w:divBdr>
        <w:top w:val="none" w:sz="0" w:space="0" w:color="auto"/>
        <w:left w:val="none" w:sz="0" w:space="0" w:color="auto"/>
        <w:bottom w:val="none" w:sz="0" w:space="0" w:color="auto"/>
        <w:right w:val="none" w:sz="0" w:space="0" w:color="auto"/>
      </w:divBdr>
    </w:div>
    <w:div w:id="2071922657">
      <w:bodyDiv w:val="1"/>
      <w:marLeft w:val="0"/>
      <w:marRight w:val="0"/>
      <w:marTop w:val="0"/>
      <w:marBottom w:val="0"/>
      <w:divBdr>
        <w:top w:val="none" w:sz="0" w:space="0" w:color="auto"/>
        <w:left w:val="none" w:sz="0" w:space="0" w:color="auto"/>
        <w:bottom w:val="none" w:sz="0" w:space="0" w:color="auto"/>
        <w:right w:val="none" w:sz="0" w:space="0" w:color="auto"/>
      </w:divBdr>
      <w:divsChild>
        <w:div w:id="1404371454">
          <w:marLeft w:val="0"/>
          <w:marRight w:val="0"/>
          <w:marTop w:val="0"/>
          <w:marBottom w:val="0"/>
          <w:divBdr>
            <w:top w:val="none" w:sz="0" w:space="0" w:color="auto"/>
            <w:left w:val="none" w:sz="0" w:space="0" w:color="auto"/>
            <w:bottom w:val="none" w:sz="0" w:space="0" w:color="auto"/>
            <w:right w:val="none" w:sz="0" w:space="0" w:color="auto"/>
          </w:divBdr>
          <w:divsChild>
            <w:div w:id="939876027">
              <w:marLeft w:val="0"/>
              <w:marRight w:val="0"/>
              <w:marTop w:val="0"/>
              <w:marBottom w:val="0"/>
              <w:divBdr>
                <w:top w:val="none" w:sz="0" w:space="0" w:color="auto"/>
                <w:left w:val="none" w:sz="0" w:space="0" w:color="auto"/>
                <w:bottom w:val="none" w:sz="0" w:space="0" w:color="auto"/>
                <w:right w:val="none" w:sz="0" w:space="0" w:color="auto"/>
              </w:divBdr>
              <w:divsChild>
                <w:div w:id="377975847">
                  <w:marLeft w:val="0"/>
                  <w:marRight w:val="0"/>
                  <w:marTop w:val="0"/>
                  <w:marBottom w:val="0"/>
                  <w:divBdr>
                    <w:top w:val="none" w:sz="0" w:space="0" w:color="auto"/>
                    <w:left w:val="none" w:sz="0" w:space="0" w:color="auto"/>
                    <w:bottom w:val="none" w:sz="0" w:space="0" w:color="auto"/>
                    <w:right w:val="none" w:sz="0" w:space="0" w:color="auto"/>
                  </w:divBdr>
                  <w:divsChild>
                    <w:div w:id="2096592454">
                      <w:marLeft w:val="0"/>
                      <w:marRight w:val="0"/>
                      <w:marTop w:val="0"/>
                      <w:marBottom w:val="0"/>
                      <w:divBdr>
                        <w:top w:val="none" w:sz="0" w:space="0" w:color="auto"/>
                        <w:left w:val="none" w:sz="0" w:space="0" w:color="auto"/>
                        <w:bottom w:val="none" w:sz="0" w:space="0" w:color="auto"/>
                        <w:right w:val="none" w:sz="0" w:space="0" w:color="auto"/>
                      </w:divBdr>
                      <w:divsChild>
                        <w:div w:id="306325954">
                          <w:marLeft w:val="0"/>
                          <w:marRight w:val="0"/>
                          <w:marTop w:val="0"/>
                          <w:marBottom w:val="0"/>
                          <w:divBdr>
                            <w:top w:val="none" w:sz="0" w:space="0" w:color="auto"/>
                            <w:left w:val="none" w:sz="0" w:space="0" w:color="auto"/>
                            <w:bottom w:val="none" w:sz="0" w:space="0" w:color="auto"/>
                            <w:right w:val="none" w:sz="0" w:space="0" w:color="auto"/>
                          </w:divBdr>
                          <w:divsChild>
                            <w:div w:id="990447704">
                              <w:marLeft w:val="0"/>
                              <w:marRight w:val="0"/>
                              <w:marTop w:val="0"/>
                              <w:marBottom w:val="0"/>
                              <w:divBdr>
                                <w:top w:val="none" w:sz="0" w:space="0" w:color="auto"/>
                                <w:left w:val="none" w:sz="0" w:space="0" w:color="auto"/>
                                <w:bottom w:val="none" w:sz="0" w:space="0" w:color="auto"/>
                                <w:right w:val="none" w:sz="0" w:space="0" w:color="auto"/>
                              </w:divBdr>
                              <w:divsChild>
                                <w:div w:id="1707365603">
                                  <w:marLeft w:val="0"/>
                                  <w:marRight w:val="0"/>
                                  <w:marTop w:val="0"/>
                                  <w:marBottom w:val="0"/>
                                  <w:divBdr>
                                    <w:top w:val="none" w:sz="0" w:space="0" w:color="auto"/>
                                    <w:left w:val="none" w:sz="0" w:space="0" w:color="auto"/>
                                    <w:bottom w:val="none" w:sz="0" w:space="0" w:color="auto"/>
                                    <w:right w:val="none" w:sz="0" w:space="0" w:color="auto"/>
                                  </w:divBdr>
                                  <w:divsChild>
                                    <w:div w:id="1428231075">
                                      <w:marLeft w:val="0"/>
                                      <w:marRight w:val="0"/>
                                      <w:marTop w:val="0"/>
                                      <w:marBottom w:val="0"/>
                                      <w:divBdr>
                                        <w:top w:val="none" w:sz="0" w:space="0" w:color="auto"/>
                                        <w:left w:val="none" w:sz="0" w:space="0" w:color="auto"/>
                                        <w:bottom w:val="none" w:sz="0" w:space="0" w:color="auto"/>
                                        <w:right w:val="none" w:sz="0" w:space="0" w:color="auto"/>
                                      </w:divBdr>
                                      <w:divsChild>
                                        <w:div w:id="392048095">
                                          <w:marLeft w:val="0"/>
                                          <w:marRight w:val="0"/>
                                          <w:marTop w:val="0"/>
                                          <w:marBottom w:val="0"/>
                                          <w:divBdr>
                                            <w:top w:val="none" w:sz="0" w:space="0" w:color="auto"/>
                                            <w:left w:val="none" w:sz="0" w:space="0" w:color="auto"/>
                                            <w:bottom w:val="none" w:sz="0" w:space="0" w:color="auto"/>
                                            <w:right w:val="none" w:sz="0" w:space="0" w:color="auto"/>
                                          </w:divBdr>
                                          <w:divsChild>
                                            <w:div w:id="83388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688871">
                                  <w:marLeft w:val="0"/>
                                  <w:marRight w:val="0"/>
                                  <w:marTop w:val="0"/>
                                  <w:marBottom w:val="0"/>
                                  <w:divBdr>
                                    <w:top w:val="none" w:sz="0" w:space="0" w:color="auto"/>
                                    <w:left w:val="none" w:sz="0" w:space="0" w:color="auto"/>
                                    <w:bottom w:val="none" w:sz="0" w:space="0" w:color="auto"/>
                                    <w:right w:val="none" w:sz="0" w:space="0" w:color="auto"/>
                                  </w:divBdr>
                                  <w:divsChild>
                                    <w:div w:id="42554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5911695">
          <w:marLeft w:val="0"/>
          <w:marRight w:val="0"/>
          <w:marTop w:val="0"/>
          <w:marBottom w:val="0"/>
          <w:divBdr>
            <w:top w:val="none" w:sz="0" w:space="0" w:color="auto"/>
            <w:left w:val="none" w:sz="0" w:space="0" w:color="auto"/>
            <w:bottom w:val="none" w:sz="0" w:space="0" w:color="auto"/>
            <w:right w:val="none" w:sz="0" w:space="0" w:color="auto"/>
          </w:divBdr>
          <w:divsChild>
            <w:div w:id="882401252">
              <w:marLeft w:val="0"/>
              <w:marRight w:val="0"/>
              <w:marTop w:val="0"/>
              <w:marBottom w:val="0"/>
              <w:divBdr>
                <w:top w:val="none" w:sz="0" w:space="0" w:color="auto"/>
                <w:left w:val="none" w:sz="0" w:space="0" w:color="auto"/>
                <w:bottom w:val="none" w:sz="0" w:space="0" w:color="auto"/>
                <w:right w:val="none" w:sz="0" w:space="0" w:color="auto"/>
              </w:divBdr>
              <w:divsChild>
                <w:div w:id="506138716">
                  <w:marLeft w:val="0"/>
                  <w:marRight w:val="0"/>
                  <w:marTop w:val="0"/>
                  <w:marBottom w:val="0"/>
                  <w:divBdr>
                    <w:top w:val="none" w:sz="0" w:space="0" w:color="auto"/>
                    <w:left w:val="none" w:sz="0" w:space="0" w:color="auto"/>
                    <w:bottom w:val="none" w:sz="0" w:space="0" w:color="auto"/>
                    <w:right w:val="none" w:sz="0" w:space="0" w:color="auto"/>
                  </w:divBdr>
                  <w:divsChild>
                    <w:div w:id="2109615865">
                      <w:marLeft w:val="0"/>
                      <w:marRight w:val="0"/>
                      <w:marTop w:val="0"/>
                      <w:marBottom w:val="0"/>
                      <w:divBdr>
                        <w:top w:val="none" w:sz="0" w:space="0" w:color="auto"/>
                        <w:left w:val="none" w:sz="0" w:space="0" w:color="auto"/>
                        <w:bottom w:val="none" w:sz="0" w:space="0" w:color="auto"/>
                        <w:right w:val="none" w:sz="0" w:space="0" w:color="auto"/>
                      </w:divBdr>
                      <w:divsChild>
                        <w:div w:id="21470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9042320">
      <w:bodyDiv w:val="1"/>
      <w:marLeft w:val="0"/>
      <w:marRight w:val="0"/>
      <w:marTop w:val="0"/>
      <w:marBottom w:val="0"/>
      <w:divBdr>
        <w:top w:val="none" w:sz="0" w:space="0" w:color="auto"/>
        <w:left w:val="none" w:sz="0" w:space="0" w:color="auto"/>
        <w:bottom w:val="none" w:sz="0" w:space="0" w:color="auto"/>
        <w:right w:val="none" w:sz="0" w:space="0" w:color="auto"/>
      </w:divBdr>
    </w:div>
    <w:div w:id="2110813427">
      <w:bodyDiv w:val="1"/>
      <w:marLeft w:val="0"/>
      <w:marRight w:val="0"/>
      <w:marTop w:val="0"/>
      <w:marBottom w:val="0"/>
      <w:divBdr>
        <w:top w:val="none" w:sz="0" w:space="0" w:color="auto"/>
        <w:left w:val="none" w:sz="0" w:space="0" w:color="auto"/>
        <w:bottom w:val="none" w:sz="0" w:space="0" w:color="auto"/>
        <w:right w:val="none" w:sz="0" w:space="0" w:color="auto"/>
      </w:divBdr>
    </w:div>
    <w:div w:id="2121299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employment-tribunals/" TargetMode="External"/><Relationship Id="rId13" Type="http://schemas.openxmlformats.org/officeDocument/2006/relationships/hyperlink" Target="https://www.legislation.gov.uk/ukpga/1996/18/contents" TargetMode="External"/><Relationship Id="rId18" Type="http://schemas.openxmlformats.org/officeDocument/2006/relationships/hyperlink" Target="https://www.legislation.gov.uk/ukpga/1980/58/contents" TargetMode="External"/><Relationship Id="rId3" Type="http://schemas.openxmlformats.org/officeDocument/2006/relationships/settings" Target="settings.xml"/><Relationship Id="rId21" Type="http://schemas.openxmlformats.org/officeDocument/2006/relationships/hyperlink" Target="https://www.legislation.gov.uk/ukpga/2023/28/contents/enacted" TargetMode="External"/><Relationship Id="rId7" Type="http://schemas.openxmlformats.org/officeDocument/2006/relationships/hyperlink" Target="https://www.acas.org.uk/early-conciliation" TargetMode="External"/><Relationship Id="rId12" Type="http://schemas.openxmlformats.org/officeDocument/2006/relationships/hyperlink" Target="https://www.equalityhumanrights.com/en/your-rights-work%20" TargetMode="External"/><Relationship Id="rId17" Type="http://schemas.openxmlformats.org/officeDocument/2006/relationships/hyperlink" Target="https://www.gov.uk/maternity-pay-leave" TargetMode="External"/><Relationship Id="rId2" Type="http://schemas.openxmlformats.org/officeDocument/2006/relationships/styles" Target="styles.xml"/><Relationship Id="rId16" Type="http://schemas.openxmlformats.org/officeDocument/2006/relationships/hyperlink" Target="https://www.gov.uk/shared-parental-leave-and-pay" TargetMode="External"/><Relationship Id="rId20" Type="http://schemas.openxmlformats.org/officeDocument/2006/relationships/hyperlink" Target="https://www.nhsemployers.org/articles/flexible-working%20" TargetMode="External"/><Relationship Id="rId1" Type="http://schemas.openxmlformats.org/officeDocument/2006/relationships/numbering" Target="numbering.xml"/><Relationship Id="rId6" Type="http://schemas.openxmlformats.org/officeDocument/2006/relationships/hyperlink" Target="https://www.acas.org.uk/employment-tribunals" TargetMode="External"/><Relationship Id="rId11" Type="http://schemas.openxmlformats.org/officeDocument/2006/relationships/hyperlink" Target="https://www.legislation.gov.uk/ukpga/2010/15/contents" TargetMode="External"/><Relationship Id="rId24" Type="http://schemas.openxmlformats.org/officeDocument/2006/relationships/theme" Target="theme/theme1.xml"/><Relationship Id="rId5" Type="http://schemas.openxmlformats.org/officeDocument/2006/relationships/hyperlink" Target="https://www.acas.org.uk/about-us/annual-reports" TargetMode="External"/><Relationship Id="rId15" Type="http://schemas.openxmlformats.org/officeDocument/2006/relationships/hyperlink" Target="https://www.gov.uk/holiday-entitlement-rights%20" TargetMode="External"/><Relationship Id="rId23" Type="http://schemas.openxmlformats.org/officeDocument/2006/relationships/fontTable" Target="fontTable.xml"/><Relationship Id="rId10" Type="http://schemas.openxmlformats.org/officeDocument/2006/relationships/hyperlink" Target="https://www.equalityhumanrights.com/en/holiday-pay%20" TargetMode="External"/><Relationship Id="rId19" Type="http://schemas.openxmlformats.org/officeDocument/2006/relationships/hyperlink" Target="https://maternityaction.org.uk/advice/time-limits-for-claims/%20" TargetMode="External"/><Relationship Id="rId4" Type="http://schemas.openxmlformats.org/officeDocument/2006/relationships/webSettings" Target="webSettings.xml"/><Relationship Id="rId9" Type="http://schemas.openxmlformats.org/officeDocument/2006/relationships/hyperlink" Target="https://www.cipd.org/uk/knowledge/factsheets/collective-bargaining/%20" TargetMode="External"/><Relationship Id="rId14" Type="http://schemas.openxmlformats.org/officeDocument/2006/relationships/hyperlink" Target="https://www.legislation.gov.uk/uksi/2014/1398/contents/made" TargetMode="External"/><Relationship Id="rId22" Type="http://schemas.openxmlformats.org/officeDocument/2006/relationships/hyperlink" Target="https://www.legislation.gov.uk/uksi/1998/1833/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23</Pages>
  <Words>7721</Words>
  <Characters>47800</Characters>
  <Application>Microsoft Office Word</Application>
  <DocSecurity>0</DocSecurity>
  <Lines>783</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MACDONALD, Donna</dc:creator>
  <cp:keywords/>
  <dc:description/>
  <cp:lastModifiedBy>MACDONALD, Donna</cp:lastModifiedBy>
  <cp:revision>4</cp:revision>
  <dcterms:created xsi:type="dcterms:W3CDTF">2025-07-30T13:28:00Z</dcterms:created>
  <dcterms:modified xsi:type="dcterms:W3CDTF">2025-07-30T13:49:00Z</dcterms:modified>
</cp:coreProperties>
</file>