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D4C18" w:rsidRDefault="00A07632">
      <w:pPr>
        <w:spacing w:line="360" w:lineRule="auto"/>
        <w:rPr>
          <w:b/>
          <w:bCs/>
        </w:rPr>
      </w:pPr>
      <w:r>
        <w:rPr>
          <w:b/>
          <w:bCs/>
        </w:rPr>
        <w:t xml:space="preserve"> </w:t>
      </w:r>
    </w:p>
    <w:p w14:paraId="00000002" w14:textId="77777777" w:rsidR="00CD4C18" w:rsidRDefault="00CD4C18">
      <w:pPr>
        <w:spacing w:line="360" w:lineRule="auto"/>
        <w:rPr>
          <w:b/>
          <w:bCs/>
        </w:rPr>
      </w:pPr>
    </w:p>
    <w:p w14:paraId="00000003" w14:textId="77777777" w:rsidR="00CD4C18" w:rsidRDefault="00CD4C18">
      <w:pPr>
        <w:spacing w:line="360" w:lineRule="auto"/>
        <w:rPr>
          <w:b/>
          <w:bCs/>
        </w:rPr>
      </w:pPr>
    </w:p>
    <w:p w14:paraId="00000004" w14:textId="77777777" w:rsidR="00CD4C18" w:rsidRDefault="00CD4C18">
      <w:pPr>
        <w:spacing w:line="360" w:lineRule="auto"/>
        <w:rPr>
          <w:b/>
          <w:bCs/>
        </w:rPr>
      </w:pPr>
    </w:p>
    <w:p w14:paraId="00000005" w14:textId="77777777" w:rsidR="00CD4C18" w:rsidRDefault="00CD4C18">
      <w:pPr>
        <w:spacing w:line="360" w:lineRule="auto"/>
        <w:rPr>
          <w:b/>
          <w:bCs/>
        </w:rPr>
      </w:pPr>
    </w:p>
    <w:p w14:paraId="00000006" w14:textId="77777777" w:rsidR="00CD4C18" w:rsidRDefault="00CD4C18">
      <w:pPr>
        <w:spacing w:line="360" w:lineRule="auto"/>
        <w:rPr>
          <w:b/>
          <w:bCs/>
        </w:rPr>
      </w:pPr>
    </w:p>
    <w:p w14:paraId="00000007" w14:textId="77777777" w:rsidR="00CD4C18" w:rsidRDefault="00CD4C18">
      <w:pPr>
        <w:spacing w:line="360" w:lineRule="auto"/>
        <w:rPr>
          <w:b/>
          <w:bCs/>
        </w:rPr>
      </w:pPr>
    </w:p>
    <w:p w14:paraId="00000008" w14:textId="77777777" w:rsidR="00CD4C18" w:rsidRDefault="00CD4C18">
      <w:pPr>
        <w:spacing w:line="360" w:lineRule="auto"/>
        <w:rPr>
          <w:b/>
          <w:bCs/>
        </w:rPr>
      </w:pPr>
    </w:p>
    <w:p w14:paraId="00000009" w14:textId="77777777" w:rsidR="00CD4C18" w:rsidRDefault="00CD4C18">
      <w:pPr>
        <w:spacing w:line="360" w:lineRule="auto"/>
        <w:rPr>
          <w:b/>
          <w:bCs/>
        </w:rPr>
      </w:pPr>
    </w:p>
    <w:p w14:paraId="0000000A" w14:textId="77777777" w:rsidR="00CD4C18" w:rsidRDefault="00CD4C18">
      <w:pPr>
        <w:spacing w:line="360" w:lineRule="auto"/>
        <w:rPr>
          <w:b/>
          <w:bCs/>
        </w:rPr>
      </w:pPr>
    </w:p>
    <w:p w14:paraId="0000000B" w14:textId="77777777" w:rsidR="00CD4C18" w:rsidRDefault="00CD4C18">
      <w:pPr>
        <w:spacing w:line="360" w:lineRule="auto"/>
        <w:rPr>
          <w:b/>
          <w:bCs/>
        </w:rPr>
      </w:pPr>
    </w:p>
    <w:p w14:paraId="0000000C" w14:textId="77777777" w:rsidR="00CD4C18" w:rsidRDefault="00CD4C18">
      <w:pPr>
        <w:spacing w:line="360" w:lineRule="auto"/>
        <w:rPr>
          <w:b/>
          <w:bCs/>
        </w:rPr>
      </w:pPr>
    </w:p>
    <w:p w14:paraId="0000000D" w14:textId="77777777" w:rsidR="00CD4C18" w:rsidRDefault="00CD4C18">
      <w:pPr>
        <w:spacing w:line="360" w:lineRule="auto"/>
        <w:rPr>
          <w:b/>
          <w:bCs/>
        </w:rPr>
      </w:pPr>
    </w:p>
    <w:p w14:paraId="0000000E" w14:textId="77777777" w:rsidR="00CD4C18" w:rsidRDefault="00CD4C18">
      <w:pPr>
        <w:spacing w:line="360" w:lineRule="auto"/>
        <w:rPr>
          <w:b/>
          <w:bCs/>
        </w:rPr>
      </w:pPr>
    </w:p>
    <w:p w14:paraId="0000000F" w14:textId="77777777" w:rsidR="00CD4C18" w:rsidRDefault="00A07632">
      <w:pPr>
        <w:spacing w:line="360" w:lineRule="auto"/>
      </w:pPr>
      <w:r>
        <w:rPr>
          <w:b/>
          <w:bCs/>
        </w:rPr>
        <w:t xml:space="preserve">               Student name:</w:t>
      </w:r>
      <w:r>
        <w:t xml:space="preserve"> Nabila Noreen</w:t>
      </w:r>
    </w:p>
    <w:p w14:paraId="00000010" w14:textId="77777777" w:rsidR="00CD4C18" w:rsidRDefault="00A07632">
      <w:pPr>
        <w:spacing w:line="360" w:lineRule="auto"/>
      </w:pPr>
      <w:r>
        <w:rPr>
          <w:b/>
          <w:bCs/>
        </w:rPr>
        <w:t xml:space="preserve">               Student number: </w:t>
      </w:r>
      <w:r>
        <w:t xml:space="preserve"> 2425430</w:t>
      </w:r>
    </w:p>
    <w:p w14:paraId="00000011" w14:textId="77777777" w:rsidR="00CD4C18" w:rsidRDefault="00A07632">
      <w:pPr>
        <w:spacing w:line="360" w:lineRule="auto"/>
      </w:pPr>
      <w:r>
        <w:rPr>
          <w:b/>
          <w:bCs/>
        </w:rPr>
        <w:t xml:space="preserve">               Module code and title:</w:t>
      </w:r>
      <w:r>
        <w:t xml:space="preserve"> BMHP502 (Introduction to physiology)</w:t>
      </w:r>
    </w:p>
    <w:p w14:paraId="00000012" w14:textId="77777777" w:rsidR="00CD4C18" w:rsidRDefault="00A07632">
      <w:pPr>
        <w:spacing w:line="360" w:lineRule="auto"/>
      </w:pPr>
      <w:r>
        <w:rPr>
          <w:b/>
          <w:bCs/>
        </w:rPr>
        <w:t xml:space="preserve">               Assignment title:</w:t>
      </w:r>
      <w:r>
        <w:t xml:space="preserve"> Case Study 1 – Supporting adults with Type 2 diabetes: physiology,  </w:t>
      </w:r>
    </w:p>
    <w:p w14:paraId="00000013" w14:textId="77777777" w:rsidR="00CD4C18" w:rsidRDefault="00A07632">
      <w:pPr>
        <w:spacing w:line="360" w:lineRule="auto"/>
      </w:pPr>
      <w:r>
        <w:t xml:space="preserve">               monitoring, and lifestyle management                      </w:t>
      </w:r>
    </w:p>
    <w:p w14:paraId="00000014" w14:textId="77777777" w:rsidR="00CD4C18" w:rsidRDefault="00A07632">
      <w:pPr>
        <w:spacing w:line="360" w:lineRule="auto"/>
      </w:pPr>
      <w:r>
        <w:rPr>
          <w:b/>
          <w:bCs/>
        </w:rPr>
        <w:t xml:space="preserve">               Word count (excluding reference list):</w:t>
      </w:r>
      <w:r>
        <w:t xml:space="preserve"> 2,000</w:t>
      </w:r>
    </w:p>
    <w:p w14:paraId="00000015" w14:textId="77777777" w:rsidR="00CD4C18" w:rsidRDefault="00CD4C18">
      <w:pPr>
        <w:spacing w:line="360" w:lineRule="auto"/>
      </w:pPr>
    </w:p>
    <w:p w14:paraId="00000016" w14:textId="77777777" w:rsidR="00CD4C18" w:rsidRDefault="00CD4C18">
      <w:pPr>
        <w:spacing w:line="360" w:lineRule="auto"/>
      </w:pPr>
    </w:p>
    <w:p w14:paraId="00000017" w14:textId="77777777" w:rsidR="00CD4C18" w:rsidRDefault="00CD4C18">
      <w:pPr>
        <w:spacing w:line="360" w:lineRule="auto"/>
      </w:pPr>
    </w:p>
    <w:p w14:paraId="00000018" w14:textId="77777777" w:rsidR="00CD4C18" w:rsidRDefault="00CD4C18">
      <w:pPr>
        <w:spacing w:line="360" w:lineRule="auto"/>
      </w:pPr>
    </w:p>
    <w:p w14:paraId="00000019" w14:textId="77777777" w:rsidR="00CD4C18" w:rsidRDefault="00CD4C18">
      <w:pPr>
        <w:spacing w:line="360" w:lineRule="auto"/>
      </w:pPr>
    </w:p>
    <w:p w14:paraId="0000001A" w14:textId="77777777" w:rsidR="00CD4C18" w:rsidRDefault="00CD4C18">
      <w:pPr>
        <w:spacing w:line="360" w:lineRule="auto"/>
      </w:pPr>
    </w:p>
    <w:p w14:paraId="0000001B" w14:textId="77777777" w:rsidR="00CD4C18" w:rsidRDefault="00CD4C18">
      <w:pPr>
        <w:spacing w:line="360" w:lineRule="auto"/>
      </w:pPr>
    </w:p>
    <w:p w14:paraId="0000001C" w14:textId="77777777" w:rsidR="00CD4C18" w:rsidRDefault="00CD4C18">
      <w:pPr>
        <w:spacing w:line="360" w:lineRule="auto"/>
      </w:pPr>
    </w:p>
    <w:p w14:paraId="0000001D" w14:textId="77777777" w:rsidR="00CD4C18" w:rsidRDefault="00CD4C18">
      <w:pPr>
        <w:spacing w:line="360" w:lineRule="auto"/>
      </w:pPr>
    </w:p>
    <w:p w14:paraId="0000001E" w14:textId="77777777" w:rsidR="00CD4C18" w:rsidRDefault="00CD4C18">
      <w:pPr>
        <w:spacing w:line="360" w:lineRule="auto"/>
      </w:pPr>
    </w:p>
    <w:p w14:paraId="0000001F" w14:textId="77777777" w:rsidR="00CD4C18" w:rsidRDefault="00CD4C18">
      <w:pPr>
        <w:spacing w:line="360" w:lineRule="auto"/>
      </w:pPr>
    </w:p>
    <w:p w14:paraId="00000020" w14:textId="77777777" w:rsidR="00CD4C18" w:rsidRDefault="00CD4C18">
      <w:pPr>
        <w:spacing w:line="360" w:lineRule="auto"/>
      </w:pPr>
    </w:p>
    <w:p w14:paraId="00000021" w14:textId="77777777" w:rsidR="00CD4C18" w:rsidRDefault="00CD4C18">
      <w:pPr>
        <w:spacing w:line="360" w:lineRule="auto"/>
      </w:pPr>
    </w:p>
    <w:p w14:paraId="00000022" w14:textId="77777777" w:rsidR="00CD4C18" w:rsidRDefault="00CD4C18">
      <w:pPr>
        <w:spacing w:line="360" w:lineRule="auto"/>
      </w:pPr>
    </w:p>
    <w:p w14:paraId="00000023" w14:textId="77777777" w:rsidR="00CD4C18" w:rsidRDefault="00A07632">
      <w:pPr>
        <w:pStyle w:val="Heading1"/>
        <w:keepNext w:val="0"/>
        <w:keepLines w:val="0"/>
        <w:spacing w:before="480" w:line="360" w:lineRule="auto"/>
        <w:rPr>
          <w:b/>
          <w:bCs/>
          <w:sz w:val="46"/>
          <w:szCs w:val="46"/>
        </w:rPr>
      </w:pPr>
      <w:bookmarkStart w:id="0" w:name="_4qwcsu4ombso" w:colFirst="0" w:colLast="0"/>
      <w:bookmarkEnd w:id="0"/>
      <w:r>
        <w:rPr>
          <w:b/>
          <w:bCs/>
          <w:sz w:val="46"/>
          <w:szCs w:val="46"/>
        </w:rPr>
        <w:t>Case Study 1 Report (Type 2 Diabetes)</w:t>
      </w:r>
    </w:p>
    <w:p w14:paraId="00000024" w14:textId="77777777" w:rsidR="00CD4C18" w:rsidRDefault="00A07632">
      <w:pPr>
        <w:pStyle w:val="Heading2"/>
        <w:keepNext w:val="0"/>
        <w:keepLines w:val="0"/>
        <w:spacing w:after="80" w:line="360" w:lineRule="auto"/>
        <w:rPr>
          <w:b/>
          <w:bCs/>
          <w:sz w:val="34"/>
          <w:szCs w:val="34"/>
        </w:rPr>
      </w:pPr>
      <w:bookmarkStart w:id="1" w:name="_d8rnfy5was2m" w:colFirst="0" w:colLast="0"/>
      <w:bookmarkEnd w:id="1"/>
      <w:r>
        <w:rPr>
          <w:b/>
          <w:bCs/>
          <w:sz w:val="34"/>
          <w:szCs w:val="34"/>
        </w:rPr>
        <w:t>a) Introduction: what diabetes is and what the risk factors are</w:t>
      </w:r>
    </w:p>
    <w:p w14:paraId="00000025" w14:textId="77777777" w:rsidR="00CD4C18" w:rsidRDefault="00A07632">
      <w:pPr>
        <w:spacing w:before="240" w:after="240" w:line="360" w:lineRule="auto"/>
      </w:pPr>
      <w:r>
        <w:t>Diabetes is a chronic metabolic condition characterized by elevated levels of blood glucose (hyperglycemia) resulting from impairments in insulin secretion, insulin action, or both. The primary pathologic process in T2D is insulin resistance (declining insulin sensitivity of peripheral tissues), occurring along with progressive β-cell dysfunction, leading to an inadequate insulin secretion to maintain euglycemia. Chronic hyperglycemia also injures blood vessels and nerves, causing increased susceptibility t</w:t>
      </w:r>
      <w:r>
        <w:t>o cardiovascular, renal, retinopathic (eye damage), and foot problems (NHS, 2024a; WHO, 2024).</w:t>
      </w:r>
    </w:p>
    <w:p w14:paraId="00000026" w14:textId="77777777" w:rsidR="00CD4C18" w:rsidRDefault="00A07632">
      <w:pPr>
        <w:spacing w:before="240" w:after="240" w:line="360" w:lineRule="auto"/>
        <w:rPr>
          <w:b/>
          <w:bCs/>
          <w:sz w:val="34"/>
          <w:szCs w:val="34"/>
        </w:rPr>
      </w:pPr>
      <w:r>
        <w:t>For T2D, there are modifiable and nonmodifiable risk factors. Ageing, a family history, and certain ethnicities, are also non-modifiable risk factors for the disease at reduced BMI levels. Overweight/obesity, particularly central/visceral adiposity, a sedentary lifestyle, and smoking, are the strongest modifiable risk factors for T2D. Visceral fat may also worsen insulin resistance, through inflammatory mediators and by dumping fatty acids into the liver where they are turned in glucose. In England, service</w:t>
      </w:r>
      <w:r>
        <w:t xml:space="preserve">s are focused on risk reduction, through weight loss, increased physical activity and smoking cessation, as T2D may be prevented or delayed or its management enhanced by such interventions (NHS, 2024b; Diabetes UK, 2023a). The majority of day-to-day management of T2D is done by patients themselves from the perspective of primary care, with clinical teams supporting patients, which may include providing education and optimising medication, as well as monitoring outcomes and complications. </w:t>
      </w:r>
    </w:p>
    <w:p w14:paraId="00000027" w14:textId="77777777" w:rsidR="00CD4C18" w:rsidRDefault="00CD4C18">
      <w:pPr>
        <w:pStyle w:val="Heading2"/>
        <w:keepNext w:val="0"/>
        <w:keepLines w:val="0"/>
        <w:spacing w:after="80" w:line="360" w:lineRule="auto"/>
        <w:rPr>
          <w:b/>
          <w:bCs/>
          <w:sz w:val="34"/>
          <w:szCs w:val="34"/>
        </w:rPr>
      </w:pPr>
      <w:bookmarkStart w:id="2" w:name="_m3rjv628ujv3" w:colFirst="0" w:colLast="0"/>
      <w:bookmarkEnd w:id="2"/>
    </w:p>
    <w:p w14:paraId="00000028" w14:textId="77777777" w:rsidR="00CD4C18" w:rsidRDefault="00CD4C18">
      <w:pPr>
        <w:pStyle w:val="Heading2"/>
        <w:keepNext w:val="0"/>
        <w:keepLines w:val="0"/>
        <w:spacing w:after="80" w:line="360" w:lineRule="auto"/>
        <w:rPr>
          <w:b/>
          <w:bCs/>
          <w:sz w:val="34"/>
          <w:szCs w:val="34"/>
        </w:rPr>
      </w:pPr>
      <w:bookmarkStart w:id="3" w:name="_a1fjke9gl0oz" w:colFirst="0" w:colLast="0"/>
      <w:bookmarkEnd w:id="3"/>
    </w:p>
    <w:p w14:paraId="00000029" w14:textId="77777777" w:rsidR="00CD4C18" w:rsidRDefault="00A07632">
      <w:pPr>
        <w:pStyle w:val="Heading2"/>
        <w:keepNext w:val="0"/>
        <w:keepLines w:val="0"/>
        <w:spacing w:after="80" w:line="360" w:lineRule="auto"/>
        <w:rPr>
          <w:b/>
          <w:bCs/>
          <w:sz w:val="34"/>
          <w:szCs w:val="34"/>
        </w:rPr>
      </w:pPr>
      <w:bookmarkStart w:id="4" w:name="_en3ogqrtwm8e" w:colFirst="0" w:colLast="0"/>
      <w:bookmarkEnd w:id="4"/>
      <w:r>
        <w:rPr>
          <w:b/>
          <w:bCs/>
          <w:sz w:val="34"/>
          <w:szCs w:val="34"/>
        </w:rPr>
        <w:t>b) How blood sugar levels are maintained at a safe and effective level</w:t>
      </w:r>
    </w:p>
    <w:p w14:paraId="0000002A" w14:textId="77777777" w:rsidR="00CD4C18" w:rsidRDefault="00A07632">
      <w:pPr>
        <w:pStyle w:val="Heading3"/>
        <w:keepNext w:val="0"/>
        <w:keepLines w:val="0"/>
        <w:spacing w:before="280" w:line="360" w:lineRule="auto"/>
        <w:rPr>
          <w:b/>
          <w:bCs/>
          <w:color w:val="000000"/>
          <w:sz w:val="26"/>
          <w:szCs w:val="26"/>
        </w:rPr>
      </w:pPr>
      <w:bookmarkStart w:id="5" w:name="_a0ddo5oitypc" w:colFirst="0" w:colLast="0"/>
      <w:bookmarkEnd w:id="5"/>
      <w:r>
        <w:rPr>
          <w:b/>
          <w:bCs/>
          <w:color w:val="000000"/>
          <w:sz w:val="26"/>
          <w:szCs w:val="26"/>
        </w:rPr>
        <w:t>Key organs and hormones in glucose homeostasis</w:t>
      </w:r>
    </w:p>
    <w:p w14:paraId="0000002B" w14:textId="77777777" w:rsidR="00CD4C18" w:rsidRDefault="00A07632">
      <w:pPr>
        <w:spacing w:before="240" w:after="240" w:line="360" w:lineRule="auto"/>
        <w:ind w:left="720"/>
        <w:rPr>
          <w:color w:val="262626"/>
          <w:highlight w:val="white"/>
        </w:rPr>
      </w:pPr>
      <w:r>
        <w:rPr>
          <w:color w:val="262626"/>
          <w:highlight w:val="white"/>
        </w:rPr>
        <w:t>Tight control of blood glucose levels is especially important because glucose is a major fuel for the brain and many tissues and elevated glucose levels are toxic to blood vessels. Glucose homeostasis is regulated by the endocrine pancreas, liver, skeletal muscle and adipose tissue.</w:t>
      </w:r>
    </w:p>
    <w:p w14:paraId="0000002C" w14:textId="77777777" w:rsidR="00CD4C18" w:rsidRDefault="00A07632">
      <w:pPr>
        <w:spacing w:before="240" w:after="240" w:line="360" w:lineRule="auto"/>
        <w:ind w:left="720"/>
        <w:rPr>
          <w:color w:val="262626"/>
          <w:highlight w:val="white"/>
        </w:rPr>
      </w:pPr>
      <w:r>
        <w:rPr>
          <w:color w:val="262626"/>
          <w:highlight w:val="white"/>
        </w:rPr>
        <w:t>Insulin released from pancreatic beta cells is secreted in response to raised blood glucose (e.g. postprandially).Insulin decreases blood glucose through:</w:t>
      </w:r>
    </w:p>
    <w:p w14:paraId="0000002D" w14:textId="77777777" w:rsidR="00CD4C18" w:rsidRDefault="00A07632">
      <w:pPr>
        <w:numPr>
          <w:ilvl w:val="0"/>
          <w:numId w:val="5"/>
        </w:numPr>
        <w:spacing w:before="240" w:line="360" w:lineRule="auto"/>
        <w:rPr>
          <w:color w:val="262626"/>
          <w:highlight w:val="white"/>
        </w:rPr>
      </w:pPr>
      <w:r>
        <w:rPr>
          <w:color w:val="262626"/>
          <w:highlight w:val="white"/>
        </w:rPr>
        <w:t>promoting glucose uptake in insulin-sensitive tissues (particularly muscle and adipose tissue) through translocation of GLUT4 transporters to the cell membrane</w:t>
      </w:r>
    </w:p>
    <w:p w14:paraId="0000002E" w14:textId="77777777" w:rsidR="00CD4C18" w:rsidRDefault="00A07632">
      <w:pPr>
        <w:numPr>
          <w:ilvl w:val="0"/>
          <w:numId w:val="5"/>
        </w:numPr>
        <w:spacing w:line="360" w:lineRule="auto"/>
        <w:rPr>
          <w:color w:val="262626"/>
          <w:highlight w:val="white"/>
        </w:rPr>
      </w:pPr>
      <w:r>
        <w:rPr>
          <w:color w:val="262626"/>
          <w:highlight w:val="white"/>
        </w:rPr>
        <w:t>stimulating glycogen formation in liver and muscle</w:t>
      </w:r>
    </w:p>
    <w:p w14:paraId="0000002F" w14:textId="77777777" w:rsidR="00CD4C18" w:rsidRDefault="00A07632">
      <w:pPr>
        <w:numPr>
          <w:ilvl w:val="0"/>
          <w:numId w:val="5"/>
        </w:numPr>
        <w:spacing w:line="360" w:lineRule="auto"/>
        <w:rPr>
          <w:color w:val="262626"/>
          <w:highlight w:val="white"/>
        </w:rPr>
      </w:pPr>
      <w:r>
        <w:rPr>
          <w:color w:val="262626"/>
          <w:highlight w:val="white"/>
        </w:rPr>
        <w:t>inducing lipogenesis and inhibiting lipolysis</w:t>
      </w:r>
    </w:p>
    <w:p w14:paraId="00000030" w14:textId="77777777" w:rsidR="00CD4C18" w:rsidRDefault="00A07632">
      <w:pPr>
        <w:numPr>
          <w:ilvl w:val="0"/>
          <w:numId w:val="5"/>
        </w:numPr>
        <w:spacing w:after="240" w:line="360" w:lineRule="auto"/>
        <w:rPr>
          <w:color w:val="262626"/>
          <w:highlight w:val="white"/>
        </w:rPr>
      </w:pPr>
      <w:r>
        <w:rPr>
          <w:color w:val="262626"/>
          <w:highlight w:val="white"/>
        </w:rPr>
        <w:t>suppressing hepatic glucose production through inhibition of gluconeogenesis and glycogenolysis</w:t>
      </w:r>
    </w:p>
    <w:p w14:paraId="00000031" w14:textId="77777777" w:rsidR="00CD4C18" w:rsidRDefault="00CD4C18">
      <w:pPr>
        <w:spacing w:before="240" w:after="240" w:line="360" w:lineRule="auto"/>
      </w:pPr>
    </w:p>
    <w:p w14:paraId="00000032" w14:textId="77777777" w:rsidR="00CD4C18" w:rsidRDefault="00A07632">
      <w:pPr>
        <w:spacing w:before="240" w:after="240" w:line="360" w:lineRule="auto"/>
      </w:pPr>
      <w:r>
        <w:t xml:space="preserve">In contrast, when blood glucose levels drop (e.g., fasting), pancreatic alpha cells release glucagon. Glucagon increases glucose by inducing liver to degrade glycogen (glycogenolysis) and synthesize glucose (gluconeogenesis). </w:t>
      </w:r>
    </w:p>
    <w:p w14:paraId="00000033" w14:textId="77777777" w:rsidR="00CD4C18" w:rsidRDefault="00CD4C18">
      <w:pPr>
        <w:spacing w:before="240" w:after="240" w:line="360" w:lineRule="auto"/>
      </w:pPr>
    </w:p>
    <w:p w14:paraId="00000034" w14:textId="77777777" w:rsidR="00CD4C18" w:rsidRDefault="00CD4C18">
      <w:pPr>
        <w:pStyle w:val="Heading3"/>
        <w:keepNext w:val="0"/>
        <w:keepLines w:val="0"/>
        <w:spacing w:before="280" w:line="360" w:lineRule="auto"/>
        <w:rPr>
          <w:b/>
          <w:bCs/>
          <w:color w:val="000000"/>
          <w:sz w:val="26"/>
          <w:szCs w:val="26"/>
        </w:rPr>
      </w:pPr>
      <w:bookmarkStart w:id="6" w:name="_8z3qq6jhqty4" w:colFirst="0" w:colLast="0"/>
      <w:bookmarkEnd w:id="6"/>
    </w:p>
    <w:p w14:paraId="00000035" w14:textId="77777777" w:rsidR="00CD4C18" w:rsidRDefault="00CD4C18">
      <w:pPr>
        <w:pStyle w:val="Heading3"/>
        <w:keepNext w:val="0"/>
        <w:keepLines w:val="0"/>
        <w:spacing w:before="280" w:line="360" w:lineRule="auto"/>
        <w:rPr>
          <w:b/>
          <w:bCs/>
          <w:color w:val="000000"/>
          <w:sz w:val="26"/>
          <w:szCs w:val="26"/>
        </w:rPr>
      </w:pPr>
      <w:bookmarkStart w:id="7" w:name="_4yrcur3qif1d" w:colFirst="0" w:colLast="0"/>
      <w:bookmarkEnd w:id="7"/>
    </w:p>
    <w:p w14:paraId="00000036" w14:textId="77777777" w:rsidR="00CD4C18" w:rsidRDefault="00CD4C18">
      <w:pPr>
        <w:pStyle w:val="Heading3"/>
        <w:keepNext w:val="0"/>
        <w:keepLines w:val="0"/>
        <w:spacing w:before="280" w:line="360" w:lineRule="auto"/>
        <w:rPr>
          <w:b/>
          <w:bCs/>
          <w:color w:val="000000"/>
          <w:sz w:val="26"/>
          <w:szCs w:val="26"/>
        </w:rPr>
      </w:pPr>
      <w:bookmarkStart w:id="8" w:name="_ookz1nq354si" w:colFirst="0" w:colLast="0"/>
      <w:bookmarkEnd w:id="8"/>
    </w:p>
    <w:p w14:paraId="00000037" w14:textId="77777777" w:rsidR="00CD4C18" w:rsidRDefault="00CD4C18">
      <w:pPr>
        <w:pStyle w:val="Heading3"/>
        <w:keepNext w:val="0"/>
        <w:keepLines w:val="0"/>
        <w:spacing w:before="280" w:line="360" w:lineRule="auto"/>
        <w:rPr>
          <w:b/>
          <w:bCs/>
          <w:color w:val="000000"/>
          <w:sz w:val="26"/>
          <w:szCs w:val="26"/>
        </w:rPr>
      </w:pPr>
      <w:bookmarkStart w:id="9" w:name="_2w080exu7rur" w:colFirst="0" w:colLast="0"/>
      <w:bookmarkEnd w:id="9"/>
    </w:p>
    <w:p w14:paraId="00000038" w14:textId="77777777" w:rsidR="00CD4C18" w:rsidRDefault="00A07632">
      <w:pPr>
        <w:pStyle w:val="Heading3"/>
        <w:keepNext w:val="0"/>
        <w:keepLines w:val="0"/>
        <w:spacing w:before="280" w:line="360" w:lineRule="auto"/>
        <w:rPr>
          <w:b/>
          <w:bCs/>
          <w:color w:val="000000"/>
          <w:sz w:val="26"/>
          <w:szCs w:val="26"/>
        </w:rPr>
      </w:pPr>
      <w:bookmarkStart w:id="10" w:name="_kyv3hcfkuyvq" w:colFirst="0" w:colLast="0"/>
      <w:bookmarkEnd w:id="10"/>
      <w:r>
        <w:rPr>
          <w:b/>
          <w:bCs/>
          <w:color w:val="000000"/>
          <w:sz w:val="26"/>
          <w:szCs w:val="26"/>
        </w:rPr>
        <w:t>What goes wrong in Type 2 diabetes</w:t>
      </w:r>
    </w:p>
    <w:p w14:paraId="00000039" w14:textId="77777777" w:rsidR="00CD4C18" w:rsidRDefault="00A07632">
      <w:pPr>
        <w:numPr>
          <w:ilvl w:val="0"/>
          <w:numId w:val="6"/>
        </w:numPr>
        <w:spacing w:before="240" w:line="360" w:lineRule="auto"/>
        <w:rPr>
          <w:sz w:val="20"/>
          <w:szCs w:val="20"/>
        </w:rPr>
      </w:pPr>
      <w:r>
        <w:rPr>
          <w:highlight w:val="white"/>
        </w:rPr>
        <w:t>Insulin is still present (especially early on) but tissues have become insulin resistant. The pancreas compensates by secreting more insulin, but over time the beta cells become exhausted and blood glucose rises in response to meals and eventually in the fasting state. Aberrant production of liver glucose, despite being suppressed, is also frequent, and plays a part in the raised fasting glucose levels. That’s why the treatment of T2D is usually aimed at:</w:t>
      </w:r>
    </w:p>
    <w:p w14:paraId="0000003A" w14:textId="77777777" w:rsidR="00CD4C18" w:rsidRDefault="00A07632">
      <w:pPr>
        <w:numPr>
          <w:ilvl w:val="0"/>
          <w:numId w:val="6"/>
        </w:numPr>
        <w:spacing w:line="360" w:lineRule="auto"/>
        <w:rPr>
          <w:sz w:val="20"/>
          <w:szCs w:val="20"/>
        </w:rPr>
      </w:pPr>
      <w:r>
        <w:rPr>
          <w:highlight w:val="white"/>
        </w:rPr>
        <w:t>improving insulin resistance (weight loss, exercise, some drugs), promoting insulin secretion when appropriate, and</w:t>
      </w:r>
    </w:p>
    <w:p w14:paraId="0000003B" w14:textId="77777777" w:rsidR="00CD4C18" w:rsidRDefault="00A07632">
      <w:pPr>
        <w:numPr>
          <w:ilvl w:val="0"/>
          <w:numId w:val="6"/>
        </w:numPr>
        <w:spacing w:after="240" w:line="360" w:lineRule="auto"/>
        <w:rPr>
          <w:sz w:val="20"/>
          <w:szCs w:val="20"/>
        </w:rPr>
      </w:pPr>
      <w:r>
        <w:rPr>
          <w:highlight w:val="white"/>
        </w:rPr>
        <w:t>3) decreasing hepatic glucose production (e.g., metformin is a popular choice). (WHO, 2024; NICE, 2024).</w:t>
      </w:r>
    </w:p>
    <w:p w14:paraId="0000003C" w14:textId="77777777" w:rsidR="00CD4C18" w:rsidRDefault="00CD4C18">
      <w:pPr>
        <w:pStyle w:val="Heading3"/>
        <w:keepNext w:val="0"/>
        <w:keepLines w:val="0"/>
        <w:spacing w:before="280" w:line="360" w:lineRule="auto"/>
        <w:rPr>
          <w:b/>
          <w:bCs/>
          <w:color w:val="000000"/>
          <w:sz w:val="26"/>
          <w:szCs w:val="26"/>
        </w:rPr>
      </w:pPr>
      <w:bookmarkStart w:id="11" w:name="_kq7i642hfuqm" w:colFirst="0" w:colLast="0"/>
      <w:bookmarkEnd w:id="11"/>
    </w:p>
    <w:p w14:paraId="0000003D" w14:textId="77777777" w:rsidR="00CD4C18" w:rsidRDefault="00CD4C18">
      <w:pPr>
        <w:pStyle w:val="Heading3"/>
        <w:keepNext w:val="0"/>
        <w:keepLines w:val="0"/>
        <w:spacing w:before="280" w:line="360" w:lineRule="auto"/>
        <w:rPr>
          <w:b/>
          <w:bCs/>
          <w:color w:val="000000"/>
          <w:sz w:val="26"/>
          <w:szCs w:val="26"/>
        </w:rPr>
      </w:pPr>
      <w:bookmarkStart w:id="12" w:name="_a0b09mvbb3w" w:colFirst="0" w:colLast="0"/>
      <w:bookmarkEnd w:id="12"/>
    </w:p>
    <w:p w14:paraId="0000003E" w14:textId="77777777" w:rsidR="00CD4C18" w:rsidRDefault="00A07632">
      <w:pPr>
        <w:pStyle w:val="Heading3"/>
        <w:keepNext w:val="0"/>
        <w:keepLines w:val="0"/>
        <w:spacing w:before="280" w:line="360" w:lineRule="auto"/>
        <w:rPr>
          <w:b/>
          <w:bCs/>
          <w:color w:val="000000"/>
          <w:sz w:val="26"/>
          <w:szCs w:val="26"/>
        </w:rPr>
      </w:pPr>
      <w:bookmarkStart w:id="13" w:name="_g2ildokcj92q" w:colFirst="0" w:colLast="0"/>
      <w:bookmarkEnd w:id="13"/>
      <w:r>
        <w:rPr>
          <w:b/>
          <w:bCs/>
          <w:color w:val="000000"/>
          <w:sz w:val="26"/>
          <w:szCs w:val="26"/>
        </w:rPr>
        <w:t>How “safe levels” are assessed in practice (routine data)</w:t>
      </w:r>
    </w:p>
    <w:p w14:paraId="0000003F" w14:textId="77777777" w:rsidR="00CD4C18" w:rsidRDefault="00A07632">
      <w:pPr>
        <w:spacing w:before="240" w:after="240" w:line="360" w:lineRule="auto"/>
        <w:rPr>
          <w:highlight w:val="white"/>
        </w:rPr>
      </w:pPr>
      <w:r>
        <w:rPr>
          <w:highlight w:val="white"/>
        </w:rPr>
        <w:t>In practice, both short-term and long-term measures are used to evaluate glucose control. This provides the clinician with information about overall control above the day-to-day variation and is employed to direct treatment intensity and to monitor progress (Diabetes UK, 2024).</w:t>
      </w:r>
    </w:p>
    <w:p w14:paraId="00000040" w14:textId="77777777" w:rsidR="00CD4C18" w:rsidRDefault="00A07632">
      <w:pPr>
        <w:spacing w:before="240" w:after="240" w:line="360" w:lineRule="auto"/>
        <w:rPr>
          <w:sz w:val="20"/>
          <w:szCs w:val="20"/>
        </w:rPr>
      </w:pPr>
      <w:r>
        <w:rPr>
          <w:highlight w:val="white"/>
        </w:rPr>
        <w:t>Monitoring of blood pressure, lipids, kidney function and foot/eye screening is also part of routine diabetes care in UK primary care, as risk of complications is a multifactorial-driven process rather than one driven by glucose alone (NHS, 2024a; NICE, 2024).</w:t>
      </w:r>
    </w:p>
    <w:p w14:paraId="00000041" w14:textId="77777777" w:rsidR="00CD4C18" w:rsidRDefault="00A07632">
      <w:pPr>
        <w:spacing w:line="360" w:lineRule="auto"/>
      </w:pPr>
      <w:r>
        <w:rPr>
          <w:noProof/>
        </w:rPr>
      </w:r>
      <w:r w:rsidR="00A07632">
        <w:rPr>
          <w:noProof/>
        </w:rPr>
        <w:pict w14:anchorId="3AEADAAF">
          <v:rect id="_x0000_i1025" style="width:0;height:1.5pt" o:hralign="center" o:hrstd="t" o:hr="t" fillcolor="#a0a0a0" stroked="f"/>
        </w:pict>
      </w:r>
    </w:p>
    <w:p w14:paraId="00000042" w14:textId="77777777" w:rsidR="00CD4C18" w:rsidRDefault="00A07632">
      <w:pPr>
        <w:pStyle w:val="Heading2"/>
        <w:keepNext w:val="0"/>
        <w:keepLines w:val="0"/>
        <w:spacing w:after="80" w:line="360" w:lineRule="auto"/>
        <w:rPr>
          <w:b/>
          <w:bCs/>
          <w:sz w:val="34"/>
          <w:szCs w:val="34"/>
        </w:rPr>
      </w:pPr>
      <w:bookmarkStart w:id="14" w:name="_rp65a0rbpk4m" w:colFirst="0" w:colLast="0"/>
      <w:bookmarkEnd w:id="14"/>
      <w:r>
        <w:rPr>
          <w:b/>
          <w:bCs/>
          <w:sz w:val="34"/>
          <w:szCs w:val="34"/>
        </w:rPr>
        <w:t>c) How oxygen and glucose are used to produce energy through cell metabolism</w:t>
      </w:r>
    </w:p>
    <w:p w14:paraId="00000043" w14:textId="77777777" w:rsidR="00CD4C18" w:rsidRDefault="00A07632">
      <w:pPr>
        <w:spacing w:before="240" w:after="240" w:line="360" w:lineRule="auto"/>
      </w:pPr>
      <w:r>
        <w:t xml:space="preserve">The cells transform the chemical energy of glucose into ATP, the energy “currency” that is used for contraction of muscle, active transport, and biosynthesis. </w:t>
      </w:r>
    </w:p>
    <w:p w14:paraId="00000044" w14:textId="77777777" w:rsidR="00CD4C18" w:rsidRDefault="00A07632">
      <w:pPr>
        <w:pStyle w:val="Heading3"/>
        <w:keepNext w:val="0"/>
        <w:keepLines w:val="0"/>
        <w:spacing w:before="280" w:line="360" w:lineRule="auto"/>
        <w:rPr>
          <w:b/>
          <w:bCs/>
          <w:color w:val="000000"/>
          <w:sz w:val="26"/>
          <w:szCs w:val="26"/>
        </w:rPr>
      </w:pPr>
      <w:bookmarkStart w:id="15" w:name="_vgeu7muco8dv" w:colFirst="0" w:colLast="0"/>
      <w:bookmarkEnd w:id="15"/>
      <w:r>
        <w:rPr>
          <w:b/>
          <w:bCs/>
          <w:color w:val="000000"/>
          <w:sz w:val="26"/>
          <w:szCs w:val="26"/>
        </w:rPr>
        <w:t>Step 1: Glycolysis (cytoplasm)</w:t>
      </w:r>
    </w:p>
    <w:p w14:paraId="00000045" w14:textId="77777777" w:rsidR="00CD4C18" w:rsidRDefault="00A0763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pPr>
      <w:r>
        <w:t>Glycolysis cleaves one glucose into two pyruvates with production of a small amount of ATP and reducing equivalents (NADH). This phase is not oxygen-dependent.</w:t>
      </w:r>
    </w:p>
    <w:p w14:paraId="00000046" w14:textId="77777777" w:rsidR="00CD4C18" w:rsidRDefault="00A07632">
      <w:pPr>
        <w:pStyle w:val="Heading3"/>
        <w:keepNext w:val="0"/>
        <w:keepLines w:val="0"/>
        <w:spacing w:before="280" w:line="360" w:lineRule="auto"/>
        <w:rPr>
          <w:b/>
          <w:bCs/>
          <w:color w:val="000000"/>
          <w:sz w:val="26"/>
          <w:szCs w:val="26"/>
        </w:rPr>
      </w:pPr>
      <w:bookmarkStart w:id="16" w:name="_8drh37u4j2f8" w:colFirst="0" w:colLast="0"/>
      <w:bookmarkEnd w:id="16"/>
      <w:r>
        <w:rPr>
          <w:b/>
          <w:bCs/>
          <w:color w:val="000000"/>
          <w:sz w:val="26"/>
          <w:szCs w:val="26"/>
        </w:rPr>
        <w:t>Step 2: Pyruvate oxidation and the citric acid (Krebs) cycle (mitochondria)</w:t>
      </w:r>
    </w:p>
    <w:p w14:paraId="00000047" w14:textId="77777777" w:rsidR="00CD4C18" w:rsidRDefault="00A07632">
      <w:pPr>
        <w:spacing w:before="240" w:after="240" w:line="360" w:lineRule="auto"/>
        <w:rPr>
          <w:sz w:val="20"/>
          <w:szCs w:val="20"/>
        </w:rPr>
      </w:pPr>
      <w:r>
        <w:rPr>
          <w:highlight w:val="white"/>
        </w:rPr>
        <w:t>In oxygen’s presence, pyruvate goes into mitochondria where it is turned into acetyl-CoA. Acetyl-CoA proceeds through the citric acid cycle, liberating CO₂ and harvesting high-energy electrons in the form of NADH and FADH₂. This produces a little ATP and stores most of the energy for use in the next step (OpenStax, 2013).</w:t>
      </w:r>
    </w:p>
    <w:p w14:paraId="00000048" w14:textId="77777777" w:rsidR="00CD4C18" w:rsidRDefault="00A07632">
      <w:pPr>
        <w:pStyle w:val="Heading3"/>
        <w:keepNext w:val="0"/>
        <w:keepLines w:val="0"/>
        <w:spacing w:before="280" w:line="360" w:lineRule="auto"/>
        <w:rPr>
          <w:b/>
          <w:bCs/>
          <w:color w:val="000000"/>
          <w:sz w:val="26"/>
          <w:szCs w:val="26"/>
        </w:rPr>
      </w:pPr>
      <w:bookmarkStart w:id="17" w:name="_w9e1kusqfnzg" w:colFirst="0" w:colLast="0"/>
      <w:bookmarkEnd w:id="17"/>
      <w:r>
        <w:rPr>
          <w:b/>
          <w:bCs/>
          <w:color w:val="000000"/>
          <w:sz w:val="26"/>
          <w:szCs w:val="26"/>
        </w:rPr>
        <w:t>Step 3: Electron transport chain and oxidative phosphorylation (mitochondrial inner membrane)</w:t>
      </w:r>
    </w:p>
    <w:p w14:paraId="00000049" w14:textId="77777777" w:rsidR="00CD4C18" w:rsidRDefault="00A07632">
      <w:pPr>
        <w:spacing w:before="240" w:after="240" w:line="360" w:lineRule="auto"/>
        <w:rPr>
          <w:sz w:val="20"/>
          <w:szCs w:val="20"/>
        </w:rPr>
      </w:pPr>
      <w:r>
        <w:rPr>
          <w:highlight w:val="white"/>
        </w:rPr>
        <w:t>NADH and FADH2 transfer electrons to the electron transport chain. As the electrons pass through protein complexes, protons are pumped to form a gradient. This gradient is used by ATP synthase to make the majority of the ATP. The final electron acceptor is oxygen, which combines with the electrons to form water.</w:t>
      </w:r>
    </w:p>
    <w:p w14:paraId="0000004A" w14:textId="77777777" w:rsidR="00CD4C18" w:rsidRDefault="00CD4C18">
      <w:pPr>
        <w:pStyle w:val="Heading3"/>
        <w:keepNext w:val="0"/>
        <w:keepLines w:val="0"/>
        <w:spacing w:before="280" w:line="360" w:lineRule="auto"/>
        <w:rPr>
          <w:color w:val="000000"/>
          <w:sz w:val="22"/>
          <w:szCs w:val="22"/>
        </w:rPr>
      </w:pPr>
      <w:bookmarkStart w:id="18" w:name="_x703hijw25v4" w:colFirst="0" w:colLast="0"/>
      <w:bookmarkEnd w:id="18"/>
    </w:p>
    <w:p w14:paraId="0000004B" w14:textId="77777777" w:rsidR="00CD4C18" w:rsidRDefault="00A07632">
      <w:pPr>
        <w:pStyle w:val="Heading3"/>
        <w:keepNext w:val="0"/>
        <w:keepLines w:val="0"/>
        <w:spacing w:before="280" w:line="360" w:lineRule="auto"/>
        <w:rPr>
          <w:b/>
          <w:bCs/>
          <w:color w:val="000000"/>
          <w:sz w:val="26"/>
          <w:szCs w:val="26"/>
        </w:rPr>
      </w:pPr>
      <w:bookmarkStart w:id="19" w:name="_mzw9oi8j4ips" w:colFirst="0" w:colLast="0"/>
      <w:bookmarkEnd w:id="19"/>
      <w:r>
        <w:rPr>
          <w:b/>
          <w:bCs/>
          <w:color w:val="000000"/>
          <w:sz w:val="26"/>
          <w:szCs w:val="26"/>
        </w:rPr>
        <w:t>Why this matters for diabetes care</w:t>
      </w:r>
    </w:p>
    <w:p w14:paraId="0000004C" w14:textId="77777777" w:rsidR="00CD4C18" w:rsidRDefault="00A07632">
      <w:pPr>
        <w:spacing w:before="240" w:after="240" w:line="360" w:lineRule="auto"/>
      </w:pPr>
      <w:r>
        <w:rPr>
          <w:highlight w:val="white"/>
        </w:rPr>
        <w:t>In T2D, insulin resistance impairs glucose uptake in muscle and adipose tissue. Hence, instead of being efficiently metabolized by tissues, glucose is abnormally high in blood. Chronic exercise enhance insulin sensitivity contributing muscle cells to more efficiently take up and utilize glucose for energy, resulting in reduced blood glucose and improved HbA1c (Diabetes UK, 2019; Kanaley et al., 2022).</w:t>
      </w:r>
    </w:p>
    <w:p w14:paraId="0000004D" w14:textId="77777777" w:rsidR="00CD4C18" w:rsidRDefault="00A07632">
      <w:pPr>
        <w:spacing w:line="360" w:lineRule="auto"/>
      </w:pPr>
      <w:r>
        <w:rPr>
          <w:noProof/>
        </w:rPr>
      </w:r>
      <w:r w:rsidR="00A07632">
        <w:rPr>
          <w:noProof/>
        </w:rPr>
        <w:pict w14:anchorId="1431CDB3">
          <v:rect id="_x0000_i1026" style="width:0;height:1.5pt" o:hralign="center" o:hrstd="t" o:hr="t" fillcolor="#a0a0a0" stroked="f"/>
        </w:pict>
      </w:r>
    </w:p>
    <w:p w14:paraId="0000004E" w14:textId="77777777" w:rsidR="00CD4C18" w:rsidRDefault="00CD4C18">
      <w:pPr>
        <w:pStyle w:val="Heading2"/>
        <w:keepNext w:val="0"/>
        <w:keepLines w:val="0"/>
        <w:spacing w:after="80" w:line="360" w:lineRule="auto"/>
        <w:rPr>
          <w:b/>
          <w:bCs/>
          <w:sz w:val="34"/>
          <w:szCs w:val="34"/>
        </w:rPr>
      </w:pPr>
      <w:bookmarkStart w:id="20" w:name="_d4lr1qe5f8ck" w:colFirst="0" w:colLast="0"/>
      <w:bookmarkEnd w:id="20"/>
    </w:p>
    <w:p w14:paraId="0000004F" w14:textId="77777777" w:rsidR="00CD4C18" w:rsidRDefault="00A07632">
      <w:pPr>
        <w:pStyle w:val="Heading2"/>
        <w:keepNext w:val="0"/>
        <w:keepLines w:val="0"/>
        <w:spacing w:after="80" w:line="360" w:lineRule="auto"/>
        <w:rPr>
          <w:b/>
          <w:bCs/>
          <w:sz w:val="34"/>
          <w:szCs w:val="34"/>
        </w:rPr>
      </w:pPr>
      <w:bookmarkStart w:id="21" w:name="_ebsn9i1k5hxn" w:colFirst="0" w:colLast="0"/>
      <w:bookmarkEnd w:id="21"/>
      <w:r>
        <w:rPr>
          <w:b/>
          <w:bCs/>
          <w:sz w:val="34"/>
          <w:szCs w:val="34"/>
        </w:rPr>
        <w:t xml:space="preserve"> How recording and tracking blood sugar helps individuals safely manage Type 2 diabetes</w:t>
      </w:r>
    </w:p>
    <w:p w14:paraId="00000050" w14:textId="77777777" w:rsidR="00CD4C18" w:rsidRDefault="00A07632">
      <w:pPr>
        <w:spacing w:before="240" w:after="240" w:line="360" w:lineRule="auto"/>
        <w:rPr>
          <w:sz w:val="20"/>
          <w:szCs w:val="20"/>
        </w:rPr>
      </w:pPr>
      <w:r>
        <w:rPr>
          <w:highlight w:val="white"/>
        </w:rPr>
        <w:t>T2D patients are often outside the clinical oversight for much of their time, so decisions on self-management (food, activity, medication adherence) lead to outcomes.Monitoring blood glucose facilitates safer management in a number of ways practical:</w:t>
      </w:r>
    </w:p>
    <w:p w14:paraId="00000051" w14:textId="77777777" w:rsidR="00CD4C18" w:rsidRDefault="00A07632">
      <w:pPr>
        <w:numPr>
          <w:ilvl w:val="0"/>
          <w:numId w:val="3"/>
        </w:numPr>
        <w:spacing w:before="240" w:after="240" w:line="360" w:lineRule="auto"/>
      </w:pPr>
      <w:r>
        <w:rPr>
          <w:b/>
          <w:bCs/>
        </w:rPr>
        <w:t>Identifying patterns and triggers</w:t>
      </w:r>
      <w:r>
        <w:rPr>
          <w:b/>
          <w:bCs/>
        </w:rPr>
        <w:br/>
      </w:r>
      <w:r>
        <w:rPr>
          <w:highlight w:val="white"/>
        </w:rPr>
        <w:t>Tracking educates patients on the effect of specific meals on glucose (particularly carbohydrate type/portion), as well as stress, illness, sleep, and activity. In so doing “invisible” physiology is made visible in the form of understandable feedback that increases self-management confidence and supports more focused behaviour change (ADA, 2025a).</w:t>
      </w:r>
    </w:p>
    <w:p w14:paraId="00000052" w14:textId="77777777" w:rsidR="00CD4C18" w:rsidRDefault="00CD4C18">
      <w:pPr>
        <w:spacing w:before="240" w:after="240" w:line="360" w:lineRule="auto"/>
        <w:ind w:left="720"/>
        <w:rPr>
          <w:highlight w:val="white"/>
        </w:rPr>
      </w:pPr>
    </w:p>
    <w:p w14:paraId="00000053" w14:textId="77777777" w:rsidR="00CD4C18" w:rsidRDefault="00A07632">
      <w:pPr>
        <w:numPr>
          <w:ilvl w:val="0"/>
          <w:numId w:val="3"/>
        </w:numPr>
        <w:spacing w:before="240" w:after="240" w:line="360" w:lineRule="auto"/>
      </w:pPr>
      <w:r>
        <w:rPr>
          <w:b/>
          <w:bCs/>
        </w:rPr>
        <w:t>Supporting treatment adjustments and shared decision-making</w:t>
      </w:r>
      <w:r>
        <w:rPr>
          <w:b/>
          <w:bCs/>
        </w:rPr>
        <w:br/>
      </w:r>
      <w:r>
        <w:rPr>
          <w:highlight w:val="white"/>
        </w:rPr>
        <w:t>Home readings and logs yield actionable information for clinicians during reviews. Alongside HbA1c, these can indicate whether issues relate to mainly fasting or mainly post-meal spikes, which guides personalised advice and medication (NICE, 2024).</w:t>
      </w:r>
    </w:p>
    <w:p w14:paraId="00000054" w14:textId="77777777" w:rsidR="00CD4C18" w:rsidRDefault="00CD4C18">
      <w:pPr>
        <w:spacing w:before="240" w:after="240" w:line="360" w:lineRule="auto"/>
        <w:ind w:left="720"/>
        <w:rPr>
          <w:highlight w:val="white"/>
        </w:rPr>
      </w:pPr>
    </w:p>
    <w:p w14:paraId="00000055" w14:textId="77777777" w:rsidR="00CD4C18" w:rsidRDefault="00A07632">
      <w:pPr>
        <w:numPr>
          <w:ilvl w:val="0"/>
          <w:numId w:val="3"/>
        </w:numPr>
        <w:spacing w:before="240" w:line="360" w:lineRule="auto"/>
      </w:pPr>
      <w:r>
        <w:rPr>
          <w:b/>
          <w:bCs/>
        </w:rPr>
        <w:t>Reducing risk of extremes (especially if on certain medicines)</w:t>
      </w:r>
      <w:r>
        <w:rPr>
          <w:b/>
          <w:bCs/>
        </w:rPr>
        <w:br/>
      </w:r>
      <w:r>
        <w:t>Severe hypoglycaemia is more common in insulin users, but some T2D drugs can raise the risk of low glucose. Monitoring enables individuals to recognise signs and act early, especially when changing diet or exercise or starting or stopping medication. .</w:t>
      </w:r>
      <w:r>
        <w:br/>
      </w:r>
    </w:p>
    <w:p w14:paraId="00000056" w14:textId="77777777" w:rsidR="00CD4C18" w:rsidRDefault="00A07632">
      <w:pPr>
        <w:numPr>
          <w:ilvl w:val="0"/>
          <w:numId w:val="3"/>
        </w:numPr>
        <w:spacing w:after="240" w:line="360" w:lineRule="auto"/>
      </w:pPr>
      <w:r>
        <w:rPr>
          <w:b/>
          <w:bCs/>
        </w:rPr>
        <w:t>Improving engagement and adherence</w:t>
      </w:r>
      <w:r>
        <w:rPr>
          <w:b/>
          <w:bCs/>
        </w:rPr>
        <w:br/>
      </w:r>
      <w:r>
        <w:t xml:space="preserve">There is some evidence indicating that in non-insulin-treated T2D, SMBG may be effective when used in a structured format (e.g., in conjunction with education and action plans), as it is associated lifestyle decisions with quantifiable results (Cochrane, 2012; ADA, 2025b). </w:t>
      </w:r>
    </w:p>
    <w:p w14:paraId="00000057" w14:textId="77777777" w:rsidR="00CD4C18" w:rsidRDefault="00CD4C18">
      <w:pPr>
        <w:pStyle w:val="Heading3"/>
        <w:keepNext w:val="0"/>
        <w:keepLines w:val="0"/>
        <w:spacing w:before="280" w:line="360" w:lineRule="auto"/>
        <w:rPr>
          <w:b/>
          <w:bCs/>
          <w:color w:val="000000"/>
          <w:sz w:val="26"/>
          <w:szCs w:val="26"/>
        </w:rPr>
      </w:pPr>
      <w:bookmarkStart w:id="22" w:name="_ojtnun4olnf9" w:colFirst="0" w:colLast="0"/>
      <w:bookmarkEnd w:id="22"/>
    </w:p>
    <w:p w14:paraId="00000058" w14:textId="77777777" w:rsidR="00CD4C18" w:rsidRDefault="00A07632">
      <w:pPr>
        <w:pStyle w:val="Heading3"/>
        <w:keepNext w:val="0"/>
        <w:keepLines w:val="0"/>
        <w:spacing w:before="280" w:line="360" w:lineRule="auto"/>
        <w:rPr>
          <w:b/>
          <w:bCs/>
          <w:color w:val="000000"/>
          <w:sz w:val="26"/>
          <w:szCs w:val="26"/>
        </w:rPr>
      </w:pPr>
      <w:bookmarkStart w:id="23" w:name="_d4hrqphvre34" w:colFirst="0" w:colLast="0"/>
      <w:bookmarkEnd w:id="23"/>
      <w:r>
        <w:rPr>
          <w:b/>
          <w:bCs/>
          <w:color w:val="000000"/>
          <w:sz w:val="26"/>
          <w:szCs w:val="26"/>
        </w:rPr>
        <w:t>Routine data use in health and social care (LO2 link)</w:t>
      </w:r>
    </w:p>
    <w:p w14:paraId="00000059" w14:textId="77777777" w:rsidR="00CD4C18" w:rsidRDefault="00A07632">
      <w:pPr>
        <w:spacing w:before="240" w:after="240" w:line="360" w:lineRule="auto"/>
        <w:rPr>
          <w:highlight w:val="white"/>
        </w:rPr>
      </w:pPr>
      <w:r>
        <w:rPr>
          <w:highlight w:val="white"/>
        </w:rPr>
        <w:t xml:space="preserve">In primary care, glucose records (HbA1c, SMBG/CGM data where available), weight/BMI, blood pressure, lipids, and kidney markers are considered routine data for: </w:t>
      </w:r>
    </w:p>
    <w:p w14:paraId="0000005A" w14:textId="77777777" w:rsidR="00CD4C18" w:rsidRDefault="00A07632">
      <w:pPr>
        <w:numPr>
          <w:ilvl w:val="0"/>
          <w:numId w:val="1"/>
        </w:numPr>
        <w:spacing w:before="240" w:line="360" w:lineRule="auto"/>
      </w:pPr>
      <w:r>
        <w:rPr>
          <w:highlight w:val="white"/>
        </w:rPr>
        <w:t>Stratifying risk and prioritizing reviews.</w:t>
      </w:r>
    </w:p>
    <w:p w14:paraId="0000005B" w14:textId="77777777" w:rsidR="00CD4C18" w:rsidRDefault="00A07632">
      <w:pPr>
        <w:numPr>
          <w:ilvl w:val="0"/>
          <w:numId w:val="1"/>
        </w:numPr>
        <w:spacing w:line="360" w:lineRule="auto"/>
      </w:pPr>
      <w:r>
        <w:rPr>
          <w:highlight w:val="white"/>
        </w:rPr>
        <w:t>Assessing achievement of targets of care.</w:t>
      </w:r>
    </w:p>
    <w:p w14:paraId="0000005C" w14:textId="77777777" w:rsidR="00CD4C18" w:rsidRDefault="00A07632">
      <w:pPr>
        <w:numPr>
          <w:ilvl w:val="0"/>
          <w:numId w:val="1"/>
        </w:numPr>
        <w:spacing w:line="360" w:lineRule="auto"/>
      </w:pPr>
      <w:r>
        <w:rPr>
          <w:highlight w:val="white"/>
        </w:rPr>
        <w:t>Prompting referrals ( foot protection services, retinal screening).</w:t>
      </w:r>
    </w:p>
    <w:p w14:paraId="0000005D" w14:textId="77777777" w:rsidR="00CD4C18" w:rsidRDefault="00A07632">
      <w:pPr>
        <w:numPr>
          <w:ilvl w:val="0"/>
          <w:numId w:val="1"/>
        </w:numPr>
        <w:spacing w:after="240" w:line="360" w:lineRule="auto"/>
      </w:pPr>
      <w:r>
        <w:rPr>
          <w:highlight w:val="white"/>
        </w:rPr>
        <w:t>Assisting in long-term planning and prevention of complications. This is an important illustration of how routinely collected health data contributes to improvements in safety and outcomes over time, rather than just at single appointments (NHS, 2024a; NICE, 2024).</w:t>
      </w:r>
    </w:p>
    <w:p w14:paraId="0000005E" w14:textId="77777777" w:rsidR="00CD4C18" w:rsidRDefault="00A07632">
      <w:pPr>
        <w:spacing w:line="360" w:lineRule="auto"/>
      </w:pPr>
      <w:r>
        <w:rPr>
          <w:noProof/>
        </w:rPr>
      </w:r>
      <w:r w:rsidR="00A07632">
        <w:rPr>
          <w:noProof/>
        </w:rPr>
        <w:pict w14:anchorId="7B7BA083">
          <v:rect id="_x0000_i1027" style="width:0;height:1.5pt" o:hralign="center" o:hrstd="t" o:hr="t" fillcolor="#a0a0a0" stroked="f"/>
        </w:pict>
      </w:r>
    </w:p>
    <w:p w14:paraId="0000005F" w14:textId="77777777" w:rsidR="00CD4C18" w:rsidRDefault="00A07632">
      <w:pPr>
        <w:pStyle w:val="Heading2"/>
        <w:keepNext w:val="0"/>
        <w:keepLines w:val="0"/>
        <w:spacing w:after="80" w:line="360" w:lineRule="auto"/>
        <w:rPr>
          <w:b/>
          <w:bCs/>
          <w:sz w:val="34"/>
          <w:szCs w:val="34"/>
        </w:rPr>
      </w:pPr>
      <w:bookmarkStart w:id="24" w:name="_g8y3ramdiqo1" w:colFirst="0" w:colLast="0"/>
      <w:bookmarkEnd w:id="24"/>
      <w:r>
        <w:rPr>
          <w:b/>
          <w:bCs/>
          <w:sz w:val="34"/>
          <w:szCs w:val="34"/>
        </w:rPr>
        <w:t>e) Evidence-based recommendations: lifestyle changes that can improve Type 2 diabetes</w:t>
      </w:r>
    </w:p>
    <w:p w14:paraId="00000060" w14:textId="77777777" w:rsidR="00CD4C18" w:rsidRDefault="00A07632">
      <w:pPr>
        <w:spacing w:before="240" w:after="240" w:line="360" w:lineRule="auto"/>
      </w:pPr>
      <w:r>
        <w:rPr>
          <w:sz w:val="24"/>
          <w:szCs w:val="24"/>
          <w:highlight w:val="white"/>
        </w:rPr>
        <w:t>Change in lifestyle is a key element of T2D management as it addresses insulin resistance and cardiovascular risk. Advice should be realistic, tailored to the person and accompanied by education (NICE, 2023; NICE, 2024).</w:t>
      </w:r>
    </w:p>
    <w:p w14:paraId="00000061" w14:textId="77777777" w:rsidR="00CD4C18" w:rsidRDefault="00A07632">
      <w:pPr>
        <w:pStyle w:val="Heading3"/>
        <w:keepNext w:val="0"/>
        <w:keepLines w:val="0"/>
        <w:spacing w:before="280" w:line="360" w:lineRule="auto"/>
        <w:rPr>
          <w:b/>
          <w:bCs/>
          <w:color w:val="000000"/>
          <w:sz w:val="26"/>
          <w:szCs w:val="26"/>
        </w:rPr>
      </w:pPr>
      <w:bookmarkStart w:id="25" w:name="_5jbfc3dei1u8" w:colFirst="0" w:colLast="0"/>
      <w:bookmarkEnd w:id="25"/>
      <w:r>
        <w:rPr>
          <w:b/>
          <w:bCs/>
          <w:color w:val="000000"/>
          <w:sz w:val="26"/>
          <w:szCs w:val="26"/>
        </w:rPr>
        <w:t>1) Diet and weight management</w:t>
      </w:r>
    </w:p>
    <w:p w14:paraId="00000062" w14:textId="77777777" w:rsidR="00CD4C18" w:rsidRDefault="00A07632">
      <w:pPr>
        <w:spacing w:before="240" w:after="240" w:line="360" w:lineRule="auto"/>
      </w:pPr>
      <w:r>
        <w:t>For many adults with T2D, losing excess fat can enhance insulin sensitivity and reduce glucose concentrations. NICE promote healthy eating patterns and weight loss (if needed) as the main factors in managing T2D (NICE, 2015/2024 r). Practical advice on diet for people with diabetes, delivered through primary care, tends to consist of:</w:t>
      </w:r>
    </w:p>
    <w:p w14:paraId="00000063" w14:textId="77777777" w:rsidR="00CD4C18" w:rsidRDefault="00A0763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pPr>
      <w:r>
        <w:t>Consistent carbohydrate awareness (serve size and quality)</w:t>
      </w:r>
    </w:p>
    <w:p w14:paraId="00000064" w14:textId="77777777" w:rsidR="00CD4C18" w:rsidRDefault="00A0763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pPr>
      <w:r>
        <w:t>High-fibre foods and less-processed options</w:t>
      </w:r>
    </w:p>
    <w:p w14:paraId="00000065" w14:textId="77777777" w:rsidR="00CD4C18" w:rsidRDefault="00A0763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pPr>
      <w:r>
        <w:t>Cutting back on sugary drinks and refined carbohydrates</w:t>
      </w:r>
    </w:p>
    <w:p w14:paraId="00000066" w14:textId="77777777" w:rsidR="00CD4C18" w:rsidRDefault="00A0763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pPr>
      <w:r>
        <w:t>A combination of foods in the right proportions to eat in a way that supports weight loss if you’re overweight.</w:t>
      </w:r>
    </w:p>
    <w:p w14:paraId="00000067" w14:textId="77777777" w:rsidR="00CD4C18" w:rsidRDefault="00A0763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pPr>
      <w:r>
        <w:t xml:space="preserve"> Referral to dietetic support or structured programmes may enhance success where available and if indicated. (NICE, 2024).</w:t>
      </w:r>
    </w:p>
    <w:p w14:paraId="00000068" w14:textId="77777777" w:rsidR="00CD4C18" w:rsidRDefault="00CD4C18">
      <w:pPr>
        <w:pStyle w:val="Heading3"/>
        <w:keepNext w:val="0"/>
        <w:keepLines w:val="0"/>
        <w:spacing w:before="280" w:line="360" w:lineRule="auto"/>
        <w:rPr>
          <w:b/>
          <w:bCs/>
          <w:color w:val="000000"/>
          <w:sz w:val="26"/>
          <w:szCs w:val="26"/>
        </w:rPr>
      </w:pPr>
      <w:bookmarkStart w:id="26" w:name="_b0omeof8iyll" w:colFirst="0" w:colLast="0"/>
      <w:bookmarkEnd w:id="26"/>
    </w:p>
    <w:p w14:paraId="00000069" w14:textId="77777777" w:rsidR="00CD4C18" w:rsidRDefault="00A07632">
      <w:pPr>
        <w:pStyle w:val="Heading3"/>
        <w:keepNext w:val="0"/>
        <w:keepLines w:val="0"/>
        <w:spacing w:before="280" w:line="360" w:lineRule="auto"/>
        <w:rPr>
          <w:b/>
          <w:bCs/>
          <w:color w:val="000000"/>
          <w:sz w:val="26"/>
          <w:szCs w:val="26"/>
        </w:rPr>
      </w:pPr>
      <w:bookmarkStart w:id="27" w:name="_ypnnvigjk8dc" w:colFirst="0" w:colLast="0"/>
      <w:bookmarkEnd w:id="27"/>
      <w:r>
        <w:rPr>
          <w:b/>
          <w:bCs/>
          <w:color w:val="000000"/>
          <w:sz w:val="26"/>
          <w:szCs w:val="26"/>
        </w:rPr>
        <w:t>2) Physical activity (aerobic + strength + reducing sitting time)</w:t>
      </w:r>
    </w:p>
    <w:p w14:paraId="0000006A" w14:textId="77777777" w:rsidR="00CD4C18" w:rsidRDefault="00A07632">
      <w:pPr>
        <w:spacing w:before="240" w:after="240" w:line="360" w:lineRule="auto"/>
      </w:pPr>
      <w:r>
        <w:t>Exercise targets muscle glucose uptake and improves insulin sensitivity. And adult certain physical UK guidance Activities or Trusts recommended minutes for goals 2 of the minimum dose of infographics of information moderate intensity 7 days (150 minutes) and any additional activity days said that muscle-strengthening should be on 2 days of the week and for reducing over sitting (Chief Medical Officers of the UK, 2019; NHS, 2022).</w:t>
      </w:r>
    </w:p>
    <w:p w14:paraId="0000006B" w14:textId="77777777" w:rsidR="00CD4C18" w:rsidRDefault="00A07632">
      <w:pPr>
        <w:spacing w:before="240" w:after="240" w:line="360" w:lineRule="auto"/>
      </w:pPr>
      <w:r>
        <w:t>For those living with T2D, the Diabetes UK points to the fact that exercise can improve HbA1c, help maintain glucose levels within range, decrease insulin resistance, benefit blood pressure/cholesterol, and by supporting remission following weight loss in some people (Diabetes UK, 2019). Reviews of the evidence also demonstrate that aerobic exercise and RT enhance glycaemic control, at least in part, through enhanced insulin sensitivity and muscle glucose disposal (Kanaley et al., 2022).</w:t>
      </w:r>
    </w:p>
    <w:p w14:paraId="0000006C" w14:textId="77777777" w:rsidR="00CD4C18" w:rsidRDefault="00A07632">
      <w:pPr>
        <w:spacing w:before="240" w:after="240" w:line="360" w:lineRule="auto"/>
      </w:pPr>
      <w:r>
        <w:t xml:space="preserve">Comment: Use a graded approach (dry such as walking briskly) in the beginning walk more (if well tolerate don’t suffer from dyspnea or chest pains etc.), and consider a few post-meal walks as a way to lower post-meal rises in glucose. </w:t>
      </w:r>
    </w:p>
    <w:p w14:paraId="0000006D" w14:textId="77777777" w:rsidR="00CD4C18" w:rsidRDefault="00CD4C18">
      <w:pPr>
        <w:spacing w:before="240" w:after="240" w:line="360" w:lineRule="auto"/>
      </w:pPr>
    </w:p>
    <w:p w14:paraId="0000006E" w14:textId="77777777" w:rsidR="00CD4C18" w:rsidRDefault="00A07632">
      <w:pPr>
        <w:pStyle w:val="Heading3"/>
        <w:keepNext w:val="0"/>
        <w:keepLines w:val="0"/>
        <w:spacing w:before="280" w:line="360" w:lineRule="auto"/>
        <w:rPr>
          <w:b/>
          <w:bCs/>
          <w:color w:val="000000"/>
          <w:sz w:val="26"/>
          <w:szCs w:val="26"/>
        </w:rPr>
      </w:pPr>
      <w:bookmarkStart w:id="28" w:name="_95g4siqlvlr7" w:colFirst="0" w:colLast="0"/>
      <w:bookmarkEnd w:id="28"/>
      <w:r>
        <w:rPr>
          <w:b/>
          <w:bCs/>
          <w:color w:val="000000"/>
          <w:sz w:val="26"/>
          <w:szCs w:val="26"/>
        </w:rPr>
        <w:t>3) Smoking cessation</w:t>
      </w:r>
    </w:p>
    <w:p w14:paraId="0000006F" w14:textId="77777777" w:rsidR="00CD4C18" w:rsidRDefault="00A07632">
      <w:pPr>
        <w:spacing w:before="240" w:after="240" w:line="360" w:lineRule="auto"/>
        <w:rPr>
          <w:highlight w:val="white"/>
        </w:rPr>
      </w:pPr>
      <w:r>
        <w:rPr>
          <w:highlight w:val="white"/>
        </w:rPr>
        <w:t>Smoking poses a cardiovascular risk by itself. Quitting smoking is also one of the most powerful changes you can make to reduce the risk of long-term complications (Diabetes UK, 2023b; My Diabetes My Way NHS Scotland, 2020).</w:t>
      </w:r>
    </w:p>
    <w:p w14:paraId="00000070" w14:textId="77777777" w:rsidR="00CD4C18" w:rsidRDefault="00A07632">
      <w:pPr>
        <w:spacing w:before="240" w:after="240" w:line="360" w:lineRule="auto"/>
        <w:rPr>
          <w:sz w:val="20"/>
          <w:szCs w:val="20"/>
        </w:rPr>
      </w:pPr>
      <w:r>
        <w:rPr>
          <w:highlight w:val="white"/>
        </w:rPr>
        <w:t>As a practice nurse, advising patients on stop-smoking services, nicotine replacement therapy or behavioural support is a practical evidence based intervention.</w:t>
      </w:r>
    </w:p>
    <w:p w14:paraId="00000071" w14:textId="77777777" w:rsidR="00CD4C18" w:rsidRDefault="00CD4C18">
      <w:pPr>
        <w:pStyle w:val="Heading3"/>
        <w:keepNext w:val="0"/>
        <w:keepLines w:val="0"/>
        <w:spacing w:before="280" w:line="360" w:lineRule="auto"/>
        <w:rPr>
          <w:b/>
          <w:bCs/>
          <w:color w:val="000000"/>
          <w:sz w:val="26"/>
          <w:szCs w:val="26"/>
        </w:rPr>
      </w:pPr>
      <w:bookmarkStart w:id="29" w:name="_h77ydnvr5hi1" w:colFirst="0" w:colLast="0"/>
      <w:bookmarkEnd w:id="29"/>
    </w:p>
    <w:p w14:paraId="00000072" w14:textId="77777777" w:rsidR="00CD4C18" w:rsidRDefault="00A07632">
      <w:pPr>
        <w:pStyle w:val="Heading3"/>
        <w:keepNext w:val="0"/>
        <w:keepLines w:val="0"/>
        <w:spacing w:before="280" w:line="360" w:lineRule="auto"/>
        <w:rPr>
          <w:b/>
          <w:bCs/>
          <w:color w:val="000000"/>
          <w:sz w:val="26"/>
          <w:szCs w:val="26"/>
        </w:rPr>
      </w:pPr>
      <w:bookmarkStart w:id="30" w:name="_x8o4vy1xlk3k" w:colFirst="0" w:colLast="0"/>
      <w:bookmarkEnd w:id="30"/>
      <w:r>
        <w:rPr>
          <w:b/>
          <w:bCs/>
          <w:color w:val="000000"/>
          <w:sz w:val="26"/>
          <w:szCs w:val="26"/>
        </w:rPr>
        <w:t>4) Alcohol and broader cardiovascular risk reduction</w:t>
      </w:r>
    </w:p>
    <w:p w14:paraId="00000073" w14:textId="77777777" w:rsidR="00CD4C18" w:rsidRDefault="00A07632">
      <w:pPr>
        <w:spacing w:before="240" w:after="240" w:line="360" w:lineRule="auto"/>
        <w:rPr>
          <w:sz w:val="20"/>
          <w:szCs w:val="20"/>
        </w:rPr>
      </w:pPr>
      <w:r>
        <w:rPr>
          <w:highlight w:val="white"/>
        </w:rPr>
        <w:t>Given the very high risk of cardiovascular disease conferred by T2D, lifestyle advice should also encompass: cut-down on excess alcohol consumption. Sleep and stress management, and medication adherence for blood pressure/lipids if prescribed. Glucose control is specifically tied to cardiovascular risk management and long-term complication prevention in the NICE guidance for the management of T2D (NICE, 2024).</w:t>
      </w:r>
    </w:p>
    <w:p w14:paraId="00000074" w14:textId="77777777" w:rsidR="00CD4C18" w:rsidRDefault="00A07632">
      <w:pPr>
        <w:spacing w:line="360" w:lineRule="auto"/>
        <w:rPr>
          <w:b/>
          <w:bCs/>
          <w:sz w:val="34"/>
          <w:szCs w:val="34"/>
        </w:rPr>
      </w:pPr>
      <w:r>
        <w:rPr>
          <w:noProof/>
        </w:rPr>
      </w:r>
      <w:r w:rsidR="00A07632">
        <w:rPr>
          <w:noProof/>
        </w:rPr>
        <w:pict w14:anchorId="71EA80E0">
          <v:rect id="_x0000_i1028" style="width:0;height:1.5pt" o:hralign="center" o:hrstd="t" o:hr="t" fillcolor="#a0a0a0" stroked="f"/>
        </w:pict>
      </w:r>
    </w:p>
    <w:p w14:paraId="00000075" w14:textId="77777777" w:rsidR="00CD4C18" w:rsidRDefault="00A07632">
      <w:pPr>
        <w:pStyle w:val="Heading2"/>
        <w:keepNext w:val="0"/>
        <w:keepLines w:val="0"/>
        <w:spacing w:after="80" w:line="360" w:lineRule="auto"/>
        <w:rPr>
          <w:b/>
          <w:bCs/>
          <w:sz w:val="34"/>
          <w:szCs w:val="34"/>
        </w:rPr>
      </w:pPr>
      <w:bookmarkStart w:id="31" w:name="_pyxxzxgpp3ct" w:colFirst="0" w:colLast="0"/>
      <w:bookmarkEnd w:id="31"/>
      <w:r>
        <w:rPr>
          <w:b/>
          <w:bCs/>
          <w:sz w:val="34"/>
          <w:szCs w:val="34"/>
        </w:rPr>
        <w:t>f) Conclusion</w:t>
      </w:r>
    </w:p>
    <w:p w14:paraId="00000076" w14:textId="77777777" w:rsidR="00CD4C18" w:rsidRDefault="00A07632">
      <w:pPr>
        <w:spacing w:before="240" w:after="240" w:line="360" w:lineRule="auto"/>
        <w:rPr>
          <w:sz w:val="20"/>
          <w:szCs w:val="20"/>
        </w:rPr>
      </w:pPr>
      <w:r>
        <w:rPr>
          <w:highlight w:val="white"/>
        </w:rPr>
        <w:t>Type 2 diabetes is a progressive metabolic disease characterized by insulin resistance, beta cell dysfunction, chronic hyperglycaemia, and consequent increased risk for severe vascular and organ complications. Knowing what glucose homeostasis is, and how insulin and glucagon work on liver, muscle and fat, helps us understand why these lifestyle and monitoring elements are so crucial to safe management.Child explained evidence-based lifestyle care including healthy eating for weight management, physical acti</w:t>
      </w:r>
      <w:r>
        <w:rPr>
          <w:highlight w:val="white"/>
        </w:rPr>
        <w:t>vity consistent with UK guidance and tobacco cessation, is associated with substantial improvement in glycaemic control and reduction in risk of complications, in particular when supported by structured education and routine data-based review in primary care.</w:t>
      </w:r>
    </w:p>
    <w:p w14:paraId="00000077" w14:textId="77777777" w:rsidR="00CD4C18" w:rsidRDefault="00A07632">
      <w:pPr>
        <w:spacing w:line="360" w:lineRule="auto"/>
      </w:pPr>
      <w:r>
        <w:rPr>
          <w:noProof/>
        </w:rPr>
      </w:r>
      <w:r w:rsidR="00A07632">
        <w:rPr>
          <w:noProof/>
        </w:rPr>
        <w:pict w14:anchorId="1E19A26C">
          <v:rect id="_x0000_i1029" style="width:0;height:1.5pt" o:hralign="center" o:hrstd="t" o:hr="t" fillcolor="#a0a0a0" stroked="f"/>
        </w:pict>
      </w:r>
    </w:p>
    <w:p w14:paraId="00000078" w14:textId="77777777" w:rsidR="00CD4C18" w:rsidRDefault="00CD4C18">
      <w:pPr>
        <w:pStyle w:val="Heading2"/>
        <w:keepNext w:val="0"/>
        <w:keepLines w:val="0"/>
        <w:spacing w:after="80" w:line="360" w:lineRule="auto"/>
        <w:rPr>
          <w:b/>
          <w:bCs/>
          <w:sz w:val="34"/>
          <w:szCs w:val="34"/>
        </w:rPr>
      </w:pPr>
      <w:bookmarkStart w:id="32" w:name="_t7zitczapjwj" w:colFirst="0" w:colLast="0"/>
      <w:bookmarkEnd w:id="32"/>
    </w:p>
    <w:p w14:paraId="00000079" w14:textId="77777777" w:rsidR="00CD4C18" w:rsidRDefault="00CD4C18">
      <w:pPr>
        <w:pStyle w:val="Heading2"/>
        <w:keepNext w:val="0"/>
        <w:keepLines w:val="0"/>
        <w:spacing w:after="80" w:line="360" w:lineRule="auto"/>
        <w:rPr>
          <w:b/>
          <w:bCs/>
          <w:sz w:val="34"/>
          <w:szCs w:val="34"/>
        </w:rPr>
      </w:pPr>
      <w:bookmarkStart w:id="33" w:name="_p66q56l5nkta" w:colFirst="0" w:colLast="0"/>
      <w:bookmarkEnd w:id="33"/>
    </w:p>
    <w:p w14:paraId="0000007A" w14:textId="77777777" w:rsidR="00CD4C18" w:rsidRDefault="00CD4C18">
      <w:pPr>
        <w:pStyle w:val="Heading2"/>
        <w:keepNext w:val="0"/>
        <w:keepLines w:val="0"/>
        <w:spacing w:after="80" w:line="360" w:lineRule="auto"/>
        <w:rPr>
          <w:b/>
          <w:bCs/>
          <w:sz w:val="34"/>
          <w:szCs w:val="34"/>
        </w:rPr>
      </w:pPr>
      <w:bookmarkStart w:id="34" w:name="_v88t3i9n0kbs" w:colFirst="0" w:colLast="0"/>
      <w:bookmarkEnd w:id="34"/>
    </w:p>
    <w:p w14:paraId="0000007B" w14:textId="77777777" w:rsidR="00CD4C18" w:rsidRDefault="00CD4C18">
      <w:pPr>
        <w:pStyle w:val="Heading2"/>
        <w:keepNext w:val="0"/>
        <w:keepLines w:val="0"/>
        <w:spacing w:after="80" w:line="360" w:lineRule="auto"/>
        <w:rPr>
          <w:b/>
          <w:bCs/>
          <w:sz w:val="34"/>
          <w:szCs w:val="34"/>
        </w:rPr>
      </w:pPr>
      <w:bookmarkStart w:id="35" w:name="_6w8un228opsd" w:colFirst="0" w:colLast="0"/>
      <w:bookmarkEnd w:id="35"/>
    </w:p>
    <w:p w14:paraId="0000007C" w14:textId="77777777" w:rsidR="00CD4C18" w:rsidRDefault="00CD4C18">
      <w:pPr>
        <w:pStyle w:val="Heading2"/>
        <w:keepNext w:val="0"/>
        <w:keepLines w:val="0"/>
        <w:spacing w:after="80" w:line="360" w:lineRule="auto"/>
        <w:rPr>
          <w:b/>
          <w:bCs/>
          <w:sz w:val="34"/>
          <w:szCs w:val="34"/>
        </w:rPr>
      </w:pPr>
      <w:bookmarkStart w:id="36" w:name="_9tjjamvmqg0p" w:colFirst="0" w:colLast="0"/>
      <w:bookmarkEnd w:id="36"/>
    </w:p>
    <w:p w14:paraId="0000007D" w14:textId="77777777" w:rsidR="00CD4C18" w:rsidRDefault="00A07632">
      <w:pPr>
        <w:pStyle w:val="Heading2"/>
        <w:keepNext w:val="0"/>
        <w:keepLines w:val="0"/>
        <w:spacing w:after="80" w:line="360" w:lineRule="auto"/>
      </w:pPr>
      <w:bookmarkStart w:id="37" w:name="_i2celdu6qmqc" w:colFirst="0" w:colLast="0"/>
      <w:bookmarkEnd w:id="37"/>
      <w:r>
        <w:rPr>
          <w:b/>
          <w:bCs/>
          <w:sz w:val="34"/>
          <w:szCs w:val="34"/>
        </w:rPr>
        <w:t>Reference list</w:t>
      </w:r>
    </w:p>
    <w:p w14:paraId="0000007E" w14:textId="77777777" w:rsidR="00CD4C18" w:rsidRDefault="00A07632">
      <w:pPr>
        <w:numPr>
          <w:ilvl w:val="0"/>
          <w:numId w:val="2"/>
        </w:numPr>
        <w:spacing w:before="240" w:line="360" w:lineRule="auto"/>
      </w:pPr>
      <w:r>
        <w:t xml:space="preserve">American Diabetes Association (ADA) (2025b) ‘7. Diabetes Technology: Standards of Care in Diabetes—2025’, </w:t>
      </w:r>
      <w:r>
        <w:rPr>
          <w:i/>
          <w:iCs/>
        </w:rPr>
        <w:t>Diabetes Care</w:t>
      </w:r>
      <w:r>
        <w:t>, 48(Supplement 1). Available at: (journal page) (Accessed: 6 February 2026).</w:t>
      </w:r>
    </w:p>
    <w:p w14:paraId="0000007F" w14:textId="77777777" w:rsidR="00CD4C18" w:rsidRDefault="00A07632">
      <w:pPr>
        <w:numPr>
          <w:ilvl w:val="0"/>
          <w:numId w:val="2"/>
        </w:numPr>
        <w:spacing w:line="360" w:lineRule="auto"/>
      </w:pPr>
      <w:r>
        <w:t xml:space="preserve">Cochrane (2012) </w:t>
      </w:r>
      <w:r>
        <w:rPr>
          <w:i/>
          <w:iCs/>
        </w:rPr>
        <w:t>Self-monitoring of blood glucose in patients with type 2 diabetes mellitus who are not using insulin (CD005060)</w:t>
      </w:r>
      <w:r>
        <w:t>. Available at: (Cochrane evidence page) (Accessed: 6 February 2026).</w:t>
      </w:r>
    </w:p>
    <w:p w14:paraId="00000080" w14:textId="77777777" w:rsidR="00CD4C18" w:rsidRDefault="00A07632">
      <w:pPr>
        <w:numPr>
          <w:ilvl w:val="0"/>
          <w:numId w:val="2"/>
        </w:numPr>
        <w:spacing w:line="360" w:lineRule="auto"/>
      </w:pPr>
      <w:r>
        <w:t xml:space="preserve">Diabetes UK (2019) </w:t>
      </w:r>
      <w:r>
        <w:rPr>
          <w:i/>
          <w:iCs/>
        </w:rPr>
        <w:t>Exercise for diabetes (Type 1 and type 2)</w:t>
      </w:r>
      <w:r>
        <w:t>. Available at: (Diabetes UK exercise page) (Accessed: 6 February 2026).</w:t>
      </w:r>
    </w:p>
    <w:p w14:paraId="00000081" w14:textId="77777777" w:rsidR="00CD4C18" w:rsidRDefault="00A07632">
      <w:pPr>
        <w:numPr>
          <w:ilvl w:val="0"/>
          <w:numId w:val="2"/>
        </w:numPr>
        <w:spacing w:line="360" w:lineRule="auto"/>
      </w:pPr>
      <w:r>
        <w:t xml:space="preserve">Diabetes UK (2023a) </w:t>
      </w:r>
      <w:r>
        <w:rPr>
          <w:i/>
          <w:iCs/>
        </w:rPr>
        <w:t>What causes type 2 diabetes?</w:t>
      </w:r>
      <w:r>
        <w:t xml:space="preserve"> Available at: (Diabetes UK causes page) (Accessed: 6 February 2026).</w:t>
      </w:r>
    </w:p>
    <w:p w14:paraId="00000082" w14:textId="77777777" w:rsidR="00CD4C18" w:rsidRDefault="00A07632">
      <w:pPr>
        <w:numPr>
          <w:ilvl w:val="0"/>
          <w:numId w:val="2"/>
        </w:numPr>
        <w:spacing w:line="360" w:lineRule="auto"/>
      </w:pPr>
      <w:r>
        <w:t xml:space="preserve">Diabetes UK (2023b) </w:t>
      </w:r>
      <w:r>
        <w:rPr>
          <w:i/>
          <w:iCs/>
        </w:rPr>
        <w:t>Help with giving up smoking</w:t>
      </w:r>
      <w:r>
        <w:t>. Available at: (Diabetes UK stop smoking page) (Accessed: 6 February 2026).</w:t>
      </w:r>
    </w:p>
    <w:p w14:paraId="00000083" w14:textId="77777777" w:rsidR="00CD4C18" w:rsidRDefault="00A07632">
      <w:pPr>
        <w:numPr>
          <w:ilvl w:val="0"/>
          <w:numId w:val="2"/>
        </w:numPr>
        <w:spacing w:line="360" w:lineRule="auto"/>
      </w:pPr>
      <w:r>
        <w:t xml:space="preserve">Diabetes UK (2024) </w:t>
      </w:r>
      <w:r>
        <w:rPr>
          <w:i/>
          <w:iCs/>
        </w:rPr>
        <w:t>What is HbA1c? Blood test and target levels</w:t>
      </w:r>
      <w:r>
        <w:t>. Available at: (Diabetes UK HbA1c page) (Accessed: 6 February 2026).</w:t>
      </w:r>
    </w:p>
    <w:p w14:paraId="00000084" w14:textId="77777777" w:rsidR="00CD4C18" w:rsidRDefault="00A07632">
      <w:pPr>
        <w:numPr>
          <w:ilvl w:val="0"/>
          <w:numId w:val="2"/>
        </w:numPr>
        <w:spacing w:line="360" w:lineRule="auto"/>
      </w:pPr>
      <w:r>
        <w:t xml:space="preserve">Kanaley, J.A. et al. (2022) ‘Exercise/Physical Activity in Individuals with Type 2 Diabetes’, </w:t>
      </w:r>
      <w:r>
        <w:rPr>
          <w:i/>
          <w:iCs/>
        </w:rPr>
        <w:t>Diabetes Care</w:t>
      </w:r>
      <w:r>
        <w:t xml:space="preserve"> (article available via PubMed Central). Available at: (PMC article) (Accessed: 6 February 2026).</w:t>
      </w:r>
    </w:p>
    <w:p w14:paraId="00000085" w14:textId="77777777" w:rsidR="00CD4C18" w:rsidRDefault="00A07632">
      <w:pPr>
        <w:numPr>
          <w:ilvl w:val="0"/>
          <w:numId w:val="2"/>
        </w:numPr>
        <w:spacing w:line="360" w:lineRule="auto"/>
      </w:pPr>
      <w:r>
        <w:t xml:space="preserve">My Diabetes My Way (NHS Scotland) (2020) </w:t>
      </w:r>
      <w:r>
        <w:rPr>
          <w:i/>
          <w:iCs/>
        </w:rPr>
        <w:t>Smoking and diabetes</w:t>
      </w:r>
      <w:r>
        <w:t>. Available at: (My Diabetes My Way page) (Accessed: 6 February 2026).</w:t>
      </w:r>
    </w:p>
    <w:p w14:paraId="00000086" w14:textId="77777777" w:rsidR="00CD4C18" w:rsidRDefault="00A07632">
      <w:pPr>
        <w:numPr>
          <w:ilvl w:val="0"/>
          <w:numId w:val="2"/>
        </w:numPr>
        <w:spacing w:line="360" w:lineRule="auto"/>
      </w:pPr>
      <w:r>
        <w:t xml:space="preserve">National Health Service (NHS) (2022) </w:t>
      </w:r>
      <w:r>
        <w:rPr>
          <w:i/>
          <w:iCs/>
        </w:rPr>
        <w:t>Physical activity guidelines for adults aged 19 to 64</w:t>
      </w:r>
      <w:r>
        <w:t>. Available at: (NHS exercise guidelines page) (Accessed: 6 February 2026).</w:t>
      </w:r>
    </w:p>
    <w:p w14:paraId="00000087" w14:textId="77777777" w:rsidR="00CD4C18" w:rsidRDefault="00A07632">
      <w:pPr>
        <w:numPr>
          <w:ilvl w:val="0"/>
          <w:numId w:val="2"/>
        </w:numPr>
        <w:spacing w:line="360" w:lineRule="auto"/>
      </w:pPr>
      <w:r>
        <w:t xml:space="preserve">National Health Service (NHS) (2024a) </w:t>
      </w:r>
      <w:r>
        <w:rPr>
          <w:i/>
          <w:iCs/>
        </w:rPr>
        <w:t>Complications of type 2 diabetes</w:t>
      </w:r>
      <w:r>
        <w:t>. Available at: (NHS complications page) (Accessed: 6 February 2026).</w:t>
      </w:r>
    </w:p>
    <w:p w14:paraId="00000088" w14:textId="77777777" w:rsidR="00CD4C18" w:rsidRDefault="00A07632">
      <w:pPr>
        <w:numPr>
          <w:ilvl w:val="0"/>
          <w:numId w:val="2"/>
        </w:numPr>
        <w:spacing w:line="360" w:lineRule="auto"/>
      </w:pPr>
      <w:r>
        <w:t xml:space="preserve">National Health Service (NHS) (2024b) </w:t>
      </w:r>
      <w:r>
        <w:rPr>
          <w:i/>
          <w:iCs/>
        </w:rPr>
        <w:t>Diabetes (overview)</w:t>
      </w:r>
      <w:r>
        <w:t>. Available at: (NHS diabetes overview page) (Accessed: 6 February 2026).</w:t>
      </w:r>
    </w:p>
    <w:p w14:paraId="00000089" w14:textId="77777777" w:rsidR="00CD4C18" w:rsidRDefault="00A07632">
      <w:pPr>
        <w:numPr>
          <w:ilvl w:val="0"/>
          <w:numId w:val="2"/>
        </w:numPr>
        <w:spacing w:line="360" w:lineRule="auto"/>
      </w:pPr>
      <w:r>
        <w:t xml:space="preserve">National Institute for Health and Care Excellence (NICE) (2023) </w:t>
      </w:r>
      <w:r>
        <w:rPr>
          <w:i/>
          <w:iCs/>
        </w:rPr>
        <w:t>Quality statement 2: Structured education programme (Type 2 diabetes in adults)</w:t>
      </w:r>
      <w:r>
        <w:t>. Available at: (NICE QS page) (Accessed: 6 February 2026).</w:t>
      </w:r>
    </w:p>
    <w:p w14:paraId="0000008A" w14:textId="77777777" w:rsidR="00CD4C18" w:rsidRDefault="00A07632">
      <w:pPr>
        <w:numPr>
          <w:ilvl w:val="0"/>
          <w:numId w:val="2"/>
        </w:numPr>
        <w:spacing w:line="360" w:lineRule="auto"/>
      </w:pPr>
      <w:r>
        <w:t xml:space="preserve">National Institute for Health and Care Excellence (NICE) (2024) </w:t>
      </w:r>
      <w:r>
        <w:rPr>
          <w:i/>
          <w:iCs/>
        </w:rPr>
        <w:t>Type 2 diabetes in adults: management (NG28)</w:t>
      </w:r>
      <w:r>
        <w:t>. Available at: (NICE guideline page) (Accessed: 6 February 2026).</w:t>
      </w:r>
    </w:p>
    <w:p w14:paraId="0000008B" w14:textId="77777777" w:rsidR="00CD4C18" w:rsidRDefault="00A07632">
      <w:pPr>
        <w:numPr>
          <w:ilvl w:val="0"/>
          <w:numId w:val="2"/>
        </w:numPr>
        <w:spacing w:line="360" w:lineRule="auto"/>
      </w:pPr>
      <w:r>
        <w:t xml:space="preserve">OpenStax (2013) ‘4.3 Citric Acid Cycle and Oxidative Phosphorylation’, </w:t>
      </w:r>
      <w:r>
        <w:rPr>
          <w:i/>
          <w:iCs/>
        </w:rPr>
        <w:t>Concepts of Biology</w:t>
      </w:r>
      <w:r>
        <w:t>. Available at: (OpenStax page) (Accessed: 6 February 2026).</w:t>
      </w:r>
    </w:p>
    <w:p w14:paraId="0000008C" w14:textId="77777777" w:rsidR="00CD4C18" w:rsidRDefault="00A07632">
      <w:pPr>
        <w:numPr>
          <w:ilvl w:val="0"/>
          <w:numId w:val="2"/>
        </w:numPr>
        <w:spacing w:line="360" w:lineRule="auto"/>
      </w:pPr>
      <w:r>
        <w:t xml:space="preserve">UK Chief Medical Officers (2019) </w:t>
      </w:r>
      <w:r>
        <w:rPr>
          <w:i/>
          <w:iCs/>
        </w:rPr>
        <w:t>UK Chief Medical Officers’ Physical Activity Guidelines</w:t>
      </w:r>
      <w:r>
        <w:t>. Available at: (UK Government PDF) (Accessed: 6 February 2026).</w:t>
      </w:r>
    </w:p>
    <w:p w14:paraId="0000008D" w14:textId="77777777" w:rsidR="00CD4C18" w:rsidRDefault="00A07632">
      <w:pPr>
        <w:numPr>
          <w:ilvl w:val="0"/>
          <w:numId w:val="2"/>
        </w:numPr>
        <w:spacing w:after="240" w:line="360" w:lineRule="auto"/>
      </w:pPr>
      <w:r>
        <w:t xml:space="preserve">World Health Organization (WHO) (2024) </w:t>
      </w:r>
      <w:r>
        <w:rPr>
          <w:i/>
          <w:iCs/>
        </w:rPr>
        <w:t>Diabetes (Fact sheet)</w:t>
      </w:r>
      <w:r>
        <w:t xml:space="preserve">. Available at: (WHO fact sheet) (Accessed: 6 February 2026). </w:t>
      </w:r>
    </w:p>
    <w:p w14:paraId="0000008E" w14:textId="77777777" w:rsidR="00CD4C18" w:rsidRDefault="00CD4C18">
      <w:pPr>
        <w:spacing w:line="360" w:lineRule="auto"/>
      </w:pPr>
    </w:p>
    <w:sectPr w:rsidR="00CD4C18">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AE273" w14:textId="77777777" w:rsidR="00A07632" w:rsidRDefault="00A07632">
      <w:pPr>
        <w:spacing w:line="240" w:lineRule="auto"/>
      </w:pPr>
      <w:r>
        <w:separator/>
      </w:r>
    </w:p>
  </w:endnote>
  <w:endnote w:type="continuationSeparator" w:id="0">
    <w:p w14:paraId="6D8769EC" w14:textId="77777777" w:rsidR="00A07632" w:rsidRDefault="00A076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3A53F" w14:textId="77777777" w:rsidR="00A07632" w:rsidRDefault="00A07632">
      <w:pPr>
        <w:spacing w:line="240" w:lineRule="auto"/>
      </w:pPr>
      <w:r>
        <w:separator/>
      </w:r>
    </w:p>
  </w:footnote>
  <w:footnote w:type="continuationSeparator" w:id="0">
    <w:p w14:paraId="1810424D" w14:textId="77777777" w:rsidR="00A07632" w:rsidRDefault="00A076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F" w14:textId="77777777" w:rsidR="00CD4C18" w:rsidRDefault="00A07632">
    <w:pPr>
      <w:jc w:val="right"/>
    </w:pPr>
    <w:r>
      <w:fldChar w:fldCharType="begin"/>
    </w:r>
    <w:r>
      <w:instrText>PAGE</w:instrText>
    </w:r>
    <w:r>
      <w:fldChar w:fldCharType="separate"/>
    </w:r>
    <w:r>
      <w:fldChar w:fldCharType="end"/>
    </w:r>
  </w:p>
  <w:p w14:paraId="00000090" w14:textId="77777777" w:rsidR="00CD4C18" w:rsidRDefault="00CD4C1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2510B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B623F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EC71C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5B7E46FB"/>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808552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FA420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575779650">
    <w:abstractNumId w:val="4"/>
  </w:num>
  <w:num w:numId="2" w16cid:durableId="337926284">
    <w:abstractNumId w:val="1"/>
  </w:num>
  <w:num w:numId="3" w16cid:durableId="710610430">
    <w:abstractNumId w:val="2"/>
  </w:num>
  <w:num w:numId="4" w16cid:durableId="928656073">
    <w:abstractNumId w:val="0"/>
  </w:num>
  <w:num w:numId="5" w16cid:durableId="1332760728">
    <w:abstractNumId w:val="3"/>
  </w:num>
  <w:num w:numId="6" w16cid:durableId="6077852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8"/>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C18"/>
    <w:rsid w:val="007E05B7"/>
    <w:rsid w:val="00A07632"/>
    <w:rsid w:val="00CD4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D19DA6B3-0C0C-0C4C-9A6F-BBF50AD22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2245</Words>
  <Characters>12801</Characters>
  <Application>Microsoft Office Word</Application>
  <DocSecurity>0</DocSecurity>
  <Lines>106</Lines>
  <Paragraphs>30</Paragraphs>
  <ScaleCrop>false</ScaleCrop>
  <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Nabila Noreen (2425430)</cp:lastModifiedBy>
  <cp:revision>2</cp:revision>
  <dcterms:created xsi:type="dcterms:W3CDTF">2026-02-18T11:33:00Z</dcterms:created>
  <dcterms:modified xsi:type="dcterms:W3CDTF">2026-02-18T11:33:00Z</dcterms:modified>
</cp:coreProperties>
</file>