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118FF" w:rsidRDefault="002A50D0">
      <w:pPr>
        <w:jc w:val="both"/>
        <w:rPr>
          <w:b/>
        </w:rPr>
      </w:pPr>
      <w:r>
        <w:rPr>
          <w:b/>
        </w:rPr>
        <w:t>Explain why teacher subject knowledge is important in relation to teaching Language and Mathematics in primary schools in Wales.</w:t>
      </w:r>
    </w:p>
    <w:p w14:paraId="00000002" w14:textId="77777777" w:rsidR="004118FF" w:rsidRDefault="002A50D0">
      <w:pPr>
        <w:jc w:val="both"/>
      </w:pPr>
      <w:r>
        <w:t xml:space="preserve"> </w:t>
      </w:r>
    </w:p>
    <w:p w14:paraId="00000003" w14:textId="77777777" w:rsidR="004118FF" w:rsidRDefault="002A50D0">
      <w:pPr>
        <w:jc w:val="both"/>
      </w:pPr>
      <w:r>
        <w:rPr>
          <w:highlight w:val="white"/>
        </w:rPr>
        <w:t xml:space="preserve">The Qualified Teacher Status (QTS) Standard S2.1 </w:t>
      </w:r>
      <w:proofErr w:type="gramStart"/>
      <w:r>
        <w:rPr>
          <w:highlight w:val="white"/>
        </w:rPr>
        <w:t>states</w:t>
      </w:r>
      <w:proofErr w:type="gramEnd"/>
      <w:r>
        <w:rPr>
          <w:highlight w:val="white"/>
        </w:rPr>
        <w:t>, trainees must have “</w:t>
      </w:r>
      <w:r>
        <w:t>a secure knowledge and understanding of the subj</w:t>
      </w:r>
      <w:r>
        <w:t>ect(s) they are trained to teach”</w:t>
      </w:r>
      <w:r>
        <w:rPr>
          <w:highlight w:val="yellow"/>
        </w:rPr>
        <w:t xml:space="preserve"> (DCELLS, 2009)</w:t>
      </w:r>
      <w:r>
        <w:rPr>
          <w:highlight w:val="white"/>
        </w:rPr>
        <w:t xml:space="preserve"> conveying that a teacher should not be able to teach if they do not have adequate teacher subject knowledge. </w:t>
      </w:r>
      <w:r>
        <w:rPr>
          <w:highlight w:val="yellow"/>
        </w:rPr>
        <w:t>Hattie (2003, p. 5)</w:t>
      </w:r>
      <w:r>
        <w:rPr>
          <w:highlight w:val="white"/>
        </w:rPr>
        <w:t xml:space="preserve"> suggests that the subject knowledge that teachers possess does not have an eff</w:t>
      </w:r>
      <w:r>
        <w:rPr>
          <w:highlight w:val="white"/>
        </w:rPr>
        <w:t>ect on pupils’ learning as it is how the teachers use their subject knowledge by integrating their old and new knowledge with the curriculum, other subjects within the curriculum as well as how they differentiate their lessons and make them unique to their</w:t>
      </w:r>
      <w:r>
        <w:rPr>
          <w:highlight w:val="white"/>
        </w:rPr>
        <w:t xml:space="preserve"> students’ needs. Therefore, this assignment will discuss the importance of teacher subject knowledge through how I, as the teacher, incorporated my knowledge into various lessons, ensuring the children learnt effectively. Whilst attending Professional Tea</w:t>
      </w:r>
      <w:r>
        <w:rPr>
          <w:highlight w:val="white"/>
        </w:rPr>
        <w:t>ching Experience (PTE), I observed two contrasting teaching styles across Foundation Phase and Key Stage 2 and taught many Language and Mathematics lessons in both phases. Within this assignment, I will reflect on these experiences to enhance my explanatio</w:t>
      </w:r>
      <w:r>
        <w:rPr>
          <w:highlight w:val="white"/>
        </w:rPr>
        <w:t>n of why teacher subject knowledge is vital when teaching Language and Mathematics in primary schools in Wales. For both Key Stage Two and Foundation Phase, the first week consisted of observations with a small amount of group teaching and in the following</w:t>
      </w:r>
      <w:r>
        <w:rPr>
          <w:highlight w:val="white"/>
        </w:rPr>
        <w:t xml:space="preserve"> two weeks, in each phase, I taught around forty percent of the timetable. In Key Stage Two, I was placed in a Year Five class of twenty-nine pupils. For the purposes of this assignment, I have chosen to focus on the Language skills that were observed in t</w:t>
      </w:r>
      <w:r>
        <w:rPr>
          <w:highlight w:val="white"/>
        </w:rPr>
        <w:t>his class because the skills learnt from the ‘Writing’ strand gave insight, showing why teacher subject knowledge is vital when teaching Language. Furthermore, to understand why teacher subject knowledge is important in the teaching of Mathematics, there w</w:t>
      </w:r>
      <w:r>
        <w:rPr>
          <w:highlight w:val="white"/>
        </w:rPr>
        <w:t>ill be a focus on the teaching and learning of the ‘Time’ element from the Foundation Phase Framework.</w:t>
      </w:r>
    </w:p>
    <w:p w14:paraId="00000004" w14:textId="77777777" w:rsidR="004118FF" w:rsidRDefault="004118FF">
      <w:pPr>
        <w:jc w:val="both"/>
      </w:pPr>
    </w:p>
    <w:p w14:paraId="00000005" w14:textId="77777777" w:rsidR="004118FF" w:rsidRDefault="002A50D0">
      <w:pPr>
        <w:jc w:val="both"/>
      </w:pPr>
      <w:r>
        <w:t>Within the teaching and learning of Language in PTE, the children learnt many skills within the ‘Writing’ strand of the curriculum which will be used in</w:t>
      </w:r>
      <w:r>
        <w:t xml:space="preserve"> this assignment to show the importance of teacher subject knowledge in the teaching of Language. Firstly, in one lesson, a lack of teacher subject knowledge was presented in a group activity where the children were learning various skills from the ‘Struct</w:t>
      </w:r>
      <w:r>
        <w:t xml:space="preserve">ure and </w:t>
      </w:r>
      <w:proofErr w:type="spellStart"/>
      <w:r>
        <w:t>Organisation</w:t>
      </w:r>
      <w:proofErr w:type="spellEnd"/>
      <w:r>
        <w:t xml:space="preserve">’ aspect of the curriculum </w:t>
      </w:r>
      <w:r>
        <w:rPr>
          <w:highlight w:val="yellow"/>
        </w:rPr>
        <w:t>(Department for Education and Skills, 2015)</w:t>
      </w:r>
      <w:r>
        <w:t>. For this activity, the teacher told the children that the headmaster of the school had asked them to complete this individual task to first remember their prior kno</w:t>
      </w:r>
      <w:r>
        <w:t xml:space="preserve">wledge of report writing by identifying the key features of a report and then write their own report. Having children work independently represents how teaching is evolving with the new curriculum as </w:t>
      </w:r>
      <w:r>
        <w:rPr>
          <w:highlight w:val="yellow"/>
        </w:rPr>
        <w:t>Donaldson (2015, p.63)</w:t>
      </w:r>
      <w:r>
        <w:t xml:space="preserve"> states that good teaching not onl</w:t>
      </w:r>
      <w:r>
        <w:t xml:space="preserve">y includes subject knowledge, but also includes the ability to make children want to learn independently. This task also supports the revised (2001) Bloom’s taxonomy as the children first </w:t>
      </w:r>
      <w:r>
        <w:rPr>
          <w:i/>
        </w:rPr>
        <w:t>remembered</w:t>
      </w:r>
      <w:r>
        <w:t xml:space="preserve"> what they had previously learnt about reports, then </w:t>
      </w:r>
      <w:r>
        <w:rPr>
          <w:i/>
        </w:rPr>
        <w:t>appli</w:t>
      </w:r>
      <w:r>
        <w:rPr>
          <w:i/>
        </w:rPr>
        <w:t>ed</w:t>
      </w:r>
      <w:r>
        <w:t xml:space="preserve"> their </w:t>
      </w:r>
      <w:r>
        <w:rPr>
          <w:i/>
        </w:rPr>
        <w:t xml:space="preserve">understanding </w:t>
      </w:r>
      <w:r>
        <w:t xml:space="preserve">of report-writing when identifying the key features of reports, whilst </w:t>
      </w:r>
      <w:proofErr w:type="spellStart"/>
      <w:r>
        <w:rPr>
          <w:i/>
        </w:rPr>
        <w:t>analysing</w:t>
      </w:r>
      <w:proofErr w:type="spellEnd"/>
      <w:r>
        <w:t xml:space="preserve"> and </w:t>
      </w:r>
      <w:r>
        <w:rPr>
          <w:i/>
        </w:rPr>
        <w:t>evaluating</w:t>
      </w:r>
      <w:r>
        <w:t xml:space="preserve"> the report given to understand whether they think it is an effective report and finally they would </w:t>
      </w:r>
      <w:r>
        <w:rPr>
          <w:i/>
        </w:rPr>
        <w:t>create</w:t>
      </w:r>
      <w:r>
        <w:t xml:space="preserve"> their own report (</w:t>
      </w:r>
      <w:r>
        <w:rPr>
          <w:highlight w:val="yellow"/>
        </w:rPr>
        <w:t>Armstrong, 20</w:t>
      </w:r>
      <w:r>
        <w:rPr>
          <w:highlight w:val="yellow"/>
        </w:rPr>
        <w:t xml:space="preserve">19). </w:t>
      </w:r>
      <w:r>
        <w:t>Having the children believe that the Headmaster set them a challenge shows an example of good, creative pedagogical knowledge as research states that creativity benefits the motivation, enthusiasm and independence of pupils (</w:t>
      </w:r>
      <w:r>
        <w:rPr>
          <w:highlight w:val="yellow"/>
        </w:rPr>
        <w:t>Grigg, 2010)</w:t>
      </w:r>
      <w:r>
        <w:t>. However, aft</w:t>
      </w:r>
      <w:r>
        <w:t xml:space="preserve">er this lesson, it was clear that the children did </w:t>
      </w:r>
      <w:r>
        <w:lastRenderedPageBreak/>
        <w:t>not have enough access to teacher subject knowledge throughout the lesson. Although the instruction sheet was clear and the children understood the activity, some of the children were unsure of their answe</w:t>
      </w:r>
      <w:r>
        <w:t xml:space="preserve">rs and wanted to have them checked throughout the lesson before moving on to writing their own report. This meant that the children required teacher subject knowledge of report-writing before they could move on to the next task, proving that without </w:t>
      </w:r>
      <w:proofErr w:type="gramStart"/>
      <w:r>
        <w:t>suffic</w:t>
      </w:r>
      <w:r>
        <w:t>ient</w:t>
      </w:r>
      <w:proofErr w:type="gramEnd"/>
      <w:r>
        <w:t xml:space="preserve"> teacher subject knowledge, the children may fail to progress. When completing this activity in future placements, it would be effective to have a teacher or Teacher Assistant (TA) with good subject knowledge of reports with this group to answer any qu</w:t>
      </w:r>
      <w:r>
        <w:t xml:space="preserve">estions they had about the task and to check their understanding as the lesson progressed.  </w:t>
      </w:r>
    </w:p>
    <w:p w14:paraId="00000006" w14:textId="77777777" w:rsidR="004118FF" w:rsidRDefault="004118FF">
      <w:pPr>
        <w:jc w:val="both"/>
      </w:pPr>
    </w:p>
    <w:p w14:paraId="00000007" w14:textId="77777777" w:rsidR="004118FF" w:rsidRDefault="002A50D0">
      <w:pPr>
        <w:jc w:val="both"/>
      </w:pPr>
      <w:r>
        <w:t xml:space="preserve">Teacher subject knowledge was shown to be effective in another aspect of the ‘Writing’ strand. This lesson </w:t>
      </w:r>
      <w:proofErr w:type="spellStart"/>
      <w:r>
        <w:t>focussed</w:t>
      </w:r>
      <w:proofErr w:type="spellEnd"/>
      <w:r>
        <w:t xml:space="preserve"> on a skill to craft the pupils’ writing using </w:t>
      </w:r>
      <w:r>
        <w:t xml:space="preserve">nouns, </w:t>
      </w:r>
      <w:proofErr w:type="spellStart"/>
      <w:r>
        <w:t>focussing</w:t>
      </w:r>
      <w:proofErr w:type="spellEnd"/>
      <w:r>
        <w:t xml:space="preserve"> on a specific sentence </w:t>
      </w:r>
      <w:proofErr w:type="gramStart"/>
      <w:r>
        <w:t>structure</w:t>
      </w:r>
      <w:r>
        <w:rPr>
          <w:highlight w:val="yellow"/>
        </w:rPr>
        <w:t>(</w:t>
      </w:r>
      <w:proofErr w:type="gramEnd"/>
      <w:r>
        <w:rPr>
          <w:highlight w:val="yellow"/>
        </w:rPr>
        <w:t>Department for Education and Skills, 2015)</w:t>
      </w:r>
      <w:r>
        <w:t xml:space="preserve">. For the introduction to this lesson, the teacher asked the children to reflect on what they had already learnt about nouns. When asking children questions, it is </w:t>
      </w:r>
      <w:r>
        <w:t>uncertain whether teachers can determine and control their pupils’ answers to their questions. The ‘</w:t>
      </w:r>
      <w:proofErr w:type="gramStart"/>
      <w:r>
        <w:t>recitation  script</w:t>
      </w:r>
      <w:proofErr w:type="gramEnd"/>
      <w:r>
        <w:t xml:space="preserve">’ describes how teachers try to prescribe pupils’ answers, however it is suggested to be ineffective </w:t>
      </w:r>
      <w:r>
        <w:rPr>
          <w:highlight w:val="yellow"/>
        </w:rPr>
        <w:t>(Alexander, 2013, p. 12).</w:t>
      </w:r>
      <w:r>
        <w:t xml:space="preserve"> Therefore, </w:t>
      </w:r>
      <w:r>
        <w:t>when asking the children to give examples of nouns, the teacher had to be prepared for a variety of answers and had to have good knowledge of nouns to be able to tell the children whether they were correct or incorrect. After this, the teacher explained an</w:t>
      </w:r>
      <w:r>
        <w:t xml:space="preserve"> example of the sentence structure that the children would be learning throughout the lesson. Once this was explained, the teacher asked the children to write their own example on their mini-whiteboards to assess their learning and understanding of the sen</w:t>
      </w:r>
      <w:r>
        <w:t xml:space="preserve">tence structure. From this assessment strategy, it could be shown that the children did not completely understand how to use the structure with commas in the correct places, therefore showing that with little teacher subject knowledge, the children cannot </w:t>
      </w:r>
      <w:r>
        <w:t xml:space="preserve">complete their sentences with correct punctuation or using the correct nouns. However, the main activity of this lesson showed how teacher subject knowledge can be used effectively to enhance children’s learning in Language lessons. For the main activity, </w:t>
      </w:r>
      <w:r>
        <w:t>the teacher was with one group and the TA was with another group, teaching the same task - a worksheet allowing the children to write their own sentences using nouns using the structure given. As there was a teacher with both groups, this allowed the child</w:t>
      </w:r>
      <w:r>
        <w:t>ren to have full access to teacher subject knowledge throughout the lesson, which was proven to be essential because the pupils had many questions about nouns and needed assistance with the structure. To ensure there was sufficient teacher subject knowledg</w:t>
      </w:r>
      <w:r>
        <w:t>e with the TA’s group, the teacher had to ensure that the TA was told they would need to have a good understanding of nouns prior to the lesson, which is suggested in QTS S2.1 as it states, “trainees’ work with classroom assistants and other adults working</w:t>
      </w:r>
      <w:r>
        <w:t xml:space="preserve"> with learners provides strong evidence of their understanding of subject knowledge” </w:t>
      </w:r>
      <w:r>
        <w:rPr>
          <w:highlight w:val="yellow"/>
        </w:rPr>
        <w:t xml:space="preserve">(DCELLS, 2009), </w:t>
      </w:r>
      <w:r>
        <w:t>showing that working with the TA to acknowledge their task and responsibilities shows that subject knowledge is present. Throughout the lesson, the teacher</w:t>
      </w:r>
      <w:r>
        <w:t xml:space="preserve"> ensured to complete ‘on-the-spot’ marking and praising to ensure that the children were completing the task correctly. Without teacher subject knowledge, the teacher would not be able to mark the children’s work correctly, meaning they would not learn eff</w:t>
      </w:r>
      <w:r>
        <w:t xml:space="preserve">ectively. There is a clear contrast between the starter and main activity, showing the positive effects of teacher subject knowledge within one language lesson. </w:t>
      </w:r>
    </w:p>
    <w:p w14:paraId="00000008" w14:textId="77777777" w:rsidR="004118FF" w:rsidRDefault="004118FF">
      <w:pPr>
        <w:jc w:val="both"/>
      </w:pPr>
    </w:p>
    <w:p w14:paraId="00000009" w14:textId="77777777" w:rsidR="004118FF" w:rsidRDefault="002A50D0">
      <w:pPr>
        <w:jc w:val="both"/>
      </w:pPr>
      <w:r>
        <w:lastRenderedPageBreak/>
        <w:t xml:space="preserve">As part of one lesson, a group of pupils had the task to complete ‘Rio Challenges’ which are </w:t>
      </w:r>
      <w:r>
        <w:t xml:space="preserve">challenges that should be completed with no teacher support, showing no teacher subject knowledge. According to </w:t>
      </w:r>
      <w:r>
        <w:rPr>
          <w:highlight w:val="yellow"/>
        </w:rPr>
        <w:t>Donaldson (2015, p. 61)</w:t>
      </w:r>
      <w:r>
        <w:t xml:space="preserve">, children should be able to choose what they wish to learn </w:t>
      </w:r>
      <w:proofErr w:type="gramStart"/>
      <w:r>
        <w:t>as long as</w:t>
      </w:r>
      <w:proofErr w:type="gramEnd"/>
      <w:r>
        <w:t xml:space="preserve"> it abides with the school’s policy. Therefore, the</w:t>
      </w:r>
      <w:r>
        <w:t xml:space="preserve">se tasks are suited for the children to learn different skills. Each activity is made to ensure that cross-curricular learning is taking place, so language skills are being learnt in any activity that the children chose for this Language lesson. </w:t>
      </w:r>
      <w:r>
        <w:rPr>
          <w:highlight w:val="yellow"/>
        </w:rPr>
        <w:t xml:space="preserve">Anna </w:t>
      </w:r>
      <w:proofErr w:type="spellStart"/>
      <w:r>
        <w:rPr>
          <w:highlight w:val="yellow"/>
        </w:rPr>
        <w:t>Penid</w:t>
      </w:r>
      <w:r>
        <w:rPr>
          <w:highlight w:val="yellow"/>
        </w:rPr>
        <w:t>o</w:t>
      </w:r>
      <w:proofErr w:type="spellEnd"/>
      <w:r>
        <w:rPr>
          <w:highlight w:val="yellow"/>
        </w:rPr>
        <w:t xml:space="preserve"> (2018)</w:t>
      </w:r>
      <w:r>
        <w:t xml:space="preserve"> suggests that if children </w:t>
      </w:r>
      <w:proofErr w:type="gramStart"/>
      <w:r>
        <w:t>have the opportunity to</w:t>
      </w:r>
      <w:proofErr w:type="gramEnd"/>
      <w:r>
        <w:t xml:space="preserve"> choose their activity or task, then they will be more engaged in the lesson. This was shown in this group activity as the children were engaged throughout the lesson and completed the task. However</w:t>
      </w:r>
      <w:r>
        <w:t>, due to the individual nature of these tasks, there is no immediate teacher knowledge that the children can access when they needed help researching for their posters. Therefore, when being shown the posters at the end of the lesson, it was clear that the</w:t>
      </w:r>
      <w:r>
        <w:t xml:space="preserve"> children had perhaps retrieved information from American websites or unreliable websites as their spellings and Language was not completely accurate. This clearly shows the importance of teacher subject knowledge in Language lessons because without teache</w:t>
      </w:r>
      <w:r>
        <w:t xml:space="preserve">r subject knowledge, the children will not know or </w:t>
      </w:r>
      <w:proofErr w:type="spellStart"/>
      <w:r>
        <w:t>recognise</w:t>
      </w:r>
      <w:proofErr w:type="spellEnd"/>
      <w:r>
        <w:t xml:space="preserve"> the difference between ‘</w:t>
      </w:r>
      <w:proofErr w:type="spellStart"/>
      <w:r>
        <w:t>colour</w:t>
      </w:r>
      <w:proofErr w:type="spellEnd"/>
      <w:r>
        <w:t xml:space="preserve">’ and ‘color’ and may therefore use this throughout their lives without knowing this is not standard formal English. </w:t>
      </w:r>
    </w:p>
    <w:p w14:paraId="0000000A" w14:textId="77777777" w:rsidR="004118FF" w:rsidRDefault="004118FF">
      <w:pPr>
        <w:jc w:val="both"/>
        <w:rPr>
          <w:highlight w:val="yellow"/>
        </w:rPr>
      </w:pPr>
    </w:p>
    <w:p w14:paraId="0000000B" w14:textId="77777777" w:rsidR="004118FF" w:rsidRDefault="002A50D0">
      <w:pPr>
        <w:jc w:val="both"/>
      </w:pPr>
      <w:r>
        <w:rPr>
          <w:highlight w:val="white"/>
        </w:rPr>
        <w:t>Teacher subject knowledge can affect children’</w:t>
      </w:r>
      <w:r>
        <w:rPr>
          <w:highlight w:val="white"/>
        </w:rPr>
        <w:t xml:space="preserve">s learning in Foundation Phase as well as Key Stage Two. In Foundation Phase, the children were taught the Year One and Year Two skills from the Mathematical element, ‘Time’ from the Foundation Phase Framework </w:t>
      </w:r>
      <w:r>
        <w:rPr>
          <w:highlight w:val="yellow"/>
        </w:rPr>
        <w:t>(Department for Education and Skills, 2015a</w:t>
      </w:r>
      <w:r>
        <w:rPr>
          <w:highlight w:val="white"/>
        </w:rPr>
        <w:t xml:space="preserve">). </w:t>
      </w:r>
      <w:r>
        <w:rPr>
          <w:highlight w:val="white"/>
        </w:rPr>
        <w:t xml:space="preserve">Donaldson </w:t>
      </w:r>
      <w:r>
        <w:rPr>
          <w:highlight w:val="yellow"/>
        </w:rPr>
        <w:t>(2015, p.49)</w:t>
      </w:r>
      <w:r>
        <w:rPr>
          <w:highlight w:val="white"/>
        </w:rPr>
        <w:t xml:space="preserve"> supports relating learning to real-life situations in Mathematics lessons in a cross-curricular style, which encouraged the teacher to relate the subject of time to the pupils’ lives whenever possible such as referring to lunch and p</w:t>
      </w:r>
      <w:r>
        <w:rPr>
          <w:highlight w:val="white"/>
        </w:rPr>
        <w:t>lay times throughout their learning. To begin the theme of time, the teacher used the curriculum as a basis for the learning by starting with the days of the week, months of the year and then progressing on to learning how to read ‘o’clock’ and ‘half past’</w:t>
      </w:r>
      <w:r>
        <w:rPr>
          <w:highlight w:val="white"/>
        </w:rPr>
        <w:t xml:space="preserve"> on analogue clocks. Throughout the teaching of these skills, the teacher used worksheets and differentiated activities for the pupils to learn effectively. A</w:t>
      </w:r>
      <w:r>
        <w:rPr>
          <w:highlight w:val="yellow"/>
        </w:rPr>
        <w:t xml:space="preserve">skew et al. (1997) </w:t>
      </w:r>
      <w:r>
        <w:t>shows connectionist orientated teachers show the most effective teaching and do</w:t>
      </w:r>
      <w:r>
        <w:t xml:space="preserve"> not restrict pupils to just one ability. Therefore, although the teacher has differentiated worksheets, the teacher would assess the children to understand what worksheet to start the children on, then allowed the pupils to go on to the next level of work</w:t>
      </w:r>
      <w:r>
        <w:t xml:space="preserve"> if they completed this successfully, regardless of what ability group they were in. In </w:t>
      </w:r>
      <w:proofErr w:type="spellStart"/>
      <w:r>
        <w:t>Cadle</w:t>
      </w:r>
      <w:proofErr w:type="spellEnd"/>
      <w:r>
        <w:t xml:space="preserve"> Primary School these were called ‘Next Steps’. Once the children completed their Next Steps they would be rewarded - encouraging the children to complete their wo</w:t>
      </w:r>
      <w:r>
        <w:t>rk in a good time frame. This structure of learning showed effective pedagogical choices based on teacher subject knowledge.</w:t>
      </w:r>
    </w:p>
    <w:p w14:paraId="0000000C" w14:textId="77777777" w:rsidR="004118FF" w:rsidRDefault="004118FF">
      <w:pPr>
        <w:jc w:val="both"/>
        <w:rPr>
          <w:highlight w:val="white"/>
        </w:rPr>
      </w:pPr>
    </w:p>
    <w:p w14:paraId="0000000D" w14:textId="77777777" w:rsidR="004118FF" w:rsidRDefault="002A50D0">
      <w:pPr>
        <w:jc w:val="both"/>
        <w:rPr>
          <w:highlight w:val="white"/>
        </w:rPr>
      </w:pPr>
      <w:r>
        <w:rPr>
          <w:highlight w:val="white"/>
        </w:rPr>
        <w:t>Throughout PTE, it was observed that the children respond very well to songs because they are used frequently throughout their dai</w:t>
      </w:r>
      <w:r>
        <w:rPr>
          <w:highlight w:val="white"/>
        </w:rPr>
        <w:t xml:space="preserve">ly school routine. In addition to this, the Foundation Phase Framework suggests that the children should learn to sing the days of the week in Reception </w:t>
      </w:r>
      <w:r>
        <w:rPr>
          <w:highlight w:val="yellow"/>
        </w:rPr>
        <w:t>(Department for Education and Skills, 2015a</w:t>
      </w:r>
      <w:r>
        <w:rPr>
          <w:highlight w:val="white"/>
        </w:rPr>
        <w:t>). Therefore, through using songs in their learning, the tea</w:t>
      </w:r>
      <w:r>
        <w:rPr>
          <w:highlight w:val="white"/>
        </w:rPr>
        <w:t xml:space="preserve">cher has encouraged the children to use their prior knowledge which is encouraged by the Department for Children, Education, Lifelong Learning and Skills (DCELLS) in the Thinking Skills documentation </w:t>
      </w:r>
      <w:r>
        <w:rPr>
          <w:highlight w:val="yellow"/>
        </w:rPr>
        <w:t>(DCELLS, 2008, p. 15a).</w:t>
      </w:r>
      <w:r>
        <w:rPr>
          <w:highlight w:val="white"/>
        </w:rPr>
        <w:t xml:space="preserve"> Throughout the Mathematics lesso</w:t>
      </w:r>
      <w:r>
        <w:rPr>
          <w:highlight w:val="white"/>
        </w:rPr>
        <w:t xml:space="preserve">ns, the teacher used </w:t>
      </w:r>
      <w:r>
        <w:rPr>
          <w:highlight w:val="white"/>
        </w:rPr>
        <w:lastRenderedPageBreak/>
        <w:t xml:space="preserve">multiple songs related to time to encourage learners’ engagement, which can be supported by Maria Alegria as she believed that listening to music can increase concentration </w:t>
      </w:r>
      <w:r>
        <w:rPr>
          <w:highlight w:val="yellow"/>
        </w:rPr>
        <w:t>(Alegria, 2017).</w:t>
      </w:r>
      <w:r>
        <w:rPr>
          <w:highlight w:val="white"/>
        </w:rPr>
        <w:t xml:space="preserve"> However, it was observed in PTE that sometime</w:t>
      </w:r>
      <w:r>
        <w:rPr>
          <w:highlight w:val="white"/>
        </w:rPr>
        <w:t>s children can get overwhelmed when using songs in class because they get too excited and can become rowdy. This limitation can be contrasted by a study which suggests that mathematical songs can make children more interested in Mathematics which influence</w:t>
      </w:r>
      <w:r>
        <w:rPr>
          <w:highlight w:val="white"/>
        </w:rPr>
        <w:t xml:space="preserve">s higher results </w:t>
      </w:r>
      <w:r>
        <w:rPr>
          <w:highlight w:val="yellow"/>
        </w:rPr>
        <w:t>(</w:t>
      </w:r>
      <w:proofErr w:type="spellStart"/>
      <w:r>
        <w:rPr>
          <w:highlight w:val="yellow"/>
        </w:rPr>
        <w:t>Kocabaú</w:t>
      </w:r>
      <w:proofErr w:type="spellEnd"/>
      <w:r>
        <w:rPr>
          <w:highlight w:val="yellow"/>
        </w:rPr>
        <w:t>, 2009, p. 542)</w:t>
      </w:r>
      <w:r>
        <w:t xml:space="preserve">. In PTE, </w:t>
      </w:r>
      <w:r>
        <w:rPr>
          <w:highlight w:val="white"/>
        </w:rPr>
        <w:t>this strategy was mainly shown to work well as the children were engaged when activating prior knowledge of the days of the week as well as when learning the different times on the analogue and digital cloc</w:t>
      </w:r>
      <w:r>
        <w:rPr>
          <w:highlight w:val="white"/>
        </w:rPr>
        <w:t xml:space="preserve">ks. Furthermore, </w:t>
      </w:r>
      <w:r>
        <w:t xml:space="preserve">supporting </w:t>
      </w:r>
      <w:proofErr w:type="spellStart"/>
      <w:r>
        <w:t>Kocabau’s</w:t>
      </w:r>
      <w:proofErr w:type="spellEnd"/>
      <w:r>
        <w:t xml:space="preserve"> theory, </w:t>
      </w:r>
      <w:r>
        <w:rPr>
          <w:highlight w:val="yellow"/>
        </w:rPr>
        <w:t>Karp (1991</w:t>
      </w:r>
      <w:r>
        <w:t>) suggests that a positive outlook on Mathematics from the teacher will influence children to enjoy the lessons as they will see Mathematics as a beneficial subject. The teacher was observed to be ver</w:t>
      </w:r>
      <w:r>
        <w:t>y enthusiastic about Mathematics which encouraged and engaged the children more in the lessons. This exaggerated teaching style paired with the upbeat Mathematics songs was shown to be effective in getting the children’s engagement throughout the lessons a</w:t>
      </w:r>
      <w:r>
        <w:t>s well as helping the children learn the months of the year as they remember them through singing the song. Although it may not seem like teacher subject knowledge is important when teaching the children songs, to help them remember the months of the year,</w:t>
      </w:r>
      <w:r>
        <w:t xml:space="preserve"> the pedagogical choices that the teacher makes in this aspect of teaching Mathematics is important as the teacher, not only has specific subject knowledge of months of the year, but also has knowledge that teaching this skill by using songs is beneficial </w:t>
      </w:r>
      <w:r>
        <w:t>for the children as they will find it easier to remember</w:t>
      </w:r>
      <w:r>
        <w:rPr>
          <w:highlight w:val="white"/>
        </w:rPr>
        <w:t xml:space="preserve">. Furthermore, from </w:t>
      </w:r>
      <w:r>
        <w:rPr>
          <w:highlight w:val="yellow"/>
        </w:rPr>
        <w:t>Karp’s (1991)</w:t>
      </w:r>
      <w:r>
        <w:rPr>
          <w:highlight w:val="white"/>
        </w:rPr>
        <w:t xml:space="preserve"> study, as well as personal experiences, it is shown that the exaggerated teaching style and a positive approach to teaching Mathematics shows children are more likely</w:t>
      </w:r>
      <w:r>
        <w:rPr>
          <w:highlight w:val="white"/>
        </w:rPr>
        <w:t xml:space="preserve"> to be engaged in their learning and will want to learn Mathematics. Therefore, showing that teacher subject knowledge and pedagogical choices have an impact on children’s learning in Mathematics.</w:t>
      </w:r>
    </w:p>
    <w:p w14:paraId="0000000E" w14:textId="77777777" w:rsidR="004118FF" w:rsidRDefault="004118FF">
      <w:pPr>
        <w:jc w:val="both"/>
        <w:rPr>
          <w:highlight w:val="white"/>
        </w:rPr>
      </w:pPr>
    </w:p>
    <w:p w14:paraId="0000000F" w14:textId="77777777" w:rsidR="004118FF" w:rsidRDefault="002A50D0">
      <w:pPr>
        <w:jc w:val="both"/>
      </w:pPr>
      <w:r>
        <w:rPr>
          <w:highlight w:val="white"/>
        </w:rPr>
        <w:t>When introducing the theme of analogue clocks, the teacher</w:t>
      </w:r>
      <w:r>
        <w:rPr>
          <w:highlight w:val="white"/>
        </w:rPr>
        <w:t xml:space="preserve"> first activated the pupils’ prior knowledge by asking where they had seen the image of the clock before then continued by teaching the children how to read the time using an analogue clock. The discussion of images, a clock in this instance, is important </w:t>
      </w:r>
      <w:r>
        <w:rPr>
          <w:highlight w:val="white"/>
        </w:rPr>
        <w:t xml:space="preserve">when showing the teacher’s knowledge and is important to show pupils’ thinking skills </w:t>
      </w:r>
      <w:r>
        <w:rPr>
          <w:highlight w:val="yellow"/>
        </w:rPr>
        <w:t>(Askew et al., 1997a).</w:t>
      </w:r>
      <w:r>
        <w:rPr>
          <w:highlight w:val="white"/>
        </w:rPr>
        <w:t xml:space="preserve"> When asking open questions in learning, it can influence children to use their language skills, therefore encouraging cross-curricular learning, sh</w:t>
      </w:r>
      <w:r>
        <w:rPr>
          <w:highlight w:val="white"/>
        </w:rPr>
        <w:t xml:space="preserve">owing how teaching is evolving with the new curriculum as </w:t>
      </w:r>
      <w:r>
        <w:rPr>
          <w:highlight w:val="yellow"/>
        </w:rPr>
        <w:t>Donaldson (2015, p. 39)</w:t>
      </w:r>
      <w:r>
        <w:rPr>
          <w:highlight w:val="white"/>
        </w:rPr>
        <w:t xml:space="preserve"> suggests there should be cross-curricular responsibilities for teachers to adhere to. The teacher then introduced the idea of ‘o’clock’ and ‘half past’ times through getting </w:t>
      </w:r>
      <w:r>
        <w:rPr>
          <w:highlight w:val="white"/>
        </w:rPr>
        <w:t xml:space="preserve">the children active by reaching up to the ceiling (up to 12) when shown an ‘o’clock’ time and crouching down to the floor (down to 6) when shown a ‘half past’ time. </w:t>
      </w:r>
      <w:r>
        <w:rPr>
          <w:highlight w:val="yellow"/>
        </w:rPr>
        <w:t>Piaget (1964</w:t>
      </w:r>
      <w:r>
        <w:rPr>
          <w:highlight w:val="white"/>
        </w:rPr>
        <w:t>) supports this active learning style as he states, “</w:t>
      </w:r>
      <w:r>
        <w:t xml:space="preserve">learning is possible only </w:t>
      </w:r>
      <w:r>
        <w:t xml:space="preserve">when there is active assimilation”. In this lesson, the active learning engaged the pupils and helped them remember where the big hand should point for ‘o’clock’ and ‘half past’ times on analogue clocks. However, this activity has its limitations as there </w:t>
      </w:r>
      <w:r>
        <w:t>may not be enough space in the classroom so it would not be safe for the children to be jumping up and down in the classroom setting for a starter activity.  On the other hand, this active strategy was proven to be effective in a recap activity that was do</w:t>
      </w:r>
      <w:r>
        <w:t xml:space="preserve">ne throughout the week where the children went outside with a TA and had to make their own analogue clocks using hula hoops and outdoor materials found in the playground and then had to put the clock hands in the correct place when </w:t>
      </w:r>
      <w:r>
        <w:lastRenderedPageBreak/>
        <w:t>told a time. This can li</w:t>
      </w:r>
      <w:r>
        <w:t>nk to the constructivist theory as it is suggested that children learn through the experiences that they have (</w:t>
      </w:r>
      <w:r>
        <w:rPr>
          <w:highlight w:val="yellow"/>
        </w:rPr>
        <w:t>Doolittle and Camp, 1999)</w:t>
      </w:r>
      <w:r>
        <w:t xml:space="preserve">. The teacher is shown to use most of the aspects of </w:t>
      </w:r>
      <w:r>
        <w:rPr>
          <w:highlight w:val="yellow"/>
        </w:rPr>
        <w:t>Haylock’s (2008, p. 9)</w:t>
      </w:r>
      <w:r>
        <w:t xml:space="preserve"> ‘Connections Model’ in this activity as the </w:t>
      </w:r>
      <w:r>
        <w:t xml:space="preserve">children use correct language throughout the lesson, understanding they are creating the image of an analogue clock - connecting language to images. When the children then </w:t>
      </w:r>
      <w:proofErr w:type="gramStart"/>
      <w:r>
        <w:t>have to</w:t>
      </w:r>
      <w:proofErr w:type="gramEnd"/>
      <w:r>
        <w:t xml:space="preserve"> move the hands of the clock to show a specific time, they are then using con</w:t>
      </w:r>
      <w:r>
        <w:t>crete materials to enhance their learning. After completing this activity the children had to complete a RAG Rating, to show the teacher if they understood the activity or if they needed more assistance, which came back with almost all ‘green’ results as w</w:t>
      </w:r>
      <w:r>
        <w:t>ell as feedback from the TA showing that the children enjoyed the activity and used the reaching up to 12 and down to 6 strategy when completing the task. As this task was TA led, the teacher had to ensure that the TA had knowledge of what the children had</w:t>
      </w:r>
      <w:r>
        <w:t xml:space="preserve"> previously learnt and knowledge of time to ensure she could check the pupils were completing the activity correctly, showing that teacher subject knowledge is vital when teaching Mathematics to ensure the children get correct answers and are learning effe</w:t>
      </w:r>
      <w:r>
        <w:t xml:space="preserve">ctively. </w:t>
      </w:r>
    </w:p>
    <w:p w14:paraId="00000010" w14:textId="77777777" w:rsidR="004118FF" w:rsidRDefault="004118FF">
      <w:pPr>
        <w:jc w:val="both"/>
      </w:pPr>
    </w:p>
    <w:p w14:paraId="00000011" w14:textId="77777777" w:rsidR="004118FF" w:rsidRDefault="002A50D0">
      <w:pPr>
        <w:jc w:val="both"/>
      </w:pPr>
      <w:r>
        <w:t xml:space="preserve">In conclusion, it can be shown throughout this assignment that teacher subject knowledge is important when teaching Language and Mathematics because when there was a lack of teacher subject knowledge, there were limitations to the pupils’ learning. It has </w:t>
      </w:r>
      <w:r>
        <w:t>been stated in this assignment, that when I, as the teacher, used my knowledge of Mathematics and Language to plan lessons, these lessons had good pedagogical choices meaning that I chose the best ways for the children to learn the various skills within La</w:t>
      </w:r>
      <w:r>
        <w:t>nguage and Mathematics lessons. For example, without the knowledge that children learn more effectively when they choose their own activity, the children may not have been engaged in their learning and may have messed around during the Language lesson beca</w:t>
      </w:r>
      <w:r>
        <w:t xml:space="preserve">use the teacher wasn’t focusing on them constantly as it was an individual task.  </w:t>
      </w:r>
    </w:p>
    <w:p w14:paraId="00000012" w14:textId="77777777" w:rsidR="004118FF" w:rsidRDefault="004118FF">
      <w:pPr>
        <w:jc w:val="both"/>
      </w:pPr>
    </w:p>
    <w:p w14:paraId="00000013" w14:textId="77777777" w:rsidR="004118FF" w:rsidRDefault="004118FF">
      <w:pPr>
        <w:jc w:val="both"/>
      </w:pPr>
    </w:p>
    <w:p w14:paraId="00000014" w14:textId="77777777" w:rsidR="004118FF" w:rsidRDefault="002A50D0">
      <w:pPr>
        <w:jc w:val="both"/>
      </w:pPr>
      <w:r>
        <w:t xml:space="preserve"> </w:t>
      </w:r>
    </w:p>
    <w:p w14:paraId="00000015" w14:textId="77777777" w:rsidR="004118FF" w:rsidRDefault="002A50D0">
      <w:pPr>
        <w:rPr>
          <w:color w:val="222222"/>
          <w:highlight w:val="white"/>
        </w:rPr>
      </w:pPr>
      <w:r>
        <w:rPr>
          <w:color w:val="222222"/>
          <w:highlight w:val="white"/>
        </w:rPr>
        <w:t xml:space="preserve"> </w:t>
      </w:r>
    </w:p>
    <w:p w14:paraId="00000016" w14:textId="77777777" w:rsidR="004118FF" w:rsidRDefault="002A50D0">
      <w:pPr>
        <w:rPr>
          <w:color w:val="222222"/>
          <w:highlight w:val="white"/>
        </w:rPr>
      </w:pPr>
      <w:r>
        <w:rPr>
          <w:color w:val="222222"/>
          <w:highlight w:val="white"/>
        </w:rPr>
        <w:t xml:space="preserve"> </w:t>
      </w:r>
    </w:p>
    <w:p w14:paraId="00000017" w14:textId="77777777" w:rsidR="004118FF" w:rsidRDefault="002A50D0">
      <w:pPr>
        <w:jc w:val="both"/>
        <w:rPr>
          <w:color w:val="222222"/>
          <w:highlight w:val="white"/>
        </w:rPr>
      </w:pPr>
      <w:r>
        <w:rPr>
          <w:color w:val="222222"/>
          <w:highlight w:val="white"/>
        </w:rPr>
        <w:t xml:space="preserve"> </w:t>
      </w:r>
    </w:p>
    <w:p w14:paraId="00000018" w14:textId="77777777" w:rsidR="004118FF" w:rsidRDefault="002A50D0">
      <w:pPr>
        <w:rPr>
          <w:color w:val="222222"/>
          <w:highlight w:val="white"/>
        </w:rPr>
      </w:pPr>
      <w:r>
        <w:rPr>
          <w:color w:val="222222"/>
          <w:highlight w:val="white"/>
        </w:rPr>
        <w:t xml:space="preserve"> </w:t>
      </w:r>
    </w:p>
    <w:p w14:paraId="4D86C199" w14:textId="77777777" w:rsidR="002A50D0" w:rsidRDefault="002A50D0">
      <w:pPr>
        <w:rPr>
          <w:b/>
          <w:sz w:val="46"/>
          <w:szCs w:val="46"/>
        </w:rPr>
      </w:pPr>
    </w:p>
    <w:p w14:paraId="2454EDDA" w14:textId="77777777" w:rsidR="002A50D0" w:rsidRDefault="002A50D0">
      <w:pPr>
        <w:rPr>
          <w:b/>
          <w:sz w:val="46"/>
          <w:szCs w:val="46"/>
        </w:rPr>
      </w:pPr>
    </w:p>
    <w:p w14:paraId="4661AEF2" w14:textId="77777777" w:rsidR="002A50D0" w:rsidRDefault="002A50D0">
      <w:pPr>
        <w:rPr>
          <w:b/>
          <w:sz w:val="46"/>
          <w:szCs w:val="46"/>
        </w:rPr>
      </w:pPr>
    </w:p>
    <w:p w14:paraId="77F2AABB" w14:textId="77777777" w:rsidR="002A50D0" w:rsidRDefault="002A50D0">
      <w:pPr>
        <w:rPr>
          <w:b/>
          <w:sz w:val="46"/>
          <w:szCs w:val="46"/>
        </w:rPr>
      </w:pPr>
    </w:p>
    <w:p w14:paraId="3A7F3D1E" w14:textId="77777777" w:rsidR="002A50D0" w:rsidRDefault="002A50D0">
      <w:pPr>
        <w:rPr>
          <w:b/>
          <w:sz w:val="46"/>
          <w:szCs w:val="46"/>
        </w:rPr>
      </w:pPr>
    </w:p>
    <w:p w14:paraId="64AC9EDF" w14:textId="77777777" w:rsidR="002A50D0" w:rsidRDefault="002A50D0">
      <w:pPr>
        <w:rPr>
          <w:b/>
          <w:sz w:val="46"/>
          <w:szCs w:val="46"/>
        </w:rPr>
      </w:pPr>
    </w:p>
    <w:p w14:paraId="00000019" w14:textId="3E588329" w:rsidR="004118FF" w:rsidRDefault="002A50D0">
      <w:pPr>
        <w:rPr>
          <w:highlight w:val="white"/>
        </w:rPr>
      </w:pPr>
      <w:bookmarkStart w:id="0" w:name="_GoBack"/>
      <w:bookmarkEnd w:id="0"/>
      <w:r>
        <w:rPr>
          <w:b/>
          <w:sz w:val="46"/>
          <w:szCs w:val="46"/>
        </w:rPr>
        <w:lastRenderedPageBreak/>
        <w:t>References</w:t>
      </w:r>
    </w:p>
    <w:p w14:paraId="0000001A" w14:textId="77777777" w:rsidR="004118FF" w:rsidRDefault="002A50D0">
      <w:pPr>
        <w:rPr>
          <w:highlight w:val="white"/>
        </w:rPr>
      </w:pPr>
      <w:r>
        <w:rPr>
          <w:highlight w:val="white"/>
        </w:rPr>
        <w:t xml:space="preserve">Alegria, M. (2017), </w:t>
      </w:r>
      <w:r>
        <w:rPr>
          <w:i/>
          <w:highlight w:val="white"/>
        </w:rPr>
        <w:t>Music as a Teaching Tool</w:t>
      </w:r>
      <w:r>
        <w:rPr>
          <w:highlight w:val="white"/>
        </w:rPr>
        <w:t xml:space="preserve">. Available at:- </w:t>
      </w:r>
      <w:hyperlink r:id="rId4">
        <w:r>
          <w:rPr>
            <w:color w:val="1155CC"/>
            <w:highlight w:val="white"/>
            <w:u w:val="single"/>
          </w:rPr>
          <w:t>https:</w:t>
        </w:r>
        <w:r>
          <w:rPr>
            <w:color w:val="1155CC"/>
            <w:highlight w:val="white"/>
            <w:u w:val="single"/>
          </w:rPr>
          <w:t>//www.edutopia.org/blog/music-teaching-tool-maria-alegria</w:t>
        </w:r>
      </w:hyperlink>
      <w:r>
        <w:rPr>
          <w:highlight w:val="white"/>
        </w:rPr>
        <w:t xml:space="preserve"> [Accessed 22 April 2019].</w:t>
      </w:r>
    </w:p>
    <w:p w14:paraId="0000001B" w14:textId="77777777" w:rsidR="004118FF" w:rsidRDefault="004118FF">
      <w:pPr>
        <w:rPr>
          <w:highlight w:val="white"/>
        </w:rPr>
      </w:pPr>
    </w:p>
    <w:p w14:paraId="0000001C" w14:textId="77777777" w:rsidR="004118FF" w:rsidRDefault="002A50D0">
      <w:pPr>
        <w:rPr>
          <w:highlight w:val="white"/>
        </w:rPr>
      </w:pPr>
      <w:r>
        <w:rPr>
          <w:highlight w:val="white"/>
        </w:rPr>
        <w:t xml:space="preserve">Alexander, Robin John (2013) </w:t>
      </w:r>
      <w:r>
        <w:rPr>
          <w:i/>
          <w:highlight w:val="white"/>
        </w:rPr>
        <w:t xml:space="preserve">Improving </w:t>
      </w:r>
      <w:proofErr w:type="spellStart"/>
      <w:r>
        <w:rPr>
          <w:i/>
          <w:highlight w:val="white"/>
        </w:rPr>
        <w:t>oracy</w:t>
      </w:r>
      <w:proofErr w:type="spellEnd"/>
      <w:r>
        <w:rPr>
          <w:i/>
          <w:highlight w:val="white"/>
        </w:rPr>
        <w:t xml:space="preserve"> and classroom </w:t>
      </w:r>
      <w:proofErr w:type="gramStart"/>
      <w:r>
        <w:rPr>
          <w:i/>
          <w:highlight w:val="white"/>
        </w:rPr>
        <w:t>talk :</w:t>
      </w:r>
      <w:proofErr w:type="gramEnd"/>
      <w:r>
        <w:rPr>
          <w:i/>
          <w:highlight w:val="white"/>
        </w:rPr>
        <w:t xml:space="preserve"> achievements and challenges. Primary First. </w:t>
      </w:r>
      <w:r>
        <w:rPr>
          <w:highlight w:val="white"/>
        </w:rPr>
        <w:t xml:space="preserve">Available at:- </w:t>
      </w:r>
      <w:hyperlink r:id="rId5">
        <w:r>
          <w:rPr>
            <w:color w:val="1155CC"/>
            <w:highlight w:val="white"/>
            <w:u w:val="single"/>
          </w:rPr>
          <w:t>http://eprints.whiterose.ac.uk/76321/1/R_alexander_improving_oracy.pdf</w:t>
        </w:r>
      </w:hyperlink>
      <w:r>
        <w:rPr>
          <w:highlight w:val="white"/>
        </w:rPr>
        <w:t xml:space="preserve"> [Accessed 23 April 2019]</w:t>
      </w:r>
    </w:p>
    <w:p w14:paraId="0000001D" w14:textId="77777777" w:rsidR="004118FF" w:rsidRDefault="004118FF">
      <w:pPr>
        <w:rPr>
          <w:highlight w:val="white"/>
        </w:rPr>
      </w:pPr>
    </w:p>
    <w:p w14:paraId="0000001E" w14:textId="77777777" w:rsidR="004118FF" w:rsidRDefault="002A50D0">
      <w:pPr>
        <w:rPr>
          <w:highlight w:val="white"/>
        </w:rPr>
      </w:pPr>
      <w:r>
        <w:rPr>
          <w:highlight w:val="white"/>
        </w:rPr>
        <w:t xml:space="preserve">Armstrong, P. (2019) </w:t>
      </w:r>
      <w:r>
        <w:rPr>
          <w:i/>
          <w:highlight w:val="white"/>
        </w:rPr>
        <w:t xml:space="preserve">Bloom’s Taxonomy </w:t>
      </w:r>
      <w:r>
        <w:rPr>
          <w:highlight w:val="white"/>
        </w:rPr>
        <w:t xml:space="preserve">Available at:- </w:t>
      </w:r>
      <w:hyperlink r:id="rId6">
        <w:r>
          <w:rPr>
            <w:color w:val="1155CC"/>
            <w:highlight w:val="white"/>
            <w:u w:val="single"/>
          </w:rPr>
          <w:t>https://cft.vanderbilt.edu/guides-sub-pages/blooms-taxonomy/</w:t>
        </w:r>
      </w:hyperlink>
      <w:r>
        <w:rPr>
          <w:highlight w:val="white"/>
        </w:rPr>
        <w:t xml:space="preserve"> [Accessed 23 April 2019]</w:t>
      </w:r>
    </w:p>
    <w:p w14:paraId="0000001F" w14:textId="77777777" w:rsidR="004118FF" w:rsidRDefault="004118FF">
      <w:pPr>
        <w:rPr>
          <w:highlight w:val="white"/>
        </w:rPr>
      </w:pPr>
    </w:p>
    <w:p w14:paraId="00000020" w14:textId="77777777" w:rsidR="004118FF" w:rsidRDefault="002A50D0">
      <w:r>
        <w:t xml:space="preserve">Askew, M. et al (1997) </w:t>
      </w:r>
      <w:r>
        <w:rPr>
          <w:i/>
        </w:rPr>
        <w:t>Effective Teachers of Numeracy: Teachers’ Beliefs, Practices and Pup</w:t>
      </w:r>
      <w:r>
        <w:rPr>
          <w:i/>
        </w:rPr>
        <w:t>ils’ Learning</w:t>
      </w:r>
      <w:r>
        <w:t>. London: King’s College, University of London.</w:t>
      </w:r>
    </w:p>
    <w:p w14:paraId="00000021" w14:textId="77777777" w:rsidR="004118FF" w:rsidRDefault="004118FF"/>
    <w:p w14:paraId="00000022" w14:textId="77777777" w:rsidR="004118FF" w:rsidRDefault="002A50D0">
      <w:r>
        <w:t xml:space="preserve">Askew, M. et al. (1997a) </w:t>
      </w:r>
      <w:r>
        <w:rPr>
          <w:i/>
        </w:rPr>
        <w:t xml:space="preserve">Effective Teachers of Numeracy: Report of a study carried out for the Teacher Training Agency. </w:t>
      </w:r>
      <w:r>
        <w:t>London: King’s College, University of London.</w:t>
      </w:r>
    </w:p>
    <w:p w14:paraId="00000023" w14:textId="77777777" w:rsidR="004118FF" w:rsidRDefault="004118FF"/>
    <w:p w14:paraId="00000024" w14:textId="77777777" w:rsidR="004118FF" w:rsidRDefault="002A50D0">
      <w:r>
        <w:t xml:space="preserve">DCELLS (2008) </w:t>
      </w:r>
      <w:r>
        <w:rPr>
          <w:i/>
        </w:rPr>
        <w:t>Skills framew</w:t>
      </w:r>
      <w:r>
        <w:rPr>
          <w:i/>
        </w:rPr>
        <w:t xml:space="preserve">ork for 3 to 19-year-olds in Wales. </w:t>
      </w:r>
      <w:r>
        <w:t>Cardiff: Welsh Assembly Government. Available at:-</w:t>
      </w:r>
      <w:hyperlink r:id="rId7">
        <w:r>
          <w:t xml:space="preserve"> </w:t>
        </w:r>
      </w:hyperlink>
      <w:hyperlink r:id="rId8">
        <w:r>
          <w:rPr>
            <w:color w:val="1155CC"/>
            <w:u w:val="single"/>
          </w:rPr>
          <w:t>https://learning.gov.wales/docs/learningwales/publications/140626-skills-framework-for-3-19-year-olds-en.pdf</w:t>
        </w:r>
      </w:hyperlink>
      <w:r>
        <w:t xml:space="preserve"> [Accessed 16 April 2019].</w:t>
      </w:r>
    </w:p>
    <w:p w14:paraId="00000025" w14:textId="77777777" w:rsidR="004118FF" w:rsidRDefault="004118FF"/>
    <w:p w14:paraId="00000026" w14:textId="77777777" w:rsidR="004118FF" w:rsidRDefault="002A50D0">
      <w:pPr>
        <w:rPr>
          <w:u w:val="single"/>
        </w:rPr>
      </w:pPr>
      <w:r>
        <w:t xml:space="preserve">DCELLS (2009) </w:t>
      </w:r>
      <w:r>
        <w:rPr>
          <w:i/>
        </w:rPr>
        <w:t>Becoming a Qualifie</w:t>
      </w:r>
      <w:r>
        <w:rPr>
          <w:i/>
        </w:rPr>
        <w:t xml:space="preserve">d Teacher: Handbook of Guidance. </w:t>
      </w:r>
      <w:r>
        <w:t xml:space="preserve">Cardiff: Welsh Assembly Government. Available </w:t>
      </w:r>
      <w:proofErr w:type="gramStart"/>
      <w:r>
        <w:t>at:-</w:t>
      </w:r>
      <w:proofErr w:type="gramEnd"/>
      <w:r>
        <w:t xml:space="preserve"> </w:t>
      </w:r>
      <w:r>
        <w:rPr>
          <w:u w:val="single"/>
        </w:rPr>
        <w:t>https://www.discoverteaching.wales/media/2760/becoming-a-qualified-teacher.pdf</w:t>
      </w:r>
    </w:p>
    <w:p w14:paraId="00000027" w14:textId="77777777" w:rsidR="004118FF" w:rsidRDefault="002A50D0">
      <w:r>
        <w:t>[Accessed 9 April 2019].</w:t>
      </w:r>
    </w:p>
    <w:p w14:paraId="00000028" w14:textId="77777777" w:rsidR="004118FF" w:rsidRDefault="004118FF"/>
    <w:p w14:paraId="00000029" w14:textId="77777777" w:rsidR="004118FF" w:rsidRDefault="002A50D0">
      <w:r>
        <w:t>Department for Education and Skills (2015)</w:t>
      </w:r>
      <w:r>
        <w:rPr>
          <w:i/>
        </w:rPr>
        <w:t xml:space="preserve"> Curriculum for Wales </w:t>
      </w:r>
      <w:proofErr w:type="spellStart"/>
      <w:r>
        <w:rPr>
          <w:i/>
        </w:rPr>
        <w:t>Programme</w:t>
      </w:r>
      <w:proofErr w:type="spellEnd"/>
      <w:r>
        <w:rPr>
          <w:i/>
        </w:rPr>
        <w:t xml:space="preserve"> of Study for English Key Stages 2-4. </w:t>
      </w:r>
      <w:r>
        <w:t>Cardiff: Welsh Government. Available at:-</w:t>
      </w:r>
      <w:hyperlink r:id="rId9">
        <w:r>
          <w:t xml:space="preserve"> </w:t>
        </w:r>
      </w:hyperlink>
      <w:hyperlink r:id="rId10">
        <w:r>
          <w:rPr>
            <w:color w:val="1155CC"/>
            <w:u w:val="single"/>
          </w:rPr>
          <w:t>https://learning.gov.wales/docs/learningwales/publications/150717-nc-english-en-v3.pdf</w:t>
        </w:r>
      </w:hyperlink>
      <w:r>
        <w:t xml:space="preserve"> [Accessed 15 April 2019]</w:t>
      </w:r>
    </w:p>
    <w:p w14:paraId="0000002A" w14:textId="77777777" w:rsidR="004118FF" w:rsidRDefault="004118FF"/>
    <w:p w14:paraId="0000002B" w14:textId="77777777" w:rsidR="004118FF" w:rsidRDefault="002A50D0">
      <w:r>
        <w:t>Department for Education and Skills</w:t>
      </w:r>
      <w:r>
        <w:t xml:space="preserve"> (2015a) </w:t>
      </w:r>
      <w:r>
        <w:rPr>
          <w:i/>
        </w:rPr>
        <w:t xml:space="preserve">Foundation Phase Framework (Revised 2015). </w:t>
      </w:r>
      <w:r>
        <w:t>Cardiff: Welsh Government. Available at:-</w:t>
      </w:r>
      <w:hyperlink r:id="rId11">
        <w:r>
          <w:t xml:space="preserve"> </w:t>
        </w:r>
      </w:hyperlink>
      <w:hyperlink r:id="rId12">
        <w:r>
          <w:rPr>
            <w:color w:val="1155CC"/>
            <w:u w:val="single"/>
          </w:rPr>
          <w:t>https://learning.gov.wales/docs/learningwales/publications/150803-fp-framework-en.pdf</w:t>
        </w:r>
      </w:hyperlink>
      <w:r>
        <w:t xml:space="preserve"> [Accessed 15 April 2019]</w:t>
      </w:r>
    </w:p>
    <w:p w14:paraId="0000002C" w14:textId="77777777" w:rsidR="004118FF" w:rsidRDefault="004118FF"/>
    <w:p w14:paraId="0000002D" w14:textId="77777777" w:rsidR="004118FF" w:rsidRDefault="002A50D0">
      <w:pPr>
        <w:rPr>
          <w:u w:val="single"/>
        </w:rPr>
      </w:pPr>
      <w:r>
        <w:t xml:space="preserve">Department for Education and Skills (2015) </w:t>
      </w:r>
      <w:r>
        <w:rPr>
          <w:i/>
        </w:rPr>
        <w:t xml:space="preserve">Curriculum for Wales </w:t>
      </w:r>
      <w:proofErr w:type="spellStart"/>
      <w:r>
        <w:rPr>
          <w:i/>
        </w:rPr>
        <w:t>Programme</w:t>
      </w:r>
      <w:proofErr w:type="spellEnd"/>
      <w:r>
        <w:rPr>
          <w:i/>
        </w:rPr>
        <w:t xml:space="preserve"> of Study for English K</w:t>
      </w:r>
      <w:r>
        <w:rPr>
          <w:i/>
        </w:rPr>
        <w:t xml:space="preserve">ey Stages 2-4. </w:t>
      </w:r>
      <w:r>
        <w:t xml:space="preserve">Cardiff: Welsh Government. Available </w:t>
      </w:r>
      <w:proofErr w:type="gramStart"/>
      <w:r>
        <w:t>at:-</w:t>
      </w:r>
      <w:proofErr w:type="gramEnd"/>
      <w:r>
        <w:rPr>
          <w:u w:val="single"/>
        </w:rPr>
        <w:t>https://learning.gov.wales/docs/learningwales/publications/150717-nc-english-en-v3.pdf</w:t>
      </w:r>
    </w:p>
    <w:p w14:paraId="0000002E" w14:textId="77777777" w:rsidR="004118FF" w:rsidRDefault="002A50D0">
      <w:r>
        <w:t>[Accessed 10 April 2019].</w:t>
      </w:r>
    </w:p>
    <w:p w14:paraId="0000002F" w14:textId="77777777" w:rsidR="004118FF" w:rsidRDefault="004118FF"/>
    <w:p w14:paraId="00000030" w14:textId="77777777" w:rsidR="004118FF" w:rsidRDefault="002A50D0">
      <w:r>
        <w:lastRenderedPageBreak/>
        <w:t xml:space="preserve">Donaldson, G. (2015) </w:t>
      </w:r>
      <w:r>
        <w:rPr>
          <w:i/>
        </w:rPr>
        <w:t>Successful Futures: Independent Review of Curriculum and Assessme</w:t>
      </w:r>
      <w:r>
        <w:rPr>
          <w:i/>
        </w:rPr>
        <w:t xml:space="preserve">nt Arrangements in Wales. </w:t>
      </w:r>
      <w:r>
        <w:t>Crown copyright. Available at:-</w:t>
      </w:r>
      <w:hyperlink r:id="rId13">
        <w:r>
          <w:t xml:space="preserve"> </w:t>
        </w:r>
      </w:hyperlink>
      <w:hyperlink r:id="rId14">
        <w:r>
          <w:rPr>
            <w:color w:val="1155CC"/>
            <w:u w:val="single"/>
          </w:rPr>
          <w:t>https://gov.wales/sites/default/files/publications/2018-03/successful-futures.pdf</w:t>
        </w:r>
      </w:hyperlink>
      <w:r>
        <w:t xml:space="preserve"> [Accessed 9 April 2019]</w:t>
      </w:r>
    </w:p>
    <w:p w14:paraId="00000031" w14:textId="77777777" w:rsidR="004118FF" w:rsidRDefault="004118FF"/>
    <w:p w14:paraId="00000032" w14:textId="77777777" w:rsidR="004118FF" w:rsidRDefault="002A50D0">
      <w:r>
        <w:t xml:space="preserve">Doolittle, P. and Camp, W. (1999) </w:t>
      </w:r>
      <w:r>
        <w:rPr>
          <w:i/>
        </w:rPr>
        <w:t xml:space="preserve">CONSTRUCTIVISM: THE CAREER AND TECHNICAL EDUCATION PERSPECTIVE </w:t>
      </w:r>
      <w:r>
        <w:t>Virginia Polytechnic Institute &amp; State Universit</w:t>
      </w:r>
      <w:r>
        <w:t>y. Available at:-</w:t>
      </w:r>
      <w:hyperlink r:id="rId15">
        <w:r>
          <w:t xml:space="preserve"> </w:t>
        </w:r>
      </w:hyperlink>
      <w:hyperlink r:id="rId16">
        <w:r>
          <w:rPr>
            <w:color w:val="1155CC"/>
            <w:u w:val="single"/>
          </w:rPr>
          <w:t>https://files.eric.ed.gov/fulltext/EJ598590.pdf</w:t>
        </w:r>
      </w:hyperlink>
      <w:r>
        <w:t xml:space="preserve"> [Accessed 16 April 2019]</w:t>
      </w:r>
    </w:p>
    <w:p w14:paraId="00000033" w14:textId="77777777" w:rsidR="004118FF" w:rsidRDefault="004118FF"/>
    <w:p w14:paraId="00000034" w14:textId="77777777" w:rsidR="004118FF" w:rsidRDefault="002A50D0">
      <w:r>
        <w:t xml:space="preserve">Education Directorate (2017) </w:t>
      </w:r>
      <w:r>
        <w:rPr>
          <w:i/>
        </w:rPr>
        <w:t>L</w:t>
      </w:r>
      <w:r>
        <w:rPr>
          <w:i/>
        </w:rPr>
        <w:t xml:space="preserve">iteracy and numeracy: Your questions answered </w:t>
      </w:r>
      <w:r>
        <w:t>Cardiff: Welsh Government</w:t>
      </w:r>
    </w:p>
    <w:p w14:paraId="00000035" w14:textId="77777777" w:rsidR="004118FF" w:rsidRDefault="004118FF"/>
    <w:p w14:paraId="00000036" w14:textId="77777777" w:rsidR="004118FF" w:rsidRDefault="002A50D0">
      <w:proofErr w:type="spellStart"/>
      <w:r>
        <w:t>Frunză</w:t>
      </w:r>
      <w:proofErr w:type="spellEnd"/>
      <w:r>
        <w:t xml:space="preserve">, V. (2013) </w:t>
      </w:r>
      <w:r>
        <w:rPr>
          <w:i/>
        </w:rPr>
        <w:t xml:space="preserve">Implications of teaching styles on learning efficiency (p. 342 - 346) </w:t>
      </w:r>
      <w:r>
        <w:t xml:space="preserve">Romania: Elsevier Available at:- </w:t>
      </w:r>
      <w:hyperlink r:id="rId17">
        <w:r>
          <w:rPr>
            <w:color w:val="1155CC"/>
            <w:u w:val="single"/>
          </w:rPr>
          <w:t>https://core.ac.uk/download/pdf/82349867.pdf</w:t>
        </w:r>
      </w:hyperlink>
      <w:r>
        <w:t xml:space="preserve"> [Accessed 20 April 2019]</w:t>
      </w:r>
    </w:p>
    <w:p w14:paraId="00000037" w14:textId="77777777" w:rsidR="004118FF" w:rsidRDefault="004118FF"/>
    <w:p w14:paraId="00000038" w14:textId="77777777" w:rsidR="004118FF" w:rsidRDefault="002A50D0">
      <w:r>
        <w:t xml:space="preserve">Grigg, R.  (2010) </w:t>
      </w:r>
      <w:r>
        <w:rPr>
          <w:i/>
        </w:rPr>
        <w:t xml:space="preserve">Becoming an Outstanding Primary School Teacher </w:t>
      </w:r>
      <w:r>
        <w:t>England: Pearson Education Limited.</w:t>
      </w:r>
    </w:p>
    <w:p w14:paraId="00000039" w14:textId="77777777" w:rsidR="004118FF" w:rsidRDefault="004118FF"/>
    <w:p w14:paraId="0000003A" w14:textId="77777777" w:rsidR="004118FF" w:rsidRDefault="002A50D0">
      <w:r>
        <w:t xml:space="preserve">Hattie, J. (2003) </w:t>
      </w:r>
      <w:r>
        <w:rPr>
          <w:i/>
        </w:rPr>
        <w:t xml:space="preserve">Teachers Make a Difference, </w:t>
      </w:r>
      <w:proofErr w:type="gramStart"/>
      <w:r>
        <w:rPr>
          <w:i/>
        </w:rPr>
        <w:t>What</w:t>
      </w:r>
      <w:proofErr w:type="gramEnd"/>
      <w:r>
        <w:rPr>
          <w:i/>
        </w:rPr>
        <w:t xml:space="preserve"> is the research evidence? </w:t>
      </w:r>
      <w:r>
        <w:t xml:space="preserve">Australia: Conference Archive at </w:t>
      </w:r>
      <w:proofErr w:type="spellStart"/>
      <w:r>
        <w:t>ACEReSearch</w:t>
      </w:r>
      <w:proofErr w:type="spellEnd"/>
      <w:r>
        <w:t>. Available at:-</w:t>
      </w:r>
      <w:hyperlink r:id="rId18">
        <w:r>
          <w:t xml:space="preserve"> </w:t>
        </w:r>
      </w:hyperlink>
      <w:hyperlink r:id="rId19">
        <w:r>
          <w:rPr>
            <w:color w:val="1155CC"/>
            <w:u w:val="single"/>
          </w:rPr>
          <w:t>https://research.acer.edu.au/cgi/viewcontent.cgi?article=1003&amp;context=research_conference_2003</w:t>
        </w:r>
      </w:hyperlink>
      <w:r>
        <w:t xml:space="preserve"> [Accessed 5 April 2019]</w:t>
      </w:r>
    </w:p>
    <w:p w14:paraId="0000003B" w14:textId="77777777" w:rsidR="004118FF" w:rsidRDefault="004118FF"/>
    <w:p w14:paraId="0000003C" w14:textId="77777777" w:rsidR="004118FF" w:rsidRDefault="002A50D0">
      <w:r>
        <w:t xml:space="preserve">Haylock, D. (2008) </w:t>
      </w:r>
      <w:r>
        <w:rPr>
          <w:i/>
        </w:rPr>
        <w:t>Makin</w:t>
      </w:r>
      <w:r>
        <w:rPr>
          <w:i/>
        </w:rPr>
        <w:t xml:space="preserve">g Connections Chapter 1: Understanding Mathematics. </w:t>
      </w:r>
      <w:r>
        <w:t>Available at:-</w:t>
      </w:r>
      <w:hyperlink r:id="rId20">
        <w:r>
          <w:t xml:space="preserve"> </w:t>
        </w:r>
      </w:hyperlink>
      <w:hyperlink r:id="rId21">
        <w:r>
          <w:rPr>
            <w:color w:val="1155CC"/>
            <w:u w:val="single"/>
          </w:rPr>
          <w:t>https://www.sagepub.com/sites/default/files/upm-binaries/23570_02_Haylo</w:t>
        </w:r>
        <w:r>
          <w:rPr>
            <w:color w:val="1155CC"/>
            <w:u w:val="single"/>
          </w:rPr>
          <w:t>ck(Understanding)_Ch_01.pdf?fbclid=IwAR34uSJgD9kSUn95c89ZnQag8Lt_cn_bu1lHFPOSykvMgObYv2liUhaVLKQ</w:t>
        </w:r>
      </w:hyperlink>
      <w:r>
        <w:t xml:space="preserve"> [Accessed 20 April 2019]</w:t>
      </w:r>
    </w:p>
    <w:p w14:paraId="0000003D" w14:textId="77777777" w:rsidR="004118FF" w:rsidRDefault="004118FF"/>
    <w:p w14:paraId="0000003E" w14:textId="77777777" w:rsidR="004118FF" w:rsidRDefault="002A50D0">
      <w:r>
        <w:t xml:space="preserve">Karp, K. S. (1991). </w:t>
      </w:r>
      <w:r>
        <w:rPr>
          <w:i/>
        </w:rPr>
        <w:t xml:space="preserve">Elementary school teachers' attitudes toward mathematics: The impact on students' autonomous learning skills (p. </w:t>
      </w:r>
      <w:r>
        <w:rPr>
          <w:i/>
        </w:rPr>
        <w:t xml:space="preserve">265-270) </w:t>
      </w:r>
      <w:r>
        <w:t xml:space="preserve">Available at:- </w:t>
      </w:r>
      <w:hyperlink r:id="rId22">
        <w:r>
          <w:rPr>
            <w:color w:val="1155CC"/>
            <w:u w:val="single"/>
          </w:rPr>
          <w:t>https://onlinelibrary.wiley.com/doi/abs/10.1111/j.1949-8594.1991.tb12095.x</w:t>
        </w:r>
      </w:hyperlink>
      <w:r>
        <w:t xml:space="preserve"> [Accessed 20 April 2019]</w:t>
      </w:r>
    </w:p>
    <w:p w14:paraId="0000003F" w14:textId="77777777" w:rsidR="004118FF" w:rsidRDefault="004118FF"/>
    <w:p w14:paraId="00000040" w14:textId="77777777" w:rsidR="004118FF" w:rsidRDefault="002A50D0">
      <w:proofErr w:type="spellStart"/>
      <w:r>
        <w:t>Kocabaú</w:t>
      </w:r>
      <w:proofErr w:type="spellEnd"/>
      <w:r>
        <w:t xml:space="preserve"> A. (2009), </w:t>
      </w:r>
      <w:r>
        <w:rPr>
          <w:i/>
        </w:rPr>
        <w:t>Using songs in mat</w:t>
      </w:r>
      <w:r>
        <w:rPr>
          <w:i/>
        </w:rPr>
        <w:t xml:space="preserve">hematics instruction: Results from pilot application. </w:t>
      </w:r>
      <w:r>
        <w:t>Turkey: Elsevier. Available at:-</w:t>
      </w:r>
      <w:hyperlink r:id="rId23">
        <w:r>
          <w:t xml:space="preserve"> </w:t>
        </w:r>
      </w:hyperlink>
      <w:hyperlink r:id="rId24">
        <w:r>
          <w:rPr>
            <w:color w:val="1155CC"/>
            <w:u w:val="single"/>
          </w:rPr>
          <w:t>https://core.ac.uk/download/pdf/82578793.</w:t>
        </w:r>
        <w:r>
          <w:rPr>
            <w:color w:val="1155CC"/>
            <w:u w:val="single"/>
          </w:rPr>
          <w:t>pdf</w:t>
        </w:r>
      </w:hyperlink>
      <w:r>
        <w:t xml:space="preserve"> [Accessed 18 April 2019].</w:t>
      </w:r>
    </w:p>
    <w:p w14:paraId="00000041" w14:textId="77777777" w:rsidR="004118FF" w:rsidRDefault="004118FF"/>
    <w:p w14:paraId="00000042" w14:textId="77777777" w:rsidR="004118FF" w:rsidRDefault="002A50D0">
      <w:r>
        <w:t xml:space="preserve">McLeod, S. (2018) </w:t>
      </w:r>
      <w:r>
        <w:rPr>
          <w:i/>
        </w:rPr>
        <w:t xml:space="preserve">Simply Psychology Lev Vygotsky </w:t>
      </w:r>
      <w:r>
        <w:t xml:space="preserve">Available at:- </w:t>
      </w:r>
      <w:hyperlink r:id="rId25">
        <w:r>
          <w:rPr>
            <w:color w:val="1155CC"/>
            <w:u w:val="single"/>
          </w:rPr>
          <w:t>https://www.simplypsychology.org/vygotsky.html</w:t>
        </w:r>
      </w:hyperlink>
      <w:r>
        <w:t xml:space="preserve"> [Accessed 21 April 2019]</w:t>
      </w:r>
    </w:p>
    <w:p w14:paraId="00000043" w14:textId="77777777" w:rsidR="004118FF" w:rsidRDefault="002A50D0">
      <w:r>
        <w:t xml:space="preserve">Piaget, J. (1964) </w:t>
      </w:r>
      <w:r>
        <w:rPr>
          <w:i/>
        </w:rPr>
        <w:t xml:space="preserve">Part </w:t>
      </w:r>
      <w:r>
        <w:rPr>
          <w:i/>
        </w:rPr>
        <w:t xml:space="preserve">I: Cognitive development in children: Piaget development and learning. </w:t>
      </w:r>
      <w:r>
        <w:t xml:space="preserve">Available </w:t>
      </w:r>
      <w:proofErr w:type="gramStart"/>
      <w:r>
        <w:t>at:-</w:t>
      </w:r>
      <w:proofErr w:type="gramEnd"/>
      <w:r>
        <w:t xml:space="preserve"> https://www.researchgate.net/profile/Rasoul_Masoomi/post/Has_anyobody_got_that_in_PDF-Part_I_Cognitive_development_in_children_Piaget_development_and_learning/attachment/</w:t>
      </w:r>
      <w:r>
        <w:t>5a9</w:t>
      </w:r>
      <w:r>
        <w:lastRenderedPageBreak/>
        <w:t>d3591b53d2f0bba55fd53/AS%3A600795867254784%401520252305150/download/piaget1964.pdf [Accessed 15 April 2019]</w:t>
      </w:r>
    </w:p>
    <w:p w14:paraId="00000044" w14:textId="77777777" w:rsidR="004118FF" w:rsidRDefault="004118FF"/>
    <w:p w14:paraId="00000045" w14:textId="77777777" w:rsidR="004118FF" w:rsidRDefault="002A50D0">
      <w:r>
        <w:t xml:space="preserve">Woolfolk, A. (2004). </w:t>
      </w:r>
      <w:r>
        <w:rPr>
          <w:i/>
        </w:rPr>
        <w:t xml:space="preserve">Education Psychology. </w:t>
      </w:r>
      <w:r>
        <w:t xml:space="preserve">9th </w:t>
      </w:r>
      <w:proofErr w:type="spellStart"/>
      <w:r>
        <w:t>edn</w:t>
      </w:r>
      <w:proofErr w:type="spellEnd"/>
      <w:r>
        <w:t xml:space="preserve">. </w:t>
      </w:r>
      <w:proofErr w:type="spellStart"/>
      <w:proofErr w:type="gramStart"/>
      <w:r>
        <w:t>Boston:Allyn</w:t>
      </w:r>
      <w:proofErr w:type="spellEnd"/>
      <w:proofErr w:type="gramEnd"/>
      <w:r>
        <w:t xml:space="preserve"> and Bacon. </w:t>
      </w:r>
    </w:p>
    <w:p w14:paraId="00000046" w14:textId="77777777" w:rsidR="004118FF" w:rsidRDefault="004118FF"/>
    <w:p w14:paraId="00000047" w14:textId="77777777" w:rsidR="004118FF" w:rsidRDefault="002A50D0">
      <w:r>
        <w:t xml:space="preserve"> </w:t>
      </w:r>
    </w:p>
    <w:p w14:paraId="00000048" w14:textId="77777777" w:rsidR="004118FF" w:rsidRDefault="002A50D0">
      <w:r>
        <w:t xml:space="preserve"> </w:t>
      </w:r>
    </w:p>
    <w:p w14:paraId="00000049" w14:textId="77777777" w:rsidR="004118FF" w:rsidRDefault="002A50D0">
      <w:pPr>
        <w:rPr>
          <w:color w:val="222222"/>
          <w:highlight w:val="white"/>
        </w:rPr>
      </w:pPr>
      <w:r>
        <w:rPr>
          <w:color w:val="222222"/>
          <w:highlight w:val="white"/>
        </w:rPr>
        <w:t xml:space="preserve"> </w:t>
      </w:r>
    </w:p>
    <w:p w14:paraId="0000004A" w14:textId="77777777" w:rsidR="004118FF" w:rsidRDefault="004118FF"/>
    <w:sectPr w:rsidR="004118F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8FF"/>
    <w:rsid w:val="002A50D0"/>
    <w:rsid w:val="004118FF"/>
    <w:rsid w:val="00E02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6FF84"/>
  <w15:docId w15:val="{90F7183A-5531-4FE6-A6C3-AD392805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40626-skills-framework-for-3-19-year-olds-en.pdf" TargetMode="Externa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research.acer.edu.au/cgi/viewcontent.cgi?article=1003&amp;context=research_conference_2003"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agepub.com/sites/default/files/upm-binaries/23570_02_Haylock(Understanding)_Ch_01.pdf?fbclid=IwAR34uSJgD9kSUn95c89ZnQag8Lt_cn_bu1lHFPOSykvMgObYv2liUhaVLKQ" TargetMode="External"/><Relationship Id="rId7" Type="http://schemas.openxmlformats.org/officeDocument/2006/relationships/hyperlink" Target="https://learning.gov.wales/docs/learningwales/publications/140626-skills-framework-for-3-19-year-olds-en.pdf" TargetMode="External"/><Relationship Id="rId12" Type="http://schemas.openxmlformats.org/officeDocument/2006/relationships/hyperlink" Target="https://learning.gov.wales/docs/learningwales/publications/150803-fp-framework-en.pdf" TargetMode="External"/><Relationship Id="rId17" Type="http://schemas.openxmlformats.org/officeDocument/2006/relationships/hyperlink" Target="https://core.ac.uk/download/pdf/82349867.pdf" TargetMode="External"/><Relationship Id="rId25" Type="http://schemas.openxmlformats.org/officeDocument/2006/relationships/hyperlink" Target="https://www.simplypsychology.org/vygotsky.html" TargetMode="External"/><Relationship Id="rId2" Type="http://schemas.openxmlformats.org/officeDocument/2006/relationships/settings" Target="settings.xml"/><Relationship Id="rId16" Type="http://schemas.openxmlformats.org/officeDocument/2006/relationships/hyperlink" Target="https://files.eric.ed.gov/fulltext/EJ598590.pdf" TargetMode="External"/><Relationship Id="rId20" Type="http://schemas.openxmlformats.org/officeDocument/2006/relationships/hyperlink" Target="https://www.sagepub.com/sites/default/files/upm-binaries/23570_02_Haylock(Understanding)_Ch_01.pdf?fbclid=IwAR34uSJgD9kSUn95c89ZnQag8Lt_cn_bu1lHFPOSykvMgObYv2liUhaVLKQ" TargetMode="External"/><Relationship Id="rId1" Type="http://schemas.openxmlformats.org/officeDocument/2006/relationships/styles" Target="styles.xml"/><Relationship Id="rId6" Type="http://schemas.openxmlformats.org/officeDocument/2006/relationships/hyperlink" Target="https://cft.vanderbilt.edu/guides-sub-pages/blooms-taxonomy/" TargetMode="External"/><Relationship Id="rId11" Type="http://schemas.openxmlformats.org/officeDocument/2006/relationships/hyperlink" Target="https://learning.gov.wales/docs/learningwales/publications/150803-fp-framework-en.pdf" TargetMode="External"/><Relationship Id="rId24" Type="http://schemas.openxmlformats.org/officeDocument/2006/relationships/hyperlink" Target="https://core.ac.uk/download/pdf/82578793.pdf" TargetMode="External"/><Relationship Id="rId5" Type="http://schemas.openxmlformats.org/officeDocument/2006/relationships/hyperlink" Target="http://eprints.whiterose.ac.uk/76321/1/R_alexander_improving_oracy.pdf" TargetMode="External"/><Relationship Id="rId15" Type="http://schemas.openxmlformats.org/officeDocument/2006/relationships/hyperlink" Target="https://files.eric.ed.gov/fulltext/EJ598590.pdf" TargetMode="External"/><Relationship Id="rId23" Type="http://schemas.openxmlformats.org/officeDocument/2006/relationships/hyperlink" Target="https://core.ac.uk/download/pdf/82578793.pdf" TargetMode="External"/><Relationship Id="rId10" Type="http://schemas.openxmlformats.org/officeDocument/2006/relationships/hyperlink" Target="https://learning.gov.wales/docs/learningwales/publications/150717-nc-english-en-v3.pdf" TargetMode="External"/><Relationship Id="rId19" Type="http://schemas.openxmlformats.org/officeDocument/2006/relationships/hyperlink" Target="https://research.acer.edu.au/cgi/viewcontent.cgi?article=1003&amp;context=research_conference_2003" TargetMode="External"/><Relationship Id="rId4" Type="http://schemas.openxmlformats.org/officeDocument/2006/relationships/hyperlink" Target="https://www.edutopia.org/blog/music-teaching-tool-maria-alegria" TargetMode="External"/><Relationship Id="rId9" Type="http://schemas.openxmlformats.org/officeDocument/2006/relationships/hyperlink" Target="https://learning.gov.wales/docs/learningwales/publications/150803-fp-framework-en.pdf"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onlinelibrary.wiley.com/doi/abs/10.1111/j.1949-8594.1991.tb12095.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3706</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Caitlin</dc:creator>
  <cp:lastModifiedBy>caitlin wright</cp:lastModifiedBy>
  <cp:revision>3</cp:revision>
  <dcterms:created xsi:type="dcterms:W3CDTF">2019-04-28T11:42:00Z</dcterms:created>
  <dcterms:modified xsi:type="dcterms:W3CDTF">2019-04-28T11:43:00Z</dcterms:modified>
</cp:coreProperties>
</file>