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67705" w14:textId="0C1FE33C" w:rsidR="00061898" w:rsidRDefault="00061898" w:rsidP="00061898">
      <w:pPr>
        <w:spacing w:before="30" w:after="30" w:line="360" w:lineRule="auto"/>
        <w:rPr>
          <w:rFonts w:ascii="Arial" w:hAnsi="Arial" w:cs="Arial"/>
          <w:sz w:val="22"/>
          <w:szCs w:val="22"/>
        </w:rPr>
      </w:pPr>
      <w:r>
        <w:rPr>
          <w:noProof/>
        </w:rPr>
        <w:drawing>
          <wp:inline distT="0" distB="0" distL="0" distR="0" wp14:anchorId="3E5D1FE2" wp14:editId="5B4B24D9">
            <wp:extent cx="158750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87500" cy="723900"/>
                    </a:xfrm>
                    <a:prstGeom prst="rect">
                      <a:avLst/>
                    </a:prstGeom>
                    <a:noFill/>
                    <a:ln>
                      <a:noFill/>
                    </a:ln>
                  </pic:spPr>
                </pic:pic>
              </a:graphicData>
            </a:graphic>
          </wp:inline>
        </w:drawing>
      </w:r>
    </w:p>
    <w:p w14:paraId="35D5E224" w14:textId="0501D7F5" w:rsidR="00D6724E" w:rsidRPr="00065FA7" w:rsidRDefault="00D6724E" w:rsidP="00065FA7">
      <w:pPr>
        <w:spacing w:before="30" w:after="30" w:line="360" w:lineRule="auto"/>
        <w:jc w:val="right"/>
        <w:rPr>
          <w:rFonts w:ascii="Arial" w:hAnsi="Arial" w:cs="Arial"/>
          <w:sz w:val="22"/>
          <w:szCs w:val="22"/>
        </w:rPr>
      </w:pPr>
      <w:r w:rsidRPr="00065FA7">
        <w:rPr>
          <w:rFonts w:ascii="Arial" w:hAnsi="Arial" w:cs="Arial"/>
          <w:sz w:val="22"/>
          <w:szCs w:val="22"/>
        </w:rPr>
        <w:t>Student name: Saleha Sufi</w:t>
      </w:r>
    </w:p>
    <w:p w14:paraId="695141B0" w14:textId="77777777" w:rsidR="00D6724E" w:rsidRPr="00065FA7" w:rsidRDefault="00D6724E" w:rsidP="00065FA7">
      <w:pPr>
        <w:spacing w:before="30" w:after="30" w:line="360" w:lineRule="auto"/>
        <w:jc w:val="right"/>
        <w:rPr>
          <w:rFonts w:ascii="Arial" w:hAnsi="Arial" w:cs="Arial"/>
          <w:sz w:val="22"/>
          <w:szCs w:val="22"/>
        </w:rPr>
      </w:pPr>
      <w:r w:rsidRPr="00065FA7">
        <w:rPr>
          <w:rFonts w:ascii="Arial" w:hAnsi="Arial" w:cs="Arial"/>
          <w:sz w:val="22"/>
          <w:szCs w:val="22"/>
        </w:rPr>
        <w:t>Student ID:2427750</w:t>
      </w:r>
    </w:p>
    <w:p w14:paraId="6D51E922" w14:textId="378ADAB6" w:rsidR="00D6724E" w:rsidRPr="00065FA7" w:rsidRDefault="00D6724E" w:rsidP="00065FA7">
      <w:pPr>
        <w:spacing w:before="120" w:after="120" w:line="360" w:lineRule="auto"/>
        <w:jc w:val="right"/>
        <w:rPr>
          <w:rFonts w:ascii="Arial" w:hAnsi="Arial" w:cs="Arial"/>
          <w:sz w:val="22"/>
          <w:szCs w:val="22"/>
        </w:rPr>
      </w:pPr>
      <w:r w:rsidRPr="00065FA7">
        <w:rPr>
          <w:rFonts w:ascii="Arial" w:hAnsi="Arial" w:cs="Arial"/>
          <w:sz w:val="22"/>
          <w:szCs w:val="22"/>
        </w:rPr>
        <w:t xml:space="preserve">Module: </w:t>
      </w:r>
      <w:r w:rsidR="00065FA7" w:rsidRPr="00065FA7">
        <w:rPr>
          <w:rFonts w:ascii="Arial" w:hAnsi="Arial" w:cs="Arial"/>
          <w:sz w:val="22"/>
          <w:szCs w:val="22"/>
        </w:rPr>
        <w:t>Protecting and Supporting Families in Health and Care</w:t>
      </w:r>
    </w:p>
    <w:p w14:paraId="7A69A247" w14:textId="57547B0C" w:rsidR="00D6724E" w:rsidRPr="00065FA7" w:rsidRDefault="00D6724E" w:rsidP="00065FA7">
      <w:pPr>
        <w:spacing w:before="30" w:after="30" w:line="360" w:lineRule="auto"/>
        <w:jc w:val="right"/>
        <w:rPr>
          <w:rFonts w:ascii="Arial" w:hAnsi="Arial" w:cs="Arial"/>
          <w:sz w:val="22"/>
          <w:szCs w:val="22"/>
        </w:rPr>
      </w:pPr>
      <w:r w:rsidRPr="00065FA7">
        <w:rPr>
          <w:rFonts w:ascii="Arial" w:hAnsi="Arial" w:cs="Arial"/>
          <w:sz w:val="22"/>
          <w:szCs w:val="22"/>
        </w:rPr>
        <w:t xml:space="preserve">Module code: </w:t>
      </w:r>
      <w:r w:rsidR="00065FA7" w:rsidRPr="00065FA7">
        <w:rPr>
          <w:rFonts w:ascii="Arial" w:hAnsi="Arial" w:cs="Arial"/>
          <w:bCs/>
          <w:sz w:val="22"/>
          <w:szCs w:val="22"/>
        </w:rPr>
        <w:t>BMHP5021</w:t>
      </w:r>
    </w:p>
    <w:p w14:paraId="41837168" w14:textId="2FC31642" w:rsidR="00D6724E" w:rsidRPr="00065FA7" w:rsidRDefault="00D6724E" w:rsidP="00065FA7">
      <w:pPr>
        <w:spacing w:before="30" w:after="30" w:line="360" w:lineRule="auto"/>
        <w:jc w:val="right"/>
        <w:rPr>
          <w:rFonts w:ascii="Arial" w:hAnsi="Arial" w:cs="Arial"/>
          <w:sz w:val="22"/>
          <w:szCs w:val="22"/>
        </w:rPr>
      </w:pPr>
      <w:r w:rsidRPr="00065FA7">
        <w:rPr>
          <w:rFonts w:ascii="Arial" w:hAnsi="Arial" w:cs="Arial"/>
          <w:sz w:val="22"/>
          <w:szCs w:val="22"/>
        </w:rPr>
        <w:t xml:space="preserve">Assignment Title: </w:t>
      </w:r>
      <w:r w:rsidR="00065FA7" w:rsidRPr="00065FA7">
        <w:rPr>
          <w:rFonts w:ascii="Arial" w:hAnsi="Arial" w:cs="Arial"/>
          <w:sz w:val="22"/>
          <w:szCs w:val="22"/>
        </w:rPr>
        <w:t>Component 2: Written Report</w:t>
      </w:r>
    </w:p>
    <w:p w14:paraId="19811AD3" w14:textId="19000BBF" w:rsidR="00D6724E" w:rsidRPr="00065FA7" w:rsidRDefault="00D6724E" w:rsidP="00065FA7">
      <w:pPr>
        <w:spacing w:before="30" w:after="30" w:line="360" w:lineRule="auto"/>
        <w:jc w:val="center"/>
        <w:rPr>
          <w:rFonts w:ascii="Arial" w:hAnsi="Arial" w:cs="Arial"/>
          <w:sz w:val="22"/>
          <w:szCs w:val="22"/>
        </w:rPr>
      </w:pPr>
    </w:p>
    <w:p w14:paraId="3E3A5F2C" w14:textId="77777777" w:rsidR="00065FA7" w:rsidRDefault="00065FA7" w:rsidP="00065FA7">
      <w:pPr>
        <w:spacing w:line="360" w:lineRule="auto"/>
        <w:jc w:val="center"/>
        <w:rPr>
          <w:rFonts w:ascii="Arial" w:hAnsi="Arial" w:cs="Arial"/>
          <w:b/>
          <w:bCs/>
          <w:sz w:val="22"/>
          <w:szCs w:val="22"/>
          <w:u w:val="single"/>
        </w:rPr>
      </w:pPr>
    </w:p>
    <w:p w14:paraId="3F527C1C" w14:textId="31077C25" w:rsidR="00D6724E" w:rsidRPr="00065FA7" w:rsidRDefault="00D6724E" w:rsidP="00065FA7">
      <w:pPr>
        <w:spacing w:line="360" w:lineRule="auto"/>
        <w:jc w:val="center"/>
        <w:rPr>
          <w:rFonts w:ascii="Arial" w:hAnsi="Arial" w:cs="Arial"/>
          <w:b/>
          <w:bCs/>
          <w:sz w:val="22"/>
          <w:szCs w:val="22"/>
          <w:u w:val="single"/>
        </w:rPr>
      </w:pPr>
      <w:r w:rsidRPr="00065FA7">
        <w:rPr>
          <w:rFonts w:ascii="Arial" w:hAnsi="Arial" w:cs="Arial"/>
          <w:b/>
          <w:bCs/>
          <w:sz w:val="22"/>
          <w:szCs w:val="22"/>
          <w:u w:val="single"/>
        </w:rPr>
        <w:t>Early Help Syste</w:t>
      </w:r>
      <w:r w:rsidR="00065FA7">
        <w:rPr>
          <w:rFonts w:ascii="Arial" w:hAnsi="Arial" w:cs="Arial"/>
          <w:b/>
          <w:bCs/>
          <w:sz w:val="22"/>
          <w:szCs w:val="22"/>
          <w:u w:val="single"/>
        </w:rPr>
        <w:t>m</w:t>
      </w:r>
    </w:p>
    <w:p w14:paraId="6CC03378" w14:textId="77777777" w:rsidR="00D6724E" w:rsidRPr="00065FA7" w:rsidRDefault="00D6724E" w:rsidP="00065FA7">
      <w:pPr>
        <w:spacing w:line="360" w:lineRule="auto"/>
        <w:jc w:val="center"/>
        <w:rPr>
          <w:rFonts w:ascii="Arial" w:hAnsi="Arial" w:cs="Arial"/>
          <w:b/>
          <w:bCs/>
          <w:sz w:val="22"/>
          <w:szCs w:val="22"/>
          <w:u w:val="single"/>
        </w:rPr>
      </w:pPr>
    </w:p>
    <w:p w14:paraId="40592030" w14:textId="06A7C1BD" w:rsidR="00D6724E" w:rsidRPr="00065FA7" w:rsidRDefault="00D6724E" w:rsidP="00065FA7">
      <w:pPr>
        <w:spacing w:line="360" w:lineRule="auto"/>
        <w:rPr>
          <w:rFonts w:ascii="Arial" w:hAnsi="Arial" w:cs="Arial"/>
          <w:sz w:val="22"/>
          <w:szCs w:val="22"/>
        </w:rPr>
      </w:pPr>
      <w:r w:rsidRPr="00065FA7">
        <w:rPr>
          <w:rFonts w:ascii="Arial" w:hAnsi="Arial" w:cs="Arial"/>
          <w:b/>
          <w:bCs/>
          <w:sz w:val="22"/>
          <w:szCs w:val="22"/>
          <w:u w:val="single"/>
        </w:rPr>
        <w:t>Introduction</w:t>
      </w:r>
    </w:p>
    <w:p w14:paraId="61317142"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Early Help is a fundamental component of safeguarding children and supporting families in England. It focuses on identifying emerging needs at the earliest opportunity and providing timely, coordinated support before problems escalate into situations requiring statutory intervention. Rather than responding only when children are at risk of significant harm, Early Help promotes prevention, resilience and positive outcomes through collaborative working between professionals, families and communities (Department for Education (DfE), 2023). This preventative approach is particularly important for families experiencing poverty, poor mental health, domestic abuse, substance misuse, disability, housing instability or other factors that may negatively affect children's wellbeing.</w:t>
      </w:r>
    </w:p>
    <w:p w14:paraId="40D2C87E"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Local authorities have a statutory responsibility to ensure that children and families can access appropriate support services. Their websites therefore play an important role in signposting families to Early Help services, providing information about available support, referral pathways and advice that can enable families to seek assistance before difficulties become more serious. Clear, accessible and user-friendly online information can reduce barriers to accessing services and encourage earlier intervention.</w:t>
      </w:r>
    </w:p>
    <w:p w14:paraId="7162699B" w14:textId="74EF0466"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 xml:space="preserve">This report examines how three English local authorities Staffordshire County Council, Leeds City Council and Tower Hamlets Council communicate information about Early Help and wider family support through their websites. The report begins by explaining the principles of the Early Help system and the importance of multi-agency working within safeguarding </w:t>
      </w:r>
      <w:proofErr w:type="gramStart"/>
      <w:r w:rsidRPr="00065FA7">
        <w:rPr>
          <w:rFonts w:ascii="Arial" w:hAnsi="Arial" w:cs="Arial"/>
          <w:sz w:val="22"/>
          <w:szCs w:val="22"/>
        </w:rPr>
        <w:t>practice(</w:t>
      </w:r>
      <w:proofErr w:type="gramEnd"/>
      <w:r w:rsidRPr="00065FA7">
        <w:rPr>
          <w:rFonts w:ascii="Arial" w:hAnsi="Arial" w:cs="Arial"/>
          <w:sz w:val="22"/>
          <w:szCs w:val="22"/>
        </w:rPr>
        <w:t xml:space="preserve">Department for Education (DfE), 2023). </w:t>
      </w:r>
    </w:p>
    <w:p w14:paraId="677A455C"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lastRenderedPageBreak/>
        <w:t>Explanation of the Early Help System</w:t>
      </w:r>
    </w:p>
    <w:p w14:paraId="58C3C38C"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The Early Help system is a coordinated approach designed to identify and respond to the needs of children, young people and families as early as possible. According to the Supporting Families: Early Help System Guide, Early Help is not a single service but a network of services, professionals and organisations working together to improve outcomes for families through early intervention. The guidance emphasises that effective Early Help depends upon strong partnership working, shared responsibility and evidence-based practice across local systems (Department for Education &amp; Department for Levelling Up, Housing and Communities, 2022).</w:t>
      </w:r>
    </w:p>
    <w:p w14:paraId="30ABEE2D"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 xml:space="preserve">The Early Help System Guide identifies several characteristics of an effective local Early Help system. These include strong leadership, shared governance arrangements, effective information sharing, skilled practitioners, accessible services and meaningful involvement of children, young people and families in decision-making. Local partnerships are encouraged to regularly assess the maturity of their Early Help system and continuously improve services based on evidence and feedback from </w:t>
      </w:r>
      <w:proofErr w:type="gramStart"/>
      <w:r w:rsidRPr="00065FA7">
        <w:rPr>
          <w:rFonts w:ascii="Arial" w:hAnsi="Arial" w:cs="Arial"/>
          <w:sz w:val="22"/>
          <w:szCs w:val="22"/>
        </w:rPr>
        <w:t>families(</w:t>
      </w:r>
      <w:proofErr w:type="gramEnd"/>
      <w:r w:rsidRPr="00065FA7">
        <w:rPr>
          <w:rFonts w:ascii="Arial" w:hAnsi="Arial" w:cs="Arial"/>
          <w:sz w:val="22"/>
          <w:szCs w:val="22"/>
        </w:rPr>
        <w:t>Department for Education (DfE), 2023).</w:t>
      </w:r>
    </w:p>
    <w:p w14:paraId="4EDD0246"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An important principle of Early Help is the whole-family approach. Rather than focusing solely on an individual child, practitioners consider the wider circumstances affecting the entire family, recognising that issues such as unemployment, poor housing, parental mental illness or domestic abuse can significantly influence children's development. By addressing these interconnected factors early, agencies can strengthen family resilience and reduce the likelihood of future safeguarding concerns.</w:t>
      </w:r>
    </w:p>
    <w:p w14:paraId="0FAD0DAD"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The Early Help approach also promotes voluntary engagement wherever possible. Families are encouraged to participate in assessments and planning, enabling them to work collaboratively with professionals to identify strengths, needs and achievable outcomes. This partnership approach helps build trust between families and services while promoting sustainable improvements in children's wellbeing and long-term life opportunities.</w:t>
      </w:r>
    </w:p>
    <w:p w14:paraId="7CF25BF1"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Explanation of Multi-Agency Working</w:t>
      </w:r>
    </w:p>
    <w:p w14:paraId="78BE324B"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 xml:space="preserve">Multi-agency working is a central principle of safeguarding children in England and is reinforced throughout Working Together to Safeguard Children 2023. The statutory guidance states that safeguarding is a shared responsibility requiring effective collaboration between local authorities, health services, police, education providers, early years settings, voluntary organisations and other relevant agencies. No single organisation possesses all the </w:t>
      </w:r>
      <w:r w:rsidRPr="00065FA7">
        <w:rPr>
          <w:rFonts w:ascii="Arial" w:hAnsi="Arial" w:cs="Arial"/>
          <w:sz w:val="22"/>
          <w:szCs w:val="22"/>
        </w:rPr>
        <w:lastRenderedPageBreak/>
        <w:t>information or expertise necessary to safeguard children effectively; therefore, coordinated working is essential (Department for Education, 2023).</w:t>
      </w:r>
    </w:p>
    <w:p w14:paraId="339C704B"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The guidance places responsibility on safeguarding partners local authorities, Integrated Care Boards and the police to establish effective multi-agency safeguarding arrangements within their local area. These partnerships are expected to provide strategic leadership, promote information sharing, monitor safeguarding practice and ensure agencies work together to improve outcomes for children. Schools, early years providers, voluntary organisations and community services are also recognised as key partners in safeguarding arrangements.</w:t>
      </w:r>
    </w:p>
    <w:p w14:paraId="138CA944"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 xml:space="preserve">Effective multi-agency working relies upon timely communication, professional trust, shared decision-making and coordinated planning. Practitioners are expected to share relevant information lawfully and proportionately to ensure that children's needs are identified promptly and that appropriate support is delivered without unnecessary delay. Early identification of concerns enables agencies to implement Early Help interventions before problems escalate into significant safeguarding </w:t>
      </w:r>
      <w:proofErr w:type="gramStart"/>
      <w:r w:rsidRPr="00065FA7">
        <w:rPr>
          <w:rFonts w:ascii="Arial" w:hAnsi="Arial" w:cs="Arial"/>
          <w:sz w:val="22"/>
          <w:szCs w:val="22"/>
        </w:rPr>
        <w:t>risks(</w:t>
      </w:r>
      <w:proofErr w:type="gramEnd"/>
      <w:r w:rsidRPr="00065FA7">
        <w:rPr>
          <w:rFonts w:ascii="Arial" w:hAnsi="Arial" w:cs="Arial"/>
          <w:sz w:val="22"/>
          <w:szCs w:val="22"/>
        </w:rPr>
        <w:t>Department for Education (DfE), 2023).</w:t>
      </w:r>
    </w:p>
    <w:p w14:paraId="16465C23"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 xml:space="preserve">Working Together to Safeguard Children 2023 also strengthens expectations regarding leadership, accountability and continuous learning across safeguarding partnerships. The guidance emphasises that professionals should build respectful, honest and trusting relationships with children and families while recognising the impact of poverty, discrimination, disability and inequality on family experiences. Practitioners should work collaboratively with parents wherever possible, ensuring that support plans reflect the family's strengths, views and individual </w:t>
      </w:r>
      <w:proofErr w:type="gramStart"/>
      <w:r w:rsidRPr="00065FA7">
        <w:rPr>
          <w:rFonts w:ascii="Arial" w:hAnsi="Arial" w:cs="Arial"/>
          <w:sz w:val="22"/>
          <w:szCs w:val="22"/>
        </w:rPr>
        <w:t>circumstances(</w:t>
      </w:r>
      <w:proofErr w:type="gramEnd"/>
      <w:r w:rsidRPr="00065FA7">
        <w:rPr>
          <w:rFonts w:ascii="Arial" w:hAnsi="Arial" w:cs="Arial"/>
          <w:sz w:val="22"/>
          <w:szCs w:val="22"/>
        </w:rPr>
        <w:t>Department for Education (DfE), 2023).</w:t>
      </w:r>
    </w:p>
    <w:p w14:paraId="24497AAA"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Research consistently demonstrates that effective partnership working contributes to improved safeguarding outcomes, earlier intervention and better experiences for children and families (Munro, 2011). Consequently, successful Early Help systems depend upon strong leadership, shared professional responsibility, effective communication and collaborative decision-making between all agencies involved in supporting children.</w:t>
      </w:r>
    </w:p>
    <w:p w14:paraId="31F39E54"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Evaluation of Staffordshire County Council Website</w:t>
      </w:r>
    </w:p>
    <w:p w14:paraId="6A0DDCCC"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 xml:space="preserve">The Staffordshire County Council website presents Early Help information within its Family Hubs section, making it relatively straightforward for parents and carers to locate support services. The website explains that Early Help provides advice, guidance and practical support for families experiencing challenges before problems become more serious. It also directs users to Staffordshire Connects, an online directory containing local services, </w:t>
      </w:r>
      <w:r w:rsidRPr="00065FA7">
        <w:rPr>
          <w:rFonts w:ascii="Arial" w:hAnsi="Arial" w:cs="Arial"/>
          <w:sz w:val="22"/>
          <w:szCs w:val="22"/>
        </w:rPr>
        <w:lastRenderedPageBreak/>
        <w:t>parenting programmes, family support groups and specialist organisations (Staffordshire County Council, 2025).</w:t>
      </w:r>
    </w:p>
    <w:p w14:paraId="30DC679C"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In terms of accessibility, the website has a logical structure with clear headings, concise paragraphs and straightforward language that is suitable for a wide audience. The navigation menu enables users to move easily between Early Help, Family Hubs and Family Support Services without requiring extensive searching. Contact information and links to local Family Hubs are also prominently displayed, improving access to services for families seeking assistance (Staffordshire County Council, 2025a).</w:t>
      </w:r>
    </w:p>
    <w:p w14:paraId="127F9BEC"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The information provided is comprehensive and reflects the preventative principles outlined in the Early Help System Guide (Department for Education (DfE) and Department for Levelling Up, Housing and Communities (DLUHC), 2022). Families can access information on parenting support, emotional wellbeing, relationship support, child development, financial advice and community-based services. This broad range of resources demonstrates a commitment to supporting families experiencing multiple and interconnected needs.</w:t>
      </w:r>
    </w:p>
    <w:p w14:paraId="448D74D1"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A significant strength of the website is its emphasis on practical support and local service directories, enabling families to identify appropriate services quickly. However, the website contains multiple links directing users to external pages, which may interrupt navigation. Additionally, although referral pathways are explained, more visual resources such as flowcharts, videos or infographics could improve understanding for users with lower literacy levels or limited digital skills. Overall, the Staffordshire website provides accessible, informative and family-centred Early Help information that aligns with national guidance (DfE, 2023).</w:t>
      </w:r>
    </w:p>
    <w:p w14:paraId="01C745BB"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Evaluation of Leeds City Council Website</w:t>
      </w:r>
    </w:p>
    <w:p w14:paraId="54CAB534"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Leeds City Council presents Early Help information through its Family Information Service and Early Start webpages, reflecting the city's integrated approach to supporting children and families. Information is organised around helping families access support at the earliest opportunity and emphasises collaboration between health services, education, children's centres and community organisations. The website highlights the city's ambition to ensure every child has the best possible start in life through coordinated early intervention (Leeds City Council, 2025).</w:t>
      </w:r>
    </w:p>
    <w:p w14:paraId="7F96746A"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 xml:space="preserve">The website demonstrates good accessibility through clear page layouts, logical menus and user-centred content. Recent redevelopment of the Family Information Service has consolidated previously fragmented information into a single area, making navigation simpler for parents, carers and professionals. Search functions, downloadable resources and links to </w:t>
      </w:r>
      <w:r w:rsidRPr="00065FA7">
        <w:rPr>
          <w:rFonts w:ascii="Arial" w:hAnsi="Arial" w:cs="Arial"/>
          <w:sz w:val="22"/>
          <w:szCs w:val="22"/>
        </w:rPr>
        <w:lastRenderedPageBreak/>
        <w:t>relevant services further improve usability and reduce barriers to accessing support (Leeds City Council, 2025a).</w:t>
      </w:r>
    </w:p>
    <w:p w14:paraId="0AE606A5"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One of the website's greatest strengths is its focus on user experience, with information written in accessible language and organised according to users' needs rather than council departments. However, while the site effectively signposts services, information explaining the formal Early Help assessment and referral process could be more prominent. Families unfamiliar with safeguarding terminology may also benefit from additional case examples or visual guides explaining how support is accessed. Overall, Leeds provides an accessible and well-organised website that effectively promotes Early Help and wider family support services.</w:t>
      </w:r>
    </w:p>
    <w:p w14:paraId="3599944D"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Evaluation of Tower Hamlets Council Website</w:t>
      </w:r>
    </w:p>
    <w:p w14:paraId="5FDB15D4"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Tower Hamlets Council provides one of the most detailed Early Help webpages among the three authorities. The website clearly explains what Early Help is, who can access support and how families can obtain assistance through the borough's Best Start Family Hubs and Multi-Agency Support Team (MAST). Information is organised around practical questions that parents may ask, including what support is available, eligibility criteria and referral pathways (Tower Hamlets Council, 2026).</w:t>
      </w:r>
    </w:p>
    <w:p w14:paraId="72E14745"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Accessibility is enhanced through straightforward language, well-defined sections and dedicated pages covering Family Hubs, Children and Family Centres, targeted support and safeguarding concerns. Families can quickly locate telephone numbers, referral forms, downloadable leaflets and contact details for professional advice. The website also distinguishes between universal and targeted services, enabling users to understand the different levels of support available before statutory intervention becomes necessary (Tower Hamlets Council, 2026a).</w:t>
      </w:r>
    </w:p>
    <w:p w14:paraId="4778196D"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The information available is comprehensive and reflects the principles contained within both the Early Help System Guide and Working Together to Safeguard Children 2023. The website explains how multi-agency professionals work together within MAST, identifies the types of difficulties families may experience—including parental mental health, SEND, poor school attendance, language barriers and financial difficulties—and explains how Early Help assessments are used to coordinate support (DfE, 2023; DfE &amp; DLUHC, 2022).</w:t>
      </w:r>
    </w:p>
    <w:p w14:paraId="65745212"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 xml:space="preserve">A major strength is the integration of Early Help with Best Start Family Hubs and wider family services, creating a clear pathway for families seeking support. The inclusion of downloadable strategies, leaflets and referral information further enhances transparency. However, the large volume of information spread across several webpages may overwhelm </w:t>
      </w:r>
      <w:r w:rsidRPr="00065FA7">
        <w:rPr>
          <w:rFonts w:ascii="Arial" w:hAnsi="Arial" w:cs="Arial"/>
          <w:sz w:val="22"/>
          <w:szCs w:val="22"/>
        </w:rPr>
        <w:lastRenderedPageBreak/>
        <w:t>some users, particularly those with limited digital confidence. Simplified navigation or a single interactive family support portal could further improve accessibility. Overall, Tower Hamlets provides a comprehensive, well-structured and highly informative Early Help website.</w:t>
      </w:r>
    </w:p>
    <w:p w14:paraId="3A7D76D3"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Comparative Analysis</w:t>
      </w:r>
    </w:p>
    <w:p w14:paraId="7A4440E9"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The evaluation of the three local authority websites demonstrates that all provide valuable information about Early Help services and reflect the principles of early intervention and partnership working outlined in the Supporting Families: Early Help System Guide and Working Together to Safeguard Children 2023 (Department for Education (DfE), 2023; Department for Education &amp; Department for Levelling Up, Housing and Communities (DLUHC), 2022). However, differences exist in how effectively each website communicates information to families.</w:t>
      </w:r>
    </w:p>
    <w:p w14:paraId="277B16B1"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Staffordshire County Council provides a well-organised website with straightforward navigation and strong links to Family Hubs and community services. Its greatest strength is the practical signposting of local support through Staffordshire Connects, which enables families to identify services quickly. However, the reliance on multiple external links may reduce the continuity of the user experience, particularly for individuals with limited digital skills (Staffordshire County Council, 2025).</w:t>
      </w:r>
    </w:p>
    <w:p w14:paraId="38225B71"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Leeds City Council offers a user-friendly website that integrates Early Help with wider family support services, including childcare, health, education and financial assistance. The information is written in accessible language and organised around family needs rather than council departments. Despite these strengths, the website could improve by making the Early Help assessment process and referral pathway more visible and easier for families to understand (Leeds City Council, 2025).</w:t>
      </w:r>
    </w:p>
    <w:p w14:paraId="191AE169"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Among the three authorities, Tower Hamlets Council provides the most effective and comprehensive online information. The website clearly explains the purpose of Early Help, referral processes, Family Hubs, Multi-Agency Support Teams (MAST) and targeted services. Families can easily identify the support available and understand how professionals work together to meet children's needs. The website also addresses issues commonly associated with poverty, such as housing, financial hardship, parental wellbeing</w:t>
      </w:r>
    </w:p>
    <w:p w14:paraId="37462714"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and educational challenges, reflecting a holistic approach to family support (Tower Hamlets Council, 2026).</w:t>
      </w:r>
    </w:p>
    <w:p w14:paraId="10255CCF"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Conclusion and Recommendations</w:t>
      </w:r>
    </w:p>
    <w:p w14:paraId="046623B4"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lastRenderedPageBreak/>
        <w:t>Early Help plays a vital role in safeguarding children and supporting families by providing timely intervention before difficulties escalate into more serious concerns. As emphasised in the Supporting Families: Early Help System Guide and Working Together to Safeguard Children 2023, successful Early Help depends upon effective multi-agency working, early identification of need and accessible information that enables families to seek support confidently (DfE, 2023; DfE &amp; DLUHC, 2022). Local authority websites therefore represent an essential gateway through which families access advice, services and professional assistance.</w:t>
      </w:r>
    </w:p>
    <w:p w14:paraId="5D747433"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This report found that all three local authorities provide clear evidence of their commitment to Early Help and family support. Staffordshire County Council offers practical signposting and strong links to community resources, while Leeds City Council provides an accessible and family-centred approach that integrates a wide range of support services. However, Tower Hamlets Council demonstrates the strongest overall performance due to its comprehensive information, clear explanation of referral pathways, integration of Family Hubs and Multi-Agency Support Teams, and strong emphasis on coordinated support for families experiencing multiple disadvantages, including poverty.</w:t>
      </w:r>
    </w:p>
    <w:p w14:paraId="579AB120"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Several recommendations emerge from this analysis. First, local authorities should ensure that Early Help information is available in plain English alongside translations into commonly spoken community languages. Second, websites should include more visual resources, such as videos, flowcharts and infographics, to explain referral pathways and available services. Third, websites should provide consistent accessibility features, including compatibility with screen readers, adjustable text sizes and easy-read formats for users with additional needs. Finally, local authorities should regularly review website content using feedback from families to ensure information remains current, relevant and easy to navigate.</w:t>
      </w:r>
    </w:p>
    <w:p w14:paraId="648A0857" w14:textId="77777777" w:rsidR="00D6724E" w:rsidRDefault="00D6724E" w:rsidP="00065FA7">
      <w:pPr>
        <w:spacing w:line="360" w:lineRule="auto"/>
        <w:rPr>
          <w:rFonts w:ascii="Arial" w:hAnsi="Arial" w:cs="Arial"/>
          <w:sz w:val="22"/>
          <w:szCs w:val="22"/>
        </w:rPr>
      </w:pPr>
      <w:r w:rsidRPr="00065FA7">
        <w:rPr>
          <w:rFonts w:ascii="Arial" w:hAnsi="Arial" w:cs="Arial"/>
          <w:sz w:val="22"/>
          <w:szCs w:val="22"/>
        </w:rPr>
        <w:t>In conclusion, clear, accessible and comprehensive online information enables families to recognise when support is available and encourages earlier engagement with services. Effective digital signposting strengthens Early Help provision, promotes multi-agency collaboration and ultimately contributes to improved outcomes for children, young people and their families.</w:t>
      </w:r>
    </w:p>
    <w:p w14:paraId="3250C9F0" w14:textId="77777777" w:rsidR="00065FA7" w:rsidRPr="00065FA7" w:rsidRDefault="00065FA7" w:rsidP="00065FA7">
      <w:pPr>
        <w:spacing w:line="360" w:lineRule="auto"/>
        <w:rPr>
          <w:rFonts w:ascii="Arial" w:hAnsi="Arial" w:cs="Arial"/>
          <w:sz w:val="22"/>
          <w:szCs w:val="22"/>
        </w:rPr>
      </w:pPr>
    </w:p>
    <w:p w14:paraId="1E6EEB24"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REFERENCES</w:t>
      </w:r>
    </w:p>
    <w:p w14:paraId="203F8F62"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Department for Education (2023) Working Together to Safeguard Children 2023: Statutory Guidance. Available at: GOV.UK – Working Together to Safeguard Children (Accessed: 12 July 2026).</w:t>
      </w:r>
    </w:p>
    <w:p w14:paraId="416C6B22"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lastRenderedPageBreak/>
        <w:t>Department for Education and Department for Levelling Up, Housing and Communities (2022) Supporting Families: Early Help System Guide. Available at: GOV.UK – Supporting Families: Early Help System Guide (Accessed: 12 July 2026).</w:t>
      </w:r>
    </w:p>
    <w:p w14:paraId="7756CA98"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Munro, E. (2011) The Munro Review of Child Protection: Final Report – A Child-Centred System. London: The Stationery Office. Available at: https://www.gov.uk/government/publications/munro-review-of-child-protection-final-report-a-child-centred-system (Accessed: 12 July 2026).</w:t>
      </w:r>
    </w:p>
    <w:p w14:paraId="57A721DA"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Leeds City Council (2025) Early Help and Family Information Services. Available at: https://www.leeds.gov.uk/ (Accessed: 12 July 2026).</w:t>
      </w:r>
    </w:p>
    <w:p w14:paraId="41CA931E"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Leeds City Council (2025a) One Minute Guide: Early Start. Available at: https://www.leeds.gov.uk/one-minute-guides/early-start (Accessed: 12 July 2026).</w:t>
      </w:r>
    </w:p>
    <w:p w14:paraId="137AC775"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Staffordshire County Council (2025) Early Help – Helping Children and Families Early. Available at: https://www.staffordshire.gov.uk/children-young-people-and-families/family-hubs/early-help-helping-children-and-families-early (Accessed: 12 July 2026).</w:t>
      </w:r>
    </w:p>
    <w:p w14:paraId="68429A02"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Staffordshire County Council (2025a) Family Support Services. Available at: https://www.staffordshire.gov.uk/children-young-people-and-families/family-hubs/family-support-services (Accessed: 12 July 2026).</w:t>
      </w:r>
    </w:p>
    <w:p w14:paraId="5E1B3C01"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Tower Hamlets Council (2026) About Early Help. Available at: https://www.towerhamlets.gov.uk/lgnl/health__social_care/children_and_family_care/Early_Help/About_Early_Help.aspx (Accessed: 12 July 2026).</w:t>
      </w:r>
    </w:p>
    <w:p w14:paraId="55D9E72D" w14:textId="77777777" w:rsidR="00D6724E" w:rsidRPr="00065FA7" w:rsidRDefault="00D6724E" w:rsidP="00065FA7">
      <w:pPr>
        <w:spacing w:line="360" w:lineRule="auto"/>
        <w:rPr>
          <w:rFonts w:ascii="Arial" w:hAnsi="Arial" w:cs="Arial"/>
          <w:sz w:val="22"/>
          <w:szCs w:val="22"/>
        </w:rPr>
      </w:pPr>
      <w:r w:rsidRPr="00065FA7">
        <w:rPr>
          <w:rFonts w:ascii="Arial" w:hAnsi="Arial" w:cs="Arial"/>
          <w:sz w:val="22"/>
          <w:szCs w:val="22"/>
        </w:rPr>
        <w:t>Tower Hamlets Council (2026a) MAST Early Help and Children and Families Service. Available at: https://www.towerhamlets.gov.uk/lgnl/health__social_care/children_and_family_care/Early_Help/Early-Help-and-Children-and-Family-Service.aspx (Accessed: 12 July 2026).</w:t>
      </w:r>
    </w:p>
    <w:p w14:paraId="5890B239" w14:textId="77777777" w:rsidR="00995EDA" w:rsidRPr="00065FA7" w:rsidRDefault="00995EDA" w:rsidP="00065FA7">
      <w:pPr>
        <w:spacing w:line="360" w:lineRule="auto"/>
        <w:rPr>
          <w:rFonts w:ascii="Arial" w:hAnsi="Arial" w:cs="Arial"/>
          <w:sz w:val="22"/>
          <w:szCs w:val="22"/>
        </w:rPr>
      </w:pPr>
    </w:p>
    <w:sectPr w:rsidR="00995EDA" w:rsidRPr="00065F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71A66"/>
    <w:multiLevelType w:val="multilevel"/>
    <w:tmpl w:val="BE123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DD1A24"/>
    <w:multiLevelType w:val="multilevel"/>
    <w:tmpl w:val="136A3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734889">
    <w:abstractNumId w:val="0"/>
  </w:num>
  <w:num w:numId="2" w16cid:durableId="20082852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24E"/>
    <w:rsid w:val="00045D20"/>
    <w:rsid w:val="00061898"/>
    <w:rsid w:val="00065FA7"/>
    <w:rsid w:val="001A7F0D"/>
    <w:rsid w:val="00245390"/>
    <w:rsid w:val="00260905"/>
    <w:rsid w:val="0031081E"/>
    <w:rsid w:val="003623B0"/>
    <w:rsid w:val="00383C22"/>
    <w:rsid w:val="003C2CBD"/>
    <w:rsid w:val="00484EE0"/>
    <w:rsid w:val="004F3D5C"/>
    <w:rsid w:val="005E60F8"/>
    <w:rsid w:val="006608A6"/>
    <w:rsid w:val="006D500A"/>
    <w:rsid w:val="006D5839"/>
    <w:rsid w:val="007D3136"/>
    <w:rsid w:val="00864CC1"/>
    <w:rsid w:val="00995EDA"/>
    <w:rsid w:val="00D6724E"/>
    <w:rsid w:val="00E05439"/>
    <w:rsid w:val="00E65831"/>
    <w:rsid w:val="00FF5A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31019"/>
  <w15:chartTrackingRefBased/>
  <w15:docId w15:val="{7572C15A-5843-40C8-BAD8-ED53DEAFD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72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72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72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72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72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72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72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72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72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72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72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72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72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72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72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72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72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724E"/>
    <w:rPr>
      <w:rFonts w:eastAsiaTheme="majorEastAsia" w:cstheme="majorBidi"/>
      <w:color w:val="272727" w:themeColor="text1" w:themeTint="D8"/>
    </w:rPr>
  </w:style>
  <w:style w:type="paragraph" w:styleId="Title">
    <w:name w:val="Title"/>
    <w:basedOn w:val="Normal"/>
    <w:next w:val="Normal"/>
    <w:link w:val="TitleChar"/>
    <w:uiPriority w:val="10"/>
    <w:qFormat/>
    <w:rsid w:val="00D672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72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72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72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724E"/>
    <w:pPr>
      <w:spacing w:before="160"/>
      <w:jc w:val="center"/>
    </w:pPr>
    <w:rPr>
      <w:i/>
      <w:iCs/>
      <w:color w:val="404040" w:themeColor="text1" w:themeTint="BF"/>
    </w:rPr>
  </w:style>
  <w:style w:type="character" w:customStyle="1" w:styleId="QuoteChar">
    <w:name w:val="Quote Char"/>
    <w:basedOn w:val="DefaultParagraphFont"/>
    <w:link w:val="Quote"/>
    <w:uiPriority w:val="29"/>
    <w:rsid w:val="00D6724E"/>
    <w:rPr>
      <w:i/>
      <w:iCs/>
      <w:color w:val="404040" w:themeColor="text1" w:themeTint="BF"/>
    </w:rPr>
  </w:style>
  <w:style w:type="paragraph" w:styleId="ListParagraph">
    <w:name w:val="List Paragraph"/>
    <w:basedOn w:val="Normal"/>
    <w:uiPriority w:val="34"/>
    <w:qFormat/>
    <w:rsid w:val="00D6724E"/>
    <w:pPr>
      <w:ind w:left="720"/>
      <w:contextualSpacing/>
    </w:pPr>
  </w:style>
  <w:style w:type="character" w:styleId="IntenseEmphasis">
    <w:name w:val="Intense Emphasis"/>
    <w:basedOn w:val="DefaultParagraphFont"/>
    <w:uiPriority w:val="21"/>
    <w:qFormat/>
    <w:rsid w:val="00D6724E"/>
    <w:rPr>
      <w:i/>
      <w:iCs/>
      <w:color w:val="0F4761" w:themeColor="accent1" w:themeShade="BF"/>
    </w:rPr>
  </w:style>
  <w:style w:type="paragraph" w:styleId="IntenseQuote">
    <w:name w:val="Intense Quote"/>
    <w:basedOn w:val="Normal"/>
    <w:next w:val="Normal"/>
    <w:link w:val="IntenseQuoteChar"/>
    <w:uiPriority w:val="30"/>
    <w:qFormat/>
    <w:rsid w:val="00D672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724E"/>
    <w:rPr>
      <w:i/>
      <w:iCs/>
      <w:color w:val="0F4761" w:themeColor="accent1" w:themeShade="BF"/>
    </w:rPr>
  </w:style>
  <w:style w:type="character" w:styleId="IntenseReference">
    <w:name w:val="Intense Reference"/>
    <w:basedOn w:val="DefaultParagraphFont"/>
    <w:uiPriority w:val="32"/>
    <w:qFormat/>
    <w:rsid w:val="00D6724E"/>
    <w:rPr>
      <w:b/>
      <w:bCs/>
      <w:smallCaps/>
      <w:color w:val="0F4761" w:themeColor="accent1" w:themeShade="BF"/>
      <w:spacing w:val="5"/>
    </w:rPr>
  </w:style>
  <w:style w:type="character" w:styleId="Hyperlink">
    <w:name w:val="Hyperlink"/>
    <w:basedOn w:val="DefaultParagraphFont"/>
    <w:uiPriority w:val="99"/>
    <w:unhideWhenUsed/>
    <w:rsid w:val="00045D20"/>
    <w:rPr>
      <w:color w:val="467886" w:themeColor="hyperlink"/>
      <w:u w:val="single"/>
    </w:rPr>
  </w:style>
  <w:style w:type="character" w:styleId="UnresolvedMention">
    <w:name w:val="Unresolved Mention"/>
    <w:basedOn w:val="DefaultParagraphFont"/>
    <w:uiPriority w:val="99"/>
    <w:semiHidden/>
    <w:unhideWhenUsed/>
    <w:rsid w:val="00045D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8fff067580653cfe5e7692ef6651dd00">
  <xsd:schema xmlns:xsd="http://www.w3.org/2001/XMLSchema" xmlns:xs="http://www.w3.org/2001/XMLSchema" xmlns:p="http://schemas.microsoft.com/office/2006/metadata/properties" xmlns:ns3="ccfc14db-0f45-423b-b2f5-752f8f8a0ada" targetNamespace="http://schemas.microsoft.com/office/2006/metadata/properties" ma:root="true" ma:fieldsID="976b64ad843a213492d9f44ede53d851"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AED66997-5EF5-4E9F-B0D3-7964F584D3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61716E-7176-4B10-A1AD-5D99C5F26A50}">
  <ds:schemaRefs>
    <ds:schemaRef ds:uri="http://schemas.microsoft.com/sharepoint/v3/contenttype/forms"/>
  </ds:schemaRefs>
</ds:datastoreItem>
</file>

<file path=customXml/itemProps3.xml><?xml version="1.0" encoding="utf-8"?>
<ds:datastoreItem xmlns:ds="http://schemas.openxmlformats.org/officeDocument/2006/customXml" ds:itemID="{49552D16-88C3-4AB1-8511-545C31362F8F}">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2919</Words>
  <Characters>16642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Saleha Idris Sufi (2427750)</dc:creator>
  <cp:keywords/>
  <dc:description/>
  <cp:lastModifiedBy>Saleha Idris Sufi (2427750)</cp:lastModifiedBy>
  <cp:revision>2</cp:revision>
  <dcterms:created xsi:type="dcterms:W3CDTF">2026-07-16T23:47:00Z</dcterms:created>
  <dcterms:modified xsi:type="dcterms:W3CDTF">2026-07-16T23:47:00Z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