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8661F" w14:textId="47F1BEE5" w:rsidR="00C1372E" w:rsidRDefault="00A62401">
      <w:r>
        <w:t>Summary of Lesson.</w:t>
      </w:r>
    </w:p>
    <w:p w14:paraId="5E4D0C86" w14:textId="470E9165" w:rsidR="00A62401" w:rsidRDefault="00A62401">
      <w:r>
        <w:t>The lesson I delivered was around disclosure from the criminal procedures and investigations Act 1996</w:t>
      </w:r>
      <w:r w:rsidR="004A4804">
        <w:t xml:space="preserve"> (CPIA)</w:t>
      </w:r>
      <w:r>
        <w:t xml:space="preserve">. This subject is exceptionally important to policing and is a key part of the justice system in the United Kingdom. The subject material is also key to the human rights act and the rights of everyone to have a fair trial. </w:t>
      </w:r>
      <w:r w:rsidR="00E53C18">
        <w:t xml:space="preserve">The act provides information from the Attorney general guidelines and the directors general guidance six around our </w:t>
      </w:r>
      <w:r w:rsidR="004A4804">
        <w:t xml:space="preserve">duties under the CPIA. There are requirements for us as police officers/investigators to investigate crimes, follow reasonable lines of enquiry, understand what is evidential and unused material. From the unused material we have to decide what is relevant, what is sensitive and non sensitive and what material would meet the disclosure test (any material which undermines the prosecution case and my assist the defence). </w:t>
      </w:r>
    </w:p>
    <w:p w14:paraId="7FA19B7D" w14:textId="15D2CE36" w:rsidR="00A62401" w:rsidRDefault="00A62401">
      <w:r>
        <w:t xml:space="preserve">My lesson was on day four of a two week course. The learners were all student police officers from the same cohort having joined policing 12 months prior. They have all been though classroom training, a one to one tutorship in an operational policing role and around three months of independent working. </w:t>
      </w:r>
    </w:p>
    <w:p w14:paraId="533D9C72" w14:textId="78B46004" w:rsidR="00CF758E" w:rsidRDefault="00CF758E">
      <w:r>
        <w:t xml:space="preserve">The classroom was set up in a horseshoe shape and this gave every learner clear visibility of the </w:t>
      </w:r>
      <w:r w:rsidR="00FC7B04">
        <w:t>P</w:t>
      </w:r>
      <w:r>
        <w:t>ower</w:t>
      </w:r>
      <w:r w:rsidR="00FC7B04">
        <w:t xml:space="preserve"> </w:t>
      </w:r>
      <w:r>
        <w:t xml:space="preserve">point presentation and </w:t>
      </w:r>
      <w:r w:rsidR="00FC7B04">
        <w:t xml:space="preserve">myself clear views of them for me to answer any questions they may have. </w:t>
      </w:r>
    </w:p>
    <w:p w14:paraId="3AD470F7" w14:textId="3A6FD6B7" w:rsidR="00FC7B04" w:rsidRDefault="00FC7B04">
      <w:r>
        <w:t>I considered Maslow’s theory</w:t>
      </w:r>
      <w:r w:rsidR="005F2FF0">
        <w:rPr>
          <w:vertAlign w:val="superscript"/>
        </w:rPr>
        <w:t>1</w:t>
      </w:r>
      <w:r>
        <w:t xml:space="preserve"> when starting the lesson. Due to it being a very warm day, I made sure the room temperature was sufficient and asked the learners to let me know if they required the room temperature to be adjusted. They were all advised to have drinks and would be provided with comfort breaks through out the lesson.</w:t>
      </w:r>
    </w:p>
    <w:p w14:paraId="3E8BFF14" w14:textId="05A166E2" w:rsidR="00FC7B04" w:rsidRDefault="00FC7B04">
      <w:r>
        <w:t xml:space="preserve">To start the lesson I had devised a quiz around policing, this was to settle the class and to get them talking before we start. This again links in with Maslow on </w:t>
      </w:r>
      <w:r w:rsidR="001D04C5">
        <w:t xml:space="preserve">safety and the belonging in the environment. </w:t>
      </w:r>
    </w:p>
    <w:p w14:paraId="4C286382" w14:textId="75301D4F" w:rsidR="00FC7B04" w:rsidRDefault="00F83263">
      <w:r>
        <w:t>Utilising the model of learning by critical reflection (Wang and King 2006,2007)</w:t>
      </w:r>
      <w:r w:rsidR="005F2FF0">
        <w:rPr>
          <w:vertAlign w:val="superscript"/>
        </w:rPr>
        <w:t>2</w:t>
      </w:r>
      <w:r>
        <w:t xml:space="preserve"> I set out the aims and objectives of the lesson. Learners external situation is that there duties as investigators under the criminal procedures and investigation act 1996. The content which we will be covering, the process though the lesson including discussion, reference to source material (attorney general guidelines and the director general guidance) and actual examples of how this is practised in a real world environment. </w:t>
      </w:r>
    </w:p>
    <w:p w14:paraId="3FA1C60C" w14:textId="387859E6" w:rsidR="00F83263" w:rsidRDefault="00F83263">
      <w:r>
        <w:t>Referring to Gange</w:t>
      </w:r>
      <w:r w:rsidR="005F2FF0">
        <w:rPr>
          <w:vertAlign w:val="superscript"/>
        </w:rPr>
        <w:t xml:space="preserve">3 </w:t>
      </w:r>
      <w:r w:rsidR="005F2FF0">
        <w:t xml:space="preserve">and the five domains of learning </w:t>
      </w:r>
      <w:r w:rsidR="00E53C18">
        <w:t xml:space="preserve">the motor skills required from the lesson would be the use of computers, typing, copying, redacting. This skill is learnt by all leaners and would be something they have used in their workplaces on a regular basis, this would also link into the third point and their intellectual skills knowing where the necessary documents are and why we are completing them. </w:t>
      </w:r>
      <w:r w:rsidR="00457D50">
        <w:t xml:space="preserve">The students would have had experience at this level of service in relation to the relevant material </w:t>
      </w:r>
      <w:r w:rsidR="006B007B">
        <w:t xml:space="preserve">and this lesson enhances on this understanding. </w:t>
      </w:r>
      <w:r w:rsidR="00E53C18">
        <w:t>The</w:t>
      </w:r>
      <w:r w:rsidR="00E100FB">
        <w:t xml:space="preserve">re is </w:t>
      </w:r>
      <w:r w:rsidR="00E53C18">
        <w:t>domain two the verbal information. The lesson is assisted by a presentation, actual examples of unused material and the documents required.</w:t>
      </w:r>
      <w:r w:rsidR="00EB7EDA">
        <w:t xml:space="preserve"> Th</w:t>
      </w:r>
      <w:r w:rsidR="000069F9">
        <w:t xml:space="preserve">e presentation has been constructed by myself and </w:t>
      </w:r>
      <w:r w:rsidR="00CB3587">
        <w:t>the examples used are from an actual case file to show how th</w:t>
      </w:r>
      <w:r w:rsidR="00F23ED5">
        <w:t xml:space="preserve">e information is used in a “real world” scenario”. </w:t>
      </w:r>
      <w:r w:rsidR="006B007B">
        <w:t xml:space="preserve"> This is the part of the lesson where the learners ask the most questions due to </w:t>
      </w:r>
      <w:r w:rsidR="00647ED7">
        <w:t>the implications it has on their roles and the wider criminal justice system.</w:t>
      </w:r>
    </w:p>
    <w:p w14:paraId="0C0DB5AB" w14:textId="73AFD213" w:rsidR="001B33A2" w:rsidRDefault="001B33A2">
      <w:r>
        <w:t xml:space="preserve">In regards to stage four the </w:t>
      </w:r>
      <w:r w:rsidR="00B462F9">
        <w:t xml:space="preserve">cognitive </w:t>
      </w:r>
      <w:r w:rsidR="00FB4BB1">
        <w:t xml:space="preserve">strategies I use the various points of the lesson to revisit and get the learners to </w:t>
      </w:r>
      <w:r w:rsidR="000222D5">
        <w:t>repeat the key essen</w:t>
      </w:r>
      <w:r w:rsidR="00913455">
        <w:t xml:space="preserve">tials from the training, such as the relevancy test and the </w:t>
      </w:r>
      <w:r w:rsidR="00913455">
        <w:lastRenderedPageBreak/>
        <w:t xml:space="preserve">disclosure test. </w:t>
      </w:r>
      <w:r w:rsidR="004B1ED7">
        <w:t xml:space="preserve">The example used by myself to demonstrate how </w:t>
      </w:r>
      <w:r w:rsidR="00FB5DC4">
        <w:t>disclosure works in the criminal justice system is one of my own investigations and it shows the response from the Crown Prosecution service. This lends itself to the attitude and the “vicarious reinforcement” of the response received for the detail and quality required</w:t>
      </w:r>
      <w:r w:rsidR="00EC26E3">
        <w:t xml:space="preserve"> this will hopefully then assist the learners when completing their own disclosure</w:t>
      </w:r>
      <w:r w:rsidR="00C93D27">
        <w:t xml:space="preserve">. </w:t>
      </w:r>
    </w:p>
    <w:p w14:paraId="12B6F19B" w14:textId="6FAB79CA" w:rsidR="00F63A71" w:rsidRDefault="00C86980">
      <w:r>
        <w:t>Disc</w:t>
      </w:r>
      <w:r w:rsidR="00366F49">
        <w:t>losure under criminal procedures and investigatio</w:t>
      </w:r>
      <w:r w:rsidR="00196192">
        <w:t>ns</w:t>
      </w:r>
      <w:r w:rsidR="00366F49">
        <w:t xml:space="preserve"> Act 1</w:t>
      </w:r>
      <w:r w:rsidR="00196192">
        <w:t xml:space="preserve">996 is key to criminal justice system and plays an important part in any investigation, </w:t>
      </w:r>
      <w:r w:rsidR="00EE20BE">
        <w:t xml:space="preserve">court process and </w:t>
      </w:r>
      <w:r w:rsidR="00465306">
        <w:t xml:space="preserve">article 6 of the human rights act that everyone has a right to a fair trial. </w:t>
      </w:r>
      <w:r w:rsidR="000841BA">
        <w:t>I do explain the importance of this to the learners and from Lindeman</w:t>
      </w:r>
    </w:p>
    <w:p w14:paraId="706778AE" w14:textId="38D6461C" w:rsidR="000841BA" w:rsidRDefault="000841BA">
      <w:pPr>
        <w:rPr>
          <w:color w:val="000000"/>
        </w:rPr>
      </w:pPr>
      <w:r>
        <w:t>“</w:t>
      </w:r>
      <w:r>
        <w:rPr>
          <w:color w:val="000000"/>
        </w:rPr>
        <w:t>Adults' are motivated to learn as they experience needs and interests that learning will satisfy. . . adults have a deep need to be self-directing, therefore the role of the teacher is to emerge in a process of mutual inquiry. (p. 16)</w:t>
      </w:r>
    </w:p>
    <w:p w14:paraId="1084BA6C" w14:textId="47F88727" w:rsidR="00E2631C" w:rsidRPr="00B45E08" w:rsidRDefault="009A6C96">
      <w:pPr>
        <w:rPr>
          <w:i/>
          <w:iCs/>
        </w:rPr>
      </w:pPr>
      <w:r>
        <w:rPr>
          <w:color w:val="000000"/>
          <w:vertAlign w:val="superscript"/>
        </w:rPr>
        <w:t>4</w:t>
      </w:r>
      <w:r w:rsidR="00E2631C">
        <w:rPr>
          <w:color w:val="000000"/>
        </w:rPr>
        <w:t xml:space="preserve">Lindeman 1926 </w:t>
      </w:r>
      <w:r w:rsidR="00B45E08">
        <w:rPr>
          <w:i/>
          <w:iCs/>
          <w:color w:val="000000"/>
        </w:rPr>
        <w:t xml:space="preserve">The meaning of Adult </w:t>
      </w:r>
      <w:r>
        <w:rPr>
          <w:i/>
          <w:iCs/>
          <w:color w:val="000000"/>
        </w:rPr>
        <w:t>Education</w:t>
      </w:r>
    </w:p>
    <w:p w14:paraId="6C8A5CCC" w14:textId="53B32CA9" w:rsidR="00230FB6" w:rsidRDefault="00230FB6">
      <w:r>
        <w:t>This enhances the learn</w:t>
      </w:r>
      <w:r w:rsidR="00004F44">
        <w:t>ers</w:t>
      </w:r>
      <w:r>
        <w:t xml:space="preserve"> to the importance of the lesson and </w:t>
      </w:r>
      <w:r w:rsidR="003D5B74">
        <w:t xml:space="preserve">encourages them to utilise the </w:t>
      </w:r>
      <w:r w:rsidR="00004F44">
        <w:t xml:space="preserve">lesson to support their own development and </w:t>
      </w:r>
      <w:r w:rsidR="008E0AF1">
        <w:t>apply it in practice when they return to their roles.</w:t>
      </w:r>
    </w:p>
    <w:p w14:paraId="356C554A" w14:textId="6DBC515D" w:rsidR="008873E9" w:rsidRDefault="005A6676">
      <w:r>
        <w:t xml:space="preserve">I </w:t>
      </w:r>
      <w:r w:rsidR="0027016B">
        <w:t xml:space="preserve">took my time over the presentation and was aware that the material is very technical and had to make sure I kept the learners engaged. </w:t>
      </w:r>
      <w:r w:rsidR="00C93D27">
        <w:t xml:space="preserve">I was aware from the interactions that they all were comfortable with each other and had spent the first part of their policing career together in a classroom environment. This helped with </w:t>
      </w:r>
      <w:r w:rsidR="00072A7F">
        <w:t xml:space="preserve">the learners feeling comfortable to ask questions and I made sure that any questions they wished to ask were welcome and would give them the </w:t>
      </w:r>
      <w:r w:rsidR="00772195">
        <w:t>chance to discuss and check the information before moving on.</w:t>
      </w:r>
    </w:p>
    <w:p w14:paraId="5A218C19" w14:textId="45997AF9" w:rsidR="00772195" w:rsidRDefault="00772195">
      <w:r>
        <w:t xml:space="preserve">As part of the learning and around half way through the lesson I </w:t>
      </w:r>
      <w:r w:rsidR="0071619E">
        <w:t>asked</w:t>
      </w:r>
      <w:r w:rsidR="00367104">
        <w:t xml:space="preserve"> the learners to </w:t>
      </w:r>
      <w:r w:rsidR="0071619E">
        <w:t xml:space="preserve">use the whiteboard and use it to write down </w:t>
      </w:r>
      <w:r w:rsidR="00442E9F">
        <w:t xml:space="preserve">what they believe </w:t>
      </w:r>
      <w:r w:rsidR="005A3148">
        <w:t xml:space="preserve">to be unused material. </w:t>
      </w:r>
      <w:r w:rsidR="00885CCD">
        <w:t xml:space="preserve">This provides a little light hearted approach and </w:t>
      </w:r>
      <w:r w:rsidR="00183AF7">
        <w:t xml:space="preserve">discussion amongst themselves what can be put upon the board. This part of the lesson always has a lot of laughter </w:t>
      </w:r>
      <w:r w:rsidR="00764418">
        <w:t xml:space="preserve">and on this </w:t>
      </w:r>
      <w:r w:rsidR="007904FE">
        <w:t>occasion</w:t>
      </w:r>
      <w:r w:rsidR="00764418">
        <w:t xml:space="preserve"> it was the same. I find it </w:t>
      </w:r>
      <w:r w:rsidR="009F4BA8">
        <w:t xml:space="preserve">provides a relief from the </w:t>
      </w:r>
      <w:r w:rsidR="007904FE">
        <w:t xml:space="preserve">complexity of the material and it generates discussion around the subject matter. As a learning point it also shows the learners how </w:t>
      </w:r>
      <w:r w:rsidR="00CE3D28">
        <w:t>uncomplicated disclosure is and that they actually have the necessary materials and understanding available to them.</w:t>
      </w:r>
    </w:p>
    <w:p w14:paraId="6B762661" w14:textId="77777777" w:rsidR="00CE3D28" w:rsidRDefault="00CE3D28"/>
    <w:p w14:paraId="0C147BB2" w14:textId="1AF359E1" w:rsidR="005F2FF0" w:rsidRDefault="00CE3D28">
      <w:r>
        <w:t xml:space="preserve">Going forward and a point raised by the assessor, I am going to </w:t>
      </w:r>
      <w:r w:rsidR="00E505D1">
        <w:t xml:space="preserve">introduce a quiz based test at the end of the lesson. </w:t>
      </w:r>
      <w:r w:rsidR="00D42192">
        <w:t xml:space="preserve">This will test the understanding from the lesson and </w:t>
      </w:r>
      <w:r w:rsidR="003A6B9B">
        <w:t>hopefully reinforce the key learning points from the lesson.</w:t>
      </w:r>
    </w:p>
    <w:p w14:paraId="1BC9FF6B" w14:textId="0991F145" w:rsidR="003A6B9B" w:rsidRDefault="003A6B9B">
      <w:r>
        <w:t xml:space="preserve">All learners are given handouts and </w:t>
      </w:r>
      <w:r w:rsidR="00373CEB">
        <w:t>I show them where to find the actual material for which the lesson is based.</w:t>
      </w:r>
      <w:r w:rsidR="00DA348F">
        <w:t xml:space="preserve"> This is available </w:t>
      </w:r>
      <w:r w:rsidR="00433568">
        <w:t xml:space="preserve">on the .gov.uk website under Attorney General Guidelines and the directors general guidance </w:t>
      </w:r>
      <w:r w:rsidR="006F30D0">
        <w:t xml:space="preserve">version 6. </w:t>
      </w:r>
    </w:p>
    <w:p w14:paraId="71F7E4B7" w14:textId="66D554DF" w:rsidR="006F30D0" w:rsidRDefault="006F30D0"/>
    <w:p w14:paraId="129B2E61" w14:textId="77777777" w:rsidR="007315DF" w:rsidRDefault="007315DF"/>
    <w:p w14:paraId="7FF2AEEE" w14:textId="77777777" w:rsidR="007315DF" w:rsidRDefault="007315DF"/>
    <w:p w14:paraId="2EF13BDB" w14:textId="77921B72" w:rsidR="005F2FF0" w:rsidRDefault="005F2FF0"/>
    <w:p w14:paraId="3B33CAEB" w14:textId="4CFC5F6E" w:rsidR="005F2FF0" w:rsidRDefault="005F2FF0"/>
    <w:p w14:paraId="08E5D26F" w14:textId="64CE23A0" w:rsidR="005F2FF0" w:rsidRDefault="005F2FF0">
      <w:r>
        <w:lastRenderedPageBreak/>
        <w:t xml:space="preserve">1 -  Maslow’s theory </w:t>
      </w:r>
      <w:r>
        <w:rPr>
          <w:i/>
          <w:iCs/>
        </w:rPr>
        <w:t xml:space="preserve">“A theory of Human Motivation 1943 the hierarchy of human needs” </w:t>
      </w:r>
      <w:r>
        <w:t>1. Psychological needs, 2. Safety needs, 3. Love and belonging needs, 4. Esteem needs, 5. Self Actualisation needs.</w:t>
      </w:r>
    </w:p>
    <w:p w14:paraId="66E5ABFD" w14:textId="3F074ECE" w:rsidR="005F2FF0" w:rsidRPr="005F2FF0" w:rsidRDefault="005F2FF0" w:rsidP="005F2FF0">
      <w:pPr>
        <w:autoSpaceDE w:val="0"/>
        <w:autoSpaceDN w:val="0"/>
        <w:adjustRightInd w:val="0"/>
        <w:spacing w:after="0" w:line="240" w:lineRule="auto"/>
        <w:rPr>
          <w:rFonts w:cstheme="minorHAnsi"/>
        </w:rPr>
      </w:pPr>
      <w:r>
        <w:rPr>
          <w:rFonts w:cstheme="minorHAnsi"/>
        </w:rPr>
        <w:t xml:space="preserve">2 - </w:t>
      </w:r>
      <w:r w:rsidRPr="005F2FF0">
        <w:rPr>
          <w:rFonts w:cstheme="minorHAnsi"/>
        </w:rPr>
        <w:t>Wang, V., &amp; King, K. P. (2006). Understanding Mezirow’s theory of reflectivity from Confucian</w:t>
      </w:r>
    </w:p>
    <w:p w14:paraId="1403FD6D" w14:textId="77777777" w:rsidR="005F2FF0" w:rsidRPr="005F2FF0" w:rsidRDefault="005F2FF0" w:rsidP="005F2FF0">
      <w:pPr>
        <w:autoSpaceDE w:val="0"/>
        <w:autoSpaceDN w:val="0"/>
        <w:adjustRightInd w:val="0"/>
        <w:spacing w:after="0" w:line="240" w:lineRule="auto"/>
        <w:rPr>
          <w:rFonts w:cstheme="minorHAnsi"/>
        </w:rPr>
      </w:pPr>
      <w:r w:rsidRPr="005F2FF0">
        <w:rPr>
          <w:rFonts w:cstheme="minorHAnsi"/>
        </w:rPr>
        <w:t xml:space="preserve">perspectives: A model and perspective. </w:t>
      </w:r>
      <w:r w:rsidRPr="005F2FF0">
        <w:rPr>
          <w:rFonts w:cstheme="minorHAnsi"/>
          <w:i/>
          <w:iCs/>
        </w:rPr>
        <w:t>Radical Pedagogy</w:t>
      </w:r>
      <w:r w:rsidRPr="005F2FF0">
        <w:rPr>
          <w:rFonts w:cstheme="minorHAnsi"/>
        </w:rPr>
        <w:t xml:space="preserve">, </w:t>
      </w:r>
      <w:r w:rsidRPr="005F2FF0">
        <w:rPr>
          <w:rFonts w:cstheme="minorHAnsi"/>
          <w:i/>
          <w:iCs/>
        </w:rPr>
        <w:t>8</w:t>
      </w:r>
      <w:r w:rsidRPr="005F2FF0">
        <w:rPr>
          <w:rFonts w:cstheme="minorHAnsi"/>
        </w:rPr>
        <w:t>(1), 1-17.</w:t>
      </w:r>
    </w:p>
    <w:p w14:paraId="781E0361" w14:textId="5E0EFB85" w:rsidR="005F2FF0" w:rsidRPr="005F2FF0" w:rsidRDefault="005F2FF0" w:rsidP="005F2FF0">
      <w:pPr>
        <w:autoSpaceDE w:val="0"/>
        <w:autoSpaceDN w:val="0"/>
        <w:adjustRightInd w:val="0"/>
        <w:spacing w:after="0" w:line="240" w:lineRule="auto"/>
        <w:rPr>
          <w:rFonts w:cstheme="minorHAnsi"/>
        </w:rPr>
      </w:pPr>
      <w:r>
        <w:rPr>
          <w:rFonts w:cstheme="minorHAnsi"/>
        </w:rPr>
        <w:t xml:space="preserve">2 - </w:t>
      </w:r>
      <w:r w:rsidRPr="005F2FF0">
        <w:rPr>
          <w:rFonts w:cstheme="minorHAnsi"/>
        </w:rPr>
        <w:t>Wang, V. C. X., &amp; King, K. P. (2007). Confucius and Mezirow—Understanding Mezirow’s theory of</w:t>
      </w:r>
    </w:p>
    <w:p w14:paraId="327496B3" w14:textId="77777777" w:rsidR="005F2FF0" w:rsidRPr="005F2FF0" w:rsidRDefault="005F2FF0" w:rsidP="005F2FF0">
      <w:pPr>
        <w:autoSpaceDE w:val="0"/>
        <w:autoSpaceDN w:val="0"/>
        <w:adjustRightInd w:val="0"/>
        <w:spacing w:after="0" w:line="240" w:lineRule="auto"/>
        <w:rPr>
          <w:rFonts w:cstheme="minorHAnsi"/>
        </w:rPr>
      </w:pPr>
      <w:r w:rsidRPr="005F2FF0">
        <w:rPr>
          <w:rFonts w:cstheme="minorHAnsi"/>
        </w:rPr>
        <w:t>reflectivity from Confucian perspectives: A model and perspective. In K. P. King &amp; V. C. X.</w:t>
      </w:r>
    </w:p>
    <w:p w14:paraId="3DC6319C" w14:textId="77777777" w:rsidR="005F2FF0" w:rsidRPr="005F2FF0" w:rsidRDefault="005F2FF0" w:rsidP="005F2FF0">
      <w:pPr>
        <w:autoSpaceDE w:val="0"/>
        <w:autoSpaceDN w:val="0"/>
        <w:adjustRightInd w:val="0"/>
        <w:spacing w:after="0" w:line="240" w:lineRule="auto"/>
        <w:rPr>
          <w:rFonts w:cstheme="minorHAnsi"/>
        </w:rPr>
      </w:pPr>
      <w:r w:rsidRPr="005F2FF0">
        <w:rPr>
          <w:rFonts w:cstheme="minorHAnsi"/>
        </w:rPr>
        <w:t xml:space="preserve">Wang (Eds.), </w:t>
      </w:r>
      <w:r w:rsidRPr="005F2FF0">
        <w:rPr>
          <w:rFonts w:cstheme="minorHAnsi"/>
          <w:i/>
          <w:iCs/>
        </w:rPr>
        <w:t xml:space="preserve">Comparative adult education around the globe </w:t>
      </w:r>
      <w:r w:rsidRPr="005F2FF0">
        <w:rPr>
          <w:rFonts w:cstheme="minorHAnsi"/>
        </w:rPr>
        <w:t>(pp. 253-275). Hangzhou, China,</w:t>
      </w:r>
    </w:p>
    <w:p w14:paraId="7BA5B91C" w14:textId="776A0CAE" w:rsidR="005F2FF0" w:rsidRDefault="005F2FF0" w:rsidP="005F2FF0">
      <w:pPr>
        <w:rPr>
          <w:rFonts w:cstheme="minorHAnsi"/>
        </w:rPr>
      </w:pPr>
      <w:r w:rsidRPr="005F2FF0">
        <w:rPr>
          <w:rFonts w:cstheme="minorHAnsi"/>
        </w:rPr>
        <w:t>Zhejiang University Press.</w:t>
      </w:r>
    </w:p>
    <w:p w14:paraId="782D9458" w14:textId="26C99571" w:rsidR="0006226B" w:rsidRDefault="0006226B" w:rsidP="005F2FF0">
      <w:pPr>
        <w:rPr>
          <w:rFonts w:ascii="Times-Roman" w:hAnsi="Times-Roman" w:cs="Times-Roman"/>
        </w:rPr>
      </w:pPr>
      <w:r w:rsidRPr="00E82859">
        <w:rPr>
          <w:rFonts w:cstheme="minorHAnsi"/>
        </w:rPr>
        <w:t xml:space="preserve">3 </w:t>
      </w:r>
      <w:r w:rsidR="00E82859" w:rsidRPr="00E82859">
        <w:rPr>
          <w:rFonts w:cstheme="minorHAnsi"/>
        </w:rPr>
        <w:t xml:space="preserve">Gagne, R. M. (1972). Domains of learning. </w:t>
      </w:r>
      <w:r w:rsidR="00E82859" w:rsidRPr="00E82859">
        <w:rPr>
          <w:rFonts w:cstheme="minorHAnsi"/>
          <w:i/>
          <w:iCs/>
        </w:rPr>
        <w:t>Interchange</w:t>
      </w:r>
      <w:r w:rsidR="00E82859" w:rsidRPr="00E82859">
        <w:rPr>
          <w:rFonts w:cstheme="minorHAnsi"/>
        </w:rPr>
        <w:t>, 1-8</w:t>
      </w:r>
      <w:r w:rsidR="00E82859" w:rsidRPr="00E82859">
        <w:rPr>
          <w:rFonts w:ascii="Times-Roman" w:hAnsi="Times-Roman" w:cs="Times-Roman"/>
        </w:rPr>
        <w:t>.</w:t>
      </w:r>
      <w:r w:rsidR="00A85129">
        <w:rPr>
          <w:rFonts w:ascii="Times-Roman" w:hAnsi="Times-Roman" w:cs="Times-Roman"/>
        </w:rPr>
        <w:t xml:space="preserve"> (pp 3-41)</w:t>
      </w:r>
    </w:p>
    <w:p w14:paraId="6DAC2BEC" w14:textId="45F0DB2E" w:rsidR="009A6C96" w:rsidRPr="00E77F42" w:rsidRDefault="009A6C96" w:rsidP="005F2FF0">
      <w:pPr>
        <w:rPr>
          <w:rFonts w:cstheme="minorHAnsi"/>
          <w:i/>
          <w:iCs/>
        </w:rPr>
      </w:pPr>
      <w:r>
        <w:rPr>
          <w:rFonts w:ascii="Times-Roman" w:hAnsi="Times-Roman" w:cs="Times-Roman"/>
        </w:rPr>
        <w:t xml:space="preserve">4 </w:t>
      </w:r>
      <w:r>
        <w:rPr>
          <w:rFonts w:cstheme="minorHAnsi"/>
        </w:rPr>
        <w:t xml:space="preserve">Lindeman (1926) </w:t>
      </w:r>
      <w:r w:rsidR="00E77F42">
        <w:rPr>
          <w:rFonts w:cstheme="minorHAnsi"/>
          <w:i/>
          <w:iCs/>
        </w:rPr>
        <w:t>The meaning of Adult Education</w:t>
      </w:r>
    </w:p>
    <w:sectPr w:rsidR="009A6C96" w:rsidRPr="00E77F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401"/>
    <w:rsid w:val="00004F44"/>
    <w:rsid w:val="000069F9"/>
    <w:rsid w:val="000222D5"/>
    <w:rsid w:val="0006226B"/>
    <w:rsid w:val="00072A7F"/>
    <w:rsid w:val="000841BA"/>
    <w:rsid w:val="00121AE1"/>
    <w:rsid w:val="00183AF7"/>
    <w:rsid w:val="00196192"/>
    <w:rsid w:val="001B33A2"/>
    <w:rsid w:val="001D04C5"/>
    <w:rsid w:val="001E1A26"/>
    <w:rsid w:val="00230FB6"/>
    <w:rsid w:val="0027016B"/>
    <w:rsid w:val="00366F49"/>
    <w:rsid w:val="00367104"/>
    <w:rsid w:val="00373CEB"/>
    <w:rsid w:val="003A6B9B"/>
    <w:rsid w:val="003D5B74"/>
    <w:rsid w:val="00433568"/>
    <w:rsid w:val="00442E9F"/>
    <w:rsid w:val="00457D50"/>
    <w:rsid w:val="00465306"/>
    <w:rsid w:val="004A4804"/>
    <w:rsid w:val="004B1ED7"/>
    <w:rsid w:val="005A3148"/>
    <w:rsid w:val="005A6676"/>
    <w:rsid w:val="005F2FF0"/>
    <w:rsid w:val="00647ED7"/>
    <w:rsid w:val="006B007B"/>
    <w:rsid w:val="006F30D0"/>
    <w:rsid w:val="0071619E"/>
    <w:rsid w:val="007315DF"/>
    <w:rsid w:val="00764418"/>
    <w:rsid w:val="00772195"/>
    <w:rsid w:val="007904FE"/>
    <w:rsid w:val="00885CCD"/>
    <w:rsid w:val="008873E9"/>
    <w:rsid w:val="008E0AF1"/>
    <w:rsid w:val="00913455"/>
    <w:rsid w:val="009A6C96"/>
    <w:rsid w:val="009E05DE"/>
    <w:rsid w:val="009F4BA8"/>
    <w:rsid w:val="00A62401"/>
    <w:rsid w:val="00A85129"/>
    <w:rsid w:val="00B3392E"/>
    <w:rsid w:val="00B45E08"/>
    <w:rsid w:val="00B462F9"/>
    <w:rsid w:val="00C1372E"/>
    <w:rsid w:val="00C856DB"/>
    <w:rsid w:val="00C86980"/>
    <w:rsid w:val="00C93D27"/>
    <w:rsid w:val="00CB14E2"/>
    <w:rsid w:val="00CB3587"/>
    <w:rsid w:val="00CE3D28"/>
    <w:rsid w:val="00CF758E"/>
    <w:rsid w:val="00D42192"/>
    <w:rsid w:val="00DA348F"/>
    <w:rsid w:val="00E100FB"/>
    <w:rsid w:val="00E2631C"/>
    <w:rsid w:val="00E505D1"/>
    <w:rsid w:val="00E53C18"/>
    <w:rsid w:val="00E77F42"/>
    <w:rsid w:val="00E82859"/>
    <w:rsid w:val="00EB7EDA"/>
    <w:rsid w:val="00EC26E3"/>
    <w:rsid w:val="00EE20BE"/>
    <w:rsid w:val="00F23ED5"/>
    <w:rsid w:val="00F63A71"/>
    <w:rsid w:val="00F83263"/>
    <w:rsid w:val="00FB4BB1"/>
    <w:rsid w:val="00FB5DC4"/>
    <w:rsid w:val="00FC7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821E4"/>
  <w15:chartTrackingRefBased/>
  <w15:docId w15:val="{0D458575-8A4C-4979-A65F-315DC650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3</Pages>
  <Words>1097</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Toogood, Craig</dc:creator>
  <cp:keywords/>
  <dc:description/>
  <cp:lastModifiedBy>Toogood, Craig</cp:lastModifiedBy>
  <cp:revision>66</cp:revision>
  <dcterms:created xsi:type="dcterms:W3CDTF">2023-08-11T09:31:00Z</dcterms:created>
  <dcterms:modified xsi:type="dcterms:W3CDTF">2023-08-24T07:55:00Z</dcterms:modified>
</cp:coreProperties>
</file>