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Times New Roman" w:hAnsi="Times New Roman" w:cs="Times New Roman"/>
          <w:sz w:val="24"/>
          <w:szCs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3281045</wp:posOffset>
                </wp:positionH>
                <wp:positionV relativeFrom="paragraph">
                  <wp:posOffset>1972945</wp:posOffset>
                </wp:positionV>
                <wp:extent cx="2948940" cy="1562100"/>
                <wp:effectExtent l="4445" t="4445" r="18415" b="18415"/>
                <wp:wrapNone/>
                <wp:docPr id="4" name="文本框 4"/>
                <wp:cNvGraphicFramePr/>
                <a:graphic xmlns:a="http://schemas.openxmlformats.org/drawingml/2006/main">
                  <a:graphicData uri="http://schemas.microsoft.com/office/word/2010/wordprocessingShape">
                    <wps:wsp>
                      <wps:cNvSpPr txBox="1"/>
                      <wps:spPr>
                        <a:xfrm>
                          <a:off x="4195445" y="2887345"/>
                          <a:ext cx="2948940" cy="156210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pPr>
                              <w:rPr>
                                <w:sz w:val="28"/>
                                <w:szCs w:val="28"/>
                              </w:rPr>
                            </w:pPr>
                            <w:r>
                              <w:rPr>
                                <w:rFonts w:hint="eastAsia"/>
                                <w:sz w:val="28"/>
                                <w:szCs w:val="28"/>
                              </w:rPr>
                              <w:t>When companies need to expand their business from the UK to Asia, cross-cultural communication theory will become very important because it will allow them to understand different international cultures.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8.35pt;margin-top:155.35pt;height:123pt;width:232.2pt;z-index:251662336;mso-width-relative:page;mso-height-relative:page;" fillcolor="#FFFFFF [3201]" filled="t" stroked="t" coordsize="21600,21600" o:gfxdata="UEsDBAoAAAAAAIdO4kAAAAAAAAAAAAAAAAAEAAAAZHJzL1BLAwQUAAAACACHTuJAjQCx2NgAAAAL&#10;AQAADwAAAGRycy9kb3ducmV2LnhtbE2PTU/DMAyG70j8h8hI3FgSUEfXNd0BiRtC6vg8Zq3XVjRO&#10;16Tt+PeYE9xsPa9eP853Z9eLGcfQeTKgVwoEUuXrjhoDry+PNymIEC3VtveEBr4xwK64vMhtVvuF&#10;Spz3sRFcQiGzBtoYh0zKULXobFj5AYnZ0Y/ORl7HRtajXbjc9fJWqbV0tiO+0NoBH1qsvvaTM/A8&#10;T/6teU+qD/pcypAeT+VTejLm+kqrLYiI5/gXhl99VoeCnQ5+ojqI3kCi1/ccNXCnFQ+c2KRagzgw&#10;ShjJIpf/fyh+AFBLAwQUAAAACACHTuJAxFA2mGECAADFBAAADgAAAGRycy9lMm9Eb2MueG1srVTB&#10;bhMxEL0j8Q+W73Sz6aZNom6qkCgIqaKVCuLseL1ZS7bH2E52ywfAH3Diwp3v6ncw9iZtWjj0QA7O&#10;jOfljefNTC4uO63ITjgvwZQ0PxlQIgyHSppNST99XL0ZU+IDMxVTYERJ74Snl7PXry5aOxVDaEBV&#10;whEkMX7a2pI2IdhplnneCM38CVhhMFiD0yyg6zZZ5ViL7Fplw8HgLGvBVdYBF97j7bIP0j2jewkh&#10;1LXkYgl8q4UJPasTigUsyTfSejpLr61rwcN1XXsRiCopVhrSiUnQXsczm12w6cYx20i+fwJ7yROe&#10;1aSZNJj0gWrJAiNbJ/+i0pI78FCHEw466wtJimAV+eCZNrcNsyLVglJ7+yC6/3+0/MPuxhFZlbSg&#10;xDCNDb//8f3+5+/7X99IEeVprZ8i6tYiLnRvocOhOdx7vIxVd7XT8RvrIRgv8smoKEaU3JV0OB6f&#10;n6KdhBZdIBwBw0kxnhTYA46IfHQ2zAepFdkjlXU+vBOgSTRK6rCTSWC2u/IByRB6gMTMHpSsVlKp&#10;5LjNeqEc2THs+ip9Yn78yROYMqQt6dnpaJCYn8T8SyiQUBnkjRL1UkQrdOtur9saqjuUzUE/d97y&#10;lcRyrpgPN8zhoKEEuIrhGo9aAb4G9hYlDbiv/7qPeOw/RilpcXBL6r9smROUqPcGJ2OSF1HZkJxi&#10;dD5Exx1H1scRs9ULQJVyXHrLkxnxQR3M2oH+jBs7j1kxxAzH3CUNB3MR+nXCjediPk8gnG3LwpW5&#10;tTxSx54YmG8D1DL1LsrUa7NXD6c79We/iXF9jv2Eevz3mf0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jQCx2NgAAAALAQAADwAAAAAAAAABACAAAAAiAAAAZHJzL2Rvd25yZXYueG1sUEsBAhQAFAAA&#10;AAgAh07iQMRQNphhAgAAxQQAAA4AAAAAAAAAAQAgAAAAJwEAAGRycy9lMm9Eb2MueG1sUEsFBgAA&#10;AAAGAAYAWQEAAPoFAAAAAA==&#10;">
                <v:fill on="t" focussize="0,0"/>
                <v:stroke weight="0.5pt" color="#FFFFFF [3212]" joinstyle="round"/>
                <v:imagedata o:title=""/>
                <o:lock v:ext="edit" aspectratio="f"/>
                <v:textbox>
                  <w:txbxContent>
                    <w:p>
                      <w:pPr>
                        <w:rPr>
                          <w:sz w:val="28"/>
                          <w:szCs w:val="28"/>
                        </w:rPr>
                      </w:pPr>
                      <w:r>
                        <w:rPr>
                          <w:rFonts w:hint="eastAsia"/>
                          <w:sz w:val="28"/>
                          <w:szCs w:val="28"/>
                        </w:rPr>
                        <w:t>When companies need to expand their business from the UK to Asia, cross-cultural communication theory will become very important because it will allow them to understand different international cultures.</w:t>
                      </w:r>
                    </w:p>
                  </w:txbxContent>
                </v:textbox>
              </v:shap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3242945</wp:posOffset>
                </wp:positionH>
                <wp:positionV relativeFrom="paragraph">
                  <wp:posOffset>5180965</wp:posOffset>
                </wp:positionV>
                <wp:extent cx="3147060" cy="2324100"/>
                <wp:effectExtent l="4445" t="4445" r="18415" b="18415"/>
                <wp:wrapNone/>
                <wp:docPr id="3" name="文本框 3"/>
                <wp:cNvGraphicFramePr/>
                <a:graphic xmlns:a="http://schemas.openxmlformats.org/drawingml/2006/main">
                  <a:graphicData uri="http://schemas.microsoft.com/office/word/2010/wordprocessingShape">
                    <wps:wsp>
                      <wps:cNvSpPr txBox="1"/>
                      <wps:spPr>
                        <a:xfrm>
                          <a:off x="4157345" y="6095365"/>
                          <a:ext cx="3147060" cy="23241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after="0" w:line="360" w:lineRule="auto"/>
                              <w:jc w:val="both"/>
                              <w:rPr>
                                <w:rFonts w:hint="eastAsia" w:ascii="Times New Roman" w:hAnsi="Times New Roman" w:eastAsia="Times New Roman" w:cs="Times New Roman"/>
                                <w:b/>
                                <w:bCs/>
                                <w:sz w:val="28"/>
                                <w:szCs w:val="28"/>
                                <w:lang w:val="en-US" w:eastAsia="zh-CN"/>
                              </w:rPr>
                            </w:pPr>
                            <w:r>
                              <w:rPr>
                                <w:rFonts w:hint="eastAsia" w:ascii="Times New Roman" w:hAnsi="Times New Roman" w:eastAsia="Times New Roman" w:cs="Times New Roman"/>
                                <w:b/>
                                <w:bCs/>
                                <w:sz w:val="28"/>
                                <w:szCs w:val="28"/>
                                <w:lang w:val="en-US" w:eastAsia="zh-CN"/>
                              </w:rPr>
                              <w:t>Written by：Songtao Fang</w:t>
                            </w:r>
                          </w:p>
                          <w:p>
                            <w:pPr>
                              <w:spacing w:after="0" w:line="360" w:lineRule="auto"/>
                              <w:jc w:val="both"/>
                              <w:rPr>
                                <w:rFonts w:hint="eastAsia" w:ascii="Times New Roman" w:hAnsi="Times New Roman" w:eastAsia="Times New Roman" w:cs="Times New Roman"/>
                                <w:b/>
                                <w:bCs/>
                                <w:sz w:val="28"/>
                                <w:szCs w:val="28"/>
                                <w:lang w:val="en-US" w:eastAsia="zh-CN"/>
                              </w:rPr>
                            </w:pPr>
                          </w:p>
                          <w:p>
                            <w:pPr>
                              <w:spacing w:after="0" w:line="360" w:lineRule="auto"/>
                              <w:jc w:val="both"/>
                              <w:rPr>
                                <w:rFonts w:hint="eastAsia" w:ascii="Times New Roman" w:hAnsi="Times New Roman" w:eastAsia="Times New Roman" w:cs="Times New Roman"/>
                                <w:b/>
                                <w:bCs/>
                                <w:sz w:val="28"/>
                                <w:szCs w:val="28"/>
                                <w:lang w:val="en-US" w:eastAsia="zh-CN"/>
                              </w:rPr>
                            </w:pPr>
                            <w:r>
                              <w:rPr>
                                <w:rFonts w:hint="eastAsia" w:ascii="Times New Roman" w:hAnsi="Times New Roman" w:eastAsia="Times New Roman" w:cs="Times New Roman"/>
                                <w:b/>
                                <w:bCs/>
                                <w:sz w:val="28"/>
                                <w:szCs w:val="28"/>
                                <w:lang w:val="en-US" w:eastAsia="zh-CN"/>
                              </w:rPr>
                              <w:t>Student ID：2304106</w:t>
                            </w:r>
                          </w:p>
                          <w:p>
                            <w:pPr>
                              <w:spacing w:after="0" w:line="360" w:lineRule="auto"/>
                              <w:jc w:val="both"/>
                              <w:rPr>
                                <w:rFonts w:hint="eastAsia" w:ascii="Times New Roman" w:hAnsi="Times New Roman" w:eastAsia="Times New Roman" w:cs="Times New Roman"/>
                                <w:b/>
                                <w:bCs/>
                                <w:sz w:val="28"/>
                                <w:szCs w:val="28"/>
                                <w:lang w:val="en-US" w:eastAsia="zh-CN"/>
                              </w:rPr>
                            </w:pPr>
                          </w:p>
                          <w:p>
                            <w:pPr>
                              <w:spacing w:after="0" w:line="360" w:lineRule="auto"/>
                              <w:jc w:val="both"/>
                              <w:rPr>
                                <w:rFonts w:hint="eastAsia" w:ascii="Times New Roman" w:hAnsi="Times New Roman" w:eastAsia="Times New Roman" w:cs="Times New Roman"/>
                                <w:b/>
                                <w:bCs/>
                                <w:sz w:val="28"/>
                                <w:szCs w:val="28"/>
                                <w:lang w:val="en-US" w:eastAsia="zh-CN"/>
                              </w:rPr>
                            </w:pPr>
                            <w:r>
                              <w:rPr>
                                <w:rFonts w:hint="eastAsia" w:ascii="Times New Roman" w:hAnsi="Times New Roman" w:eastAsia="Times New Roman" w:cs="Times New Roman"/>
                                <w:b/>
                                <w:bCs/>
                                <w:sz w:val="28"/>
                                <w:szCs w:val="28"/>
                                <w:lang w:val="en-US" w:eastAsia="zh-CN"/>
                              </w:rPr>
                              <w:t>Report word count：2671</w:t>
                            </w:r>
                          </w:p>
                          <w:p>
                            <w:pPr>
                              <w:spacing w:after="0" w:line="360" w:lineRule="auto"/>
                              <w:jc w:val="both"/>
                              <w:rPr>
                                <w:rFonts w:hint="eastAsia" w:ascii="Times New Roman" w:hAnsi="Times New Roman" w:eastAsia="Times New Roman" w:cs="Times New Roman"/>
                                <w:b/>
                                <w:bCs/>
                                <w:sz w:val="28"/>
                                <w:szCs w:val="28"/>
                                <w:lang w:val="en-US" w:eastAsia="zh-CN"/>
                              </w:rPr>
                            </w:pPr>
                          </w:p>
                          <w:p>
                            <w:pPr>
                              <w:rPr>
                                <w:rFonts w:hint="default" w:ascii="Times New Roman" w:hAnsi="Times New Roman" w:eastAsia="Times New Roman" w:cs="Times New Roman"/>
                                <w:b/>
                                <w:bCs/>
                                <w:sz w:val="28"/>
                                <w:szCs w:val="28"/>
                                <w:lang w:val="en-US" w:eastAsia="zh-CN"/>
                              </w:rPr>
                            </w:pPr>
                            <w:r>
                              <w:rPr>
                                <w:rFonts w:ascii="Arial" w:hAnsi="Arial" w:cs="Arial"/>
                                <w:b/>
                                <w:sz w:val="24"/>
                                <w:szCs w:val="24"/>
                              </w:rPr>
                              <w:t xml:space="preserve">Module </w:t>
                            </w:r>
                            <w:r>
                              <w:rPr>
                                <w:rFonts w:hint="eastAsia" w:ascii="Times New Roman" w:hAnsi="Times New Roman" w:eastAsia="Times New Roman" w:cs="Times New Roman"/>
                                <w:b/>
                                <w:bCs/>
                                <w:sz w:val="28"/>
                                <w:szCs w:val="28"/>
                                <w:lang w:val="en-US" w:eastAsia="zh-CN"/>
                              </w:rPr>
                              <w:t>code: BMBM6021</w:t>
                            </w:r>
                          </w:p>
                          <w:p>
                            <w:pPr>
                              <w:spacing w:after="0" w:line="360" w:lineRule="auto"/>
                              <w:jc w:val="both"/>
                              <w:rPr>
                                <w:rFonts w:hint="default" w:ascii="Times New Roman" w:hAnsi="Times New Roman" w:eastAsia="Times New Roman" w:cs="Times New Roman"/>
                                <w:b/>
                                <w:bCs/>
                                <w:sz w:val="28"/>
                                <w:szCs w:val="28"/>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5.35pt;margin-top:407.95pt;height:183pt;width:247.8pt;z-index:251661312;mso-width-relative:page;mso-height-relative:page;" fillcolor="#FFFFFF [3201]" filled="t" stroked="t" coordsize="21600,21600" o:gfxdata="UEsDBAoAAAAAAIdO4kAAAAAAAAAAAAAAAAAEAAAAZHJzL1BLAwQUAAAACACHTuJAdXUhE9kAAAAN&#10;AQAADwAAAGRycy9kb3ducmV2LnhtbE2PwU7DMAyG70i8Q+RJ3FiSVRtdaToJJCTEjdELt6zx2mqJ&#10;UyXZOt6e7AQ3W/70/5/r3dVZdsEQR08K5FIAQ+q8GalX0H69PZbAYtJktPWECn4wwq65v6t1ZfxM&#10;n3jZp57lEIqVVjCkNFWcx25Ap+PST0j5dvTB6ZTX0HMT9JzDneUrITbc6ZFyw6AnfB2wO+3PTsH7&#10;5iV9Y2s+TLEq/NzyLhxtVOphIcUzsITX9AfDTT+rQ5OdDv5MJjKrYC3FU0YVlHK9BXYjcl8B7JAn&#10;Wcot8Kbm/79ofgFQSwMEFAAAAAgAh07iQH3D6xRoAgAAxAQAAA4AAABkcnMvZTJvRG9jLnhtbK1U&#10;zW7bMAy+D9g7CLqvtmMnXYM4RdYiw4BiLZANOyuyHAuTRU1SYncPsL7BTrvsvufqc4ySk/7u0MNy&#10;UCjxy0fyI5nZad8qshPWSdAlzY5SSoTmUEm9KennT8s3bylxnumKKdCipNfC0dP561ezzkzFCBpQ&#10;lbAESbSbdqakjfdmmiSON6Jl7giM0OiswbbM49VuksqyDtlblYzSdJJ0YCtjgQvn8PV8cNI9o30J&#10;IdS15OIc+LYV2g+sVijmsSTXSOPoPGZb14L7y7p2whNVUqzUxxODoL0OZzKfsenGMtNIvk+BvSSF&#10;JzW1TGoMekd1zjwjWyufUbWSW3BQ+yMObTIUEhXBKrL0iTarhhkRa0GpnbkT3f0/Wv5xd2WJrEqa&#10;U6JZiw2//Xlz++vP7e8fJA/ydMZNEbUyiPP9O+hxaA7vDh9D1X1t2/CN9RD0F9n4OC/GlFyXdJKe&#10;jPPJeBBa9J5wBORZcZxOsAccEaN8VGRpbEVyT2Ws8+8FtCQYJbXYySgw2104j2kh9AAJkR0oWS2l&#10;UvFiN+szZcmOYdeX8RPi408ewZQmHSaYj9PI/MgXuO8o1orxr88ZkE9ppA0KDUoEy/frfi/bGqpr&#10;VM3CMHbO8KVE3gvm/BWzOGeoAG6iv8SjVoDJwN6ipAH7/V/vAY/tRy8lHc5tSd23LbOCEvVB42Cc&#10;ZEURBj1eivHxCC/2oWf90KO37RmgSBnuvOHRDHivDmZtof2CC7sIUdHFNMfYJfUH88wP24QLz8Vi&#10;EUE42ob5C70yPFCHlmhYbD3UMrYuyDRos1cPhzu2Z7+IYXse3iPq/s9n/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B1dSET2QAAAA0BAAAPAAAAAAAAAAEAIAAAACIAAABkcnMvZG93bnJldi54bWxQ&#10;SwECFAAUAAAACACHTuJAfcPrFGgCAADEBAAADgAAAAAAAAABACAAAAAoAQAAZHJzL2Uyb0RvYy54&#10;bWxQSwUGAAAAAAYABgBZAQAAAgYAAAAA&#10;">
                <v:fill on="t" focussize="0,0"/>
                <v:stroke weight="0.5pt" color="#000000 [3204]" joinstyle="round"/>
                <v:imagedata o:title=""/>
                <o:lock v:ext="edit" aspectratio="f"/>
                <v:textbox>
                  <w:txbxContent>
                    <w:p>
                      <w:pPr>
                        <w:spacing w:after="0" w:line="360" w:lineRule="auto"/>
                        <w:jc w:val="both"/>
                        <w:rPr>
                          <w:rFonts w:hint="eastAsia" w:ascii="Times New Roman" w:hAnsi="Times New Roman" w:eastAsia="Times New Roman" w:cs="Times New Roman"/>
                          <w:b/>
                          <w:bCs/>
                          <w:sz w:val="28"/>
                          <w:szCs w:val="28"/>
                          <w:lang w:val="en-US" w:eastAsia="zh-CN"/>
                        </w:rPr>
                      </w:pPr>
                      <w:r>
                        <w:rPr>
                          <w:rFonts w:hint="eastAsia" w:ascii="Times New Roman" w:hAnsi="Times New Roman" w:eastAsia="Times New Roman" w:cs="Times New Roman"/>
                          <w:b/>
                          <w:bCs/>
                          <w:sz w:val="28"/>
                          <w:szCs w:val="28"/>
                          <w:lang w:val="en-US" w:eastAsia="zh-CN"/>
                        </w:rPr>
                        <w:t>Written by：Songtao Fang</w:t>
                      </w:r>
                    </w:p>
                    <w:p>
                      <w:pPr>
                        <w:spacing w:after="0" w:line="360" w:lineRule="auto"/>
                        <w:jc w:val="both"/>
                        <w:rPr>
                          <w:rFonts w:hint="eastAsia" w:ascii="Times New Roman" w:hAnsi="Times New Roman" w:eastAsia="Times New Roman" w:cs="Times New Roman"/>
                          <w:b/>
                          <w:bCs/>
                          <w:sz w:val="28"/>
                          <w:szCs w:val="28"/>
                          <w:lang w:val="en-US" w:eastAsia="zh-CN"/>
                        </w:rPr>
                      </w:pPr>
                    </w:p>
                    <w:p>
                      <w:pPr>
                        <w:spacing w:after="0" w:line="360" w:lineRule="auto"/>
                        <w:jc w:val="both"/>
                        <w:rPr>
                          <w:rFonts w:hint="eastAsia" w:ascii="Times New Roman" w:hAnsi="Times New Roman" w:eastAsia="Times New Roman" w:cs="Times New Roman"/>
                          <w:b/>
                          <w:bCs/>
                          <w:sz w:val="28"/>
                          <w:szCs w:val="28"/>
                          <w:lang w:val="en-US" w:eastAsia="zh-CN"/>
                        </w:rPr>
                      </w:pPr>
                      <w:r>
                        <w:rPr>
                          <w:rFonts w:hint="eastAsia" w:ascii="Times New Roman" w:hAnsi="Times New Roman" w:eastAsia="Times New Roman" w:cs="Times New Roman"/>
                          <w:b/>
                          <w:bCs/>
                          <w:sz w:val="28"/>
                          <w:szCs w:val="28"/>
                          <w:lang w:val="en-US" w:eastAsia="zh-CN"/>
                        </w:rPr>
                        <w:t>Student ID：2304106</w:t>
                      </w:r>
                    </w:p>
                    <w:p>
                      <w:pPr>
                        <w:spacing w:after="0" w:line="360" w:lineRule="auto"/>
                        <w:jc w:val="both"/>
                        <w:rPr>
                          <w:rFonts w:hint="eastAsia" w:ascii="Times New Roman" w:hAnsi="Times New Roman" w:eastAsia="Times New Roman" w:cs="Times New Roman"/>
                          <w:b/>
                          <w:bCs/>
                          <w:sz w:val="28"/>
                          <w:szCs w:val="28"/>
                          <w:lang w:val="en-US" w:eastAsia="zh-CN"/>
                        </w:rPr>
                      </w:pPr>
                    </w:p>
                    <w:p>
                      <w:pPr>
                        <w:spacing w:after="0" w:line="360" w:lineRule="auto"/>
                        <w:jc w:val="both"/>
                        <w:rPr>
                          <w:rFonts w:hint="eastAsia" w:ascii="Times New Roman" w:hAnsi="Times New Roman" w:eastAsia="Times New Roman" w:cs="Times New Roman"/>
                          <w:b/>
                          <w:bCs/>
                          <w:sz w:val="28"/>
                          <w:szCs w:val="28"/>
                          <w:lang w:val="en-US" w:eastAsia="zh-CN"/>
                        </w:rPr>
                      </w:pPr>
                      <w:r>
                        <w:rPr>
                          <w:rFonts w:hint="eastAsia" w:ascii="Times New Roman" w:hAnsi="Times New Roman" w:eastAsia="Times New Roman" w:cs="Times New Roman"/>
                          <w:b/>
                          <w:bCs/>
                          <w:sz w:val="28"/>
                          <w:szCs w:val="28"/>
                          <w:lang w:val="en-US" w:eastAsia="zh-CN"/>
                        </w:rPr>
                        <w:t>Report word count：2671</w:t>
                      </w:r>
                    </w:p>
                    <w:p>
                      <w:pPr>
                        <w:spacing w:after="0" w:line="360" w:lineRule="auto"/>
                        <w:jc w:val="both"/>
                        <w:rPr>
                          <w:rFonts w:hint="eastAsia" w:ascii="Times New Roman" w:hAnsi="Times New Roman" w:eastAsia="Times New Roman" w:cs="Times New Roman"/>
                          <w:b/>
                          <w:bCs/>
                          <w:sz w:val="28"/>
                          <w:szCs w:val="28"/>
                          <w:lang w:val="en-US" w:eastAsia="zh-CN"/>
                        </w:rPr>
                      </w:pPr>
                    </w:p>
                    <w:p>
                      <w:pPr>
                        <w:rPr>
                          <w:rFonts w:hint="default" w:ascii="Times New Roman" w:hAnsi="Times New Roman" w:eastAsia="Times New Roman" w:cs="Times New Roman"/>
                          <w:b/>
                          <w:bCs/>
                          <w:sz w:val="28"/>
                          <w:szCs w:val="28"/>
                          <w:lang w:val="en-US" w:eastAsia="zh-CN"/>
                        </w:rPr>
                      </w:pPr>
                      <w:r>
                        <w:rPr>
                          <w:rFonts w:ascii="Arial" w:hAnsi="Arial" w:cs="Arial"/>
                          <w:b/>
                          <w:sz w:val="24"/>
                          <w:szCs w:val="24"/>
                        </w:rPr>
                        <w:t xml:space="preserve">Module </w:t>
                      </w:r>
                      <w:r>
                        <w:rPr>
                          <w:rFonts w:hint="eastAsia" w:ascii="Times New Roman" w:hAnsi="Times New Roman" w:eastAsia="Times New Roman" w:cs="Times New Roman"/>
                          <w:b/>
                          <w:bCs/>
                          <w:sz w:val="28"/>
                          <w:szCs w:val="28"/>
                          <w:lang w:val="en-US" w:eastAsia="zh-CN"/>
                        </w:rPr>
                        <w:t>code: BMBM6021</w:t>
                      </w:r>
                    </w:p>
                    <w:p>
                      <w:pPr>
                        <w:spacing w:after="0" w:line="360" w:lineRule="auto"/>
                        <w:jc w:val="both"/>
                        <w:rPr>
                          <w:rFonts w:hint="default" w:ascii="Times New Roman" w:hAnsi="Times New Roman" w:eastAsia="Times New Roman" w:cs="Times New Roman"/>
                          <w:b/>
                          <w:bCs/>
                          <w:sz w:val="28"/>
                          <w:szCs w:val="28"/>
                          <w:lang w:val="en-US" w:eastAsia="zh-CN"/>
                        </w:rPr>
                      </w:pPr>
                    </w:p>
                  </w:txbxContent>
                </v:textbox>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3174365</wp:posOffset>
                </wp:positionH>
                <wp:positionV relativeFrom="paragraph">
                  <wp:posOffset>688975</wp:posOffset>
                </wp:positionV>
                <wp:extent cx="3078480" cy="1424940"/>
                <wp:effectExtent l="4445" t="4445" r="10795" b="18415"/>
                <wp:wrapNone/>
                <wp:docPr id="1" name="文本框 1"/>
                <wp:cNvGraphicFramePr/>
                <a:graphic xmlns:a="http://schemas.openxmlformats.org/drawingml/2006/main">
                  <a:graphicData uri="http://schemas.microsoft.com/office/word/2010/wordprocessingShape">
                    <wps:wsp>
                      <wps:cNvSpPr txBox="1"/>
                      <wps:spPr>
                        <a:xfrm>
                          <a:off x="4088765" y="1603375"/>
                          <a:ext cx="3078480" cy="142494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r>
                              <w:rPr>
                                <w:rFonts w:ascii="Arial" w:hAnsi="Arial" w:cs="Arial"/>
                              </w:rPr>
                              <w:drawing>
                                <wp:inline distT="0" distB="0" distL="114300" distR="114300">
                                  <wp:extent cx="2211705" cy="794385"/>
                                  <wp:effectExtent l="0" t="0" r="13335" b="0"/>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2211705" cy="7943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9.95pt;margin-top:54.25pt;height:112.2pt;width:242.4pt;z-index:251660288;mso-width-relative:page;mso-height-relative:page;" fillcolor="#FFFFFF [3201]" filled="t" stroked="t" coordsize="21600,21600" o:gfxdata="UEsDBAoAAAAAAIdO4kAAAAAAAAAAAAAAAAAEAAAAZHJzL1BLAwQUAAAACACHTuJAY01BA9kAAAAL&#10;AQAADwAAAGRycy9kb3ducmV2LnhtbE2Py07DMBBF90j8gzVI7KjdF9ghThdI7BBSynPpxtMkIh6n&#10;sZOUv8esYDm6R/eeyXdn17EJh9B60rBcCGBIlbct1RpeXx5vJLAQDVnTeUIN3xhgV1xe5CazfqYS&#10;p32sWSqhkBkNTYx9xnmoGnQmLHyPlLKjH5yJ6Rxqbgczp3LX8ZUQt9yZltJCY3p8aLD62o9Ow/M0&#10;+rf6fVt90OdcBnk8lU/ypPX11VLcA4t4jn8w/OondSiS08GPZAPrNGyUUglNgZBbYIlQcnMH7KBh&#10;vV4p4EXO//9Q/ABQSwMEFAAAAAgAh07iQO/JEhVfAgAAxQQAAA4AAABkcnMvZTJvRG9jLnhtbK1U&#10;zW4TMRC+I/EOlu90N8nmp1E3VWgVhFTRSgVxdrzerCXbY2wnu+UB4A04ceHOc/U5GHu3v3DogRyc&#10;Gc+XbzzfzOTktNOKHITzEkxJR0c5JcJwqKTZlfTTx82bBSU+MFMxBUaU9EZ4erp6/eqktUsxhgZU&#10;JRxBEuOXrS1pE4JdZpnnjdDMH4EVBoM1OM0Cum6XVY61yK5VNs7zWdaCq6wDLrzH2/M+SAdG9xJC&#10;qGvJxTnwvRYm9KxOKBawJN9I6+kqvbauBQ+Xde1FIKqkWGlIJyZBexvPbHXCljvHbCP58AT2kic8&#10;q0kzaTDpPdU5C4zsnfyLSkvuwEMdjjjorC8kKYJVjPJn2lw3zIpUC0rt7b3o/v/R8g+HK0dkhZNA&#10;iWEaG3774/vtz9+3v76RUZSntX6JqGuLuNC9hS5Ch3uPl7HqrnY6fmM9BONFvljMZ1NKbhA7yyeT&#10;+bQXWnSBcARM8vmiWGAPeEQU4+K4SK3IHqis8+GdAE2iUVKHnUwCs8OFD5geoXeQmNmDktVGKpUc&#10;t9ueKUcODLu+SZ+YH3/yBKYMaUs6m0zzxPwk5l9CgYTKIG+UqJciWqHbdoM+W6huUDYH/dx5yzcS&#10;y7lgPlwxh4OGEuAqhks8agX4GhgsShpwX/91H/HYf4xS0uLgltR/2TMnKFHvDU7G8ahAMUlITjGd&#10;j9FxjyPbxxGz12eAKmH38XXJjPig7szagf6MG7uOWTHEDMfcJQ135lno1wk3nov1OoFwti0LF+ba&#10;8kgde2JgvQ9Qy9S7KFOvzaAeTnfqz7CJcX0e+wn18O+z+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jTUED2QAAAAsBAAAPAAAAAAAAAAEAIAAAACIAAABkcnMvZG93bnJldi54bWxQSwECFAAUAAAA&#10;CACHTuJA78kSFV8CAADFBAAADgAAAAAAAAABACAAAAAoAQAAZHJzL2Uyb0RvYy54bWxQSwUGAAAA&#10;AAYABgBZAQAA+QUAAAAA&#10;">
                <v:fill on="t" focussize="0,0"/>
                <v:stroke weight="0.5pt" color="#FFFFFF [3212]" joinstyle="round"/>
                <v:imagedata o:title=""/>
                <o:lock v:ext="edit" aspectratio="f"/>
                <v:textbox>
                  <w:txbxContent>
                    <w:p>
                      <w:r>
                        <w:rPr>
                          <w:rFonts w:ascii="Arial" w:hAnsi="Arial" w:cs="Arial"/>
                        </w:rPr>
                        <w:drawing>
                          <wp:inline distT="0" distB="0" distL="114300" distR="114300">
                            <wp:extent cx="2211705" cy="794385"/>
                            <wp:effectExtent l="0" t="0" r="13335" b="0"/>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2211705" cy="794385"/>
                                    </a:xfrm>
                                    <a:prstGeom prst="rect">
                                      <a:avLst/>
                                    </a:prstGeom>
                                    <a:noFill/>
                                    <a:ln>
                                      <a:noFill/>
                                    </a:ln>
                                  </pic:spPr>
                                </pic:pic>
                              </a:graphicData>
                            </a:graphic>
                          </wp:inline>
                        </w:drawing>
                      </w:r>
                    </w:p>
                  </w:txbxContent>
                </v:textbox>
              </v:shape>
            </w:pict>
          </mc:Fallback>
        </mc:AlternateContent>
      </w:r>
      <w:r>
        <w:rPr>
          <w:rFonts w:hint="eastAsia" w:ascii="Times New Roman" w:hAnsi="Times New Roman" w:cs="Times New Roman"/>
          <w:sz w:val="24"/>
          <w:szCs w:val="24"/>
          <w:lang w:val="en-US" w:eastAsia="zh-CN"/>
        </w:rPr>
        <w:t xml:space="preserve"> </w:t>
      </w:r>
      <w:sdt>
        <w:sdtPr>
          <w:rPr>
            <w:rFonts w:ascii="Times New Roman" w:hAnsi="Times New Roman" w:cs="Times New Roman"/>
            <w:sz w:val="24"/>
            <w:szCs w:val="24"/>
          </w:rPr>
          <w:id w:val="930390944"/>
          <w:docPartObj>
            <w:docPartGallery w:val="autotext"/>
          </w:docPartObj>
        </w:sdtPr>
        <w:sdtEndPr>
          <w:rPr>
            <w:rFonts w:ascii="Times New Roman" w:hAnsi="Times New Roman" w:cs="Times New Roman"/>
            <w:sz w:val="24"/>
            <w:szCs w:val="24"/>
          </w:rPr>
        </w:sdtEndPr>
        <w:sdtContent>
          <w:r>
            <w:rPr>
              <w:rFonts w:ascii="Times New Roman" w:hAnsi="Times New Roman" w:cs="Times New Roman"/>
              <w:sz w:val="24"/>
              <w:szCs w:val="24"/>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595"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8"/>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17"/>
                                  <w:gridCol w:w="5794"/>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133090" cy="3830955"/>
                                            <wp:effectExtent l="0" t="0" r="6350" b="9525"/>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33090" cy="3831336"/>
                                                    </a:xfrm>
                                                    <a:prstGeom prst="rect">
                                                      <a:avLst/>
                                                    </a:prstGeom>
                                                  </pic:spPr>
                                                </pic:pic>
                                              </a:graphicData>
                                            </a:graphic>
                                          </wp:inline>
                                        </w:drawing>
                                      </w:r>
                                    </w:p>
                                    <w:p>
                                      <w:pPr>
                                        <w:pStyle w:val="11"/>
                                        <w:spacing w:line="312" w:lineRule="auto"/>
                                        <w:jc w:val="center"/>
                                        <w:rPr>
                                          <w:rFonts w:hint="eastAsia"/>
                                          <w:b/>
                                          <w:bCs/>
                                          <w:caps/>
                                          <w:color w:val="1A1A1A" w:themeColor="text1" w:themeTint="E6"/>
                                          <w:sz w:val="44"/>
                                          <w:szCs w:val="44"/>
                                          <w14:textFill>
                                            <w14:solidFill>
                                              <w14:schemeClr w14:val="tx1">
                                                <w14:lumMod w14:val="90000"/>
                                                <w14:lumOff w14:val="10000"/>
                                              </w14:schemeClr>
                                            </w14:solidFill>
                                          </w14:textFill>
                                        </w:rPr>
                                      </w:pPr>
                                      <w:r>
                                        <w:rPr>
                                          <w:rFonts w:hint="eastAsia"/>
                                          <w:b/>
                                          <w:bCs/>
                                          <w:caps/>
                                          <w:color w:val="1A1A1A" w:themeColor="text1" w:themeTint="E6"/>
                                          <w:sz w:val="44"/>
                                          <w:szCs w:val="44"/>
                                          <w14:textFill>
                                            <w14:solidFill>
                                              <w14:schemeClr w14:val="tx1">
                                                <w14:lumMod w14:val="90000"/>
                                                <w14:lumOff w14:val="10000"/>
                                              </w14:schemeClr>
                                            </w14:solidFill>
                                          </w14:textFill>
                                        </w:rPr>
                                        <w:t>Differences in international business communication between British and Asian cultures</w:t>
                                      </w:r>
                                    </w:p>
                                    <w:p>
                                      <w:pPr>
                                        <w:jc w:val="right"/>
                                        <w:rPr>
                                          <w:sz w:val="24"/>
                                          <w:szCs w:val="24"/>
                                        </w:rPr>
                                      </w:pPr>
                                    </w:p>
                                  </w:tc>
                                  <w:tc>
                                    <w:tcPr>
                                      <w:tcW w:w="2432" w:type="pct"/>
                                      <w:vAlign w:val="center"/>
                                    </w:tcPr>
                                    <w:p>
                                      <w:pPr>
                                        <w:pStyle w:val="11"/>
                                        <w:rPr>
                                          <w:b/>
                                          <w:bCs/>
                                          <w:color w:val="ED7D31" w:themeColor="accent2"/>
                                          <w:sz w:val="36"/>
                                          <w:szCs w:val="36"/>
                                          <w14:textFill>
                                            <w14:solidFill>
                                              <w14:schemeClr w14:val="accent2"/>
                                            </w14:solidFill>
                                          </w14:textFill>
                                        </w:rPr>
                                      </w:pPr>
                                      <w:sdt>
                                        <w:sdtPr>
                                          <w:rPr>
                                            <w:b/>
                                            <w:bCs/>
                                            <w:color w:val="ED7D31" w:themeColor="accent2"/>
                                            <w:sz w:val="26"/>
                                            <w:szCs w:val="26"/>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b/>
                                            <w:bCs/>
                                            <w:color w:val="ED7D31" w:themeColor="accent2"/>
                                            <w:sz w:val="36"/>
                                            <w:szCs w:val="36"/>
                                            <w14:textFill>
                                              <w14:solidFill>
                                                <w14:schemeClr w14:val="accent2"/>
                                              </w14:solidFill>
                                            </w14:textFill>
                                          </w:rPr>
                                        </w:sdtEndPr>
                                        <w:sdtContent>
                                          <w:r>
                                            <w:rPr>
                                              <w:b/>
                                              <w:bCs/>
                                              <w:color w:val="ED7D31" w:themeColor="accent2"/>
                                              <w:sz w:val="36"/>
                                              <w:szCs w:val="36"/>
                                              <w14:textFill>
                                                <w14:solidFill>
                                                  <w14:schemeClr w14:val="accent2"/>
                                                </w14:solidFill>
                                              </w14:textFill>
                                            </w:rPr>
                                            <w:t>Gwyneth Jones</w:t>
                                          </w:r>
                                        </w:sdtContent>
                                      </w:sdt>
                                    </w:p>
                                    <w:p>
                                      <w:pPr>
                                        <w:pStyle w:val="11"/>
                                      </w:pPr>
                                      <w:sdt>
                                        <w:sdtPr>
                                          <w:rPr>
                                            <w:rFonts w:ascii="Times New Roman" w:hAnsi="Times New Roman" w:cs="Times New Roman"/>
                                            <w:b/>
                                            <w:bCs/>
                                            <w:color w:val="44546A" w:themeColor="text2"/>
                                            <w:sz w:val="36"/>
                                            <w:szCs w:val="36"/>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rFonts w:ascii="Times New Roman" w:hAnsi="Times New Roman" w:cs="Times New Roman"/>
                                            <w:b/>
                                            <w:bCs/>
                                            <w:color w:val="44546A" w:themeColor="text2"/>
                                            <w:sz w:val="24"/>
                                            <w:szCs w:val="24"/>
                                            <w14:textFill>
                                              <w14:solidFill>
                                                <w14:schemeClr w14:val="tx2"/>
                                              </w14:solidFill>
                                            </w14:textFill>
                                          </w:rPr>
                                        </w:sdtEndPr>
                                        <w:sdtContent>
                                          <w:r>
                                            <w:rPr>
                                              <w:rFonts w:ascii="Times New Roman" w:hAnsi="Times New Roman" w:cs="Times New Roman"/>
                                              <w:b/>
                                              <w:bCs/>
                                              <w:color w:val="44546A" w:themeColor="text2"/>
                                              <w:sz w:val="36"/>
                                              <w:szCs w:val="36"/>
                                              <w14:textFill>
                                                <w14:solidFill>
                                                  <w14:schemeClr w14:val="tx2"/>
                                                </w14:solidFill>
                                              </w14:textFill>
                                            </w:rPr>
                                            <w:t>International Business Communications</w:t>
                                          </w:r>
                                        </w:sdtContent>
                                      </w:sdt>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6" o:spt="202" type="#_x0000_t202" style="position:absolute;left:0pt;height:302.4pt;width:134.85pt;mso-position-horizontal:center;mso-position-horizontal-relative:page;mso-position-vertical:center;mso-position-vertical-relative:page;z-index:251659264;v-text-anchor:middle;mso-width-relative:page;mso-height-relative:page;mso-width-percent:941;mso-height-percent:773;" fillcolor="#FFFFFF [3201]" filled="t" stroked="f" coordsize="21600,21600" o:gfxdata="UEsDBAoAAAAAAIdO4kAAAAAAAAAAAAAAAAAEAAAAZHJzL1BLAwQUAAAACACHTuJAYftLZ9UAAAAF&#10;AQAADwAAAGRycy9kb3ducmV2LnhtbE2PwU7DMBBE70j8g7VI3KjdCkIJcSrUinNFCkTctvGSRNjr&#10;KHbb8PcYLuWy0mhGM2+L1eSsONIYes8a5jMFgrjxpudWw+vu+WYJIkRkg9YzafimAKvy8qLA3PgT&#10;v9Cxiq1IJRxy1NDFOORShqYjh2HmB+LkffrRYUxybKUZ8ZTKnZULpTLpsOe00OFA646ar+rgNHwM&#10;brtx73fVk6q3602o7W6q37S+vpqrRxCRpngOwy9+QocyMe39gU0QVkN6JP7d5C2yh3sQew2Zul2C&#10;LAv5n778AVBLAwQUAAAACACHTuJAfZnjhkECAACTBAAADgAAAGRycy9lMm9Eb2MueG1srVRNbxMx&#10;EL0j8R8s3+nmo5QQdVOFVkFIFa2UIs6O15u15PUY28lu+fU8e7MtFA49kIMz9ozf+L2Z2curvjXs&#10;qHzQZEs+PZtwpqykStt9yb89bN4tOAtR2EoYsqrkjyrwq9XbN5edW6oZNWQq5RlAbFh2ruRNjG5Z&#10;FEE2qhXhjJyycNbkWxGx9fui8qIDemuK2WRyUXTkK+dJqhBwejM4+QnRvwaQ6lpLdUPy0CobB1Sv&#10;jIigFBrtAl/l19a1kvGuroOKzJQcTGNekQT2Lq3F6lIs9164RsvTE8RrnvCCUyu0RdInqBsRBTt4&#10;/RdUq6WnQHU8k9QWA5GsCFhMJy+02TbCqcwFUgf3JHr4f7Dy6/HeM12hE+YovBUtSv6g+sg+Uc/S&#10;GRTqXFgicOsQGns4ED2eBxwm4n3t2/QPSgx+6Pv4pG+Ck+nSh+ls8REuCd98cT45X+QKFM/XnQ/x&#10;s6KWJaPkHgXMuorjbYh4CkLHkJQtkNHVRhuTN36/uzaeHQWKvcm/9Epc+SPMWNaV/GL+fpKRLaX7&#10;Q5yxCUflvjnlS9wHjsmK/a4/CbKj6hF6eBp6Kji50XjzrQjxXng0EXhizOIdltoQUtLJ4qwh//Nf&#10;5yketYWXsw5NWfLw4yC84sx8sag6IONo+NHYjYY9tNcE6lMMsJPZxAUfzWjWntrvmL51ygKXsBK5&#10;Si6jHzfXcRgOzK9U63UOQ6c6EW/t1skEniSytD5EqnUuSRJmUANipw16Nct+mqs0DL/vc9Tzt2T1&#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GH7S2fVAAAABQEAAA8AAAAAAAAAAQAgAAAAIgAAAGRy&#10;cy9kb3ducmV2LnhtbFBLAQIUABQAAAAIAIdO4kB9meOGQQIAAJMEAAAOAAAAAAAAAAEAIAAAACQB&#10;AABkcnMvZTJvRG9jLnhtbFBLBQYAAAAABgAGAFkBAADXBQAAAAA=&#10;">
                    <v:fill on="t" focussize="0,0"/>
                    <v:stroke on="f" weight="0.5pt"/>
                    <v:imagedata o:title=""/>
                    <o:lock v:ext="edit" aspectratio="f"/>
                    <v:textbox inset="0mm,0mm,0mm,0mm">
                      <w:txbxContent>
                        <w:tbl>
                          <w:tblPr>
                            <w:tblStyle w:val="8"/>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17"/>
                            <w:gridCol w:w="5794"/>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133090" cy="3830955"/>
                                      <wp:effectExtent l="0" t="0" r="6350" b="9525"/>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33090" cy="3831336"/>
                                              </a:xfrm>
                                              <a:prstGeom prst="rect">
                                                <a:avLst/>
                                              </a:prstGeom>
                                            </pic:spPr>
                                          </pic:pic>
                                        </a:graphicData>
                                      </a:graphic>
                                    </wp:inline>
                                  </w:drawing>
                                </w:r>
                              </w:p>
                              <w:p>
                                <w:pPr>
                                  <w:pStyle w:val="11"/>
                                  <w:spacing w:line="312" w:lineRule="auto"/>
                                  <w:jc w:val="center"/>
                                  <w:rPr>
                                    <w:rFonts w:hint="eastAsia"/>
                                    <w:b/>
                                    <w:bCs/>
                                    <w:caps/>
                                    <w:color w:val="1A1A1A" w:themeColor="text1" w:themeTint="E6"/>
                                    <w:sz w:val="44"/>
                                    <w:szCs w:val="44"/>
                                    <w14:textFill>
                                      <w14:solidFill>
                                        <w14:schemeClr w14:val="tx1">
                                          <w14:lumMod w14:val="90000"/>
                                          <w14:lumOff w14:val="10000"/>
                                        </w14:schemeClr>
                                      </w14:solidFill>
                                    </w14:textFill>
                                  </w:rPr>
                                </w:pPr>
                                <w:r>
                                  <w:rPr>
                                    <w:rFonts w:hint="eastAsia"/>
                                    <w:b/>
                                    <w:bCs/>
                                    <w:caps/>
                                    <w:color w:val="1A1A1A" w:themeColor="text1" w:themeTint="E6"/>
                                    <w:sz w:val="44"/>
                                    <w:szCs w:val="44"/>
                                    <w14:textFill>
                                      <w14:solidFill>
                                        <w14:schemeClr w14:val="tx1">
                                          <w14:lumMod w14:val="90000"/>
                                          <w14:lumOff w14:val="10000"/>
                                        </w14:schemeClr>
                                      </w14:solidFill>
                                    </w14:textFill>
                                  </w:rPr>
                                  <w:t>Differences in international business communication between British and Asian cultures</w:t>
                                </w:r>
                              </w:p>
                              <w:p>
                                <w:pPr>
                                  <w:jc w:val="right"/>
                                  <w:rPr>
                                    <w:sz w:val="24"/>
                                    <w:szCs w:val="24"/>
                                  </w:rPr>
                                </w:pPr>
                              </w:p>
                            </w:tc>
                            <w:tc>
                              <w:tcPr>
                                <w:tcW w:w="2432" w:type="pct"/>
                                <w:vAlign w:val="center"/>
                              </w:tcPr>
                              <w:p>
                                <w:pPr>
                                  <w:pStyle w:val="11"/>
                                  <w:rPr>
                                    <w:b/>
                                    <w:bCs/>
                                    <w:color w:val="ED7D31" w:themeColor="accent2"/>
                                    <w:sz w:val="36"/>
                                    <w:szCs w:val="36"/>
                                    <w14:textFill>
                                      <w14:solidFill>
                                        <w14:schemeClr w14:val="accent2"/>
                                      </w14:solidFill>
                                    </w14:textFill>
                                  </w:rPr>
                                </w:pPr>
                                <w:sdt>
                                  <w:sdtPr>
                                    <w:rPr>
                                      <w:b/>
                                      <w:bCs/>
                                      <w:color w:val="ED7D31" w:themeColor="accent2"/>
                                      <w:sz w:val="26"/>
                                      <w:szCs w:val="26"/>
                                      <w14:textFill>
                                        <w14:solidFill>
                                          <w14:schemeClr w14:val="accent2"/>
                                        </w14:solidFill>
                                      </w14:textFill>
                                    </w:rPr>
                                    <w:alias w:val="Author"/>
                                    <w:id w:val="-279026076"/>
                                    <w:dataBinding w:prefixMappings="xmlns:ns0='http://purl.org/dc/elements/1.1/' xmlns:ns1='http://schemas.openxmlformats.org/package/2006/metadata/core-properties' " w:xpath="/ns1:coreProperties[1]/ns0:creator[1]" w:storeItemID="{6C3C8BC8-F283-45AE-878A-BAB7291924A1}"/>
                                    <w:text/>
                                  </w:sdtPr>
                                  <w:sdtEndPr>
                                    <w:rPr>
                                      <w:b/>
                                      <w:bCs/>
                                      <w:color w:val="ED7D31" w:themeColor="accent2"/>
                                      <w:sz w:val="36"/>
                                      <w:szCs w:val="36"/>
                                      <w14:textFill>
                                        <w14:solidFill>
                                          <w14:schemeClr w14:val="accent2"/>
                                        </w14:solidFill>
                                      </w14:textFill>
                                    </w:rPr>
                                  </w:sdtEndPr>
                                  <w:sdtContent>
                                    <w:r>
                                      <w:rPr>
                                        <w:b/>
                                        <w:bCs/>
                                        <w:color w:val="ED7D31" w:themeColor="accent2"/>
                                        <w:sz w:val="36"/>
                                        <w:szCs w:val="36"/>
                                        <w14:textFill>
                                          <w14:solidFill>
                                            <w14:schemeClr w14:val="accent2"/>
                                          </w14:solidFill>
                                        </w14:textFill>
                                      </w:rPr>
                                      <w:t>Gwyneth Jones</w:t>
                                    </w:r>
                                  </w:sdtContent>
                                </w:sdt>
                              </w:p>
                              <w:p>
                                <w:pPr>
                                  <w:pStyle w:val="11"/>
                                </w:pPr>
                                <w:sdt>
                                  <w:sdtPr>
                                    <w:rPr>
                                      <w:rFonts w:ascii="Times New Roman" w:hAnsi="Times New Roman" w:cs="Times New Roman"/>
                                      <w:b/>
                                      <w:bCs/>
                                      <w:color w:val="44546A" w:themeColor="text2"/>
                                      <w:sz w:val="36"/>
                                      <w:szCs w:val="36"/>
                                      <w14:textFill>
                                        <w14:solidFill>
                                          <w14:schemeClr w14:val="tx2"/>
                                        </w14:solidFill>
                                      </w14:textFill>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rPr>
                                      <w:rFonts w:ascii="Times New Roman" w:hAnsi="Times New Roman" w:cs="Times New Roman"/>
                                      <w:b/>
                                      <w:bCs/>
                                      <w:color w:val="44546A" w:themeColor="text2"/>
                                      <w:sz w:val="24"/>
                                      <w:szCs w:val="24"/>
                                      <w14:textFill>
                                        <w14:solidFill>
                                          <w14:schemeClr w14:val="tx2"/>
                                        </w14:solidFill>
                                      </w14:textFill>
                                    </w:rPr>
                                  </w:sdtEndPr>
                                  <w:sdtContent>
                                    <w:r>
                                      <w:rPr>
                                        <w:rFonts w:ascii="Times New Roman" w:hAnsi="Times New Roman" w:cs="Times New Roman"/>
                                        <w:b/>
                                        <w:bCs/>
                                        <w:color w:val="44546A" w:themeColor="text2"/>
                                        <w:sz w:val="36"/>
                                        <w:szCs w:val="36"/>
                                        <w14:textFill>
                                          <w14:solidFill>
                                            <w14:schemeClr w14:val="tx2"/>
                                          </w14:solidFill>
                                        </w14:textFill>
                                      </w:rPr>
                                      <w:t>International Business Communications</w:t>
                                    </w:r>
                                  </w:sdtContent>
                                </w:sdt>
                              </w:p>
                            </w:tc>
                          </w:tr>
                        </w:tbl>
                        <w:p/>
                      </w:txbxContent>
                    </v:textbox>
                  </v:shape>
                </w:pict>
              </mc:Fallback>
            </mc:AlternateContent>
          </w:r>
          <w:r>
            <w:rPr>
              <w:rFonts w:ascii="Times New Roman" w:hAnsi="Times New Roman" w:cs="Times New Roman"/>
              <w:sz w:val="24"/>
              <w:szCs w:val="24"/>
            </w:rPr>
            <w:br w:type="page"/>
          </w:r>
        </w:sdtContent>
      </w:sdt>
    </w:p>
    <w:p>
      <w:pPr>
        <w:pStyle w:val="2"/>
        <w:spacing w:line="360" w:lineRule="auto"/>
        <w:rPr>
          <w:rFonts w:ascii="Times New Roman" w:hAnsi="Times New Roman" w:cs="Times New Roman"/>
          <w:b/>
          <w:bCs/>
          <w:sz w:val="28"/>
          <w:szCs w:val="28"/>
        </w:rPr>
      </w:pPr>
      <w:bookmarkStart w:id="0" w:name="_Toc4827"/>
      <w:r>
        <w:rPr>
          <w:rFonts w:ascii="Times New Roman" w:hAnsi="Times New Roman" w:cs="Times New Roman"/>
          <w:b/>
          <w:bCs/>
          <w:sz w:val="28"/>
          <w:szCs w:val="28"/>
        </w:rPr>
        <w:t>Executive Summary</w:t>
      </w:r>
      <w:bookmarkEnd w:id="0"/>
    </w:p>
    <w:p>
      <w:pPr>
        <w:pBdr>
          <w:bottom w:val="single" w:color="auto" w:sz="4" w:space="1"/>
        </w:pBdr>
        <w:spacing w:line="360" w:lineRule="auto"/>
        <w:rPr>
          <w:rFonts w:ascii="Times New Roman" w:hAnsi="Times New Roman" w:cs="Times New Roman"/>
          <w:b/>
          <w:bCs/>
          <w:sz w:val="24"/>
          <w:szCs w:val="24"/>
        </w:rPr>
      </w:pPr>
    </w:p>
    <w:p>
      <w:pPr>
        <w:spacing w:after="0" w:line="360" w:lineRule="auto"/>
        <w:jc w:val="both"/>
        <w:rPr>
          <w:rFonts w:ascii="Times New Roman" w:hAnsi="Times New Roman" w:eastAsia="Times New Roman" w:cs="Times New Roman"/>
          <w:sz w:val="28"/>
          <w:szCs w:val="28"/>
          <w:lang w:eastAsia="en-GB"/>
        </w:rPr>
      </w:pPr>
      <w:r>
        <w:rPr>
          <w:rFonts w:ascii="Times New Roman" w:hAnsi="Times New Roman" w:eastAsia="Times New Roman" w:cs="Times New Roman"/>
          <w:sz w:val="28"/>
          <w:szCs w:val="28"/>
          <w:lang w:eastAsia="en-GB"/>
        </w:rPr>
        <w:t xml:space="preserve">The focus on globalization employs the need to integrate the international business communication strategies within organizations. </w:t>
      </w:r>
    </w:p>
    <w:p>
      <w:pPr>
        <w:spacing w:after="0" w:line="360" w:lineRule="auto"/>
        <w:jc w:val="both"/>
        <w:rPr>
          <w:rFonts w:ascii="Times New Roman" w:hAnsi="Times New Roman" w:eastAsia="Times New Roman" w:cs="Times New Roman"/>
          <w:sz w:val="28"/>
          <w:szCs w:val="28"/>
          <w:lang w:eastAsia="en-GB"/>
        </w:rPr>
      </w:pPr>
    </w:p>
    <w:p>
      <w:pPr>
        <w:spacing w:after="0" w:line="360" w:lineRule="auto"/>
        <w:jc w:val="both"/>
        <w:rPr>
          <w:rFonts w:ascii="Times New Roman" w:hAnsi="Times New Roman" w:eastAsia="Times New Roman" w:cs="Times New Roman"/>
          <w:sz w:val="28"/>
          <w:szCs w:val="28"/>
          <w:lang w:eastAsia="en-GB"/>
        </w:rPr>
      </w:pPr>
      <w:r>
        <w:rPr>
          <w:rFonts w:ascii="Times New Roman" w:hAnsi="Times New Roman" w:eastAsia="Times New Roman" w:cs="Times New Roman"/>
          <w:sz w:val="28"/>
          <w:szCs w:val="28"/>
          <w:lang w:eastAsia="en-GB"/>
        </w:rPr>
        <w:t>It is from such communications that the diverse nature of cultural requirements is met by organizations. In this report, the UK clothing retailer is concentrated on entering the Asian market. In this study, the need to build professional and strong relationships will be instrumental in bridging the gaps formed by the cultural differences across businesses (</w:t>
      </w:r>
      <w:r>
        <w:rPr>
          <w:rFonts w:ascii="Times New Roman" w:hAnsi="Times New Roman" w:cs="Times New Roman" w:eastAsiaTheme="minorHAnsi"/>
          <w:color w:val="222222"/>
          <w:sz w:val="28"/>
          <w:szCs w:val="28"/>
          <w:shd w:val="clear" w:color="auto" w:fill="FFFFFF"/>
          <w:lang w:eastAsia="en-US"/>
        </w:rPr>
        <w:t>Czinkota, Ronkainen and Gupta 2021)</w:t>
      </w:r>
      <w:r>
        <w:rPr>
          <w:rFonts w:ascii="Times New Roman" w:hAnsi="Times New Roman" w:eastAsia="Times New Roman" w:cs="Times New Roman"/>
          <w:sz w:val="28"/>
          <w:szCs w:val="28"/>
          <w:lang w:eastAsia="en-GB"/>
        </w:rPr>
        <w:t>. Based on the report, findings give a clear demonstration of international business communication as an avenue that allows exchange of business ideas. The skills required in the communication processes highlighted in this report constitute focus on humour, active listening skills and observation skills for cultures that allow non-verbal communication. It is notable that the findings denote that the Halls high low context serve to be important method of effective international business communication (</w:t>
      </w:r>
      <w:r>
        <w:rPr>
          <w:rFonts w:ascii="Times New Roman" w:hAnsi="Times New Roman" w:cs="Times New Roman" w:eastAsiaTheme="minorHAnsi"/>
          <w:color w:val="222222"/>
          <w:sz w:val="28"/>
          <w:szCs w:val="28"/>
          <w:shd w:val="clear" w:color="auto" w:fill="FFFFFF"/>
          <w:lang w:eastAsia="en-US"/>
        </w:rPr>
        <w:t>Brett, Behfar and Kern 2020)</w:t>
      </w:r>
      <w:r>
        <w:rPr>
          <w:rFonts w:ascii="Times New Roman" w:hAnsi="Times New Roman" w:eastAsia="Times New Roman" w:cs="Times New Roman"/>
          <w:sz w:val="28"/>
          <w:szCs w:val="28"/>
          <w:lang w:eastAsia="en-GB"/>
        </w:rPr>
        <w:t>.</w:t>
      </w:r>
    </w:p>
    <w:p>
      <w:pPr>
        <w:spacing w:after="0" w:line="360" w:lineRule="auto"/>
        <w:jc w:val="both"/>
        <w:rPr>
          <w:rFonts w:ascii="Times New Roman" w:hAnsi="Times New Roman" w:eastAsia="Times New Roman" w:cs="Times New Roman"/>
          <w:sz w:val="28"/>
          <w:szCs w:val="28"/>
          <w:lang w:eastAsia="en-GB"/>
        </w:rPr>
      </w:pPr>
    </w:p>
    <w:p>
      <w:pPr>
        <w:spacing w:after="0" w:line="360" w:lineRule="auto"/>
        <w:jc w:val="both"/>
        <w:rPr>
          <w:rFonts w:ascii="Times New Roman" w:hAnsi="Times New Roman" w:eastAsia="Times New Roman" w:cs="Times New Roman"/>
          <w:sz w:val="28"/>
          <w:szCs w:val="28"/>
          <w:lang w:eastAsia="en-GB"/>
        </w:rPr>
      </w:pPr>
      <w:r>
        <w:rPr>
          <w:rFonts w:ascii="Times New Roman" w:hAnsi="Times New Roman" w:eastAsia="Times New Roman" w:cs="Times New Roman"/>
          <w:sz w:val="28"/>
          <w:szCs w:val="28"/>
          <w:lang w:eastAsia="en-GB"/>
        </w:rPr>
        <w:t xml:space="preserve"> In analysing international culture, the report has adopted the </w:t>
      </w:r>
      <w:r>
        <w:rPr>
          <w:rFonts w:ascii="Times New Roman" w:hAnsi="Times New Roman" w:cs="Times New Roman" w:eastAsiaTheme="minorHAnsi"/>
          <w:sz w:val="28"/>
          <w:szCs w:val="28"/>
          <w:lang w:eastAsia="en-US"/>
        </w:rPr>
        <w:t>Trompenaar’s 7 Dimensions to Culture model that succinctly describes the two varying British and Asian cultures (</w:t>
      </w:r>
      <w:r>
        <w:rPr>
          <w:rFonts w:ascii="Times New Roman" w:hAnsi="Times New Roman" w:cs="Times New Roman" w:eastAsiaTheme="minorHAnsi"/>
          <w:color w:val="222222"/>
          <w:sz w:val="28"/>
          <w:szCs w:val="28"/>
          <w:shd w:val="clear" w:color="auto" w:fill="FFFFFF"/>
          <w:lang w:eastAsia="en-US"/>
        </w:rPr>
        <w:t>Hampden-Turner, Trompenaars and Hampden-Turner 2020)</w:t>
      </w:r>
      <w:r>
        <w:rPr>
          <w:rFonts w:ascii="Times New Roman" w:hAnsi="Times New Roman" w:cs="Times New Roman" w:eastAsiaTheme="minorHAnsi"/>
          <w:sz w:val="28"/>
          <w:szCs w:val="28"/>
          <w:lang w:eastAsia="en-US"/>
        </w:rPr>
        <w:t>. In the findings, importance of building relationships and potential failures are highlighted. This is salvaged through illustration of possible recommendations that constitute training, conducting workshops and investing in research and development of the market and communication cultures. In conclusion, the report suggests that building strong relationships and development of effective global communication is attained through understanding of the cultural differences at the marketplace.</w:t>
      </w:r>
    </w:p>
    <w:p>
      <w:pPr>
        <w:spacing w:line="360" w:lineRule="auto"/>
        <w:rPr>
          <w:rFonts w:ascii="Times New Roman" w:hAnsi="Times New Roman" w:cs="Times New Roman"/>
          <w:sz w:val="24"/>
          <w:szCs w:val="24"/>
        </w:rPr>
      </w:pPr>
    </w:p>
    <w:p>
      <w:pPr>
        <w:pStyle w:val="15"/>
        <w:spacing w:line="360" w:lineRule="auto"/>
        <w:rPr>
          <w:rFonts w:ascii="Times New Roman" w:hAnsi="Times New Roman" w:cs="Times New Roman"/>
          <w:b/>
          <w:bCs/>
          <w:sz w:val="24"/>
          <w:szCs w:val="24"/>
        </w:rPr>
      </w:pPr>
      <w:r>
        <w:rPr>
          <w:rFonts w:ascii="Times New Roman" w:hAnsi="Times New Roman" w:cs="Times New Roman"/>
          <w:b/>
          <w:bCs/>
          <w:sz w:val="24"/>
          <w:szCs w:val="24"/>
        </w:rPr>
        <w:t>Table of Contents</w:t>
      </w:r>
    </w:p>
    <w:p>
      <w:pPr>
        <w:pBdr>
          <w:bottom w:val="single" w:color="auto" w:sz="4" w:space="1"/>
        </w:pBdr>
        <w:spacing w:line="360" w:lineRule="auto"/>
        <w:rPr>
          <w:rFonts w:ascii="Times New Roman" w:hAnsi="Times New Roman" w:cs="Times New Roman"/>
          <w:b/>
          <w:bCs/>
          <w:sz w:val="24"/>
          <w:szCs w:val="24"/>
        </w:rPr>
      </w:pPr>
    </w:p>
    <w:sdt>
      <w:sdtPr>
        <w:rPr>
          <w:rFonts w:ascii="Times New Roman" w:hAnsi="Times New Roman" w:cs="Times New Roman"/>
          <w:sz w:val="24"/>
          <w:szCs w:val="24"/>
        </w:rPr>
        <w:id w:val="-283510134"/>
        <w:docPartObj>
          <w:docPartGallery w:val="Table of Contents"/>
          <w:docPartUnique/>
        </w:docPartObj>
      </w:sdtPr>
      <w:sdtEndPr>
        <w:rPr>
          <w:rFonts w:ascii="Times New Roman" w:hAnsi="Times New Roman" w:cs="Times New Roman"/>
          <w:b/>
          <w:bCs/>
          <w:sz w:val="24"/>
          <w:szCs w:val="24"/>
        </w:rPr>
      </w:sdtEndPr>
      <w:sdtContent>
        <w:p>
          <w:pPr>
            <w:tabs>
              <w:tab w:val="right" w:leader="dot" w:pos="9016"/>
            </w:tabs>
            <w:spacing w:line="360" w:lineRule="auto"/>
            <w:rPr>
              <w:rFonts w:ascii="Times New Roman" w:hAnsi="Times New Roman" w:cs="Times New Roman" w:eastAsiaTheme="minorEastAsia"/>
              <w:b/>
              <w:bCs/>
              <w:sz w:val="24"/>
              <w:szCs w:val="24"/>
              <w:lang w:val="en-GB" w:eastAsia="zh-CN" w:bidi="ar-SA"/>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p>
        <w:p>
          <w:pPr>
            <w:pStyle w:val="6"/>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_Toc4827 </w:instrText>
          </w:r>
          <w:r>
            <w:rPr>
              <w:rFonts w:ascii="Times New Roman" w:hAnsi="Times New Roman" w:cs="Times New Roman"/>
              <w:bCs/>
              <w:szCs w:val="24"/>
            </w:rPr>
            <w:fldChar w:fldCharType="separate"/>
          </w:r>
          <w:r>
            <w:rPr>
              <w:rFonts w:ascii="Times New Roman" w:hAnsi="Times New Roman" w:cs="Times New Roman"/>
              <w:bCs/>
              <w:szCs w:val="28"/>
            </w:rPr>
            <w:t>Executive Summary</w:t>
          </w:r>
          <w:r>
            <w:tab/>
          </w:r>
          <w:r>
            <w:fldChar w:fldCharType="begin"/>
          </w:r>
          <w:r>
            <w:instrText xml:space="preserve"> PAGEREF _Toc4827 \h </w:instrText>
          </w:r>
          <w:r>
            <w:fldChar w:fldCharType="separate"/>
          </w:r>
          <w:r>
            <w:t>1</w:t>
          </w:r>
          <w:r>
            <w:fldChar w:fldCharType="end"/>
          </w:r>
          <w:r>
            <w:rPr>
              <w:rFonts w:ascii="Times New Roman" w:hAnsi="Times New Roman" w:cs="Times New Roman"/>
              <w:bCs/>
              <w:szCs w:val="24"/>
            </w:rPr>
            <w:fldChar w:fldCharType="end"/>
          </w:r>
        </w:p>
        <w:p>
          <w:pPr>
            <w:pStyle w:val="6"/>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_Toc28548 </w:instrText>
          </w:r>
          <w:r>
            <w:rPr>
              <w:rFonts w:ascii="Times New Roman" w:hAnsi="Times New Roman" w:cs="Times New Roman"/>
              <w:bCs/>
              <w:szCs w:val="24"/>
            </w:rPr>
            <w:fldChar w:fldCharType="separate"/>
          </w:r>
          <w:r>
            <w:rPr>
              <w:rFonts w:ascii="Times New Roman" w:hAnsi="Times New Roman" w:cs="Times New Roman"/>
              <w:bCs/>
              <w:szCs w:val="28"/>
            </w:rPr>
            <w:t>1.0 Introduction</w:t>
          </w:r>
          <w:r>
            <w:tab/>
          </w:r>
          <w:r>
            <w:fldChar w:fldCharType="begin"/>
          </w:r>
          <w:r>
            <w:instrText xml:space="preserve"> PAGEREF _Toc28548 \h </w:instrText>
          </w:r>
          <w:r>
            <w:fldChar w:fldCharType="separate"/>
          </w:r>
          <w:r>
            <w:t>3</w:t>
          </w:r>
          <w:r>
            <w:fldChar w:fldCharType="end"/>
          </w:r>
          <w:r>
            <w:rPr>
              <w:rFonts w:ascii="Times New Roman" w:hAnsi="Times New Roman" w:cs="Times New Roman"/>
              <w:bCs/>
              <w:szCs w:val="24"/>
            </w:rPr>
            <w:fldChar w:fldCharType="end"/>
          </w:r>
        </w:p>
        <w:p>
          <w:pPr>
            <w:pStyle w:val="6"/>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_Toc26268 </w:instrText>
          </w:r>
          <w:r>
            <w:rPr>
              <w:rFonts w:ascii="Times New Roman" w:hAnsi="Times New Roman" w:cs="Times New Roman"/>
              <w:bCs/>
              <w:szCs w:val="24"/>
            </w:rPr>
            <w:fldChar w:fldCharType="separate"/>
          </w:r>
          <w:r>
            <w:rPr>
              <w:rFonts w:ascii="Times New Roman" w:hAnsi="Times New Roman" w:eastAsia="Times New Roman" w:cs="Times New Roman"/>
              <w:bCs/>
              <w:szCs w:val="28"/>
              <w:lang w:eastAsia="en-GB"/>
            </w:rPr>
            <w:t>2.0 Integration of International Business Communications in British and Asian Cultures</w:t>
          </w:r>
          <w:r>
            <w:tab/>
          </w:r>
          <w:r>
            <w:fldChar w:fldCharType="begin"/>
          </w:r>
          <w:r>
            <w:instrText xml:space="preserve"> PAGEREF _Toc26268 \h </w:instrText>
          </w:r>
          <w:r>
            <w:fldChar w:fldCharType="separate"/>
          </w:r>
          <w:r>
            <w:t>4</w:t>
          </w:r>
          <w:r>
            <w:fldChar w:fldCharType="end"/>
          </w:r>
          <w:r>
            <w:rPr>
              <w:rFonts w:ascii="Times New Roman" w:hAnsi="Times New Roman" w:cs="Times New Roman"/>
              <w:bCs/>
              <w:szCs w:val="24"/>
            </w:rPr>
            <w:fldChar w:fldCharType="end"/>
          </w:r>
        </w:p>
        <w:p>
          <w:pPr>
            <w:pStyle w:val="7"/>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_Toc2759 </w:instrText>
          </w:r>
          <w:r>
            <w:rPr>
              <w:rFonts w:ascii="Times New Roman" w:hAnsi="Times New Roman" w:cs="Times New Roman"/>
              <w:bCs/>
              <w:szCs w:val="24"/>
            </w:rPr>
            <w:fldChar w:fldCharType="separate"/>
          </w:r>
          <w:r>
            <w:rPr>
              <w:rFonts w:ascii="Times New Roman" w:hAnsi="Times New Roman" w:cs="Times New Roman"/>
              <w:bCs/>
              <w:szCs w:val="28"/>
              <w:lang w:eastAsia="en-US"/>
            </w:rPr>
            <w:t>2.1 Definition of International Business Communication</w:t>
          </w:r>
          <w:r>
            <w:tab/>
          </w:r>
          <w:r>
            <w:fldChar w:fldCharType="begin"/>
          </w:r>
          <w:r>
            <w:instrText xml:space="preserve"> PAGEREF _Toc2759 \h </w:instrText>
          </w:r>
          <w:r>
            <w:fldChar w:fldCharType="separate"/>
          </w:r>
          <w:r>
            <w:t>4</w:t>
          </w:r>
          <w:r>
            <w:fldChar w:fldCharType="end"/>
          </w:r>
          <w:r>
            <w:rPr>
              <w:rFonts w:ascii="Times New Roman" w:hAnsi="Times New Roman" w:cs="Times New Roman"/>
              <w:bCs/>
              <w:szCs w:val="24"/>
            </w:rPr>
            <w:fldChar w:fldCharType="end"/>
          </w:r>
        </w:p>
        <w:p>
          <w:pPr>
            <w:pStyle w:val="7"/>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_Toc12254 </w:instrText>
          </w:r>
          <w:r>
            <w:rPr>
              <w:rFonts w:ascii="Times New Roman" w:hAnsi="Times New Roman" w:cs="Times New Roman"/>
              <w:bCs/>
              <w:szCs w:val="24"/>
            </w:rPr>
            <w:fldChar w:fldCharType="separate"/>
          </w:r>
          <w:r>
            <w:rPr>
              <w:rFonts w:ascii="Times New Roman" w:hAnsi="Times New Roman" w:cs="Times New Roman"/>
              <w:bCs/>
              <w:szCs w:val="28"/>
              <w:lang w:eastAsia="en-US"/>
            </w:rPr>
            <w:t>2.2 Skills Requirements in International Business Communications between Asia and UK</w:t>
          </w:r>
          <w:r>
            <w:tab/>
          </w:r>
          <w:r>
            <w:fldChar w:fldCharType="begin"/>
          </w:r>
          <w:r>
            <w:instrText xml:space="preserve"> PAGEREF _Toc12254 \h </w:instrText>
          </w:r>
          <w:r>
            <w:fldChar w:fldCharType="separate"/>
          </w:r>
          <w:r>
            <w:t>5</w:t>
          </w:r>
          <w:r>
            <w:fldChar w:fldCharType="end"/>
          </w:r>
          <w:r>
            <w:rPr>
              <w:rFonts w:ascii="Times New Roman" w:hAnsi="Times New Roman" w:cs="Times New Roman"/>
              <w:bCs/>
              <w:szCs w:val="24"/>
            </w:rPr>
            <w:fldChar w:fldCharType="end"/>
          </w:r>
        </w:p>
        <w:p>
          <w:pPr>
            <w:pStyle w:val="7"/>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_Toc16899 </w:instrText>
          </w:r>
          <w:r>
            <w:rPr>
              <w:rFonts w:ascii="Times New Roman" w:hAnsi="Times New Roman" w:cs="Times New Roman"/>
              <w:bCs/>
              <w:szCs w:val="24"/>
            </w:rPr>
            <w:fldChar w:fldCharType="separate"/>
          </w:r>
          <w:r>
            <w:rPr>
              <w:rFonts w:ascii="Times New Roman" w:hAnsi="Times New Roman" w:cs="Times New Roman"/>
              <w:bCs/>
              <w:szCs w:val="28"/>
              <w:lang w:eastAsia="en-US"/>
            </w:rPr>
            <w:t>2.3 Methods of Communication in British and Asian Cultures</w:t>
          </w:r>
          <w:r>
            <w:tab/>
          </w:r>
          <w:r>
            <w:fldChar w:fldCharType="begin"/>
          </w:r>
          <w:r>
            <w:instrText xml:space="preserve"> PAGEREF _Toc16899 \h </w:instrText>
          </w:r>
          <w:r>
            <w:fldChar w:fldCharType="separate"/>
          </w:r>
          <w:r>
            <w:t>6</w:t>
          </w:r>
          <w:r>
            <w:fldChar w:fldCharType="end"/>
          </w:r>
          <w:r>
            <w:rPr>
              <w:rFonts w:ascii="Times New Roman" w:hAnsi="Times New Roman" w:cs="Times New Roman"/>
              <w:bCs/>
              <w:szCs w:val="24"/>
            </w:rPr>
            <w:fldChar w:fldCharType="end"/>
          </w:r>
        </w:p>
        <w:p>
          <w:pPr>
            <w:pStyle w:val="5"/>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_Toc9419 </w:instrText>
          </w:r>
          <w:r>
            <w:rPr>
              <w:rFonts w:ascii="Times New Roman" w:hAnsi="Times New Roman" w:cs="Times New Roman"/>
              <w:bCs/>
              <w:szCs w:val="24"/>
            </w:rPr>
            <w:fldChar w:fldCharType="separate"/>
          </w:r>
          <w:r>
            <w:rPr>
              <w:rFonts w:ascii="Times New Roman" w:hAnsi="Times New Roman" w:cs="Times New Roman"/>
              <w:bCs/>
              <w:szCs w:val="28"/>
              <w:lang w:eastAsia="en-US"/>
            </w:rPr>
            <w:t>2.3.1 Halls High Low Context</w:t>
          </w:r>
          <w:r>
            <w:tab/>
          </w:r>
          <w:r>
            <w:fldChar w:fldCharType="begin"/>
          </w:r>
          <w:r>
            <w:instrText xml:space="preserve"> PAGEREF _Toc9419 \h </w:instrText>
          </w:r>
          <w:r>
            <w:fldChar w:fldCharType="separate"/>
          </w:r>
          <w:r>
            <w:t>6</w:t>
          </w:r>
          <w:r>
            <w:fldChar w:fldCharType="end"/>
          </w:r>
          <w:r>
            <w:rPr>
              <w:rFonts w:ascii="Times New Roman" w:hAnsi="Times New Roman" w:cs="Times New Roman"/>
              <w:bCs/>
              <w:szCs w:val="24"/>
            </w:rPr>
            <w:fldChar w:fldCharType="end"/>
          </w:r>
        </w:p>
        <w:p>
          <w:pPr>
            <w:pStyle w:val="7"/>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_Toc6271 </w:instrText>
          </w:r>
          <w:r>
            <w:rPr>
              <w:rFonts w:ascii="Times New Roman" w:hAnsi="Times New Roman" w:cs="Times New Roman"/>
              <w:bCs/>
              <w:szCs w:val="24"/>
            </w:rPr>
            <w:fldChar w:fldCharType="separate"/>
          </w:r>
          <w:r>
            <w:rPr>
              <w:rFonts w:ascii="Times New Roman" w:hAnsi="Times New Roman" w:cs="Times New Roman"/>
              <w:bCs/>
              <w:szCs w:val="28"/>
              <w:lang w:eastAsia="en-US"/>
            </w:rPr>
            <w:t>2.4 Effective Communication across Cultures</w:t>
          </w:r>
          <w:r>
            <w:tab/>
          </w:r>
          <w:r>
            <w:fldChar w:fldCharType="begin"/>
          </w:r>
          <w:r>
            <w:instrText xml:space="preserve"> PAGEREF _Toc6271 \h </w:instrText>
          </w:r>
          <w:r>
            <w:fldChar w:fldCharType="separate"/>
          </w:r>
          <w:r>
            <w:t>7</w:t>
          </w:r>
          <w:r>
            <w:fldChar w:fldCharType="end"/>
          </w:r>
          <w:r>
            <w:rPr>
              <w:rFonts w:ascii="Times New Roman" w:hAnsi="Times New Roman" w:cs="Times New Roman"/>
              <w:bCs/>
              <w:szCs w:val="24"/>
            </w:rPr>
            <w:fldChar w:fldCharType="end"/>
          </w:r>
        </w:p>
        <w:p>
          <w:pPr>
            <w:pStyle w:val="7"/>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_Toc29225 </w:instrText>
          </w:r>
          <w:r>
            <w:rPr>
              <w:rFonts w:ascii="Times New Roman" w:hAnsi="Times New Roman" w:cs="Times New Roman"/>
              <w:bCs/>
              <w:szCs w:val="24"/>
            </w:rPr>
            <w:fldChar w:fldCharType="separate"/>
          </w:r>
          <w:r>
            <w:rPr>
              <w:rFonts w:ascii="Times New Roman" w:hAnsi="Times New Roman" w:cs="Times New Roman"/>
              <w:bCs/>
              <w:szCs w:val="28"/>
              <w:lang w:eastAsia="en-US"/>
            </w:rPr>
            <w:t>2.5 International Culture</w:t>
          </w:r>
          <w:r>
            <w:tab/>
          </w:r>
          <w:r>
            <w:fldChar w:fldCharType="begin"/>
          </w:r>
          <w:r>
            <w:instrText xml:space="preserve"> PAGEREF _Toc29225 \h </w:instrText>
          </w:r>
          <w:r>
            <w:fldChar w:fldCharType="separate"/>
          </w:r>
          <w:r>
            <w:t>8</w:t>
          </w:r>
          <w:r>
            <w:fldChar w:fldCharType="end"/>
          </w:r>
          <w:r>
            <w:rPr>
              <w:rFonts w:ascii="Times New Roman" w:hAnsi="Times New Roman" w:cs="Times New Roman"/>
              <w:bCs/>
              <w:szCs w:val="24"/>
            </w:rPr>
            <w:fldChar w:fldCharType="end"/>
          </w:r>
        </w:p>
        <w:p>
          <w:pPr>
            <w:pStyle w:val="5"/>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_Toc27653 </w:instrText>
          </w:r>
          <w:r>
            <w:rPr>
              <w:rFonts w:ascii="Times New Roman" w:hAnsi="Times New Roman" w:cs="Times New Roman"/>
              <w:bCs/>
              <w:szCs w:val="24"/>
            </w:rPr>
            <w:fldChar w:fldCharType="separate"/>
          </w:r>
          <w:r>
            <w:rPr>
              <w:rFonts w:ascii="Times New Roman" w:hAnsi="Times New Roman" w:cs="Times New Roman"/>
              <w:bCs/>
              <w:szCs w:val="28"/>
              <w:lang w:eastAsia="en-US"/>
            </w:rPr>
            <w:t>2.5.1 Trompenaar’s 7 Dimensions to Culture</w:t>
          </w:r>
          <w:r>
            <w:tab/>
          </w:r>
          <w:r>
            <w:fldChar w:fldCharType="begin"/>
          </w:r>
          <w:r>
            <w:instrText xml:space="preserve"> PAGEREF _Toc27653 \h </w:instrText>
          </w:r>
          <w:r>
            <w:fldChar w:fldCharType="separate"/>
          </w:r>
          <w:r>
            <w:t>8</w:t>
          </w:r>
          <w:r>
            <w:fldChar w:fldCharType="end"/>
          </w:r>
          <w:r>
            <w:rPr>
              <w:rFonts w:ascii="Times New Roman" w:hAnsi="Times New Roman" w:cs="Times New Roman"/>
              <w:bCs/>
              <w:szCs w:val="24"/>
            </w:rPr>
            <w:fldChar w:fldCharType="end"/>
          </w:r>
        </w:p>
        <w:p>
          <w:pPr>
            <w:pStyle w:val="7"/>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_Toc14933 </w:instrText>
          </w:r>
          <w:r>
            <w:rPr>
              <w:rFonts w:ascii="Times New Roman" w:hAnsi="Times New Roman" w:cs="Times New Roman"/>
              <w:bCs/>
              <w:szCs w:val="24"/>
            </w:rPr>
            <w:fldChar w:fldCharType="separate"/>
          </w:r>
          <w:r>
            <w:rPr>
              <w:rFonts w:ascii="Times New Roman" w:hAnsi="Times New Roman" w:cs="Times New Roman"/>
              <w:bCs/>
              <w:szCs w:val="28"/>
              <w:lang w:eastAsia="en-US"/>
            </w:rPr>
            <w:t>2.6 Importance of Building Business Relationships</w:t>
          </w:r>
          <w:r>
            <w:tab/>
          </w:r>
          <w:r>
            <w:fldChar w:fldCharType="begin"/>
          </w:r>
          <w:r>
            <w:instrText xml:space="preserve"> PAGEREF _Toc14933 \h </w:instrText>
          </w:r>
          <w:r>
            <w:fldChar w:fldCharType="separate"/>
          </w:r>
          <w:r>
            <w:t>9</w:t>
          </w:r>
          <w:r>
            <w:fldChar w:fldCharType="end"/>
          </w:r>
          <w:r>
            <w:rPr>
              <w:rFonts w:ascii="Times New Roman" w:hAnsi="Times New Roman" w:cs="Times New Roman"/>
              <w:bCs/>
              <w:szCs w:val="24"/>
            </w:rPr>
            <w:fldChar w:fldCharType="end"/>
          </w:r>
        </w:p>
        <w:p>
          <w:pPr>
            <w:pStyle w:val="7"/>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_Toc27241 </w:instrText>
          </w:r>
          <w:r>
            <w:rPr>
              <w:rFonts w:ascii="Times New Roman" w:hAnsi="Times New Roman" w:cs="Times New Roman"/>
              <w:bCs/>
              <w:szCs w:val="24"/>
            </w:rPr>
            <w:fldChar w:fldCharType="separate"/>
          </w:r>
          <w:r>
            <w:rPr>
              <w:rFonts w:ascii="Times New Roman" w:hAnsi="Times New Roman" w:cs="Times New Roman"/>
              <w:bCs/>
              <w:szCs w:val="28"/>
              <w:lang w:eastAsia="en-US"/>
            </w:rPr>
            <w:t>2.7 Building Professional Relationships and Differences in Culture between UK &amp; Asia</w:t>
          </w:r>
          <w:r>
            <w:tab/>
          </w:r>
          <w:r>
            <w:fldChar w:fldCharType="begin"/>
          </w:r>
          <w:r>
            <w:instrText xml:space="preserve"> PAGEREF _Toc27241 \h </w:instrText>
          </w:r>
          <w:r>
            <w:fldChar w:fldCharType="separate"/>
          </w:r>
          <w:r>
            <w:t>10</w:t>
          </w:r>
          <w:r>
            <w:fldChar w:fldCharType="end"/>
          </w:r>
          <w:r>
            <w:rPr>
              <w:rFonts w:ascii="Times New Roman" w:hAnsi="Times New Roman" w:cs="Times New Roman"/>
              <w:bCs/>
              <w:szCs w:val="24"/>
            </w:rPr>
            <w:fldChar w:fldCharType="end"/>
          </w:r>
        </w:p>
        <w:p>
          <w:pPr>
            <w:pStyle w:val="7"/>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_Toc23825 </w:instrText>
          </w:r>
          <w:r>
            <w:rPr>
              <w:rFonts w:ascii="Times New Roman" w:hAnsi="Times New Roman" w:cs="Times New Roman"/>
              <w:bCs/>
              <w:szCs w:val="24"/>
            </w:rPr>
            <w:fldChar w:fldCharType="separate"/>
          </w:r>
          <w:r>
            <w:rPr>
              <w:rFonts w:ascii="Times New Roman" w:hAnsi="Times New Roman" w:cs="Times New Roman"/>
              <w:bCs/>
              <w:szCs w:val="28"/>
              <w:lang w:eastAsia="en-US"/>
            </w:rPr>
            <w:t>2.8 Potential Reasons for Failed Relationships in Business Communication between UK and Asia</w:t>
          </w:r>
          <w:r>
            <w:tab/>
          </w:r>
          <w:r>
            <w:fldChar w:fldCharType="begin"/>
          </w:r>
          <w:r>
            <w:instrText xml:space="preserve"> PAGEREF _Toc23825 \h </w:instrText>
          </w:r>
          <w:r>
            <w:fldChar w:fldCharType="separate"/>
          </w:r>
          <w:r>
            <w:t>11</w:t>
          </w:r>
          <w:r>
            <w:fldChar w:fldCharType="end"/>
          </w:r>
          <w:r>
            <w:rPr>
              <w:rFonts w:ascii="Times New Roman" w:hAnsi="Times New Roman" w:cs="Times New Roman"/>
              <w:bCs/>
              <w:szCs w:val="24"/>
            </w:rPr>
            <w:fldChar w:fldCharType="end"/>
          </w:r>
        </w:p>
        <w:p>
          <w:pPr>
            <w:pStyle w:val="6"/>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_Toc16544 </w:instrText>
          </w:r>
          <w:r>
            <w:rPr>
              <w:rFonts w:ascii="Times New Roman" w:hAnsi="Times New Roman" w:cs="Times New Roman"/>
              <w:bCs/>
              <w:szCs w:val="24"/>
            </w:rPr>
            <w:fldChar w:fldCharType="separate"/>
          </w:r>
          <w:r>
            <w:rPr>
              <w:rFonts w:ascii="Times New Roman" w:hAnsi="Times New Roman" w:cs="Times New Roman"/>
              <w:bCs/>
              <w:szCs w:val="28"/>
            </w:rPr>
            <w:t xml:space="preserve">3.0 </w:t>
          </w:r>
          <w:r>
            <w:rPr>
              <w:rFonts w:ascii="Times New Roman" w:hAnsi="Times New Roman" w:cs="Times New Roman"/>
              <w:bCs/>
              <w:szCs w:val="28"/>
              <w:lang w:eastAsia="en-US"/>
            </w:rPr>
            <w:t>Conclusion</w:t>
          </w:r>
          <w:r>
            <w:tab/>
          </w:r>
          <w:r>
            <w:fldChar w:fldCharType="begin"/>
          </w:r>
          <w:r>
            <w:instrText xml:space="preserve"> PAGEREF _Toc16544 \h </w:instrText>
          </w:r>
          <w:r>
            <w:fldChar w:fldCharType="separate"/>
          </w:r>
          <w:r>
            <w:t>12</w:t>
          </w:r>
          <w:r>
            <w:fldChar w:fldCharType="end"/>
          </w:r>
          <w:r>
            <w:rPr>
              <w:rFonts w:ascii="Times New Roman" w:hAnsi="Times New Roman" w:cs="Times New Roman"/>
              <w:bCs/>
              <w:szCs w:val="24"/>
            </w:rPr>
            <w:fldChar w:fldCharType="end"/>
          </w:r>
        </w:p>
        <w:p>
          <w:pPr>
            <w:pStyle w:val="6"/>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_Toc22224 </w:instrText>
          </w:r>
          <w:r>
            <w:rPr>
              <w:rFonts w:ascii="Times New Roman" w:hAnsi="Times New Roman" w:cs="Times New Roman"/>
              <w:bCs/>
              <w:szCs w:val="24"/>
            </w:rPr>
            <w:fldChar w:fldCharType="separate"/>
          </w:r>
          <w:r>
            <w:rPr>
              <w:rFonts w:ascii="Times New Roman" w:hAnsi="Times New Roman" w:cs="Times New Roman"/>
              <w:bCs/>
              <w:szCs w:val="28"/>
              <w:lang w:eastAsia="en-US"/>
            </w:rPr>
            <w:t>4.0 Recommendations</w:t>
          </w:r>
          <w:r>
            <w:tab/>
          </w:r>
          <w:r>
            <w:fldChar w:fldCharType="begin"/>
          </w:r>
          <w:r>
            <w:instrText xml:space="preserve"> PAGEREF _Toc22224 \h </w:instrText>
          </w:r>
          <w:r>
            <w:fldChar w:fldCharType="separate"/>
          </w:r>
          <w:r>
            <w:t>12</w:t>
          </w:r>
          <w:r>
            <w:fldChar w:fldCharType="end"/>
          </w:r>
          <w:r>
            <w:rPr>
              <w:rFonts w:ascii="Times New Roman" w:hAnsi="Times New Roman" w:cs="Times New Roman"/>
              <w:bCs/>
              <w:szCs w:val="24"/>
            </w:rPr>
            <w:fldChar w:fldCharType="end"/>
          </w:r>
        </w:p>
        <w:p>
          <w:pPr>
            <w:pStyle w:val="6"/>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_Toc14168 </w:instrText>
          </w:r>
          <w:r>
            <w:rPr>
              <w:rFonts w:ascii="Times New Roman" w:hAnsi="Times New Roman" w:cs="Times New Roman"/>
              <w:bCs/>
              <w:szCs w:val="24"/>
            </w:rPr>
            <w:fldChar w:fldCharType="separate"/>
          </w:r>
          <w:r>
            <w:rPr>
              <w:rFonts w:ascii="Times New Roman" w:hAnsi="Times New Roman" w:cs="Times New Roman"/>
              <w:bCs/>
              <w:szCs w:val="28"/>
              <w:lang w:eastAsia="en-US"/>
            </w:rPr>
            <w:t>Appendices</w:t>
          </w:r>
          <w:r>
            <w:tab/>
          </w:r>
          <w:r>
            <w:fldChar w:fldCharType="begin"/>
          </w:r>
          <w:r>
            <w:instrText xml:space="preserve"> PAGEREF _Toc14168 \h </w:instrText>
          </w:r>
          <w:r>
            <w:fldChar w:fldCharType="separate"/>
          </w:r>
          <w:r>
            <w:t>14</w:t>
          </w:r>
          <w:r>
            <w:fldChar w:fldCharType="end"/>
          </w:r>
          <w:r>
            <w:rPr>
              <w:rFonts w:ascii="Times New Roman" w:hAnsi="Times New Roman" w:cs="Times New Roman"/>
              <w:bCs/>
              <w:szCs w:val="24"/>
            </w:rPr>
            <w:fldChar w:fldCharType="end"/>
          </w:r>
        </w:p>
        <w:p>
          <w:pPr>
            <w:pStyle w:val="6"/>
            <w:tabs>
              <w:tab w:val="right" w:leader="dot" w:pos="9026"/>
            </w:tabs>
          </w:pPr>
          <w:r>
            <w:rPr>
              <w:rFonts w:ascii="Times New Roman" w:hAnsi="Times New Roman" w:cs="Times New Roman"/>
              <w:bCs/>
              <w:szCs w:val="24"/>
            </w:rPr>
            <w:fldChar w:fldCharType="begin"/>
          </w:r>
          <w:r>
            <w:rPr>
              <w:rFonts w:ascii="Times New Roman" w:hAnsi="Times New Roman" w:cs="Times New Roman"/>
              <w:bCs/>
              <w:szCs w:val="24"/>
            </w:rPr>
            <w:instrText xml:space="preserve"> HYPERLINK \l _Toc15210 </w:instrText>
          </w:r>
          <w:r>
            <w:rPr>
              <w:rFonts w:ascii="Times New Roman" w:hAnsi="Times New Roman" w:cs="Times New Roman"/>
              <w:bCs/>
              <w:szCs w:val="24"/>
            </w:rPr>
            <w:fldChar w:fldCharType="separate"/>
          </w:r>
          <w:r>
            <w:rPr>
              <w:rFonts w:ascii="Times New Roman" w:hAnsi="Times New Roman" w:cs="Times New Roman"/>
              <w:bCs/>
              <w:szCs w:val="28"/>
              <w:lang w:eastAsia="en-US"/>
            </w:rPr>
            <w:t>Reference List</w:t>
          </w:r>
          <w:r>
            <w:tab/>
          </w:r>
          <w:r>
            <w:fldChar w:fldCharType="begin"/>
          </w:r>
          <w:r>
            <w:instrText xml:space="preserve"> PAGEREF _Toc15210 \h </w:instrText>
          </w:r>
          <w:r>
            <w:fldChar w:fldCharType="separate"/>
          </w:r>
          <w:r>
            <w:t>15</w:t>
          </w:r>
          <w:r>
            <w:fldChar w:fldCharType="end"/>
          </w:r>
          <w:r>
            <w:rPr>
              <w:rFonts w:ascii="Times New Roman" w:hAnsi="Times New Roman" w:cs="Times New Roman"/>
              <w:bCs/>
              <w:szCs w:val="24"/>
            </w:rPr>
            <w:fldChar w:fldCharType="end"/>
          </w:r>
        </w:p>
        <w:p>
          <w:pPr>
            <w:pStyle w:val="6"/>
            <w:tabs>
              <w:tab w:val="right" w:leader="dot" w:pos="9016"/>
            </w:tabs>
            <w:spacing w:line="360" w:lineRule="auto"/>
            <w:rPr>
              <w:rFonts w:ascii="Times New Roman" w:hAnsi="Times New Roman" w:cs="Times New Roman"/>
              <w:sz w:val="24"/>
              <w:szCs w:val="24"/>
            </w:rPr>
          </w:pPr>
          <w:r>
            <w:rPr>
              <w:rFonts w:ascii="Times New Roman" w:hAnsi="Times New Roman" w:cs="Times New Roman"/>
              <w:b/>
              <w:bCs/>
              <w:sz w:val="24"/>
              <w:szCs w:val="24"/>
            </w:rPr>
            <w:fldChar w:fldCharType="end"/>
          </w:r>
        </w:p>
      </w:sdtContent>
    </w:sdt>
    <w:p>
      <w:pPr>
        <w:spacing w:line="360" w:lineRule="auto"/>
        <w:rPr>
          <w:rFonts w:ascii="Times New Roman" w:hAnsi="Times New Roman" w:cs="Times New Roman"/>
          <w:sz w:val="24"/>
          <w:szCs w:val="24"/>
        </w:rPr>
      </w:pPr>
      <w:bookmarkStart w:id="17" w:name="_GoBack"/>
      <w:bookmarkEnd w:id="17"/>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pStyle w:val="2"/>
        <w:spacing w:line="360" w:lineRule="auto"/>
        <w:rPr>
          <w:rFonts w:ascii="Times New Roman" w:hAnsi="Times New Roman" w:cs="Times New Roman"/>
          <w:b/>
          <w:bCs/>
          <w:sz w:val="28"/>
          <w:szCs w:val="28"/>
        </w:rPr>
      </w:pPr>
      <w:bookmarkStart w:id="1" w:name="_Toc28548"/>
      <w:r>
        <w:rPr>
          <w:rFonts w:ascii="Times New Roman" w:hAnsi="Times New Roman" w:cs="Times New Roman"/>
          <w:b/>
          <w:bCs/>
          <w:sz w:val="28"/>
          <w:szCs w:val="28"/>
        </w:rPr>
        <w:t>1.0 Introduction</w:t>
      </w:r>
      <w:bookmarkEnd w:id="1"/>
    </w:p>
    <w:p>
      <w:pPr>
        <w:pBdr>
          <w:bottom w:val="single" w:color="auto" w:sz="4" w:space="1"/>
        </w:pBdr>
        <w:spacing w:line="360" w:lineRule="auto"/>
        <w:rPr>
          <w:rFonts w:ascii="Times New Roman" w:hAnsi="Times New Roman" w:cs="Times New Roman"/>
          <w:b/>
          <w:bCs/>
          <w:sz w:val="24"/>
          <w:szCs w:val="24"/>
        </w:rPr>
      </w:pPr>
    </w:p>
    <w:p>
      <w:pPr>
        <w:spacing w:after="0" w:line="360" w:lineRule="auto"/>
        <w:jc w:val="both"/>
        <w:rPr>
          <w:rFonts w:ascii="Times New Roman" w:hAnsi="Times New Roman" w:cs="Times New Roman" w:eastAsiaTheme="minorHAnsi"/>
          <w:sz w:val="28"/>
          <w:szCs w:val="28"/>
          <w:lang w:eastAsia="en-US"/>
        </w:rPr>
      </w:pPr>
      <w:r>
        <w:rPr>
          <w:rFonts w:ascii="Times New Roman" w:hAnsi="Times New Roman" w:cs="Times New Roman" w:eastAsiaTheme="minorHAnsi"/>
          <w:sz w:val="28"/>
          <w:szCs w:val="28"/>
          <w:lang w:eastAsia="en-US"/>
        </w:rPr>
        <w:t xml:space="preserve">The report is focused on evaluating important aspects of international business communications across different cultures. It is notable that the clothing business that already exists in UK is expanding into the Asian geography.  With respect to this, clothing industry is known to predispose different values and beliefs of the intended customers. In choosing the Asian geography, it is therefore important to set up clothing types that match their cultural needs. This will inspire considerable amount of understanding of the business communications between the two cultures (Gupta and Gupta 2019, p. 2690). The success of the clothing business will be dependent on the extent of successful professional relationships that will be developed. However, failures in relationship building will be addressed through putting forth important recommendations. </w:t>
      </w:r>
    </w:p>
    <w:p>
      <w:pPr>
        <w:spacing w:after="0" w:line="360" w:lineRule="auto"/>
        <w:jc w:val="both"/>
        <w:rPr>
          <w:rFonts w:ascii="Times New Roman" w:hAnsi="Times New Roman" w:cs="Times New Roman" w:eastAsiaTheme="minorHAnsi"/>
          <w:sz w:val="28"/>
          <w:szCs w:val="28"/>
          <w:lang w:eastAsia="en-US"/>
        </w:rPr>
      </w:pPr>
    </w:p>
    <w:p>
      <w:pPr>
        <w:spacing w:after="0" w:line="360" w:lineRule="auto"/>
        <w:jc w:val="both"/>
        <w:rPr>
          <w:rFonts w:ascii="Times New Roman" w:hAnsi="Times New Roman" w:cs="Times New Roman" w:eastAsiaTheme="minorHAnsi"/>
          <w:sz w:val="28"/>
          <w:szCs w:val="28"/>
          <w:lang w:eastAsia="en-US"/>
        </w:rPr>
      </w:pPr>
      <w:r>
        <w:rPr>
          <w:rFonts w:ascii="Times New Roman" w:hAnsi="Times New Roman" w:cs="Times New Roman" w:eastAsiaTheme="minorHAnsi"/>
          <w:sz w:val="28"/>
          <w:szCs w:val="28"/>
          <w:lang w:eastAsia="en-US"/>
        </w:rPr>
        <w:t xml:space="preserve">In addition to this, the report will delve into various international business communication theories that include Halls High and Low, Trompenaars’s 7 dimensions and Hofstede’s cultural dimensions (Peng 2022). These frameworks will help a great deal to offer clear distinction of the cultural needs of UK and Asian clothing retailer stores. The end goal is to adopt pivotal communication strategies that will keep the business afloat for years. To wrap this up, the report will centralize on international communication strategies in professional relationship building in different cultures.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pStyle w:val="2"/>
        <w:spacing w:line="360" w:lineRule="auto"/>
        <w:rPr>
          <w:rFonts w:ascii="Times New Roman" w:hAnsi="Times New Roman" w:eastAsia="Times New Roman" w:cs="Times New Roman"/>
          <w:b/>
          <w:bCs/>
          <w:sz w:val="28"/>
          <w:szCs w:val="28"/>
          <w:lang w:eastAsia="en-GB"/>
        </w:rPr>
      </w:pPr>
      <w:bookmarkStart w:id="2" w:name="_Toc26268"/>
      <w:r>
        <w:rPr>
          <w:rFonts w:ascii="Times New Roman" w:hAnsi="Times New Roman" w:eastAsia="Times New Roman" w:cs="Times New Roman"/>
          <w:b/>
          <w:bCs/>
          <w:sz w:val="28"/>
          <w:szCs w:val="28"/>
          <w:lang w:eastAsia="en-GB"/>
        </w:rPr>
        <w:t>2.0 Integration of International Business Communications in British and Asian Cultures</w:t>
      </w:r>
      <w:bookmarkEnd w:id="2"/>
    </w:p>
    <w:p>
      <w:pPr>
        <w:pBdr>
          <w:bottom w:val="single" w:color="auto" w:sz="4" w:space="1"/>
        </w:pBdr>
        <w:spacing w:line="360" w:lineRule="auto"/>
        <w:rPr>
          <w:rFonts w:ascii="Times New Roman" w:hAnsi="Times New Roman" w:cs="Times New Roman"/>
          <w:b/>
          <w:bCs/>
          <w:sz w:val="24"/>
          <w:szCs w:val="24"/>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eastAsia="en-US"/>
        </w:rPr>
        <w:t xml:space="preserve">In this section, there will be definition of  international business communication, evaluation of skill set requirements, illustration of methods of communication using Halls High Low context, importance of effective communication, evaluation of </w:t>
      </w:r>
      <w:r>
        <w:rPr>
          <w:rFonts w:ascii="Times New Roman" w:hAnsi="Times New Roman" w:cs="Times New Roman" w:eastAsiaTheme="minorHAnsi"/>
          <w:sz w:val="28"/>
          <w:szCs w:val="28"/>
          <w:lang w:val="fr-FR" w:eastAsia="en-US"/>
        </w:rPr>
        <w:t>Trompenaar’s 7 dimensions to culture , importance of building relationships  and Professional Relationship building and differences in cultures, and analysis of reasons for failed communications.</w:t>
      </w:r>
    </w:p>
    <w:p>
      <w:pPr>
        <w:spacing w:line="360" w:lineRule="auto"/>
        <w:rPr>
          <w:rFonts w:ascii="Times New Roman" w:hAnsi="Times New Roman" w:cs="Times New Roman"/>
          <w:sz w:val="24"/>
          <w:szCs w:val="24"/>
          <w:lang w:val="fr-FR"/>
        </w:rPr>
      </w:pPr>
    </w:p>
    <w:p>
      <w:pPr>
        <w:pStyle w:val="3"/>
        <w:spacing w:line="360" w:lineRule="auto"/>
        <w:ind w:firstLine="280" w:firstLineChars="100"/>
        <w:rPr>
          <w:rFonts w:ascii="Times New Roman" w:hAnsi="Times New Roman" w:cs="Times New Roman"/>
          <w:b/>
          <w:bCs/>
          <w:sz w:val="28"/>
          <w:szCs w:val="28"/>
          <w:lang w:eastAsia="en-US"/>
        </w:rPr>
      </w:pPr>
      <w:bookmarkStart w:id="3" w:name="_Toc2759"/>
      <w:r>
        <w:rPr>
          <w:rFonts w:ascii="Times New Roman" w:hAnsi="Times New Roman" w:cs="Times New Roman"/>
          <w:b/>
          <w:bCs/>
          <w:sz w:val="28"/>
          <w:szCs w:val="28"/>
          <w:lang w:eastAsia="en-US"/>
        </w:rPr>
        <w:t>2.1 Definition of International Business Communication</w:t>
      </w:r>
      <w:bookmarkEnd w:id="3"/>
    </w:p>
    <w:p>
      <w:pPr>
        <w:rPr>
          <w:lang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International business communication stands out to be exchange of business ideas across varied cultures. Notably, cultures are known to offer people with unique frameworks of understanding through which the business world is interpreted. Individuals from separate cultures will likely interpret the business ideas in radical ways. In this case, failure to reach to consensus by the different cultural groups could result to misunderstanding, hence could impact negatively on professional relationships. Importantly, adoption of international business communications and technologies have done exemplary responsibilities of reducing the geographic distance of business within the global scope (Kamalaldin et al. 2020, p. 310). However, the business executive should consider bridging the cultural distance to help them sustain the cross-cultural and professional business relationships in the contemporary market spaces. For instance, the decision to expand the clothing business from the UK to Asian market will require employment of effective international business communication strategy.</w:t>
      </w:r>
    </w:p>
    <w:p>
      <w:pPr>
        <w:pStyle w:val="3"/>
        <w:spacing w:line="360" w:lineRule="auto"/>
        <w:rPr>
          <w:rFonts w:ascii="Times New Roman" w:hAnsi="Times New Roman" w:cs="Times New Roman"/>
          <w:b/>
          <w:bCs/>
          <w:sz w:val="24"/>
          <w:szCs w:val="24"/>
          <w:lang w:eastAsia="en-US"/>
        </w:rPr>
      </w:pPr>
    </w:p>
    <w:p>
      <w:pPr>
        <w:pStyle w:val="3"/>
        <w:spacing w:line="360" w:lineRule="auto"/>
        <w:ind w:firstLine="280" w:firstLineChars="100"/>
        <w:rPr>
          <w:rFonts w:ascii="Times New Roman" w:hAnsi="Times New Roman" w:cs="Times New Roman"/>
          <w:b/>
          <w:bCs/>
          <w:sz w:val="28"/>
          <w:szCs w:val="28"/>
          <w:lang w:eastAsia="en-US"/>
        </w:rPr>
      </w:pPr>
      <w:bookmarkStart w:id="4" w:name="_Toc12254"/>
      <w:r>
        <w:rPr>
          <w:rFonts w:ascii="Times New Roman" w:hAnsi="Times New Roman" w:cs="Times New Roman"/>
          <w:b/>
          <w:bCs/>
          <w:sz w:val="28"/>
          <w:szCs w:val="28"/>
          <w:lang w:eastAsia="en-US"/>
        </w:rPr>
        <w:t>2.2 Skills Requirements in International Business Communications between Asia and UK</w:t>
      </w:r>
      <w:bookmarkEnd w:id="4"/>
    </w:p>
    <w:p>
      <w:pPr>
        <w:rPr>
          <w:lang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 xml:space="preserve">The diverse business environments could allow complexity in the communication capabilities within organizations. This is because cultures have their own set of tendencies when it comes to physical interactions, hence making communications difficult. Even in situations where language barrier is inexistent, cross-cultural communication can be a hard nut to crack (Luo and Shenkar 2017, p. 75). This, therefore, requires inculcation of important skillset to help in creating robust international business communications. The study considers the two cultures of British and Asian geographies. While communicating cross-cultural it is important to consider the effects of humour. While the British cultures find humour as important part of communication, the Asian culture take their business negotiations seriously without engaging humour. In addition to this, the British business partners possess active listening skills as the stakeholders are expended to understand the details of the business. However, in the Asian culture, the business partners give their views to prove that they are right without taking keen interest on the other people’s viewpoints. In this case, comprehension of active listening skills and observation skills perception from different cultures would help to eliminate business failures. </w:t>
      </w: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In addition to this, setting schedules and writing down ideas proves to be a significant skill in international business communication (Feinberg and Willer 2019, p 12501). To expound on this, the business executives of British culture ensure that their exchange of ideas is organised, scheduled and important details are written down. The Asian culture business partners are known for making spontaneous and dynamic decisions with no proof of writing. The desire to expand into the Asian geography would require understanding of how business is carried out and professional relationships among the business partners.</w:t>
      </w:r>
    </w:p>
    <w:p>
      <w:pPr>
        <w:spacing w:after="0" w:line="360" w:lineRule="auto"/>
        <w:jc w:val="both"/>
        <w:rPr>
          <w:rFonts w:ascii="Times New Roman" w:hAnsi="Times New Roman" w:cs="Times New Roman" w:eastAsiaTheme="minorHAnsi"/>
          <w:b/>
          <w:bCs/>
          <w:sz w:val="24"/>
          <w:szCs w:val="24"/>
          <w:lang w:eastAsia="en-US"/>
        </w:rPr>
      </w:pPr>
    </w:p>
    <w:p>
      <w:pPr>
        <w:pStyle w:val="3"/>
        <w:spacing w:line="360" w:lineRule="auto"/>
        <w:ind w:firstLine="280" w:firstLineChars="100"/>
        <w:rPr>
          <w:rFonts w:ascii="Times New Roman" w:hAnsi="Times New Roman" w:cs="Times New Roman"/>
          <w:b/>
          <w:bCs/>
          <w:sz w:val="28"/>
          <w:szCs w:val="28"/>
          <w:lang w:eastAsia="en-US"/>
        </w:rPr>
      </w:pPr>
      <w:bookmarkStart w:id="5" w:name="_Toc16899"/>
      <w:r>
        <w:rPr>
          <w:rFonts w:ascii="Times New Roman" w:hAnsi="Times New Roman" w:cs="Times New Roman"/>
          <w:b/>
          <w:bCs/>
          <w:sz w:val="28"/>
          <w:szCs w:val="28"/>
          <w:lang w:eastAsia="en-US"/>
        </w:rPr>
        <w:t>2.3 Methods of Communication in British and Asian Cultures</w:t>
      </w:r>
      <w:bookmarkEnd w:id="5"/>
    </w:p>
    <w:p>
      <w:pPr>
        <w:pStyle w:val="4"/>
        <w:spacing w:line="360" w:lineRule="auto"/>
        <w:ind w:firstLine="560" w:firstLineChars="200"/>
        <w:rPr>
          <w:rFonts w:ascii="Times New Roman" w:hAnsi="Times New Roman" w:cs="Times New Roman"/>
          <w:b/>
          <w:bCs/>
          <w:sz w:val="28"/>
          <w:szCs w:val="28"/>
          <w:lang w:eastAsia="en-US"/>
        </w:rPr>
      </w:pPr>
      <w:bookmarkStart w:id="6" w:name="_Toc9419"/>
      <w:r>
        <w:rPr>
          <w:rFonts w:ascii="Times New Roman" w:hAnsi="Times New Roman" w:cs="Times New Roman"/>
          <w:b/>
          <w:bCs/>
          <w:sz w:val="28"/>
          <w:szCs w:val="28"/>
          <w:lang w:eastAsia="en-US"/>
        </w:rPr>
        <w:t>2.3.1 Halls High Low Context</w:t>
      </w:r>
      <w:bookmarkEnd w:id="6"/>
    </w:p>
    <w:p>
      <w:pPr>
        <w:rPr>
          <w:lang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 xml:space="preserve">International business communication strategy has gained increased recognition in the ever-connected business world. In different cultures, it is vital to consider identification of methods of effective communication so that businesses run smoothly. In tandem with this, adoption of Halls High and Low culture theory would be instrumental for the clothing retailer that is looking to expand its business operations from the UK to the Asian market (Patel, Trivedi and Yagnik 2020, p. 102003). For instance, UK serves to be a low-context culture in which communication is passed across explicitly with little dependence on the non-verbal cues. This opens the ways for discussion and negotiations of important details of the business. The low context nature of the UK market would therefore propagate open-minded individuals that mean what is discussed and puts across clear and direct rules. </w:t>
      </w: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In gaining porosity into the Asian market, the business executives should understand that the Asian people adopt high-culture context. In most cases, the Asians consider indirect communications using non-verbal cues such as body language, person’s status and tone of voice. In this regard, decision making in Asian culture is implicit and they end up in formal meetings that understand what the communication conveys. It serves to be a silent culture and mostly the negotiators engage the third parties to ensure that a consensus is reached (OBIEZEKWEM 2020, p. 132). The mechanisms of relaying information hold water more than what the information really depicts in the Asian culture. This way, the business managers fail to build relationships with the teams and groups as there is insufficient information flow.</w:t>
      </w:r>
    </w:p>
    <w:p>
      <w:pPr>
        <w:spacing w:after="0" w:line="360" w:lineRule="auto"/>
        <w:jc w:val="both"/>
        <w:rPr>
          <w:rFonts w:ascii="Times New Roman" w:hAnsi="Times New Roman" w:cs="Times New Roman" w:eastAsiaTheme="minorHAnsi"/>
          <w:sz w:val="24"/>
          <w:szCs w:val="24"/>
          <w:lang w:eastAsia="en-US"/>
        </w:rPr>
      </w:pPr>
    </w:p>
    <w:p>
      <w:pPr>
        <w:pStyle w:val="3"/>
        <w:spacing w:line="360" w:lineRule="auto"/>
        <w:ind w:firstLine="280" w:firstLineChars="100"/>
        <w:rPr>
          <w:rFonts w:ascii="Times New Roman" w:hAnsi="Times New Roman" w:cs="Times New Roman"/>
          <w:b/>
          <w:bCs/>
          <w:sz w:val="28"/>
          <w:szCs w:val="28"/>
          <w:lang w:eastAsia="en-US"/>
        </w:rPr>
      </w:pPr>
      <w:bookmarkStart w:id="7" w:name="_Toc6271"/>
      <w:r>
        <w:rPr>
          <w:rFonts w:ascii="Times New Roman" w:hAnsi="Times New Roman" w:cs="Times New Roman"/>
          <w:b/>
          <w:bCs/>
          <w:sz w:val="28"/>
          <w:szCs w:val="28"/>
          <w:lang w:eastAsia="en-US"/>
        </w:rPr>
        <w:t>2.4 Effective Communication across Cultures</w:t>
      </w:r>
      <w:bookmarkEnd w:id="7"/>
    </w:p>
    <w:p>
      <w:pPr>
        <w:rPr>
          <w:lang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Adoption of effective communication in global business helps a great deal to have improved relationships and customer service. When the firms identify way to address the customers’ needs through communicating to them, they build trust and commitment to the brand, hence strengthening relationships. As a result, more referrals and sales are attained within the organization (Balakrishnan 2022, p. 48). In this context, the need to expand the clothing business into the Asian market would require critical understanding on how the business partners and the customers communicate. In so doing, it would be possible attain the customer’s loyalty and trust to have them make their purchases in the new clothing organization in the region. In addition to this, clear international business communication is imperative for reducing potential conflicts and misunderstandings (Ting-Toomey and Dorjee 2018). While adapting at the Asian market, nurturing effective communication would result to swift transition from the UK geography. Miscommunication would be reduced when every stakeholder is on the same page, hence would limit frustration in business. Regular and consistent communication would help the clothing retailer to make the Asian clients to understand that they are from a different culture where business was done uniquely. This will help to strengthen the client relationships as they will build confidence that the firm would conform to their culture and handle their needs efficiently. Moreover, effective communication catalyses the intention to achieve sustainable goals in businesses (Doorley and Garcia 2015). This is through fostering collaborative efforts among the business partners in diverse cultures. Even with the high context culture in the Asian market, the managers that put forth effective communication strategies will find sustainable ways to build relationships with the teams at the new clothing retailer.</w:t>
      </w:r>
    </w:p>
    <w:p>
      <w:pPr>
        <w:spacing w:after="0" w:line="360" w:lineRule="auto"/>
        <w:jc w:val="both"/>
        <w:rPr>
          <w:rFonts w:ascii="Times New Roman" w:hAnsi="Times New Roman" w:cs="Times New Roman" w:eastAsiaTheme="minorHAnsi"/>
          <w:sz w:val="24"/>
          <w:szCs w:val="24"/>
          <w:lang w:eastAsia="en-US"/>
        </w:rPr>
      </w:pPr>
    </w:p>
    <w:p>
      <w:pPr>
        <w:pStyle w:val="3"/>
        <w:spacing w:line="360" w:lineRule="auto"/>
        <w:ind w:firstLine="280" w:firstLineChars="100"/>
        <w:rPr>
          <w:rFonts w:ascii="Times New Roman" w:hAnsi="Times New Roman" w:cs="Times New Roman"/>
          <w:b/>
          <w:bCs/>
          <w:sz w:val="28"/>
          <w:szCs w:val="28"/>
          <w:lang w:eastAsia="en-US"/>
        </w:rPr>
      </w:pPr>
      <w:bookmarkStart w:id="8" w:name="_Toc29225"/>
      <w:r>
        <w:rPr>
          <w:rFonts w:ascii="Times New Roman" w:hAnsi="Times New Roman" w:cs="Times New Roman"/>
          <w:b/>
          <w:bCs/>
          <w:sz w:val="28"/>
          <w:szCs w:val="28"/>
          <w:lang w:eastAsia="en-US"/>
        </w:rPr>
        <w:t>2.5 International Culture</w:t>
      </w:r>
      <w:bookmarkEnd w:id="8"/>
    </w:p>
    <w:p>
      <w:pPr>
        <w:pStyle w:val="4"/>
        <w:spacing w:line="360" w:lineRule="auto"/>
        <w:ind w:firstLine="560" w:firstLineChars="200"/>
        <w:rPr>
          <w:rFonts w:ascii="Times New Roman" w:hAnsi="Times New Roman" w:cs="Times New Roman"/>
          <w:b/>
          <w:bCs/>
          <w:sz w:val="28"/>
          <w:szCs w:val="28"/>
          <w:lang w:eastAsia="en-US"/>
        </w:rPr>
      </w:pPr>
      <w:bookmarkStart w:id="9" w:name="_Toc27653"/>
      <w:r>
        <w:rPr>
          <w:rFonts w:ascii="Times New Roman" w:hAnsi="Times New Roman" w:cs="Times New Roman"/>
          <w:b/>
          <w:bCs/>
          <w:sz w:val="28"/>
          <w:szCs w:val="28"/>
          <w:lang w:eastAsia="en-US"/>
        </w:rPr>
        <w:t>2.5.1 Trompenaar’s 7 Dimensions to Culture</w:t>
      </w:r>
      <w:bookmarkEnd w:id="9"/>
    </w:p>
    <w:p>
      <w:pPr>
        <w:rPr>
          <w:lang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The decision to expand businesses into the global markets would require understanding on the international set of beliefs and norms. It is worth noting that adoption of Trompenaar’s dimensions of culture would help a great deal to implement the choice to move the clothing retailer from the UK to the Asian market. Universalism versus particularism serves to be an important dimension in the global culture (Pirlog 2021, p. 452). For instance, the UK culture is characterized with high universalism whereby rules are formed and followed while Asian markets are mostly particularism culture as relationships come first.  Further, based on the Individualism Versus Communitarianism dimension, the UK culture is characterized with business partners with autonomy and value for personal freedom. While in this region, it is easier to come up with effective decisions for business continuity. On the other hand, Asian culture is a communitarist because it relies on relationships that consider values of modesty, solidarity. In this case, conducting business in Asian market would require a third party who is known by the business executives in this geography. In this case, the decision to expand into the Asian market by the clothing retailer will need to consider this important aspect.</w:t>
      </w: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According to the specific versus diffuse dimension, the British consider keep work separate from the private lives. This way, it focuses on building work-life balance in its businesses among the workforce. However, the Asian culture is diffuse, hence mixes both business and private life. The transition should reshape the British business executives towards adapting to the new culture for a successful business (Wild and Wild 2019). Similarly, the neutral and emotional of the Trompenaar’s dimension depict that the neutral culture allows keeping in check and holding back emotions while emotional culture puts feelings openly. Both UK and Asian culture, therefore, possess neutral culture in executing their businesses. In the achievement and ascription aspect, UK stands out to possess an achievement culture because greater value is put on performance. On the other hand, the Asian culture upscales ascription culture as it considers status is important. Individuals here are valued based on the power and position that they hold. Additionally, the sequential versus synchronous culture is exhibited in the international culture. The business culture in the UK market is organized and planned, hence adopting the sequential culture while the businesses at the Asian market are spontaneous and dynamic (Barkema et al. 2015, p. 470). The business partners could change their decisions at last moment. It would be vital to understand this aspect before making the decision to expand to the Asian market. Lastly, the internal and outer direction dimension demonstrate that UK is inner directed as the business people are in control of the possible outcomes while the Asians let things to follow their course. Adoption of Trompenaar’s 7-dimension model would fuel the expansion of the clothing business into the Asian market.</w:t>
      </w:r>
    </w:p>
    <w:p>
      <w:pPr>
        <w:spacing w:after="0" w:line="360" w:lineRule="auto"/>
        <w:jc w:val="both"/>
        <w:rPr>
          <w:rFonts w:ascii="Times New Roman" w:hAnsi="Times New Roman" w:cs="Times New Roman" w:eastAsiaTheme="minorHAnsi"/>
          <w:sz w:val="24"/>
          <w:szCs w:val="24"/>
          <w:lang w:val="fr-FR" w:eastAsia="en-US"/>
        </w:rPr>
      </w:pPr>
    </w:p>
    <w:p>
      <w:pPr>
        <w:spacing w:after="0" w:line="360" w:lineRule="auto"/>
        <w:jc w:val="both"/>
        <w:rPr>
          <w:rFonts w:ascii="Times New Roman" w:hAnsi="Times New Roman" w:cs="Times New Roman" w:eastAsiaTheme="minorHAnsi"/>
          <w:sz w:val="24"/>
          <w:szCs w:val="24"/>
          <w:lang w:val="fr-FR" w:eastAsia="en-US"/>
        </w:rPr>
      </w:pPr>
    </w:p>
    <w:p>
      <w:pPr>
        <w:spacing w:after="0" w:line="360" w:lineRule="auto"/>
        <w:jc w:val="both"/>
        <w:rPr>
          <w:rFonts w:ascii="Times New Roman" w:hAnsi="Times New Roman" w:cs="Times New Roman" w:eastAsiaTheme="minorHAnsi"/>
          <w:sz w:val="24"/>
          <w:szCs w:val="24"/>
          <w:lang w:val="fr-FR" w:eastAsia="en-US"/>
        </w:rPr>
      </w:pPr>
    </w:p>
    <w:p>
      <w:pPr>
        <w:pStyle w:val="3"/>
        <w:spacing w:line="360" w:lineRule="auto"/>
        <w:ind w:firstLine="280" w:firstLineChars="100"/>
        <w:rPr>
          <w:rFonts w:ascii="Times New Roman" w:hAnsi="Times New Roman" w:cs="Times New Roman"/>
          <w:b/>
          <w:bCs/>
          <w:sz w:val="28"/>
          <w:szCs w:val="28"/>
          <w:lang w:eastAsia="en-US"/>
        </w:rPr>
      </w:pPr>
      <w:bookmarkStart w:id="10" w:name="_Toc14933"/>
      <w:r>
        <w:rPr>
          <w:rFonts w:ascii="Times New Roman" w:hAnsi="Times New Roman" w:cs="Times New Roman"/>
          <w:b/>
          <w:bCs/>
          <w:sz w:val="28"/>
          <w:szCs w:val="28"/>
          <w:lang w:eastAsia="en-US"/>
        </w:rPr>
        <w:t>2.6 Importance of Building Business Relationships</w:t>
      </w:r>
      <w:bookmarkEnd w:id="10"/>
    </w:p>
    <w:p>
      <w:pPr>
        <w:spacing w:after="0" w:line="360" w:lineRule="auto"/>
        <w:jc w:val="both"/>
        <w:rPr>
          <w:rFonts w:ascii="Times New Roman" w:hAnsi="Times New Roman" w:cs="Times New Roman" w:eastAsiaTheme="minorHAnsi"/>
          <w:b/>
          <w:bCs/>
          <w:sz w:val="24"/>
          <w:szCs w:val="24"/>
          <w:lang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 xml:space="preserve">It is important to consider relationship building as an epitome of business development processes. The aspect of globalization for the UK clothing retailer will be made possible through building strong relationships with the partners, customer and stakeholders in the intended Asian market. This would be important in enhancing loyalty and trust within the business environment. As a result, loyal customers would engage more referrals, hence would create robust sales in the long run (Covas and Pirlog 2019, p. 111). </w:t>
      </w: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In addition to this, building strong relationships play a significant role in nurturing collaboration with the business partners. As a result, sharing of knowledge and expertise is made possible. In the new business environment within the Asian market, propagating collaborative efforts ushers in distinct skillset, hence keeps the business running. This way, the UK clothing retailer that looks into expanding to the Asian market will gain competitive edge. More markedly, building relationships will help a great deal in accessing the new customers and markets. It becomes possible to leverage the existing networks and wider customer bases in the new market geography upon building positive relationships. This would allow the incoming business to build sustainable infrastructure that will respond to the needs of the consumers in the target market</w:t>
      </w:r>
    </w:p>
    <w:p>
      <w:pPr>
        <w:spacing w:after="0" w:line="360" w:lineRule="auto"/>
        <w:jc w:val="both"/>
        <w:rPr>
          <w:rFonts w:ascii="Times New Roman" w:hAnsi="Times New Roman" w:cs="Times New Roman" w:eastAsiaTheme="minorHAnsi"/>
          <w:sz w:val="24"/>
          <w:szCs w:val="24"/>
          <w:lang w:eastAsia="en-US"/>
        </w:rPr>
      </w:pPr>
    </w:p>
    <w:p>
      <w:pPr>
        <w:pStyle w:val="3"/>
        <w:spacing w:line="360" w:lineRule="auto"/>
        <w:ind w:firstLine="280" w:firstLineChars="100"/>
        <w:rPr>
          <w:rFonts w:ascii="Times New Roman" w:hAnsi="Times New Roman" w:cs="Times New Roman"/>
          <w:b/>
          <w:bCs/>
          <w:sz w:val="28"/>
          <w:szCs w:val="28"/>
          <w:lang w:eastAsia="en-US"/>
        </w:rPr>
      </w:pPr>
      <w:bookmarkStart w:id="11" w:name="_Toc27241"/>
      <w:r>
        <w:rPr>
          <w:rFonts w:ascii="Times New Roman" w:hAnsi="Times New Roman" w:cs="Times New Roman"/>
          <w:b/>
          <w:bCs/>
          <w:sz w:val="28"/>
          <w:szCs w:val="28"/>
          <w:lang w:eastAsia="en-US"/>
        </w:rPr>
        <w:t>2.7 Building Professional Relationships and Differences in Culture between UK &amp; Asia</w:t>
      </w:r>
      <w:bookmarkEnd w:id="11"/>
    </w:p>
    <w:p>
      <w:pPr>
        <w:rPr>
          <w:lang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 xml:space="preserve">The need to expand business into the Asian market will require building of sustainable professional business relationships. To build relationships in China, gifting serves to be a significant gesture. The Asians attach greater significance on the gifts that symbolize fortune, family happiness, long life and health (Yama and Zakaria 2019, p. 500).  The process of integrating this attachment is a slow process. </w:t>
      </w: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In tandem with this, building relationship with the Asians will require patience as they will trust with this step. Also, ensuring that the Asian partners face and esteemed is kept high will allow expansion of the UK clothing retailer in this region (Lomer and Mittelmeier 2023, p. 1250). While the UK market considers greater performance as a pointer of good relationship, the Asians need protection of their esteem. Importantly, collective decisions to go on extensive drinks and dinner and play golf with the Korean partners will allow greater sharing of information. This is not practical with the UK culture, as information is individualized and only sharing of information is done by people with much knowledge and higher value.</w:t>
      </w: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4"/>
          <w:szCs w:val="24"/>
          <w:lang w:eastAsia="en-US"/>
        </w:rPr>
      </w:pPr>
    </w:p>
    <w:p>
      <w:pPr>
        <w:pStyle w:val="3"/>
        <w:spacing w:line="360" w:lineRule="auto"/>
        <w:ind w:firstLine="280" w:firstLineChars="100"/>
        <w:rPr>
          <w:rFonts w:ascii="Times New Roman" w:hAnsi="Times New Roman" w:cs="Times New Roman"/>
          <w:b/>
          <w:bCs/>
          <w:sz w:val="28"/>
          <w:szCs w:val="28"/>
          <w:lang w:eastAsia="en-US"/>
        </w:rPr>
      </w:pPr>
      <w:bookmarkStart w:id="12" w:name="_Toc23825"/>
      <w:r>
        <w:rPr>
          <w:rFonts w:ascii="Times New Roman" w:hAnsi="Times New Roman" w:cs="Times New Roman"/>
          <w:b/>
          <w:bCs/>
          <w:sz w:val="28"/>
          <w:szCs w:val="28"/>
          <w:lang w:eastAsia="en-US"/>
        </w:rPr>
        <w:t>2.8 Potential Reasons for Failed Relationships in Business Communication between UK and Asia</w:t>
      </w:r>
      <w:bookmarkEnd w:id="12"/>
    </w:p>
    <w:p>
      <w:pPr>
        <w:rPr>
          <w:lang w:eastAsia="en-US"/>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Expansion into the global markets could be marred with challenges of failed business relationships. This could be due to possible reasons of language barrier between the UK and the Asian business partners (Verluyten 2020). It is notable that business players from varied linguistic backgrounds could be affected by miscommunication problems. This way, there is risk of misunderstanding, thus could lead to conflicts (Koyuncu and Denise Chipindu 2020, p. 115). Further, failed relationships could be borne from stereotypes. For example, the Chinese are known to be emotionally reserved, self-restrained and social cautious. In breaching this culture, business relationships could cease to work (Aldrich et al. 2023). As in the UK culture, the business players have the neutral perception of stereotypes, hence they hold back their feelings when emotionally affected. Imperatively, failed relationships could emanate from failure to pay attention to the body language details. While the communication culture among the Asian partners is exhibited in the non-verbal cues, failure to interpret well could lead to destroyed relationships among the business partners.</w:t>
      </w:r>
    </w:p>
    <w:p>
      <w:pPr>
        <w:pStyle w:val="2"/>
        <w:spacing w:line="360" w:lineRule="auto"/>
        <w:rPr>
          <w:rFonts w:ascii="Times New Roman" w:hAnsi="Times New Roman" w:cs="Times New Roman"/>
          <w:b/>
          <w:bCs/>
          <w:sz w:val="28"/>
          <w:szCs w:val="28"/>
          <w:lang w:eastAsia="en-US"/>
        </w:rPr>
      </w:pPr>
      <w:bookmarkStart w:id="13" w:name="_Toc16544"/>
      <w:r>
        <w:rPr>
          <w:rFonts w:ascii="Times New Roman" w:hAnsi="Times New Roman" w:cs="Times New Roman"/>
          <w:b/>
          <w:bCs/>
          <w:sz w:val="28"/>
          <w:szCs w:val="28"/>
        </w:rPr>
        <w:t xml:space="preserve">3.0 </w:t>
      </w:r>
      <w:r>
        <w:rPr>
          <w:rFonts w:ascii="Times New Roman" w:hAnsi="Times New Roman" w:cs="Times New Roman"/>
          <w:b/>
          <w:bCs/>
          <w:sz w:val="28"/>
          <w:szCs w:val="28"/>
          <w:lang w:eastAsia="en-US"/>
        </w:rPr>
        <w:t>Conclusion</w:t>
      </w:r>
      <w:bookmarkEnd w:id="13"/>
    </w:p>
    <w:p>
      <w:pPr>
        <w:pBdr>
          <w:bottom w:val="single" w:color="auto" w:sz="4" w:space="1"/>
        </w:pBdr>
        <w:spacing w:line="360" w:lineRule="auto"/>
        <w:rPr>
          <w:rFonts w:ascii="Times New Roman" w:hAnsi="Times New Roman" w:cs="Times New Roman"/>
          <w:b/>
          <w:bCs/>
          <w:sz w:val="24"/>
          <w:szCs w:val="24"/>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To this end, international business communications is instrumental in building relationships among the participants of diverse cultures. It is important to acknowledge that cultural differences could impact negatively on the continuity of businesses for the firms focusing on expanding into the global markets. From the discussion, entry into the Asian market will need imperative skills that will help in building professional business relationships. The Trompenaar’s 7 dimensions model is adopted to help in streamlining the cultural difference between the UK and Asian culture based on the decision to expand the clothing retailer into the Asian market. To wrap this up, confronting the failures of failed communications will help to build sustainable relationships in diverse markets.</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pStyle w:val="2"/>
        <w:spacing w:line="360" w:lineRule="auto"/>
        <w:rPr>
          <w:rFonts w:ascii="Times New Roman" w:hAnsi="Times New Roman" w:cs="Times New Roman"/>
          <w:b/>
          <w:bCs/>
          <w:sz w:val="28"/>
          <w:szCs w:val="28"/>
          <w:lang w:eastAsia="en-US"/>
        </w:rPr>
      </w:pPr>
      <w:bookmarkStart w:id="14" w:name="_Toc22224"/>
      <w:r>
        <w:rPr>
          <w:rFonts w:ascii="Times New Roman" w:hAnsi="Times New Roman" w:cs="Times New Roman"/>
          <w:b/>
          <w:bCs/>
          <w:sz w:val="28"/>
          <w:szCs w:val="28"/>
          <w:lang w:eastAsia="en-US"/>
        </w:rPr>
        <w:t>4.0 Recommendations</w:t>
      </w:r>
      <w:bookmarkEnd w:id="14"/>
    </w:p>
    <w:p>
      <w:pPr>
        <w:pBdr>
          <w:bottom w:val="single" w:color="auto" w:sz="4" w:space="1"/>
        </w:pBdr>
        <w:spacing w:line="360" w:lineRule="auto"/>
        <w:rPr>
          <w:rFonts w:ascii="Times New Roman" w:hAnsi="Times New Roman" w:cs="Times New Roman"/>
          <w:b/>
          <w:bCs/>
          <w:sz w:val="24"/>
          <w:szCs w:val="24"/>
        </w:rPr>
      </w:pPr>
    </w:p>
    <w:p>
      <w:pPr>
        <w:spacing w:after="0" w:line="360" w:lineRule="auto"/>
        <w:jc w:val="both"/>
        <w:rPr>
          <w:rFonts w:ascii="Times New Roman" w:hAnsi="Times New Roman" w:cs="Times New Roman" w:eastAsiaTheme="minorHAnsi"/>
          <w:sz w:val="28"/>
          <w:szCs w:val="28"/>
          <w:lang w:val="fr-FR" w:eastAsia="en-US"/>
        </w:rPr>
      </w:pPr>
      <w:r>
        <w:rPr>
          <w:rFonts w:ascii="Times New Roman" w:hAnsi="Times New Roman" w:cs="Times New Roman" w:eastAsiaTheme="minorHAnsi"/>
          <w:sz w:val="28"/>
          <w:szCs w:val="28"/>
          <w:lang w:val="fr-FR" w:eastAsia="en-US"/>
        </w:rPr>
        <w:t>In cases on language problems, it would be important to consider training and conducting workshops that expose the business partners to the new culture (Dominique 2020, p. 35). For instance, upon reaching to the decision of expanding into the Asian market, the UK’s clothing business partners should consider making a pre-visit for several months to the new geography. Learning the language and Asians acceptable behaviour will help to reduce instances of failed relationships in business. Additionally, being flexible to change the preconceptions about the new culture could lead to better business relationships between the UK firm and the Asian market (Mikadze 2022). Also, to understand better the body language communication, it is important to take invest in the Research and Development team, to find out how to best address the Asian’s body language communication. Relating to the foreign culture could require a significant amount of research to make the team to develop observing capabilities that could only be executed by the Research and Development team (Wang et al. 2021, p. 30). This will help to salvage the failed international business communications and relationships.</w:t>
      </w: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p>
    <w:p>
      <w:pPr>
        <w:spacing w:line="360" w:lineRule="auto"/>
        <w:rPr>
          <w:rFonts w:ascii="Times New Roman" w:hAnsi="Times New Roman" w:cs="Times New Roman"/>
          <w:sz w:val="24"/>
          <w:szCs w:val="24"/>
        </w:rPr>
      </w:pPr>
    </w:p>
    <w:p>
      <w:pPr>
        <w:pStyle w:val="2"/>
        <w:spacing w:line="360" w:lineRule="auto"/>
        <w:rPr>
          <w:rFonts w:ascii="Times New Roman" w:hAnsi="Times New Roman" w:cs="Times New Roman"/>
          <w:b/>
          <w:bCs/>
          <w:sz w:val="28"/>
          <w:szCs w:val="28"/>
          <w:lang w:eastAsia="en-US"/>
        </w:rPr>
      </w:pPr>
      <w:bookmarkStart w:id="15" w:name="_Toc14168"/>
      <w:r>
        <w:rPr>
          <w:rFonts w:ascii="Times New Roman" w:hAnsi="Times New Roman" w:cs="Times New Roman"/>
          <w:b/>
          <w:bCs/>
          <w:sz w:val="28"/>
          <w:szCs w:val="28"/>
          <w:lang w:eastAsia="en-US"/>
        </w:rPr>
        <w:t>Appendices</w:t>
      </w:r>
      <w:bookmarkEnd w:id="15"/>
    </w:p>
    <w:p>
      <w:pPr>
        <w:spacing w:line="360" w:lineRule="auto"/>
        <w:rPr>
          <w:rFonts w:ascii="Times New Roman" w:hAnsi="Times New Roman" w:cs="Times New Roman"/>
          <w:sz w:val="24"/>
          <w:szCs w:val="24"/>
        </w:rPr>
      </w:pPr>
    </w:p>
    <w:p>
      <w:pPr>
        <w:spacing w:after="0" w:line="360" w:lineRule="auto"/>
        <w:jc w:val="both"/>
        <w:rPr>
          <w:rFonts w:hint="eastAsia" w:ascii="Times New Roman" w:hAnsi="Times New Roman" w:cs="Times New Roman" w:eastAsiaTheme="minorHAnsi"/>
          <w:sz w:val="28"/>
          <w:szCs w:val="28"/>
          <w:lang w:val="fr-FR" w:eastAsia="en-US"/>
        </w:rPr>
      </w:pPr>
      <w:r>
        <w:rPr>
          <w:rFonts w:hint="eastAsia" w:ascii="Times New Roman" w:hAnsi="Times New Roman" w:cs="Times New Roman" w:eastAsiaTheme="minorHAnsi"/>
          <w:sz w:val="28"/>
          <w:szCs w:val="28"/>
          <w:lang w:val="fr-FR" w:eastAsia="en-US"/>
        </w:rPr>
        <w:t>International business communication refers to the process of transmitting and exchanging information, views, ideas and business data in a business environment that crosses national boundaries. This kind of communication is not limited to language communication, but also includes culture, business habits, regulations and other factors in the international business environment.</w:t>
      </w:r>
    </w:p>
    <w:p>
      <w:pPr>
        <w:spacing w:after="0" w:line="360" w:lineRule="auto"/>
        <w:jc w:val="both"/>
        <w:rPr>
          <w:rFonts w:hint="eastAsia" w:ascii="Times New Roman" w:hAnsi="Times New Roman" w:cs="Times New Roman" w:eastAsiaTheme="minorHAnsi"/>
          <w:sz w:val="28"/>
          <w:szCs w:val="28"/>
          <w:lang w:val="fr-FR" w:eastAsia="en-US"/>
        </w:rPr>
      </w:pPr>
    </w:p>
    <w:p>
      <w:pPr>
        <w:spacing w:after="0" w:line="360" w:lineRule="auto"/>
        <w:jc w:val="both"/>
        <w:rPr>
          <w:rFonts w:hint="eastAsia" w:ascii="Times New Roman" w:hAnsi="Times New Roman" w:cs="Times New Roman" w:eastAsiaTheme="minorHAnsi"/>
          <w:sz w:val="28"/>
          <w:szCs w:val="28"/>
          <w:lang w:val="fr-FR" w:eastAsia="en-US"/>
        </w:rPr>
      </w:pPr>
      <w:r>
        <w:rPr>
          <w:rFonts w:hint="eastAsia" w:ascii="Times New Roman" w:hAnsi="Times New Roman" w:cs="Times New Roman" w:eastAsiaTheme="minorHAnsi"/>
          <w:sz w:val="28"/>
          <w:szCs w:val="28"/>
          <w:lang w:val="fr-FR" w:eastAsia="en-US"/>
        </w:rPr>
        <w:t>In international business exchanges, individuals, organizations and countries communicate through various channels to promote cross-border trade, investment, cooperation and other business activities. This communication can be in the form of face-to-face meetings, conference calls, emails, video conferences, business reports, business negotiations, etc.</w:t>
      </w:r>
    </w:p>
    <w:p>
      <w:pPr>
        <w:spacing w:after="0" w:line="360" w:lineRule="auto"/>
        <w:jc w:val="both"/>
        <w:rPr>
          <w:rFonts w:hint="eastAsia" w:ascii="Times New Roman" w:hAnsi="Times New Roman" w:cs="Times New Roman" w:eastAsiaTheme="minorHAnsi"/>
          <w:sz w:val="28"/>
          <w:szCs w:val="28"/>
          <w:lang w:val="fr-FR" w:eastAsia="en-US"/>
        </w:rPr>
      </w:pPr>
    </w:p>
    <w:p>
      <w:pPr>
        <w:spacing w:after="0" w:line="360" w:lineRule="auto"/>
        <w:jc w:val="both"/>
        <w:rPr>
          <w:rFonts w:hint="eastAsia" w:ascii="Times New Roman" w:hAnsi="Times New Roman" w:cs="Times New Roman" w:eastAsiaTheme="minorHAnsi"/>
          <w:sz w:val="28"/>
          <w:szCs w:val="28"/>
          <w:lang w:val="fr-FR" w:eastAsia="en-US"/>
        </w:rPr>
      </w:pPr>
      <w:r>
        <w:rPr>
          <w:rFonts w:hint="eastAsia" w:ascii="Times New Roman" w:hAnsi="Times New Roman" w:cs="Times New Roman" w:eastAsiaTheme="minorHAnsi"/>
          <w:sz w:val="28"/>
          <w:szCs w:val="28"/>
          <w:lang w:val="fr-FR" w:eastAsia="en-US"/>
        </w:rPr>
        <w:t>It is important that international business exchanges take into account the differences between different cultures. Cross-cultural communication has become crucial in international business because different cultures can lead to errors in understanding, differences in business practices, and cultural factors in business decisions. Therefore, effective international business communication requires sensitivity and adaptability to different cultures.</w:t>
      </w:r>
    </w:p>
    <w:p>
      <w:pPr>
        <w:spacing w:after="0" w:line="360" w:lineRule="auto"/>
        <w:jc w:val="both"/>
        <w:rPr>
          <w:rFonts w:hint="eastAsia" w:ascii="Times New Roman" w:hAnsi="Times New Roman" w:cs="Times New Roman" w:eastAsiaTheme="minorHAnsi"/>
          <w:sz w:val="28"/>
          <w:szCs w:val="28"/>
          <w:lang w:val="fr-FR" w:eastAsia="en-US"/>
        </w:rPr>
      </w:pPr>
    </w:p>
    <w:p>
      <w:pPr>
        <w:spacing w:after="0" w:line="360" w:lineRule="auto"/>
        <w:jc w:val="both"/>
        <w:rPr>
          <w:rFonts w:ascii="Times New Roman" w:hAnsi="Times New Roman" w:cs="Times New Roman" w:eastAsiaTheme="minorHAnsi"/>
          <w:sz w:val="28"/>
          <w:szCs w:val="28"/>
          <w:lang w:val="fr-FR" w:eastAsia="en-US"/>
        </w:rPr>
      </w:pPr>
      <w:r>
        <w:rPr>
          <w:rFonts w:hint="eastAsia" w:ascii="Times New Roman" w:hAnsi="Times New Roman" w:cs="Times New Roman" w:eastAsiaTheme="minorHAnsi"/>
          <w:sz w:val="28"/>
          <w:szCs w:val="28"/>
          <w:lang w:val="fr-FR" w:eastAsia="en-US"/>
        </w:rPr>
        <w:t>In general, international business exchanges are an integral part of the globalized economy, providing a bridge between multinational enterprises, international cooperation and global commerce, facilitating better cooperation and information sharing among all parties.</w:t>
      </w:r>
    </w:p>
    <w:p>
      <w:pPr>
        <w:spacing w:after="0" w:line="360" w:lineRule="auto"/>
        <w:jc w:val="both"/>
        <w:rPr>
          <w:rFonts w:ascii="Times New Roman" w:hAnsi="Times New Roman" w:cs="Times New Roman" w:eastAsiaTheme="minorHAnsi"/>
          <w:sz w:val="28"/>
          <w:szCs w:val="28"/>
          <w:lang w:val="fr-FR" w:eastAsia="en-US"/>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pStyle w:val="2"/>
        <w:spacing w:line="360" w:lineRule="auto"/>
        <w:rPr>
          <w:rFonts w:ascii="Times New Roman" w:hAnsi="Times New Roman" w:cs="Times New Roman"/>
          <w:b/>
          <w:bCs/>
          <w:sz w:val="28"/>
          <w:szCs w:val="28"/>
          <w:lang w:eastAsia="en-US"/>
        </w:rPr>
      </w:pPr>
      <w:bookmarkStart w:id="16" w:name="_Toc15210"/>
      <w:r>
        <w:rPr>
          <w:rFonts w:ascii="Times New Roman" w:hAnsi="Times New Roman" w:cs="Times New Roman"/>
          <w:b/>
          <w:bCs/>
          <w:sz w:val="28"/>
          <w:szCs w:val="28"/>
          <w:lang w:eastAsia="en-US"/>
        </w:rPr>
        <w:t>Reference List</w:t>
      </w:r>
      <w:bookmarkEnd w:id="16"/>
    </w:p>
    <w:p>
      <w:pPr>
        <w:pBdr>
          <w:bottom w:val="single" w:color="auto" w:sz="4" w:space="1"/>
        </w:pBdr>
        <w:spacing w:line="360" w:lineRule="auto"/>
        <w:rPr>
          <w:rFonts w:ascii="Times New Roman" w:hAnsi="Times New Roman" w:cs="Times New Roman"/>
          <w:b/>
          <w:bCs/>
          <w:sz w:val="24"/>
          <w:szCs w:val="24"/>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Aldrich, H.E., Cater, J.C., Jones, T.P. and McEvoy, D., 2023. Business development and self-segregation: Asian enterprise in three British cities. In </w:t>
      </w:r>
      <w:r>
        <w:rPr>
          <w:rFonts w:ascii="Times New Roman" w:hAnsi="Times New Roman" w:cs="Times New Roman" w:eastAsiaTheme="minorHAnsi"/>
          <w:i/>
          <w:iCs/>
          <w:color w:val="222222"/>
          <w:sz w:val="28"/>
          <w:szCs w:val="28"/>
          <w:shd w:val="clear" w:color="auto" w:fill="FFFFFF"/>
          <w:lang w:eastAsia="en-US"/>
        </w:rPr>
        <w:t>Ethnic segregation in cities</w:t>
      </w:r>
      <w:r>
        <w:rPr>
          <w:rFonts w:ascii="Times New Roman" w:hAnsi="Times New Roman" w:cs="Times New Roman" w:eastAsiaTheme="minorHAnsi"/>
          <w:color w:val="222222"/>
          <w:sz w:val="28"/>
          <w:szCs w:val="28"/>
          <w:shd w:val="clear" w:color="auto" w:fill="FFFFFF"/>
          <w:lang w:eastAsia="en-US"/>
        </w:rPr>
        <w:t> (pp. 170-190). Routledge.</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Balakrishnan, K., 2022. Influence of Cultural Dimensions on Intercultural Communication Styles: Ethnicity in a Moderating Role. </w:t>
      </w:r>
      <w:r>
        <w:rPr>
          <w:rFonts w:ascii="Times New Roman" w:hAnsi="Times New Roman" w:cs="Times New Roman" w:eastAsiaTheme="minorHAnsi"/>
          <w:i/>
          <w:iCs/>
          <w:color w:val="222222"/>
          <w:sz w:val="28"/>
          <w:szCs w:val="28"/>
          <w:shd w:val="clear" w:color="auto" w:fill="FFFFFF"/>
          <w:lang w:eastAsia="en-US"/>
        </w:rPr>
        <w:t>Journal of Communication, Language and Culture</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2</w:t>
      </w:r>
      <w:r>
        <w:rPr>
          <w:rFonts w:ascii="Times New Roman" w:hAnsi="Times New Roman" w:cs="Times New Roman" w:eastAsiaTheme="minorHAnsi"/>
          <w:color w:val="222222"/>
          <w:sz w:val="28"/>
          <w:szCs w:val="28"/>
          <w:shd w:val="clear" w:color="auto" w:fill="FFFFFF"/>
          <w:lang w:eastAsia="en-US"/>
        </w:rPr>
        <w:t>(1), pp.46-62.</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Barkema, H.G., Chen, X.P., George, G., Luo, Y. and Tsui, A.S., 2015. West meets East: New concepts and theories. </w:t>
      </w:r>
      <w:r>
        <w:rPr>
          <w:rFonts w:ascii="Times New Roman" w:hAnsi="Times New Roman" w:cs="Times New Roman" w:eastAsiaTheme="minorHAnsi"/>
          <w:i/>
          <w:iCs/>
          <w:color w:val="222222"/>
          <w:sz w:val="28"/>
          <w:szCs w:val="28"/>
          <w:shd w:val="clear" w:color="auto" w:fill="FFFFFF"/>
          <w:lang w:eastAsia="en-US"/>
        </w:rPr>
        <w:t>Academy of Management Journal</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58</w:t>
      </w:r>
      <w:r>
        <w:rPr>
          <w:rFonts w:ascii="Times New Roman" w:hAnsi="Times New Roman" w:cs="Times New Roman" w:eastAsiaTheme="minorHAnsi"/>
          <w:color w:val="222222"/>
          <w:sz w:val="28"/>
          <w:szCs w:val="28"/>
          <w:shd w:val="clear" w:color="auto" w:fill="FFFFFF"/>
          <w:lang w:eastAsia="en-US"/>
        </w:rPr>
        <w:t>(2), pp.460-479.</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Brett, J., Behfar, K. and Kern, M., 2020. Managing multicultural teams. In </w:t>
      </w:r>
      <w:r>
        <w:rPr>
          <w:rFonts w:ascii="Times New Roman" w:hAnsi="Times New Roman" w:cs="Times New Roman" w:eastAsiaTheme="minorHAnsi"/>
          <w:i/>
          <w:iCs/>
          <w:color w:val="222222"/>
          <w:sz w:val="28"/>
          <w:szCs w:val="28"/>
          <w:shd w:val="clear" w:color="auto" w:fill="FFFFFF"/>
          <w:lang w:eastAsia="en-US"/>
        </w:rPr>
        <w:t>Organizational Collaboration</w:t>
      </w:r>
      <w:r>
        <w:rPr>
          <w:rFonts w:ascii="Times New Roman" w:hAnsi="Times New Roman" w:cs="Times New Roman" w:eastAsiaTheme="minorHAnsi"/>
          <w:color w:val="222222"/>
          <w:sz w:val="28"/>
          <w:szCs w:val="28"/>
          <w:shd w:val="clear" w:color="auto" w:fill="FFFFFF"/>
          <w:lang w:eastAsia="en-US"/>
        </w:rPr>
        <w:t> (pp. 155-164). Routledge.</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Covas, L. and Pirlog, A., 2019. The importance of national culture dimensions on intercultural competence development of future managers. </w:t>
      </w:r>
      <w:r>
        <w:rPr>
          <w:rFonts w:ascii="Times New Roman" w:hAnsi="Times New Roman" w:cs="Times New Roman" w:eastAsiaTheme="minorHAnsi"/>
          <w:i/>
          <w:iCs/>
          <w:color w:val="222222"/>
          <w:sz w:val="28"/>
          <w:szCs w:val="28"/>
          <w:shd w:val="clear" w:color="auto" w:fill="FFFFFF"/>
          <w:lang w:eastAsia="en-US"/>
        </w:rPr>
        <w:t>Cross-cultural Management Journal</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21</w:t>
      </w:r>
      <w:r>
        <w:rPr>
          <w:rFonts w:ascii="Times New Roman" w:hAnsi="Times New Roman" w:cs="Times New Roman" w:eastAsiaTheme="minorHAnsi"/>
          <w:color w:val="222222"/>
          <w:sz w:val="28"/>
          <w:szCs w:val="28"/>
          <w:shd w:val="clear" w:color="auto" w:fill="FFFFFF"/>
          <w:lang w:eastAsia="en-US"/>
        </w:rPr>
        <w:t>(2), p.111.</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Czinkota, M.R., Ronkainen, I.A. and Gupta, S., 2021. </w:t>
      </w:r>
      <w:r>
        <w:rPr>
          <w:rFonts w:ascii="Times New Roman" w:hAnsi="Times New Roman" w:cs="Times New Roman" w:eastAsiaTheme="minorHAnsi"/>
          <w:i/>
          <w:iCs/>
          <w:color w:val="222222"/>
          <w:sz w:val="28"/>
          <w:szCs w:val="28"/>
          <w:shd w:val="clear" w:color="auto" w:fill="FFFFFF"/>
          <w:lang w:eastAsia="en-US"/>
        </w:rPr>
        <w:t>International business</w:t>
      </w:r>
      <w:r>
        <w:rPr>
          <w:rFonts w:ascii="Times New Roman" w:hAnsi="Times New Roman" w:cs="Times New Roman" w:eastAsiaTheme="minorHAnsi"/>
          <w:color w:val="222222"/>
          <w:sz w:val="28"/>
          <w:szCs w:val="28"/>
          <w:shd w:val="clear" w:color="auto" w:fill="FFFFFF"/>
          <w:lang w:eastAsia="en-US"/>
        </w:rPr>
        <w:t>. Cambridge University Press.</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Dominique, V., 2020. Business cultural training in a globalised economy. </w:t>
      </w:r>
      <w:r>
        <w:rPr>
          <w:rFonts w:ascii="Times New Roman" w:hAnsi="Times New Roman" w:cs="Times New Roman" w:eastAsiaTheme="minorHAnsi"/>
          <w:i/>
          <w:iCs/>
          <w:color w:val="222222"/>
          <w:sz w:val="28"/>
          <w:szCs w:val="28"/>
          <w:shd w:val="clear" w:color="auto" w:fill="FFFFFF"/>
          <w:lang w:eastAsia="en-US"/>
        </w:rPr>
        <w:t>Training, Language and Culture</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4</w:t>
      </w:r>
      <w:r>
        <w:rPr>
          <w:rFonts w:ascii="Times New Roman" w:hAnsi="Times New Roman" w:cs="Times New Roman" w:eastAsiaTheme="minorHAnsi"/>
          <w:color w:val="222222"/>
          <w:sz w:val="28"/>
          <w:szCs w:val="28"/>
          <w:shd w:val="clear" w:color="auto" w:fill="FFFFFF"/>
          <w:lang w:eastAsia="en-US"/>
        </w:rPr>
        <w:t>(1), pp.33-43.</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Doorley, J. and Garcia, H.F., 2015. </w:t>
      </w:r>
      <w:r>
        <w:rPr>
          <w:rFonts w:ascii="Times New Roman" w:hAnsi="Times New Roman" w:cs="Times New Roman" w:eastAsiaTheme="minorHAnsi"/>
          <w:i/>
          <w:iCs/>
          <w:color w:val="222222"/>
          <w:sz w:val="28"/>
          <w:szCs w:val="28"/>
          <w:shd w:val="clear" w:color="auto" w:fill="FFFFFF"/>
          <w:lang w:eastAsia="en-US"/>
        </w:rPr>
        <w:t>Reputation management: The key to successful public relations and corporate communication</w:t>
      </w:r>
      <w:r>
        <w:rPr>
          <w:rFonts w:ascii="Times New Roman" w:hAnsi="Times New Roman" w:cs="Times New Roman" w:eastAsiaTheme="minorHAnsi"/>
          <w:color w:val="222222"/>
          <w:sz w:val="28"/>
          <w:szCs w:val="28"/>
          <w:shd w:val="clear" w:color="auto" w:fill="FFFFFF"/>
          <w:lang w:eastAsia="en-US"/>
        </w:rPr>
        <w:t>. Routledge.</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Feinberg, M. and Willer, R., 2019. Moral reframing: A technique for effective and persuasive communication across political divides. </w:t>
      </w:r>
      <w:r>
        <w:rPr>
          <w:rFonts w:ascii="Times New Roman" w:hAnsi="Times New Roman" w:cs="Times New Roman" w:eastAsiaTheme="minorHAnsi"/>
          <w:i/>
          <w:iCs/>
          <w:color w:val="222222"/>
          <w:sz w:val="28"/>
          <w:szCs w:val="28"/>
          <w:shd w:val="clear" w:color="auto" w:fill="FFFFFF"/>
          <w:lang w:eastAsia="en-US"/>
        </w:rPr>
        <w:t>Social and Personality Psychology Compass</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13</w:t>
      </w:r>
      <w:r>
        <w:rPr>
          <w:rFonts w:ascii="Times New Roman" w:hAnsi="Times New Roman" w:cs="Times New Roman" w:eastAsiaTheme="minorHAnsi"/>
          <w:color w:val="222222"/>
          <w:sz w:val="28"/>
          <w:szCs w:val="28"/>
          <w:shd w:val="clear" w:color="auto" w:fill="FFFFFF"/>
          <w:lang w:eastAsia="en-US"/>
        </w:rPr>
        <w:t>(12), p.e12501.</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Gupta, M. and Gupta, S., 2019. Influence of national cultures on operations management and supply chain management practices—a research agenda. </w:t>
      </w:r>
      <w:r>
        <w:rPr>
          <w:rFonts w:ascii="Times New Roman" w:hAnsi="Times New Roman" w:cs="Times New Roman" w:eastAsiaTheme="minorHAnsi"/>
          <w:i/>
          <w:iCs/>
          <w:color w:val="222222"/>
          <w:sz w:val="28"/>
          <w:szCs w:val="28"/>
          <w:shd w:val="clear" w:color="auto" w:fill="FFFFFF"/>
          <w:lang w:eastAsia="en-US"/>
        </w:rPr>
        <w:t>Production and Operations Management</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28</w:t>
      </w:r>
      <w:r>
        <w:rPr>
          <w:rFonts w:ascii="Times New Roman" w:hAnsi="Times New Roman" w:cs="Times New Roman" w:eastAsiaTheme="minorHAnsi"/>
          <w:color w:val="222222"/>
          <w:sz w:val="28"/>
          <w:szCs w:val="28"/>
          <w:shd w:val="clear" w:color="auto" w:fill="FFFFFF"/>
          <w:lang w:eastAsia="en-US"/>
        </w:rPr>
        <w:t>(11), pp.2681-2698.</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Hampden-Turner, C., Trompenaars, F. and Hampden-Turner, C., 2020. </w:t>
      </w:r>
      <w:r>
        <w:rPr>
          <w:rFonts w:ascii="Times New Roman" w:hAnsi="Times New Roman" w:cs="Times New Roman" w:eastAsiaTheme="minorHAnsi"/>
          <w:i/>
          <w:iCs/>
          <w:color w:val="222222"/>
          <w:sz w:val="28"/>
          <w:szCs w:val="28"/>
          <w:shd w:val="clear" w:color="auto" w:fill="FFFFFF"/>
          <w:lang w:eastAsia="en-US"/>
        </w:rPr>
        <w:t>Riding the waves of culture: Understanding diversity in global business</w:t>
      </w:r>
      <w:r>
        <w:rPr>
          <w:rFonts w:ascii="Times New Roman" w:hAnsi="Times New Roman" w:cs="Times New Roman" w:eastAsiaTheme="minorHAnsi"/>
          <w:color w:val="222222"/>
          <w:sz w:val="28"/>
          <w:szCs w:val="28"/>
          <w:shd w:val="clear" w:color="auto" w:fill="FFFFFF"/>
          <w:lang w:eastAsia="en-US"/>
        </w:rPr>
        <w:t>. Hachette UK.</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Kamalaldin, A., Linde, L., Sjödin, D. and Parida, V., 2020. Transforming provider-customer relationships in digital servitization: A relational view on digitalization. </w:t>
      </w:r>
      <w:r>
        <w:rPr>
          <w:rFonts w:ascii="Times New Roman" w:hAnsi="Times New Roman" w:cs="Times New Roman" w:eastAsiaTheme="minorHAnsi"/>
          <w:i/>
          <w:iCs/>
          <w:color w:val="222222"/>
          <w:sz w:val="28"/>
          <w:szCs w:val="28"/>
          <w:shd w:val="clear" w:color="auto" w:fill="FFFFFF"/>
          <w:lang w:eastAsia="en-US"/>
        </w:rPr>
        <w:t>Industrial Marketing Management</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89</w:t>
      </w:r>
      <w:r>
        <w:rPr>
          <w:rFonts w:ascii="Times New Roman" w:hAnsi="Times New Roman" w:cs="Times New Roman" w:eastAsiaTheme="minorHAnsi"/>
          <w:color w:val="222222"/>
          <w:sz w:val="28"/>
          <w:szCs w:val="28"/>
          <w:shd w:val="clear" w:color="auto" w:fill="FFFFFF"/>
          <w:lang w:eastAsia="en-US"/>
        </w:rPr>
        <w:t>, pp.306-325.</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Koyuncu, A.G. and Denise Chipindu, R., 2020. How cultural differences influence conflict within an organization: a case study of Near East University. </w:t>
      </w:r>
      <w:r>
        <w:rPr>
          <w:rFonts w:ascii="Times New Roman" w:hAnsi="Times New Roman" w:cs="Times New Roman" w:eastAsiaTheme="minorHAnsi"/>
          <w:i/>
          <w:iCs/>
          <w:color w:val="222222"/>
          <w:sz w:val="28"/>
          <w:szCs w:val="28"/>
          <w:shd w:val="clear" w:color="auto" w:fill="FFFFFF"/>
          <w:lang w:eastAsia="en-US"/>
        </w:rPr>
        <w:t>International Journal of Organizational Leadership</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8</w:t>
      </w:r>
      <w:r>
        <w:rPr>
          <w:rFonts w:ascii="Times New Roman" w:hAnsi="Times New Roman" w:cs="Times New Roman" w:eastAsiaTheme="minorHAnsi"/>
          <w:color w:val="222222"/>
          <w:sz w:val="28"/>
          <w:szCs w:val="28"/>
          <w:shd w:val="clear" w:color="auto" w:fill="FFFFFF"/>
          <w:lang w:eastAsia="en-US"/>
        </w:rPr>
        <w:t>(1), pp.112-128.</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Lomer, S. and Mittelmeier, J., 2023. Mapping the research on pedagogies with international students in the UK: A systematic literature review. </w:t>
      </w:r>
      <w:r>
        <w:rPr>
          <w:rFonts w:ascii="Times New Roman" w:hAnsi="Times New Roman" w:cs="Times New Roman" w:eastAsiaTheme="minorHAnsi"/>
          <w:i/>
          <w:iCs/>
          <w:color w:val="222222"/>
          <w:sz w:val="28"/>
          <w:szCs w:val="28"/>
          <w:shd w:val="clear" w:color="auto" w:fill="FFFFFF"/>
          <w:lang w:eastAsia="en-US"/>
        </w:rPr>
        <w:t>Teaching in Higher Education</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28</w:t>
      </w:r>
      <w:r>
        <w:rPr>
          <w:rFonts w:ascii="Times New Roman" w:hAnsi="Times New Roman" w:cs="Times New Roman" w:eastAsiaTheme="minorHAnsi"/>
          <w:color w:val="222222"/>
          <w:sz w:val="28"/>
          <w:szCs w:val="28"/>
          <w:shd w:val="clear" w:color="auto" w:fill="FFFFFF"/>
          <w:lang w:eastAsia="en-US"/>
        </w:rPr>
        <w:t>(6), pp.1243-1263.</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Luo, Y. and Shenkar, O., 2017. The multinational corporation as a multilingual community: Language and organization in a global context. </w:t>
      </w:r>
      <w:r>
        <w:rPr>
          <w:rFonts w:ascii="Times New Roman" w:hAnsi="Times New Roman" w:cs="Times New Roman" w:eastAsiaTheme="minorHAnsi"/>
          <w:i/>
          <w:iCs/>
          <w:color w:val="222222"/>
          <w:sz w:val="28"/>
          <w:szCs w:val="28"/>
          <w:shd w:val="clear" w:color="auto" w:fill="FFFFFF"/>
          <w:lang w:eastAsia="en-US"/>
        </w:rPr>
        <w:t>Language in International Business: Developing a Field</w:t>
      </w:r>
      <w:r>
        <w:rPr>
          <w:rFonts w:ascii="Times New Roman" w:hAnsi="Times New Roman" w:cs="Times New Roman" w:eastAsiaTheme="minorHAnsi"/>
          <w:color w:val="222222"/>
          <w:sz w:val="28"/>
          <w:szCs w:val="28"/>
          <w:shd w:val="clear" w:color="auto" w:fill="FFFFFF"/>
          <w:lang w:eastAsia="en-US"/>
        </w:rPr>
        <w:t>, pp.59-92.</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Mikadze, L., 2022. </w:t>
      </w:r>
      <w:r>
        <w:rPr>
          <w:rFonts w:ascii="Times New Roman" w:hAnsi="Times New Roman" w:cs="Times New Roman" w:eastAsiaTheme="minorHAnsi"/>
          <w:i/>
          <w:iCs/>
          <w:color w:val="222222"/>
          <w:sz w:val="28"/>
          <w:szCs w:val="28"/>
          <w:shd w:val="clear" w:color="auto" w:fill="FFFFFF"/>
          <w:lang w:eastAsia="en-US"/>
        </w:rPr>
        <w:t>What positive impact does cultural diversity have on team outcomes? Ways of increasing its advantages. Systematic Literature Review</w:t>
      </w:r>
      <w:r>
        <w:rPr>
          <w:rFonts w:ascii="Times New Roman" w:hAnsi="Times New Roman" w:cs="Times New Roman" w:eastAsiaTheme="minorHAnsi"/>
          <w:color w:val="222222"/>
          <w:sz w:val="28"/>
          <w:szCs w:val="28"/>
          <w:shd w:val="clear" w:color="auto" w:fill="FFFFFF"/>
          <w:lang w:eastAsia="en-US"/>
        </w:rPr>
        <w:t> (Master's thesis, Handelshøyskolen BI).</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OBIEZEKWEM, C.J., 2020. Value Differences And Organizational Productivity In Multinational Companies In Port Harcourt. </w:t>
      </w:r>
      <w:r>
        <w:rPr>
          <w:rFonts w:ascii="Times New Roman" w:hAnsi="Times New Roman" w:cs="Times New Roman" w:eastAsiaTheme="minorHAnsi"/>
          <w:i/>
          <w:iCs/>
          <w:color w:val="222222"/>
          <w:sz w:val="28"/>
          <w:szCs w:val="28"/>
          <w:shd w:val="clear" w:color="auto" w:fill="FFFFFF"/>
          <w:lang w:eastAsia="en-US"/>
        </w:rPr>
        <w:t>International Journal of Innovative Social Sciences &amp; Humanities Research</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8</w:t>
      </w:r>
      <w:r>
        <w:rPr>
          <w:rFonts w:ascii="Times New Roman" w:hAnsi="Times New Roman" w:cs="Times New Roman" w:eastAsiaTheme="minorHAnsi"/>
          <w:color w:val="222222"/>
          <w:sz w:val="28"/>
          <w:szCs w:val="28"/>
          <w:shd w:val="clear" w:color="auto" w:fill="FFFFFF"/>
          <w:lang w:eastAsia="en-US"/>
        </w:rPr>
        <w:t>(3), pp.127-135.</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Patel, J.D., Trivedi, R.H. and Yagnik, A., 2020. Self-identity and internal environmental locus of control: Comparing their influences on green purchase intentions in high-context versus low-context cultures. </w:t>
      </w:r>
      <w:r>
        <w:rPr>
          <w:rFonts w:ascii="Times New Roman" w:hAnsi="Times New Roman" w:cs="Times New Roman" w:eastAsiaTheme="minorHAnsi"/>
          <w:i/>
          <w:iCs/>
          <w:color w:val="222222"/>
          <w:sz w:val="28"/>
          <w:szCs w:val="28"/>
          <w:shd w:val="clear" w:color="auto" w:fill="FFFFFF"/>
          <w:lang w:eastAsia="en-US"/>
        </w:rPr>
        <w:t>Journal of Retailing and Consumer Services</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53</w:t>
      </w:r>
      <w:r>
        <w:rPr>
          <w:rFonts w:ascii="Times New Roman" w:hAnsi="Times New Roman" w:cs="Times New Roman" w:eastAsiaTheme="minorHAnsi"/>
          <w:color w:val="222222"/>
          <w:sz w:val="28"/>
          <w:szCs w:val="28"/>
          <w:shd w:val="clear" w:color="auto" w:fill="FFFFFF"/>
          <w:lang w:eastAsia="en-US"/>
        </w:rPr>
        <w:t>, p.102003.</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Peng, M.W., 2022. </w:t>
      </w:r>
      <w:r>
        <w:rPr>
          <w:rFonts w:ascii="Times New Roman" w:hAnsi="Times New Roman" w:cs="Times New Roman" w:eastAsiaTheme="minorHAnsi"/>
          <w:i/>
          <w:iCs/>
          <w:color w:val="222222"/>
          <w:sz w:val="28"/>
          <w:szCs w:val="28"/>
          <w:shd w:val="clear" w:color="auto" w:fill="FFFFFF"/>
          <w:lang w:eastAsia="en-US"/>
        </w:rPr>
        <w:t>Global business</w:t>
      </w:r>
      <w:r>
        <w:rPr>
          <w:rFonts w:ascii="Times New Roman" w:hAnsi="Times New Roman" w:cs="Times New Roman" w:eastAsiaTheme="minorHAnsi"/>
          <w:color w:val="222222"/>
          <w:sz w:val="28"/>
          <w:szCs w:val="28"/>
          <w:shd w:val="clear" w:color="auto" w:fill="FFFFFF"/>
          <w:lang w:eastAsia="en-US"/>
        </w:rPr>
        <w:t>. Cengage learning.</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Pirlog, A., 2021. National Cultural Profile in the Republic of Moldova According Hofstede and Trompenaars-Hampden-Turner Models. </w:t>
      </w:r>
      <w:r>
        <w:rPr>
          <w:rFonts w:ascii="Times New Roman" w:hAnsi="Times New Roman" w:cs="Times New Roman" w:eastAsiaTheme="minorHAnsi"/>
          <w:i/>
          <w:iCs/>
          <w:color w:val="222222"/>
          <w:sz w:val="28"/>
          <w:szCs w:val="28"/>
          <w:shd w:val="clear" w:color="auto" w:fill="FFFFFF"/>
          <w:lang w:eastAsia="en-US"/>
        </w:rPr>
        <w:t>Revista de Management Comparat Internațional</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22</w:t>
      </w:r>
      <w:r>
        <w:rPr>
          <w:rFonts w:ascii="Times New Roman" w:hAnsi="Times New Roman" w:cs="Times New Roman" w:eastAsiaTheme="minorHAnsi"/>
          <w:color w:val="222222"/>
          <w:sz w:val="28"/>
          <w:szCs w:val="28"/>
          <w:shd w:val="clear" w:color="auto" w:fill="FFFFFF"/>
          <w:lang w:eastAsia="en-US"/>
        </w:rPr>
        <w:t>(4), pp.450-457.</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Ting-Toomey, S. and Dorjee, T., 2018. </w:t>
      </w:r>
      <w:r>
        <w:rPr>
          <w:rFonts w:ascii="Times New Roman" w:hAnsi="Times New Roman" w:cs="Times New Roman" w:eastAsiaTheme="minorHAnsi"/>
          <w:i/>
          <w:iCs/>
          <w:color w:val="222222"/>
          <w:sz w:val="28"/>
          <w:szCs w:val="28"/>
          <w:shd w:val="clear" w:color="auto" w:fill="FFFFFF"/>
          <w:lang w:eastAsia="en-US"/>
        </w:rPr>
        <w:t>Communicating across cultures</w:t>
      </w:r>
      <w:r>
        <w:rPr>
          <w:rFonts w:ascii="Times New Roman" w:hAnsi="Times New Roman" w:cs="Times New Roman" w:eastAsiaTheme="minorHAnsi"/>
          <w:color w:val="222222"/>
          <w:sz w:val="28"/>
          <w:szCs w:val="28"/>
          <w:shd w:val="clear" w:color="auto" w:fill="FFFFFF"/>
          <w:lang w:eastAsia="en-US"/>
        </w:rPr>
        <w:t>. Guilford Publications.</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Verluyten, S.P., 2020. Cultural biases in intercultural business communication courses and how to avoid them. In </w:t>
      </w:r>
      <w:r>
        <w:rPr>
          <w:rFonts w:ascii="Times New Roman" w:hAnsi="Times New Roman" w:cs="Times New Roman" w:eastAsiaTheme="minorHAnsi"/>
          <w:i/>
          <w:iCs/>
          <w:color w:val="222222"/>
          <w:sz w:val="28"/>
          <w:szCs w:val="28"/>
          <w:shd w:val="clear" w:color="auto" w:fill="FFFFFF"/>
          <w:lang w:eastAsia="en-US"/>
        </w:rPr>
        <w:t>Exploring the Rhetoric of International Professional Communication</w:t>
      </w:r>
      <w:r>
        <w:rPr>
          <w:rFonts w:ascii="Times New Roman" w:hAnsi="Times New Roman" w:cs="Times New Roman" w:eastAsiaTheme="minorHAnsi"/>
          <w:color w:val="222222"/>
          <w:sz w:val="28"/>
          <w:szCs w:val="28"/>
          <w:shd w:val="clear" w:color="auto" w:fill="FFFFFF"/>
          <w:lang w:eastAsia="en-US"/>
        </w:rPr>
        <w:t> (pp. 191-209). Routledge.</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Wang, C., Shao, X., Do, K.A., Lu, H.K., O’Neal, C.R. and Zhang, Y., 2021. Using participatory culture-specific consultation with Asian American communities: Identifying challenges and solutions for Asian American immigrant families. </w:t>
      </w:r>
      <w:r>
        <w:rPr>
          <w:rFonts w:ascii="Times New Roman" w:hAnsi="Times New Roman" w:cs="Times New Roman" w:eastAsiaTheme="minorHAnsi"/>
          <w:i/>
          <w:iCs/>
          <w:color w:val="222222"/>
          <w:sz w:val="28"/>
          <w:szCs w:val="28"/>
          <w:shd w:val="clear" w:color="auto" w:fill="FFFFFF"/>
          <w:lang w:eastAsia="en-US"/>
        </w:rPr>
        <w:t>Journal of Educational and Psychological Consultation</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31</w:t>
      </w:r>
      <w:r>
        <w:rPr>
          <w:rFonts w:ascii="Times New Roman" w:hAnsi="Times New Roman" w:cs="Times New Roman" w:eastAsiaTheme="minorHAnsi"/>
          <w:color w:val="222222"/>
          <w:sz w:val="28"/>
          <w:szCs w:val="28"/>
          <w:shd w:val="clear" w:color="auto" w:fill="FFFFFF"/>
          <w:lang w:eastAsia="en-US"/>
        </w:rPr>
        <w:t>(1), pp.17-38.</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r>
        <w:rPr>
          <w:rFonts w:ascii="Times New Roman" w:hAnsi="Times New Roman" w:cs="Times New Roman" w:eastAsiaTheme="minorHAnsi"/>
          <w:color w:val="222222"/>
          <w:sz w:val="28"/>
          <w:szCs w:val="28"/>
          <w:shd w:val="clear" w:color="auto" w:fill="FFFFFF"/>
          <w:lang w:eastAsia="en-US"/>
        </w:rPr>
        <w:t>Wild, J.J. and Wild, K.L., 2019. </w:t>
      </w:r>
      <w:r>
        <w:rPr>
          <w:rFonts w:ascii="Times New Roman" w:hAnsi="Times New Roman" w:cs="Times New Roman" w:eastAsiaTheme="minorHAnsi"/>
          <w:i/>
          <w:iCs/>
          <w:color w:val="222222"/>
          <w:sz w:val="28"/>
          <w:szCs w:val="28"/>
          <w:shd w:val="clear" w:color="auto" w:fill="FFFFFF"/>
          <w:lang w:eastAsia="en-US"/>
        </w:rPr>
        <w:t>International business: The challenges of globalization</w:t>
      </w:r>
      <w:r>
        <w:rPr>
          <w:rFonts w:ascii="Times New Roman" w:hAnsi="Times New Roman" w:cs="Times New Roman" w:eastAsiaTheme="minorHAnsi"/>
          <w:color w:val="222222"/>
          <w:sz w:val="28"/>
          <w:szCs w:val="28"/>
          <w:shd w:val="clear" w:color="auto" w:fill="FFFFFF"/>
          <w:lang w:eastAsia="en-US"/>
        </w:rPr>
        <w:t>. Pearson.</w:t>
      </w:r>
    </w:p>
    <w:p>
      <w:pPr>
        <w:spacing w:after="0" w:line="360" w:lineRule="auto"/>
        <w:ind w:left="720" w:hanging="720"/>
        <w:jc w:val="both"/>
        <w:rPr>
          <w:rFonts w:ascii="Times New Roman" w:hAnsi="Times New Roman" w:cs="Times New Roman" w:eastAsiaTheme="minorHAnsi"/>
          <w:color w:val="222222"/>
          <w:sz w:val="28"/>
          <w:szCs w:val="28"/>
          <w:shd w:val="clear" w:color="auto" w:fill="FFFFFF"/>
          <w:lang w:eastAsia="en-US"/>
        </w:rPr>
      </w:pPr>
    </w:p>
    <w:p>
      <w:pPr>
        <w:spacing w:after="0" w:line="360" w:lineRule="auto"/>
        <w:ind w:left="720" w:hanging="720"/>
        <w:jc w:val="both"/>
        <w:rPr>
          <w:rFonts w:ascii="Times New Roman" w:hAnsi="Times New Roman" w:cs="Times New Roman" w:eastAsiaTheme="minorHAnsi"/>
          <w:b/>
          <w:bCs/>
          <w:sz w:val="28"/>
          <w:szCs w:val="28"/>
          <w:lang w:eastAsia="en-US"/>
        </w:rPr>
      </w:pPr>
      <w:r>
        <w:rPr>
          <w:rFonts w:ascii="Times New Roman" w:hAnsi="Times New Roman" w:cs="Times New Roman" w:eastAsiaTheme="minorHAnsi"/>
          <w:color w:val="222222"/>
          <w:sz w:val="28"/>
          <w:szCs w:val="28"/>
          <w:shd w:val="clear" w:color="auto" w:fill="FFFFFF"/>
          <w:lang w:eastAsia="en-US"/>
        </w:rPr>
        <w:t>Yama, H. and Zakaria, N., 2019. Explanations for cultural differences in thinking: Easterners’ dialectical thinking and Westerners’ linear thinking. </w:t>
      </w:r>
      <w:r>
        <w:rPr>
          <w:rFonts w:ascii="Times New Roman" w:hAnsi="Times New Roman" w:cs="Times New Roman" w:eastAsiaTheme="minorHAnsi"/>
          <w:i/>
          <w:iCs/>
          <w:color w:val="222222"/>
          <w:sz w:val="28"/>
          <w:szCs w:val="28"/>
          <w:shd w:val="clear" w:color="auto" w:fill="FFFFFF"/>
          <w:lang w:eastAsia="en-US"/>
        </w:rPr>
        <w:t>Journal of Cognitive Psychology</w:t>
      </w:r>
      <w:r>
        <w:rPr>
          <w:rFonts w:ascii="Times New Roman" w:hAnsi="Times New Roman" w:cs="Times New Roman" w:eastAsiaTheme="minorHAnsi"/>
          <w:color w:val="222222"/>
          <w:sz w:val="28"/>
          <w:szCs w:val="28"/>
          <w:shd w:val="clear" w:color="auto" w:fill="FFFFFF"/>
          <w:lang w:eastAsia="en-US"/>
        </w:rPr>
        <w:t>, </w:t>
      </w:r>
      <w:r>
        <w:rPr>
          <w:rFonts w:ascii="Times New Roman" w:hAnsi="Times New Roman" w:cs="Times New Roman" w:eastAsiaTheme="minorHAnsi"/>
          <w:i/>
          <w:iCs/>
          <w:color w:val="222222"/>
          <w:sz w:val="28"/>
          <w:szCs w:val="28"/>
          <w:shd w:val="clear" w:color="auto" w:fill="FFFFFF"/>
          <w:lang w:eastAsia="en-US"/>
        </w:rPr>
        <w:t>31</w:t>
      </w:r>
      <w:r>
        <w:rPr>
          <w:rFonts w:ascii="Times New Roman" w:hAnsi="Times New Roman" w:cs="Times New Roman" w:eastAsiaTheme="minorHAnsi"/>
          <w:color w:val="222222"/>
          <w:sz w:val="28"/>
          <w:szCs w:val="28"/>
          <w:shd w:val="clear" w:color="auto" w:fill="FFFFFF"/>
          <w:lang w:eastAsia="en-US"/>
        </w:rPr>
        <w:t>(4), pp.487-506.</w:t>
      </w:r>
    </w:p>
    <w:p>
      <w:pPr>
        <w:spacing w:after="0" w:line="360" w:lineRule="auto"/>
        <w:jc w:val="both"/>
        <w:rPr>
          <w:rFonts w:ascii="Times New Roman" w:hAnsi="Times New Roman" w:cs="Times New Roman" w:eastAsiaTheme="minorHAnsi"/>
          <w:b/>
          <w:bCs/>
          <w:sz w:val="28"/>
          <w:szCs w:val="28"/>
          <w:lang w:eastAsia="en-US"/>
        </w:rPr>
      </w:pPr>
    </w:p>
    <w:p>
      <w:pPr>
        <w:spacing w:after="0" w:line="360" w:lineRule="auto"/>
        <w:jc w:val="both"/>
        <w:rPr>
          <w:rFonts w:ascii="Times New Roman" w:hAnsi="Times New Roman" w:cs="Times New Roman" w:eastAsiaTheme="minorHAnsi"/>
          <w:b/>
          <w:bCs/>
          <w:sz w:val="24"/>
          <w:szCs w:val="24"/>
          <w:lang w:eastAsia="en-US"/>
        </w:rPr>
      </w:pPr>
    </w:p>
    <w:p>
      <w:pPr>
        <w:spacing w:after="0" w:line="360" w:lineRule="auto"/>
        <w:jc w:val="both"/>
        <w:rPr>
          <w:rFonts w:ascii="Times New Roman" w:hAnsi="Times New Roman" w:cs="Times New Roman" w:eastAsiaTheme="minorHAnsi"/>
          <w:b/>
          <w:bCs/>
          <w:sz w:val="24"/>
          <w:szCs w:val="24"/>
          <w:lang w:eastAsia="en-US"/>
        </w:rPr>
      </w:pPr>
    </w:p>
    <w:p>
      <w:pPr>
        <w:spacing w:after="0" w:line="360" w:lineRule="auto"/>
        <w:jc w:val="both"/>
        <w:rPr>
          <w:rFonts w:ascii="Times New Roman" w:hAnsi="Times New Roman" w:cs="Times New Roman" w:eastAsiaTheme="minorHAnsi"/>
          <w:b/>
          <w:bCs/>
          <w:sz w:val="24"/>
          <w:szCs w:val="24"/>
          <w:lang w:eastAsia="en-US"/>
        </w:rPr>
      </w:pPr>
    </w:p>
    <w:p>
      <w:pPr>
        <w:spacing w:after="0" w:line="360" w:lineRule="auto"/>
        <w:jc w:val="both"/>
        <w:rPr>
          <w:rFonts w:ascii="Times New Roman" w:hAnsi="Times New Roman" w:cs="Times New Roman" w:eastAsiaTheme="minorHAnsi"/>
          <w:sz w:val="24"/>
          <w:szCs w:val="24"/>
          <w:lang w:eastAsia="en-US"/>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2MzBjZDFmNDc3OTkxNDJiMDg2MGRmNjk0YzE3MWEifQ=="/>
  </w:docVars>
  <w:rsids>
    <w:rsidRoot w:val="00571F12"/>
    <w:rsid w:val="00102068"/>
    <w:rsid w:val="001652C1"/>
    <w:rsid w:val="00334394"/>
    <w:rsid w:val="00390E8A"/>
    <w:rsid w:val="00571F12"/>
    <w:rsid w:val="007C4355"/>
    <w:rsid w:val="00905F82"/>
    <w:rsid w:val="009674A2"/>
    <w:rsid w:val="009F26EF"/>
    <w:rsid w:val="00A85BB5"/>
    <w:rsid w:val="00D86589"/>
    <w:rsid w:val="00E83D82"/>
    <w:rsid w:val="00F81595"/>
    <w:rsid w:val="2EA77A6D"/>
    <w:rsid w:val="4F62254F"/>
    <w:rsid w:val="70E127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sz w:val="32"/>
      <w:szCs w:val="32"/>
    </w:rPr>
  </w:style>
  <w:style w:type="paragraph" w:styleId="3">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sz w:val="26"/>
      <w:szCs w:val="26"/>
    </w:rPr>
  </w:style>
  <w:style w:type="paragraph" w:styleId="4">
    <w:name w:val="heading 3"/>
    <w:basedOn w:val="1"/>
    <w:next w:val="1"/>
    <w:link w:val="17"/>
    <w:unhideWhenUsed/>
    <w:qFormat/>
    <w:uiPriority w:val="9"/>
    <w:pPr>
      <w:keepNext/>
      <w:keepLines/>
      <w:spacing w:before="40" w:after="0"/>
      <w:outlineLvl w:val="2"/>
    </w:pPr>
    <w:rPr>
      <w:rFonts w:asciiTheme="majorHAnsi" w:hAnsiTheme="majorHAnsi" w:eastAsiaTheme="majorEastAsia" w:cstheme="majorBidi"/>
      <w:sz w:val="24"/>
      <w:szCs w:val="24"/>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unhideWhenUsed/>
    <w:uiPriority w:val="39"/>
    <w:pPr>
      <w:spacing w:after="100"/>
      <w:ind w:left="440"/>
    </w:pPr>
  </w:style>
  <w:style w:type="paragraph" w:styleId="6">
    <w:name w:val="toc 1"/>
    <w:basedOn w:val="1"/>
    <w:next w:val="1"/>
    <w:unhideWhenUsed/>
    <w:qFormat/>
    <w:uiPriority w:val="39"/>
    <w:pPr>
      <w:spacing w:after="100"/>
    </w:pPr>
  </w:style>
  <w:style w:type="paragraph" w:styleId="7">
    <w:name w:val="toc 2"/>
    <w:basedOn w:val="1"/>
    <w:next w:val="1"/>
    <w:unhideWhenUsed/>
    <w:qFormat/>
    <w:uiPriority w:val="39"/>
    <w:pPr>
      <w:spacing w:after="100"/>
      <w:ind w:left="220"/>
    </w:pPr>
  </w:style>
  <w:style w:type="character" w:styleId="10">
    <w:name w:val="Hyperlink"/>
    <w:basedOn w:val="9"/>
    <w:unhideWhenUsed/>
    <w:qFormat/>
    <w:uiPriority w:val="99"/>
    <w:rPr>
      <w:color w:val="0563C1" w:themeColor="hyperlink"/>
      <w:u w:val="single"/>
      <w14:textFill>
        <w14:solidFill>
          <w14:schemeClr w14:val="hlink"/>
        </w14:solidFill>
      </w14:textFill>
    </w:rPr>
  </w:style>
  <w:style w:type="paragraph" w:styleId="11">
    <w:name w:val="No Spacing"/>
    <w:link w:val="12"/>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2">
    <w:name w:val="No Spacing Char"/>
    <w:basedOn w:val="9"/>
    <w:link w:val="11"/>
    <w:uiPriority w:val="1"/>
    <w:rPr>
      <w:lang w:val="en-US" w:eastAsia="en-US"/>
    </w:rPr>
  </w:style>
  <w:style w:type="paragraph" w:styleId="13">
    <w:name w:val="List Paragraph"/>
    <w:basedOn w:val="1"/>
    <w:qFormat/>
    <w:uiPriority w:val="34"/>
    <w:pPr>
      <w:ind w:left="720"/>
      <w:contextualSpacing/>
    </w:pPr>
  </w:style>
  <w:style w:type="character" w:customStyle="1" w:styleId="14">
    <w:name w:val="Heading 1 Char"/>
    <w:basedOn w:val="9"/>
    <w:link w:val="2"/>
    <w:qFormat/>
    <w:uiPriority w:val="9"/>
    <w:rPr>
      <w:rFonts w:asciiTheme="majorHAnsi" w:hAnsiTheme="majorHAnsi" w:eastAsiaTheme="majorEastAsia" w:cstheme="majorBidi"/>
      <w:sz w:val="32"/>
      <w:szCs w:val="32"/>
    </w:rPr>
  </w:style>
  <w:style w:type="paragraph" w:customStyle="1" w:styleId="15">
    <w:name w:val="TOC Heading"/>
    <w:basedOn w:val="2"/>
    <w:next w:val="1"/>
    <w:unhideWhenUsed/>
    <w:qFormat/>
    <w:uiPriority w:val="39"/>
    <w:pPr>
      <w:outlineLvl w:val="9"/>
    </w:pPr>
    <w:rPr>
      <w:lang w:val="en-US" w:eastAsia="en-US"/>
    </w:rPr>
  </w:style>
  <w:style w:type="character" w:customStyle="1" w:styleId="16">
    <w:name w:val="Heading 2 Char"/>
    <w:basedOn w:val="9"/>
    <w:link w:val="3"/>
    <w:qFormat/>
    <w:uiPriority w:val="9"/>
    <w:rPr>
      <w:rFonts w:asciiTheme="majorHAnsi" w:hAnsiTheme="majorHAnsi" w:eastAsiaTheme="majorEastAsia" w:cstheme="majorBidi"/>
      <w:sz w:val="26"/>
      <w:szCs w:val="26"/>
    </w:rPr>
  </w:style>
  <w:style w:type="character" w:customStyle="1" w:styleId="17">
    <w:name w:val="Heading 3 Char"/>
    <w:basedOn w:val="9"/>
    <w:link w:val="4"/>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jpeg"/><Relationship Id="rId7" Type="http://schemas.openxmlformats.org/officeDocument/2006/relationships/image" Target="cid:image001.png@01D0EA4A.2BD679A0"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7AF871-5C8A-4F69-BC64-03EA830706DA}">
  <ds:schemaRefs/>
</ds:datastoreItem>
</file>

<file path=docProps/app.xml><?xml version="1.0" encoding="utf-8"?>
<Properties xmlns="http://schemas.openxmlformats.org/officeDocument/2006/extended-properties" xmlns:vt="http://schemas.openxmlformats.org/officeDocument/2006/docPropsVTypes">
  <Template>Normal</Template>
  <Pages>14</Pages>
  <Words>3692</Words>
  <Characters>22525</Characters>
  <Lines>1251</Lines>
  <Paragraphs>308</Paragraphs>
  <TotalTime>6</TotalTime>
  <ScaleCrop>false</ScaleCrop>
  <LinksUpToDate>false</LinksUpToDate>
  <CharactersWithSpaces>25909</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International Business Communications</cp:category>
  <dcterms:created xsi:type="dcterms:W3CDTF">2023-11-28T12:44:00Z</dcterms:created>
  <dc:creator>Gwyneth Jones</dc:creator>
  <cp:lastModifiedBy>梁上</cp:lastModifiedBy>
  <dcterms:modified xsi:type="dcterms:W3CDTF">2023-11-30T20:31:37Z</dcterms:modified>
  <dc:title>Integration of International Business Communications in British and Asian Cultures</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5F8AAFA43CAA4DA58B208FCC272DF40F_13</vt:lpwstr>
  </property>
</Properties>
</file>