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E4EF0F" w14:textId="77777777" w:rsidR="00024A9E" w:rsidRPr="00342F90" w:rsidRDefault="00691401">
      <w:pPr>
        <w:pStyle w:val="Heading1"/>
        <w:rPr>
          <w:rFonts w:ascii="Arial" w:hAnsi="Arial" w:cs="Arial"/>
          <w:sz w:val="24"/>
          <w:szCs w:val="24"/>
        </w:rPr>
      </w:pPr>
      <w:r w:rsidRPr="00342F90">
        <w:rPr>
          <w:rFonts w:ascii="Arial" w:hAnsi="Arial" w:cs="Arial"/>
          <w:color w:val="365F91"/>
          <w:sz w:val="24"/>
          <w:szCs w:val="24"/>
        </w:rPr>
        <w:t>MBA</w:t>
      </w:r>
      <w:r w:rsidRPr="00342F90">
        <w:rPr>
          <w:rFonts w:ascii="Arial" w:hAnsi="Arial" w:cs="Arial"/>
          <w:color w:val="365F91"/>
          <w:spacing w:val="-5"/>
          <w:sz w:val="24"/>
          <w:szCs w:val="24"/>
        </w:rPr>
        <w:t xml:space="preserve"> </w:t>
      </w:r>
      <w:r w:rsidRPr="00342F90">
        <w:rPr>
          <w:rFonts w:ascii="Arial" w:hAnsi="Arial" w:cs="Arial"/>
          <w:color w:val="365F91"/>
          <w:sz w:val="24"/>
          <w:szCs w:val="24"/>
        </w:rPr>
        <w:t>Dissertation</w:t>
      </w:r>
      <w:r w:rsidRPr="00342F90">
        <w:rPr>
          <w:rFonts w:ascii="Arial" w:hAnsi="Arial" w:cs="Arial"/>
          <w:color w:val="365F91"/>
          <w:spacing w:val="-4"/>
          <w:sz w:val="24"/>
          <w:szCs w:val="24"/>
        </w:rPr>
        <w:t xml:space="preserve"> </w:t>
      </w:r>
      <w:r w:rsidRPr="00342F90">
        <w:rPr>
          <w:rFonts w:ascii="Arial" w:hAnsi="Arial" w:cs="Arial"/>
          <w:color w:val="365F91"/>
          <w:spacing w:val="-2"/>
          <w:sz w:val="24"/>
          <w:szCs w:val="24"/>
        </w:rPr>
        <w:t>Proposal</w:t>
      </w:r>
    </w:p>
    <w:p w14:paraId="19E4EF10" w14:textId="77777777" w:rsidR="00024A9E" w:rsidRPr="00342F90" w:rsidRDefault="00691401" w:rsidP="00342F90">
      <w:pPr>
        <w:pStyle w:val="BodyText"/>
        <w:spacing w:before="50" w:line="276" w:lineRule="auto"/>
        <w:ind w:right="4004"/>
        <w:rPr>
          <w:color w:val="0D0D0D" w:themeColor="text1" w:themeTint="F2"/>
        </w:rPr>
      </w:pPr>
      <w:r w:rsidRPr="00342F90">
        <w:rPr>
          <w:color w:val="0D0D0D" w:themeColor="text1" w:themeTint="F2"/>
        </w:rPr>
        <w:t>Module: LCMB7035 – Dissertation</w:t>
      </w:r>
      <w:r w:rsidRPr="00342F90">
        <w:rPr>
          <w:color w:val="0D0D0D" w:themeColor="text1" w:themeTint="F2"/>
          <w:spacing w:val="40"/>
        </w:rPr>
        <w:t xml:space="preserve"> </w:t>
      </w:r>
      <w:proofErr w:type="spellStart"/>
      <w:r w:rsidRPr="00342F90">
        <w:rPr>
          <w:color w:val="0D0D0D" w:themeColor="text1" w:themeTint="F2"/>
        </w:rPr>
        <w:t>Programme</w:t>
      </w:r>
      <w:proofErr w:type="spellEnd"/>
      <w:r w:rsidRPr="00342F90">
        <w:rPr>
          <w:color w:val="0D0D0D" w:themeColor="text1" w:themeTint="F2"/>
        </w:rPr>
        <w:t>:</w:t>
      </w:r>
      <w:r w:rsidRPr="00342F90">
        <w:rPr>
          <w:color w:val="0D0D0D" w:themeColor="text1" w:themeTint="F2"/>
          <w:spacing w:val="-9"/>
        </w:rPr>
        <w:t xml:space="preserve"> </w:t>
      </w:r>
      <w:r w:rsidRPr="00342F90">
        <w:rPr>
          <w:color w:val="0D0D0D" w:themeColor="text1" w:themeTint="F2"/>
        </w:rPr>
        <w:t>Master</w:t>
      </w:r>
      <w:r w:rsidRPr="00342F90">
        <w:rPr>
          <w:color w:val="0D0D0D" w:themeColor="text1" w:themeTint="F2"/>
          <w:spacing w:val="-9"/>
        </w:rPr>
        <w:t xml:space="preserve"> </w:t>
      </w:r>
      <w:r w:rsidRPr="00342F90">
        <w:rPr>
          <w:color w:val="0D0D0D" w:themeColor="text1" w:themeTint="F2"/>
        </w:rPr>
        <w:t>of</w:t>
      </w:r>
      <w:r w:rsidRPr="00342F90">
        <w:rPr>
          <w:color w:val="0D0D0D" w:themeColor="text1" w:themeTint="F2"/>
          <w:spacing w:val="-11"/>
        </w:rPr>
        <w:t xml:space="preserve"> </w:t>
      </w:r>
      <w:r w:rsidRPr="00342F90">
        <w:rPr>
          <w:color w:val="0D0D0D" w:themeColor="text1" w:themeTint="F2"/>
        </w:rPr>
        <w:t>Business</w:t>
      </w:r>
      <w:r w:rsidRPr="00342F90">
        <w:rPr>
          <w:color w:val="0D0D0D" w:themeColor="text1" w:themeTint="F2"/>
          <w:spacing w:val="-11"/>
        </w:rPr>
        <w:t xml:space="preserve"> </w:t>
      </w:r>
      <w:r w:rsidRPr="00342F90">
        <w:rPr>
          <w:color w:val="0D0D0D" w:themeColor="text1" w:themeTint="F2"/>
        </w:rPr>
        <w:t>Administration</w:t>
      </w:r>
    </w:p>
    <w:p w14:paraId="19E4EF11" w14:textId="77777777" w:rsidR="00024A9E" w:rsidRPr="00342F90" w:rsidRDefault="00691401" w:rsidP="00342F90">
      <w:pPr>
        <w:pStyle w:val="BodyText"/>
        <w:spacing w:before="3" w:line="276" w:lineRule="auto"/>
        <w:ind w:right="1703"/>
        <w:rPr>
          <w:color w:val="0D0D0D" w:themeColor="text1" w:themeTint="F2"/>
        </w:rPr>
      </w:pPr>
      <w:r w:rsidRPr="00342F90">
        <w:rPr>
          <w:color w:val="0D0D0D" w:themeColor="text1" w:themeTint="F2"/>
        </w:rPr>
        <w:t>Institution:</w:t>
      </w:r>
      <w:r w:rsidRPr="00342F90">
        <w:rPr>
          <w:color w:val="0D0D0D" w:themeColor="text1" w:themeTint="F2"/>
          <w:spacing w:val="-7"/>
        </w:rPr>
        <w:t xml:space="preserve"> </w:t>
      </w:r>
      <w:r w:rsidRPr="00342F90">
        <w:rPr>
          <w:color w:val="0D0D0D" w:themeColor="text1" w:themeTint="F2"/>
        </w:rPr>
        <w:t>Institute</w:t>
      </w:r>
      <w:r w:rsidRPr="00342F90">
        <w:rPr>
          <w:color w:val="0D0D0D" w:themeColor="text1" w:themeTint="F2"/>
          <w:spacing w:val="-6"/>
        </w:rPr>
        <w:t xml:space="preserve"> </w:t>
      </w:r>
      <w:r w:rsidRPr="00342F90">
        <w:rPr>
          <w:color w:val="0D0D0D" w:themeColor="text1" w:themeTint="F2"/>
        </w:rPr>
        <w:t>of</w:t>
      </w:r>
      <w:r w:rsidRPr="00342F90">
        <w:rPr>
          <w:color w:val="0D0D0D" w:themeColor="text1" w:themeTint="F2"/>
          <w:spacing w:val="-5"/>
        </w:rPr>
        <w:t xml:space="preserve"> </w:t>
      </w:r>
      <w:r w:rsidRPr="00342F90">
        <w:rPr>
          <w:color w:val="0D0D0D" w:themeColor="text1" w:themeTint="F2"/>
        </w:rPr>
        <w:t>Inner-City</w:t>
      </w:r>
      <w:r w:rsidRPr="00342F90">
        <w:rPr>
          <w:color w:val="0D0D0D" w:themeColor="text1" w:themeTint="F2"/>
          <w:spacing w:val="-5"/>
        </w:rPr>
        <w:t xml:space="preserve"> </w:t>
      </w:r>
      <w:r w:rsidRPr="00342F90">
        <w:rPr>
          <w:color w:val="0D0D0D" w:themeColor="text1" w:themeTint="F2"/>
        </w:rPr>
        <w:t>Learning,</w:t>
      </w:r>
      <w:r w:rsidRPr="00342F90">
        <w:rPr>
          <w:color w:val="0D0D0D" w:themeColor="text1" w:themeTint="F2"/>
          <w:spacing w:val="-7"/>
        </w:rPr>
        <w:t xml:space="preserve"> </w:t>
      </w:r>
      <w:r w:rsidRPr="00342F90">
        <w:rPr>
          <w:color w:val="0D0D0D" w:themeColor="text1" w:themeTint="F2"/>
        </w:rPr>
        <w:t>London</w:t>
      </w:r>
      <w:r w:rsidRPr="00342F90">
        <w:rPr>
          <w:color w:val="0D0D0D" w:themeColor="text1" w:themeTint="F2"/>
          <w:spacing w:val="-5"/>
        </w:rPr>
        <w:t xml:space="preserve"> </w:t>
      </w:r>
      <w:r w:rsidRPr="00342F90">
        <w:rPr>
          <w:color w:val="0D0D0D" w:themeColor="text1" w:themeTint="F2"/>
        </w:rPr>
        <w:t xml:space="preserve">Campus </w:t>
      </w:r>
      <w:proofErr w:type="spellStart"/>
      <w:r w:rsidRPr="00342F90">
        <w:rPr>
          <w:color w:val="0D0D0D" w:themeColor="text1" w:themeTint="F2"/>
        </w:rPr>
        <w:t>Sobhagya</w:t>
      </w:r>
      <w:proofErr w:type="spellEnd"/>
      <w:r w:rsidRPr="00342F90">
        <w:rPr>
          <w:color w:val="0D0D0D" w:themeColor="text1" w:themeTint="F2"/>
        </w:rPr>
        <w:t xml:space="preserve"> Rana (2428116)</w:t>
      </w:r>
    </w:p>
    <w:p w14:paraId="19E4EF12" w14:textId="77777777" w:rsidR="00024A9E" w:rsidRPr="00342F90" w:rsidRDefault="00691401" w:rsidP="00342F90">
      <w:pPr>
        <w:pStyle w:val="BodyText"/>
        <w:spacing w:before="2" w:line="276" w:lineRule="auto"/>
        <w:rPr>
          <w:color w:val="0D0D0D" w:themeColor="text1" w:themeTint="F2"/>
        </w:rPr>
      </w:pPr>
      <w:hyperlink r:id="rId5">
        <w:r w:rsidRPr="00342F90">
          <w:rPr>
            <w:color w:val="0D0D0D" w:themeColor="text1" w:themeTint="F2"/>
            <w:spacing w:val="-2"/>
          </w:rPr>
          <w:t>2428116@student.uwtsd.ac.uk</w:t>
        </w:r>
      </w:hyperlink>
    </w:p>
    <w:p w14:paraId="341C3468" w14:textId="77777777" w:rsidR="00DF5BE9" w:rsidRPr="00342F90" w:rsidRDefault="00DF5BE9" w:rsidP="00342F90">
      <w:pPr>
        <w:pStyle w:val="BodyText"/>
        <w:spacing w:before="2" w:line="276" w:lineRule="auto"/>
        <w:rPr>
          <w:color w:val="0D0D0D" w:themeColor="text1" w:themeTint="F2"/>
        </w:rPr>
      </w:pPr>
    </w:p>
    <w:p w14:paraId="19E4EF13" w14:textId="77777777" w:rsidR="00024A9E" w:rsidRPr="00342F90" w:rsidRDefault="00691401" w:rsidP="00342F90">
      <w:pPr>
        <w:pStyle w:val="Heading2"/>
        <w:numPr>
          <w:ilvl w:val="0"/>
          <w:numId w:val="3"/>
        </w:numPr>
        <w:tabs>
          <w:tab w:val="left" w:pos="266"/>
        </w:tabs>
        <w:spacing w:before="243" w:line="276" w:lineRule="auto"/>
        <w:ind w:left="266" w:hanging="266"/>
        <w:rPr>
          <w:color w:val="0D0D0D" w:themeColor="text1" w:themeTint="F2"/>
        </w:rPr>
      </w:pPr>
      <w:r w:rsidRPr="00342F90">
        <w:rPr>
          <w:color w:val="0D0D0D" w:themeColor="text1" w:themeTint="F2"/>
          <w:spacing w:val="-2"/>
        </w:rPr>
        <w:t>Introduction</w:t>
      </w:r>
    </w:p>
    <w:p w14:paraId="1C4E4A5B" w14:textId="77777777" w:rsidR="00C67EB1" w:rsidRPr="00342F90" w:rsidRDefault="00C67EB1" w:rsidP="00342F90">
      <w:pPr>
        <w:pStyle w:val="Heading3"/>
        <w:spacing w:line="276" w:lineRule="auto"/>
        <w:rPr>
          <w:rFonts w:ascii="Arial" w:eastAsia="Times New Roman" w:hAnsi="Arial" w:cs="Arial"/>
          <w:color w:val="0D0D0D" w:themeColor="text1" w:themeTint="F2"/>
        </w:rPr>
      </w:pPr>
      <w:r w:rsidRPr="00342F90">
        <w:rPr>
          <w:rStyle w:val="Strong"/>
          <w:rFonts w:ascii="Arial" w:hAnsi="Arial" w:cs="Arial"/>
          <w:color w:val="0D0D0D" w:themeColor="text1" w:themeTint="F2"/>
        </w:rPr>
        <w:t>1.1 Title</w:t>
      </w:r>
    </w:p>
    <w:p w14:paraId="02874B6C" w14:textId="77777777" w:rsidR="00C67EB1" w:rsidRPr="00342F90" w:rsidRDefault="00C67EB1" w:rsidP="00342F90">
      <w:pPr>
        <w:pStyle w:val="NormalWeb"/>
        <w:spacing w:line="276" w:lineRule="auto"/>
        <w:rPr>
          <w:rFonts w:ascii="Arial" w:hAnsi="Arial" w:cs="Arial"/>
          <w:color w:val="0D0D0D" w:themeColor="text1" w:themeTint="F2"/>
        </w:rPr>
      </w:pPr>
      <w:r w:rsidRPr="00342F90">
        <w:rPr>
          <w:rStyle w:val="Strong"/>
          <w:rFonts w:ascii="Arial" w:hAnsi="Arial" w:cs="Arial"/>
          <w:b w:val="0"/>
          <w:bCs w:val="0"/>
          <w:color w:val="0D0D0D" w:themeColor="text1" w:themeTint="F2"/>
        </w:rPr>
        <w:t xml:space="preserve">“The Impact of </w:t>
      </w:r>
      <w:proofErr w:type="spellStart"/>
      <w:r w:rsidRPr="00342F90">
        <w:rPr>
          <w:rStyle w:val="Strong"/>
          <w:rFonts w:ascii="Arial" w:hAnsi="Arial" w:cs="Arial"/>
          <w:b w:val="0"/>
          <w:bCs w:val="0"/>
          <w:color w:val="0D0D0D" w:themeColor="text1" w:themeTint="F2"/>
        </w:rPr>
        <w:t>Globalisation</w:t>
      </w:r>
      <w:proofErr w:type="spellEnd"/>
      <w:r w:rsidRPr="00342F90">
        <w:rPr>
          <w:rStyle w:val="Strong"/>
          <w:rFonts w:ascii="Arial" w:hAnsi="Arial" w:cs="Arial"/>
          <w:b w:val="0"/>
          <w:bCs w:val="0"/>
          <w:color w:val="0D0D0D" w:themeColor="text1" w:themeTint="F2"/>
        </w:rPr>
        <w:t xml:space="preserve"> on the Financial Strategies of Multinational Corporations Operating in the UK and EU Region”</w:t>
      </w:r>
    </w:p>
    <w:p w14:paraId="0F4451E5" w14:textId="424FD822" w:rsidR="00C67EB1" w:rsidRPr="00342F90" w:rsidRDefault="00C67EB1" w:rsidP="00342F90">
      <w:pPr>
        <w:spacing w:line="276" w:lineRule="auto"/>
        <w:rPr>
          <w:color w:val="0D0D0D" w:themeColor="text1" w:themeTint="F2"/>
          <w:sz w:val="24"/>
          <w:szCs w:val="24"/>
        </w:rPr>
      </w:pPr>
    </w:p>
    <w:p w14:paraId="4B066860" w14:textId="77777777" w:rsidR="00C67EB1" w:rsidRPr="00342F90" w:rsidRDefault="00C67EB1" w:rsidP="00342F90">
      <w:pPr>
        <w:pStyle w:val="Heading3"/>
        <w:spacing w:line="276" w:lineRule="auto"/>
        <w:rPr>
          <w:rFonts w:ascii="Arial" w:hAnsi="Arial" w:cs="Arial"/>
          <w:color w:val="0D0D0D" w:themeColor="text1" w:themeTint="F2"/>
        </w:rPr>
      </w:pPr>
      <w:r w:rsidRPr="00342F90">
        <w:rPr>
          <w:rStyle w:val="Strong"/>
          <w:rFonts w:ascii="Arial" w:hAnsi="Arial" w:cs="Arial"/>
          <w:color w:val="0D0D0D" w:themeColor="text1" w:themeTint="F2"/>
        </w:rPr>
        <w:t>1.2 Background and Rationale</w:t>
      </w:r>
    </w:p>
    <w:p w14:paraId="4FDF0ED4" w14:textId="77777777" w:rsidR="00C67EB1" w:rsidRPr="00342F90" w:rsidRDefault="00C67EB1" w:rsidP="00342F90">
      <w:pPr>
        <w:pStyle w:val="NormalWeb"/>
        <w:spacing w:line="276" w:lineRule="auto"/>
        <w:rPr>
          <w:rFonts w:ascii="Arial" w:hAnsi="Arial" w:cs="Arial"/>
          <w:color w:val="0D0D0D" w:themeColor="text1" w:themeTint="F2"/>
        </w:rPr>
      </w:pPr>
      <w:proofErr w:type="spellStart"/>
      <w:r w:rsidRPr="00342F90">
        <w:rPr>
          <w:rFonts w:ascii="Arial" w:hAnsi="Arial" w:cs="Arial"/>
          <w:color w:val="0D0D0D" w:themeColor="text1" w:themeTint="F2"/>
        </w:rPr>
        <w:t>Globalisation</w:t>
      </w:r>
      <w:proofErr w:type="spellEnd"/>
      <w:r w:rsidRPr="00342F90">
        <w:rPr>
          <w:rFonts w:ascii="Arial" w:hAnsi="Arial" w:cs="Arial"/>
          <w:color w:val="0D0D0D" w:themeColor="text1" w:themeTint="F2"/>
        </w:rPr>
        <w:t xml:space="preserve"> has reshaped financial decision-making by enabling multinational corporations (MNCs) to access international capital, operate across several currencies, and participate in globally integrated supply chains. Firms in the UK and EU operate within highly </w:t>
      </w:r>
      <w:proofErr w:type="spellStart"/>
      <w:r w:rsidRPr="00342F90">
        <w:rPr>
          <w:rFonts w:ascii="Arial" w:hAnsi="Arial" w:cs="Arial"/>
          <w:color w:val="0D0D0D" w:themeColor="text1" w:themeTint="F2"/>
        </w:rPr>
        <w:t>liberalised</w:t>
      </w:r>
      <w:proofErr w:type="spellEnd"/>
      <w:r w:rsidRPr="00342F90">
        <w:rPr>
          <w:rFonts w:ascii="Arial" w:hAnsi="Arial" w:cs="Arial"/>
          <w:color w:val="0D0D0D" w:themeColor="text1" w:themeTint="F2"/>
        </w:rPr>
        <w:t xml:space="preserve"> financial markets, but are exposed to significant volatility arising from exchange rate movements, geopolitical shifts, sustainability regulations, and cross-border debt financing requirements. As a result, financial strategies—such as capital structure, investment planning, risk-hedging and liquidity management—must be adapted to global competitive pressures rather than domestic conditions alone.</w:t>
      </w:r>
    </w:p>
    <w:p w14:paraId="3B48C0B2" w14:textId="77777777" w:rsidR="00C67EB1" w:rsidRPr="00342F90" w:rsidRDefault="00C67EB1" w:rsidP="00342F90">
      <w:pPr>
        <w:pStyle w:val="NormalWeb"/>
        <w:spacing w:line="276" w:lineRule="auto"/>
        <w:rPr>
          <w:rFonts w:ascii="Arial" w:hAnsi="Arial" w:cs="Arial"/>
          <w:color w:val="0D0D0D" w:themeColor="text1" w:themeTint="F2"/>
        </w:rPr>
      </w:pPr>
      <w:r w:rsidRPr="00342F90">
        <w:rPr>
          <w:rFonts w:ascii="Arial" w:hAnsi="Arial" w:cs="Arial"/>
          <w:color w:val="0D0D0D" w:themeColor="text1" w:themeTint="F2"/>
        </w:rPr>
        <w:t xml:space="preserve">This study focuses on multinational </w:t>
      </w:r>
      <w:proofErr w:type="spellStart"/>
      <w:r w:rsidRPr="00342F90">
        <w:rPr>
          <w:rFonts w:ascii="Arial" w:hAnsi="Arial" w:cs="Arial"/>
          <w:color w:val="0D0D0D" w:themeColor="text1" w:themeTint="F2"/>
        </w:rPr>
        <w:t>organisations</w:t>
      </w:r>
      <w:proofErr w:type="spellEnd"/>
      <w:r w:rsidRPr="00342F90">
        <w:rPr>
          <w:rFonts w:ascii="Arial" w:hAnsi="Arial" w:cs="Arial"/>
          <w:color w:val="0D0D0D" w:themeColor="text1" w:themeTint="F2"/>
        </w:rPr>
        <w:t xml:space="preserve"> in the UK and EU because they operate in mature yet globally exposed markets, face increasingly stringent regulatory standards, and routinely manage complex international financial flows. The rationale is to understand how these firms align their financial strategies with </w:t>
      </w:r>
      <w:proofErr w:type="spellStart"/>
      <w:r w:rsidRPr="00342F90">
        <w:rPr>
          <w:rFonts w:ascii="Arial" w:hAnsi="Arial" w:cs="Arial"/>
          <w:color w:val="0D0D0D" w:themeColor="text1" w:themeTint="F2"/>
        </w:rPr>
        <w:t>globalisation</w:t>
      </w:r>
      <w:proofErr w:type="spellEnd"/>
      <w:r w:rsidRPr="00342F90">
        <w:rPr>
          <w:rFonts w:ascii="Arial" w:hAnsi="Arial" w:cs="Arial"/>
          <w:color w:val="0D0D0D" w:themeColor="text1" w:themeTint="F2"/>
        </w:rPr>
        <w:t xml:space="preserve"> forces while managing risks such as currency fluctuations, international compliance costs, and supply-chain disruptions. Although </w:t>
      </w:r>
      <w:proofErr w:type="spellStart"/>
      <w:r w:rsidRPr="00342F90">
        <w:rPr>
          <w:rFonts w:ascii="Arial" w:hAnsi="Arial" w:cs="Arial"/>
          <w:color w:val="0D0D0D" w:themeColor="text1" w:themeTint="F2"/>
        </w:rPr>
        <w:t>globalisation</w:t>
      </w:r>
      <w:proofErr w:type="spellEnd"/>
      <w:r w:rsidRPr="00342F90">
        <w:rPr>
          <w:rFonts w:ascii="Arial" w:hAnsi="Arial" w:cs="Arial"/>
          <w:color w:val="0D0D0D" w:themeColor="text1" w:themeTint="F2"/>
        </w:rPr>
        <w:t xml:space="preserve"> is widely discussed at macroeconomic and strategic levels, limited research connects it to </w:t>
      </w:r>
      <w:r w:rsidRPr="00342F90">
        <w:rPr>
          <w:rStyle w:val="Strong"/>
          <w:rFonts w:ascii="Arial" w:hAnsi="Arial" w:cs="Arial"/>
          <w:b w:val="0"/>
          <w:bCs w:val="0"/>
          <w:color w:val="0D0D0D" w:themeColor="text1" w:themeTint="F2"/>
        </w:rPr>
        <w:t>firm-level financial decisions</w:t>
      </w:r>
      <w:r w:rsidRPr="00342F90">
        <w:rPr>
          <w:rFonts w:ascii="Arial" w:hAnsi="Arial" w:cs="Arial"/>
          <w:color w:val="0D0D0D" w:themeColor="text1" w:themeTint="F2"/>
        </w:rPr>
        <w:t xml:space="preserve"> using measurable indicators such as profitability, leverage and investment.</w:t>
      </w:r>
    </w:p>
    <w:p w14:paraId="711532CB" w14:textId="11989922" w:rsidR="00C67EB1" w:rsidRPr="00342F90" w:rsidRDefault="00C67EB1" w:rsidP="00342F90">
      <w:pPr>
        <w:spacing w:line="276" w:lineRule="auto"/>
        <w:rPr>
          <w:color w:val="0D0D0D" w:themeColor="text1" w:themeTint="F2"/>
          <w:sz w:val="24"/>
          <w:szCs w:val="24"/>
        </w:rPr>
      </w:pPr>
    </w:p>
    <w:p w14:paraId="554A968C" w14:textId="77777777" w:rsidR="00C67EB1" w:rsidRPr="00342F90" w:rsidRDefault="00C67EB1" w:rsidP="00342F90">
      <w:pPr>
        <w:pStyle w:val="Heading3"/>
        <w:spacing w:line="276" w:lineRule="auto"/>
        <w:rPr>
          <w:rFonts w:ascii="Arial" w:hAnsi="Arial" w:cs="Arial"/>
          <w:color w:val="0D0D0D" w:themeColor="text1" w:themeTint="F2"/>
        </w:rPr>
      </w:pPr>
      <w:r w:rsidRPr="00342F90">
        <w:rPr>
          <w:rStyle w:val="Strong"/>
          <w:rFonts w:ascii="Arial" w:hAnsi="Arial" w:cs="Arial"/>
          <w:color w:val="0D0D0D" w:themeColor="text1" w:themeTint="F2"/>
        </w:rPr>
        <w:lastRenderedPageBreak/>
        <w:t>1.3 Research Aim</w:t>
      </w:r>
    </w:p>
    <w:p w14:paraId="297E5BFE" w14:textId="77777777" w:rsidR="00C67EB1" w:rsidRPr="00342F90" w:rsidRDefault="00C67EB1" w:rsidP="00342F90">
      <w:pPr>
        <w:pStyle w:val="NormalWeb"/>
        <w:spacing w:line="276" w:lineRule="auto"/>
        <w:rPr>
          <w:rFonts w:ascii="Arial" w:hAnsi="Arial" w:cs="Arial"/>
          <w:color w:val="0D0D0D" w:themeColor="text1" w:themeTint="F2"/>
        </w:rPr>
      </w:pPr>
      <w:r w:rsidRPr="00342F90">
        <w:rPr>
          <w:rStyle w:val="Strong"/>
          <w:rFonts w:ascii="Arial" w:hAnsi="Arial" w:cs="Arial"/>
          <w:b w:val="0"/>
          <w:bCs w:val="0"/>
          <w:color w:val="0D0D0D" w:themeColor="text1" w:themeTint="F2"/>
        </w:rPr>
        <w:t xml:space="preserve">To investigate how </w:t>
      </w:r>
      <w:proofErr w:type="spellStart"/>
      <w:r w:rsidRPr="00342F90">
        <w:rPr>
          <w:rStyle w:val="Strong"/>
          <w:rFonts w:ascii="Arial" w:hAnsi="Arial" w:cs="Arial"/>
          <w:b w:val="0"/>
          <w:bCs w:val="0"/>
          <w:color w:val="0D0D0D" w:themeColor="text1" w:themeTint="F2"/>
        </w:rPr>
        <w:t>globalisation</w:t>
      </w:r>
      <w:proofErr w:type="spellEnd"/>
      <w:r w:rsidRPr="00342F90">
        <w:rPr>
          <w:rStyle w:val="Strong"/>
          <w:rFonts w:ascii="Arial" w:hAnsi="Arial" w:cs="Arial"/>
          <w:b w:val="0"/>
          <w:bCs w:val="0"/>
          <w:color w:val="0D0D0D" w:themeColor="text1" w:themeTint="F2"/>
        </w:rPr>
        <w:t xml:space="preserve"> influences the financial strategies of multinational corporations operating in the UK and EU region, with specific focus on investment decisions, capital structure, profitability and financial risk management.</w:t>
      </w:r>
    </w:p>
    <w:p w14:paraId="5B37B7BB" w14:textId="77777777" w:rsidR="00C67EB1" w:rsidRPr="00342F90" w:rsidRDefault="00C67EB1" w:rsidP="00342F90">
      <w:pPr>
        <w:pStyle w:val="Heading2"/>
        <w:tabs>
          <w:tab w:val="left" w:pos="266"/>
        </w:tabs>
        <w:spacing w:before="243" w:line="276" w:lineRule="auto"/>
        <w:rPr>
          <w:b w:val="0"/>
          <w:bCs w:val="0"/>
          <w:color w:val="0D0D0D" w:themeColor="text1" w:themeTint="F2"/>
        </w:rPr>
      </w:pPr>
    </w:p>
    <w:p w14:paraId="19E4EF1F" w14:textId="1989D3C9" w:rsidR="00024A9E" w:rsidRPr="00342F90" w:rsidRDefault="00691401" w:rsidP="00342F90">
      <w:pPr>
        <w:pStyle w:val="Heading2"/>
        <w:numPr>
          <w:ilvl w:val="1"/>
          <w:numId w:val="33"/>
        </w:numPr>
        <w:tabs>
          <w:tab w:val="left" w:pos="400"/>
        </w:tabs>
        <w:spacing w:before="202" w:line="276" w:lineRule="auto"/>
        <w:rPr>
          <w:color w:val="0D0D0D" w:themeColor="text1" w:themeTint="F2"/>
        </w:rPr>
      </w:pPr>
      <w:r w:rsidRPr="00342F90">
        <w:rPr>
          <w:color w:val="0D0D0D" w:themeColor="text1" w:themeTint="F2"/>
        </w:rPr>
        <w:t>Research</w:t>
      </w:r>
      <w:r w:rsidRPr="00342F90">
        <w:rPr>
          <w:color w:val="0D0D0D" w:themeColor="text1" w:themeTint="F2"/>
          <w:spacing w:val="-6"/>
        </w:rPr>
        <w:t xml:space="preserve"> </w:t>
      </w:r>
      <w:r w:rsidRPr="00342F90">
        <w:rPr>
          <w:color w:val="0D0D0D" w:themeColor="text1" w:themeTint="F2"/>
          <w:spacing w:val="-2"/>
        </w:rPr>
        <w:t>Objectives:</w:t>
      </w:r>
    </w:p>
    <w:p w14:paraId="0742A5FA" w14:textId="0E41F9AD" w:rsidR="00DE6980" w:rsidRPr="00342F90" w:rsidRDefault="00DE6980" w:rsidP="00342F90">
      <w:pPr>
        <w:pStyle w:val="NormalWeb"/>
        <w:numPr>
          <w:ilvl w:val="0"/>
          <w:numId w:val="31"/>
        </w:numPr>
        <w:spacing w:line="276" w:lineRule="auto"/>
        <w:rPr>
          <w:rFonts w:ascii="Arial" w:hAnsi="Arial" w:cs="Arial"/>
          <w:color w:val="0D0D0D" w:themeColor="text1" w:themeTint="F2"/>
        </w:rPr>
      </w:pPr>
      <w:r w:rsidRPr="00342F90">
        <w:rPr>
          <w:rFonts w:ascii="Arial" w:hAnsi="Arial" w:cs="Arial"/>
          <w:color w:val="0D0D0D" w:themeColor="text1" w:themeTint="F2"/>
        </w:rPr>
        <w:t>To</w:t>
      </w:r>
      <w:r w:rsidRPr="00342F90">
        <w:rPr>
          <w:rStyle w:val="Strong"/>
          <w:rFonts w:ascii="Arial" w:hAnsi="Arial" w:cs="Arial"/>
          <w:b w:val="0"/>
          <w:bCs w:val="0"/>
          <w:color w:val="0D0D0D" w:themeColor="text1" w:themeTint="F2"/>
        </w:rPr>
        <w:t xml:space="preserve"> assess how </w:t>
      </w:r>
      <w:proofErr w:type="spellStart"/>
      <w:r w:rsidRPr="00342F90">
        <w:rPr>
          <w:rStyle w:val="Strong"/>
          <w:rFonts w:ascii="Arial" w:hAnsi="Arial" w:cs="Arial"/>
          <w:b w:val="0"/>
          <w:bCs w:val="0"/>
          <w:color w:val="0D0D0D" w:themeColor="text1" w:themeTint="F2"/>
        </w:rPr>
        <w:t>globalisation</w:t>
      </w:r>
      <w:proofErr w:type="spellEnd"/>
      <w:r w:rsidRPr="00342F90">
        <w:rPr>
          <w:rStyle w:val="Strong"/>
          <w:rFonts w:ascii="Arial" w:hAnsi="Arial" w:cs="Arial"/>
          <w:b w:val="0"/>
          <w:bCs w:val="0"/>
          <w:color w:val="0D0D0D" w:themeColor="text1" w:themeTint="F2"/>
        </w:rPr>
        <w:t xml:space="preserve"> influences firms’ financial risk management and investment decisions in the UK/EU region.</w:t>
      </w:r>
    </w:p>
    <w:p w14:paraId="22E62809" w14:textId="141428BC" w:rsidR="00DE6980" w:rsidRPr="00342F90" w:rsidRDefault="00DE6980" w:rsidP="00342F90">
      <w:pPr>
        <w:pStyle w:val="NormalWeb"/>
        <w:numPr>
          <w:ilvl w:val="0"/>
          <w:numId w:val="31"/>
        </w:numPr>
        <w:spacing w:line="276" w:lineRule="auto"/>
        <w:rPr>
          <w:rFonts w:ascii="Arial" w:hAnsi="Arial" w:cs="Arial"/>
          <w:color w:val="0D0D0D" w:themeColor="text1" w:themeTint="F2"/>
        </w:rPr>
      </w:pPr>
      <w:r w:rsidRPr="00342F90">
        <w:rPr>
          <w:rFonts w:ascii="Arial" w:hAnsi="Arial" w:cs="Arial"/>
          <w:color w:val="0D0D0D" w:themeColor="text1" w:themeTint="F2"/>
        </w:rPr>
        <w:t>To</w:t>
      </w:r>
      <w:r w:rsidRPr="00342F90">
        <w:rPr>
          <w:rStyle w:val="Strong"/>
          <w:rFonts w:ascii="Arial" w:hAnsi="Arial" w:cs="Arial"/>
          <w:b w:val="0"/>
          <w:bCs w:val="0"/>
          <w:color w:val="0D0D0D" w:themeColor="text1" w:themeTint="F2"/>
        </w:rPr>
        <w:t xml:space="preserve"> evaluate the impact of global integration on profitability and capital structure among multinational corporations.</w:t>
      </w:r>
    </w:p>
    <w:p w14:paraId="729AAE4B" w14:textId="529BE82C" w:rsidR="00DE6980" w:rsidRPr="00342F90" w:rsidRDefault="00DE6980" w:rsidP="00342F90">
      <w:pPr>
        <w:pStyle w:val="NormalWeb"/>
        <w:numPr>
          <w:ilvl w:val="0"/>
          <w:numId w:val="31"/>
        </w:numPr>
        <w:spacing w:line="276" w:lineRule="auto"/>
        <w:rPr>
          <w:rFonts w:ascii="Arial" w:hAnsi="Arial" w:cs="Arial"/>
          <w:color w:val="0D0D0D" w:themeColor="text1" w:themeTint="F2"/>
        </w:rPr>
      </w:pPr>
      <w:r w:rsidRPr="00342F90">
        <w:rPr>
          <w:rFonts w:ascii="Arial" w:hAnsi="Arial" w:cs="Arial"/>
          <w:color w:val="0D0D0D" w:themeColor="text1" w:themeTint="F2"/>
        </w:rPr>
        <w:t>To</w:t>
      </w:r>
      <w:r w:rsidRPr="00342F90">
        <w:rPr>
          <w:rStyle w:val="Strong"/>
          <w:rFonts w:ascii="Arial" w:hAnsi="Arial" w:cs="Arial"/>
          <w:b w:val="0"/>
          <w:bCs w:val="0"/>
          <w:color w:val="0D0D0D" w:themeColor="text1" w:themeTint="F2"/>
        </w:rPr>
        <w:t xml:space="preserve"> recommend adaptive financial strategies that enhance </w:t>
      </w:r>
      <w:proofErr w:type="spellStart"/>
      <w:r w:rsidRPr="00342F90">
        <w:rPr>
          <w:rStyle w:val="Strong"/>
          <w:rFonts w:ascii="Arial" w:hAnsi="Arial" w:cs="Arial"/>
          <w:b w:val="0"/>
          <w:bCs w:val="0"/>
          <w:color w:val="0D0D0D" w:themeColor="text1" w:themeTint="F2"/>
        </w:rPr>
        <w:t>organisational</w:t>
      </w:r>
      <w:proofErr w:type="spellEnd"/>
      <w:r w:rsidRPr="00342F90">
        <w:rPr>
          <w:rStyle w:val="Strong"/>
          <w:rFonts w:ascii="Arial" w:hAnsi="Arial" w:cs="Arial"/>
          <w:b w:val="0"/>
          <w:bCs w:val="0"/>
          <w:color w:val="0D0D0D" w:themeColor="text1" w:themeTint="F2"/>
        </w:rPr>
        <w:t xml:space="preserve"> resilience and competitiveness in </w:t>
      </w:r>
      <w:proofErr w:type="spellStart"/>
      <w:r w:rsidRPr="00342F90">
        <w:rPr>
          <w:rStyle w:val="Strong"/>
          <w:rFonts w:ascii="Arial" w:hAnsi="Arial" w:cs="Arial"/>
          <w:b w:val="0"/>
          <w:bCs w:val="0"/>
          <w:color w:val="0D0D0D" w:themeColor="text1" w:themeTint="F2"/>
        </w:rPr>
        <w:t>globalised</w:t>
      </w:r>
      <w:proofErr w:type="spellEnd"/>
      <w:r w:rsidRPr="00342F90">
        <w:rPr>
          <w:rStyle w:val="Strong"/>
          <w:rFonts w:ascii="Arial" w:hAnsi="Arial" w:cs="Arial"/>
          <w:b w:val="0"/>
          <w:bCs w:val="0"/>
          <w:color w:val="0D0D0D" w:themeColor="text1" w:themeTint="F2"/>
        </w:rPr>
        <w:t xml:space="preserve"> markets.</w:t>
      </w:r>
    </w:p>
    <w:p w14:paraId="0036D7D2" w14:textId="77777777" w:rsidR="00DE6980" w:rsidRPr="00342F90" w:rsidRDefault="00DE6980" w:rsidP="00342F90">
      <w:pPr>
        <w:pStyle w:val="Heading2"/>
        <w:tabs>
          <w:tab w:val="left" w:pos="400"/>
        </w:tabs>
        <w:spacing w:before="202" w:line="276" w:lineRule="auto"/>
        <w:ind w:firstLine="0"/>
        <w:rPr>
          <w:b w:val="0"/>
          <w:bCs w:val="0"/>
          <w:color w:val="0D0D0D" w:themeColor="text1" w:themeTint="F2"/>
        </w:rPr>
      </w:pPr>
    </w:p>
    <w:p w14:paraId="1E286097" w14:textId="00DF4D33" w:rsidR="00DE6980" w:rsidRPr="00342F90" w:rsidRDefault="00691401" w:rsidP="00342F90">
      <w:pPr>
        <w:pStyle w:val="Heading2"/>
        <w:numPr>
          <w:ilvl w:val="1"/>
          <w:numId w:val="33"/>
        </w:numPr>
        <w:tabs>
          <w:tab w:val="left" w:pos="400"/>
        </w:tabs>
        <w:spacing w:before="205" w:line="276" w:lineRule="auto"/>
        <w:ind w:left="400" w:hanging="400"/>
        <w:rPr>
          <w:color w:val="0D0D0D" w:themeColor="text1" w:themeTint="F2"/>
        </w:rPr>
      </w:pPr>
      <w:r w:rsidRPr="00342F90">
        <w:rPr>
          <w:color w:val="0D0D0D" w:themeColor="text1" w:themeTint="F2"/>
        </w:rPr>
        <w:t>Research</w:t>
      </w:r>
      <w:r w:rsidRPr="00342F90">
        <w:rPr>
          <w:color w:val="0D0D0D" w:themeColor="text1" w:themeTint="F2"/>
          <w:spacing w:val="-6"/>
        </w:rPr>
        <w:t xml:space="preserve"> </w:t>
      </w:r>
      <w:r w:rsidRPr="00342F90">
        <w:rPr>
          <w:color w:val="0D0D0D" w:themeColor="text1" w:themeTint="F2"/>
          <w:spacing w:val="-2"/>
        </w:rPr>
        <w:t>Questions:</w:t>
      </w:r>
    </w:p>
    <w:p w14:paraId="18BF70EC" w14:textId="15760AF4" w:rsidR="00DE6980" w:rsidRPr="00342F90" w:rsidRDefault="00DE6980" w:rsidP="00342F90">
      <w:pPr>
        <w:pStyle w:val="NormalWeb"/>
        <w:numPr>
          <w:ilvl w:val="2"/>
          <w:numId w:val="32"/>
        </w:numPr>
        <w:spacing w:line="276" w:lineRule="auto"/>
        <w:rPr>
          <w:rFonts w:ascii="Arial" w:hAnsi="Arial" w:cs="Arial"/>
          <w:color w:val="0D0D0D" w:themeColor="text1" w:themeTint="F2"/>
        </w:rPr>
      </w:pPr>
      <w:r w:rsidRPr="00342F90">
        <w:rPr>
          <w:rFonts w:ascii="Arial" w:hAnsi="Arial" w:cs="Arial"/>
          <w:color w:val="0D0D0D" w:themeColor="text1" w:themeTint="F2"/>
        </w:rPr>
        <w:t>How</w:t>
      </w:r>
      <w:r w:rsidRPr="00342F90">
        <w:rPr>
          <w:rStyle w:val="Strong"/>
          <w:rFonts w:ascii="Arial" w:hAnsi="Arial" w:cs="Arial"/>
          <w:b w:val="0"/>
          <w:bCs w:val="0"/>
          <w:color w:val="0D0D0D" w:themeColor="text1" w:themeTint="F2"/>
        </w:rPr>
        <w:t xml:space="preserve"> does </w:t>
      </w:r>
      <w:proofErr w:type="spellStart"/>
      <w:r w:rsidRPr="00342F90">
        <w:rPr>
          <w:rStyle w:val="Strong"/>
          <w:rFonts w:ascii="Arial" w:hAnsi="Arial" w:cs="Arial"/>
          <w:b w:val="0"/>
          <w:bCs w:val="0"/>
          <w:color w:val="0D0D0D" w:themeColor="text1" w:themeTint="F2"/>
        </w:rPr>
        <w:t>globalisation</w:t>
      </w:r>
      <w:proofErr w:type="spellEnd"/>
      <w:r w:rsidRPr="00342F90">
        <w:rPr>
          <w:rStyle w:val="Strong"/>
          <w:rFonts w:ascii="Arial" w:hAnsi="Arial" w:cs="Arial"/>
          <w:b w:val="0"/>
          <w:bCs w:val="0"/>
          <w:color w:val="0D0D0D" w:themeColor="text1" w:themeTint="F2"/>
        </w:rPr>
        <w:t xml:space="preserve"> affect financial risk management and investment decision-making within multinational </w:t>
      </w:r>
      <w:proofErr w:type="spellStart"/>
      <w:r w:rsidRPr="00342F90">
        <w:rPr>
          <w:rStyle w:val="Strong"/>
          <w:rFonts w:ascii="Arial" w:hAnsi="Arial" w:cs="Arial"/>
          <w:b w:val="0"/>
          <w:bCs w:val="0"/>
          <w:color w:val="0D0D0D" w:themeColor="text1" w:themeTint="F2"/>
        </w:rPr>
        <w:t>organisations</w:t>
      </w:r>
      <w:proofErr w:type="spellEnd"/>
      <w:r w:rsidRPr="00342F90">
        <w:rPr>
          <w:rStyle w:val="Strong"/>
          <w:rFonts w:ascii="Arial" w:hAnsi="Arial" w:cs="Arial"/>
          <w:b w:val="0"/>
          <w:bCs w:val="0"/>
          <w:color w:val="0D0D0D" w:themeColor="text1" w:themeTint="F2"/>
        </w:rPr>
        <w:t>?</w:t>
      </w:r>
    </w:p>
    <w:p w14:paraId="035BCD81" w14:textId="6C8EDF12" w:rsidR="00DE6980" w:rsidRPr="00342F90" w:rsidRDefault="00DE6980" w:rsidP="00342F90">
      <w:pPr>
        <w:pStyle w:val="NormalWeb"/>
        <w:numPr>
          <w:ilvl w:val="2"/>
          <w:numId w:val="32"/>
        </w:numPr>
        <w:spacing w:line="276" w:lineRule="auto"/>
        <w:rPr>
          <w:rFonts w:ascii="Arial" w:hAnsi="Arial" w:cs="Arial"/>
          <w:color w:val="0D0D0D" w:themeColor="text1" w:themeTint="F2"/>
        </w:rPr>
      </w:pPr>
      <w:r w:rsidRPr="00342F90">
        <w:rPr>
          <w:rFonts w:ascii="Arial" w:hAnsi="Arial" w:cs="Arial"/>
          <w:color w:val="0D0D0D" w:themeColor="text1" w:themeTint="F2"/>
        </w:rPr>
        <w:t>In</w:t>
      </w:r>
      <w:r w:rsidRPr="00342F90">
        <w:rPr>
          <w:rStyle w:val="Strong"/>
          <w:rFonts w:ascii="Arial" w:hAnsi="Arial" w:cs="Arial"/>
          <w:b w:val="0"/>
          <w:bCs w:val="0"/>
          <w:color w:val="0D0D0D" w:themeColor="text1" w:themeTint="F2"/>
        </w:rPr>
        <w:t xml:space="preserve"> what ways does global market integration influence profitability and capital structure?</w:t>
      </w:r>
    </w:p>
    <w:p w14:paraId="73E77114" w14:textId="4010AABA" w:rsidR="00DE6980" w:rsidRPr="00342F90" w:rsidRDefault="00DE6980" w:rsidP="00342F90">
      <w:pPr>
        <w:pStyle w:val="NormalWeb"/>
        <w:numPr>
          <w:ilvl w:val="2"/>
          <w:numId w:val="32"/>
        </w:numPr>
        <w:spacing w:line="276" w:lineRule="auto"/>
        <w:rPr>
          <w:rFonts w:ascii="Arial" w:hAnsi="Arial" w:cs="Arial"/>
          <w:color w:val="0D0D0D" w:themeColor="text1" w:themeTint="F2"/>
        </w:rPr>
      </w:pPr>
      <w:r w:rsidRPr="00342F90">
        <w:rPr>
          <w:rFonts w:ascii="Arial" w:hAnsi="Arial" w:cs="Arial"/>
          <w:color w:val="0D0D0D" w:themeColor="text1" w:themeTint="F2"/>
        </w:rPr>
        <w:t>What</w:t>
      </w:r>
      <w:r w:rsidRPr="00342F90">
        <w:rPr>
          <w:rStyle w:val="Strong"/>
          <w:rFonts w:ascii="Arial" w:hAnsi="Arial" w:cs="Arial"/>
          <w:b w:val="0"/>
          <w:bCs w:val="0"/>
          <w:color w:val="0D0D0D" w:themeColor="text1" w:themeTint="F2"/>
        </w:rPr>
        <w:t xml:space="preserve"> financial strategies can multinational firms implement to improve resilience and maintain competitiveness in </w:t>
      </w:r>
      <w:proofErr w:type="spellStart"/>
      <w:r w:rsidRPr="00342F90">
        <w:rPr>
          <w:rStyle w:val="Strong"/>
          <w:rFonts w:ascii="Arial" w:hAnsi="Arial" w:cs="Arial"/>
          <w:b w:val="0"/>
          <w:bCs w:val="0"/>
          <w:color w:val="0D0D0D" w:themeColor="text1" w:themeTint="F2"/>
        </w:rPr>
        <w:t>globalised</w:t>
      </w:r>
      <w:proofErr w:type="spellEnd"/>
      <w:r w:rsidRPr="00342F90">
        <w:rPr>
          <w:rStyle w:val="Strong"/>
          <w:rFonts w:ascii="Arial" w:hAnsi="Arial" w:cs="Arial"/>
          <w:b w:val="0"/>
          <w:bCs w:val="0"/>
          <w:color w:val="0D0D0D" w:themeColor="text1" w:themeTint="F2"/>
        </w:rPr>
        <w:t xml:space="preserve"> markets?</w:t>
      </w:r>
    </w:p>
    <w:p w14:paraId="75DE1753" w14:textId="77777777" w:rsidR="00DE6980" w:rsidRPr="00342F90" w:rsidRDefault="00DE6980" w:rsidP="00342F90">
      <w:pPr>
        <w:pStyle w:val="Heading2"/>
        <w:tabs>
          <w:tab w:val="left" w:pos="400"/>
        </w:tabs>
        <w:spacing w:before="205" w:line="276" w:lineRule="auto"/>
        <w:ind w:left="0" w:firstLine="0"/>
        <w:rPr>
          <w:b w:val="0"/>
          <w:bCs w:val="0"/>
          <w:color w:val="0D0D0D" w:themeColor="text1" w:themeTint="F2"/>
        </w:rPr>
      </w:pPr>
    </w:p>
    <w:p w14:paraId="05556B52" w14:textId="20089AE4" w:rsidR="000B004D" w:rsidRPr="00342F90" w:rsidRDefault="00691401" w:rsidP="00342F90">
      <w:pPr>
        <w:pStyle w:val="Heading2"/>
        <w:numPr>
          <w:ilvl w:val="0"/>
          <w:numId w:val="33"/>
        </w:numPr>
        <w:tabs>
          <w:tab w:val="left" w:pos="266"/>
        </w:tabs>
        <w:spacing w:before="207" w:line="276" w:lineRule="auto"/>
        <w:ind w:left="266" w:hanging="266"/>
        <w:rPr>
          <w:color w:val="0D0D0D" w:themeColor="text1" w:themeTint="F2"/>
        </w:rPr>
      </w:pPr>
      <w:commentRangeStart w:id="0"/>
      <w:r w:rsidRPr="00342F90">
        <w:rPr>
          <w:color w:val="0D0D0D" w:themeColor="text1" w:themeTint="F2"/>
        </w:rPr>
        <w:t>Literature</w:t>
      </w:r>
      <w:r w:rsidRPr="00342F90">
        <w:rPr>
          <w:color w:val="0D0D0D" w:themeColor="text1" w:themeTint="F2"/>
          <w:spacing w:val="-8"/>
        </w:rPr>
        <w:t xml:space="preserve"> </w:t>
      </w:r>
      <w:r w:rsidRPr="00342F90">
        <w:rPr>
          <w:color w:val="0D0D0D" w:themeColor="text1" w:themeTint="F2"/>
          <w:spacing w:val="-2"/>
        </w:rPr>
        <w:t>Review</w:t>
      </w:r>
    </w:p>
    <w:p w14:paraId="19E4EF2B" w14:textId="3A15253C" w:rsidR="00024A9E" w:rsidRPr="00342F90" w:rsidRDefault="00691401" w:rsidP="00342F90">
      <w:pPr>
        <w:pStyle w:val="ListParagraph"/>
        <w:numPr>
          <w:ilvl w:val="1"/>
          <w:numId w:val="34"/>
        </w:numPr>
        <w:tabs>
          <w:tab w:val="left" w:pos="401"/>
        </w:tabs>
        <w:spacing w:before="242" w:line="276" w:lineRule="auto"/>
        <w:rPr>
          <w:b/>
          <w:bCs/>
          <w:color w:val="0D0D0D" w:themeColor="text1" w:themeTint="F2"/>
          <w:sz w:val="24"/>
          <w:szCs w:val="24"/>
        </w:rPr>
      </w:pPr>
      <w:r w:rsidRPr="00342F90">
        <w:rPr>
          <w:b/>
          <w:bCs/>
          <w:color w:val="0D0D0D" w:themeColor="text1" w:themeTint="F2"/>
          <w:sz w:val="24"/>
          <w:szCs w:val="24"/>
        </w:rPr>
        <w:t>Major</w:t>
      </w:r>
      <w:r w:rsidRPr="00342F90">
        <w:rPr>
          <w:b/>
          <w:bCs/>
          <w:color w:val="0D0D0D" w:themeColor="text1" w:themeTint="F2"/>
          <w:spacing w:val="-7"/>
          <w:sz w:val="24"/>
          <w:szCs w:val="24"/>
        </w:rPr>
        <w:t xml:space="preserve"> </w:t>
      </w:r>
      <w:r w:rsidRPr="00342F90">
        <w:rPr>
          <w:b/>
          <w:bCs/>
          <w:color w:val="0D0D0D" w:themeColor="text1" w:themeTint="F2"/>
          <w:spacing w:val="-2"/>
          <w:sz w:val="24"/>
          <w:szCs w:val="24"/>
        </w:rPr>
        <w:t>Themes</w:t>
      </w:r>
    </w:p>
    <w:p w14:paraId="5A9F42CD" w14:textId="0083A412" w:rsidR="000B004D" w:rsidRPr="00342F90" w:rsidRDefault="000B004D" w:rsidP="00342F90">
      <w:pPr>
        <w:tabs>
          <w:tab w:val="left" w:pos="401"/>
        </w:tabs>
        <w:spacing w:before="242" w:line="276" w:lineRule="auto"/>
        <w:rPr>
          <w:color w:val="0D0D0D" w:themeColor="text1" w:themeTint="F2"/>
          <w:sz w:val="24"/>
          <w:szCs w:val="24"/>
        </w:rPr>
      </w:pPr>
      <w:r w:rsidRPr="00342F90">
        <w:rPr>
          <w:color w:val="0D0D0D" w:themeColor="text1" w:themeTint="F2"/>
          <w:sz w:val="24"/>
          <w:szCs w:val="24"/>
        </w:rPr>
        <w:t xml:space="preserve">The literature identifies several theoretical perspectives relevant to this study. </w:t>
      </w:r>
      <w:proofErr w:type="spellStart"/>
      <w:r w:rsidRPr="00342F90">
        <w:rPr>
          <w:color w:val="0D0D0D" w:themeColor="text1" w:themeTint="F2"/>
          <w:sz w:val="24"/>
          <w:szCs w:val="24"/>
        </w:rPr>
        <w:t>Globalisation</w:t>
      </w:r>
      <w:proofErr w:type="spellEnd"/>
      <w:r w:rsidRPr="00342F90">
        <w:rPr>
          <w:color w:val="0D0D0D" w:themeColor="text1" w:themeTint="F2"/>
          <w:sz w:val="24"/>
          <w:szCs w:val="24"/>
        </w:rPr>
        <w:t xml:space="preserve"> Theory (Giddens, 1990) explains increasing global interconnectedness and the spread of financial and economic integration. </w:t>
      </w:r>
      <w:proofErr w:type="spellStart"/>
      <w:r w:rsidRPr="00342F90">
        <w:rPr>
          <w:color w:val="0D0D0D" w:themeColor="text1" w:themeTint="F2"/>
          <w:sz w:val="24"/>
          <w:szCs w:val="24"/>
        </w:rPr>
        <w:t>Internationalisation</w:t>
      </w:r>
      <w:proofErr w:type="spellEnd"/>
      <w:r w:rsidRPr="00342F90">
        <w:rPr>
          <w:color w:val="0D0D0D" w:themeColor="text1" w:themeTint="F2"/>
          <w:sz w:val="24"/>
          <w:szCs w:val="24"/>
        </w:rPr>
        <w:t xml:space="preserve"> Theory (Johanson &amp; Vahlne, 2009) shows how firms expand internationally through learning and networks, while Capital Structure Theory (Modigliani &amp; Miller, 1958) provides a foundation for understanding financing decisions. More recent studies (Buckley, 2020; Narula, 2021) show that </w:t>
      </w:r>
      <w:proofErr w:type="spellStart"/>
      <w:r w:rsidRPr="00342F90">
        <w:rPr>
          <w:color w:val="0D0D0D" w:themeColor="text1" w:themeTint="F2"/>
          <w:sz w:val="24"/>
          <w:szCs w:val="24"/>
        </w:rPr>
        <w:t>digitalisation</w:t>
      </w:r>
      <w:proofErr w:type="spellEnd"/>
      <w:r w:rsidRPr="00342F90">
        <w:rPr>
          <w:color w:val="0D0D0D" w:themeColor="text1" w:themeTint="F2"/>
          <w:sz w:val="24"/>
          <w:szCs w:val="24"/>
        </w:rPr>
        <w:t>, sustainability pressures, and geopolitical uncertainty now shape how multinational firms manage risk, capital, and investment.</w:t>
      </w:r>
    </w:p>
    <w:p w14:paraId="19E4EF32" w14:textId="77777777" w:rsidR="00024A9E" w:rsidRPr="00342F90" w:rsidRDefault="00691401" w:rsidP="00342F90">
      <w:pPr>
        <w:pStyle w:val="Heading2"/>
        <w:numPr>
          <w:ilvl w:val="1"/>
          <w:numId w:val="34"/>
        </w:numPr>
        <w:tabs>
          <w:tab w:val="left" w:pos="400"/>
        </w:tabs>
        <w:spacing w:before="240" w:line="276" w:lineRule="auto"/>
        <w:ind w:left="400" w:hanging="400"/>
        <w:rPr>
          <w:b w:val="0"/>
          <w:bCs w:val="0"/>
          <w:color w:val="0D0D0D" w:themeColor="text1" w:themeTint="F2"/>
        </w:rPr>
      </w:pPr>
      <w:r w:rsidRPr="00342F90">
        <w:rPr>
          <w:color w:val="0D0D0D" w:themeColor="text1" w:themeTint="F2"/>
        </w:rPr>
        <w:t>Key</w:t>
      </w:r>
      <w:r w:rsidRPr="00342F90">
        <w:rPr>
          <w:color w:val="0D0D0D" w:themeColor="text1" w:themeTint="F2"/>
          <w:spacing w:val="-3"/>
        </w:rPr>
        <w:t xml:space="preserve"> </w:t>
      </w:r>
      <w:r w:rsidRPr="00342F90">
        <w:rPr>
          <w:color w:val="0D0D0D" w:themeColor="text1" w:themeTint="F2"/>
        </w:rPr>
        <w:t>Studies</w:t>
      </w:r>
      <w:r w:rsidRPr="00342F90">
        <w:rPr>
          <w:color w:val="0D0D0D" w:themeColor="text1" w:themeTint="F2"/>
          <w:spacing w:val="-2"/>
        </w:rPr>
        <w:t xml:space="preserve"> </w:t>
      </w:r>
      <w:r w:rsidRPr="00342F90">
        <w:rPr>
          <w:color w:val="0D0D0D" w:themeColor="text1" w:themeTint="F2"/>
        </w:rPr>
        <w:t>and</w:t>
      </w:r>
      <w:r w:rsidRPr="00342F90">
        <w:rPr>
          <w:color w:val="0D0D0D" w:themeColor="text1" w:themeTint="F2"/>
          <w:spacing w:val="-5"/>
        </w:rPr>
        <w:t xml:space="preserve"> </w:t>
      </w:r>
      <w:r w:rsidRPr="00342F90">
        <w:rPr>
          <w:color w:val="0D0D0D" w:themeColor="text1" w:themeTint="F2"/>
          <w:spacing w:val="-2"/>
        </w:rPr>
        <w:t>Debates</w:t>
      </w:r>
      <w:r w:rsidRPr="00342F90">
        <w:rPr>
          <w:b w:val="0"/>
          <w:bCs w:val="0"/>
          <w:color w:val="0D0D0D" w:themeColor="text1" w:themeTint="F2"/>
          <w:spacing w:val="-2"/>
        </w:rPr>
        <w:t>:</w:t>
      </w:r>
    </w:p>
    <w:p w14:paraId="19E4EF35" w14:textId="040815F9" w:rsidR="00024A9E" w:rsidRPr="00342F90" w:rsidRDefault="000B004D" w:rsidP="00342F90">
      <w:pPr>
        <w:pStyle w:val="BodyText"/>
        <w:spacing w:before="81" w:line="276" w:lineRule="auto"/>
        <w:ind w:right="374"/>
        <w:rPr>
          <w:color w:val="0D0D0D" w:themeColor="text1" w:themeTint="F2"/>
        </w:rPr>
      </w:pPr>
      <w:r w:rsidRPr="00342F90">
        <w:rPr>
          <w:color w:val="0D0D0D" w:themeColor="text1" w:themeTint="F2"/>
        </w:rPr>
        <w:t xml:space="preserve">Scholars highlight both benefits and challenges of financial </w:t>
      </w:r>
      <w:proofErr w:type="spellStart"/>
      <w:r w:rsidRPr="00342F90">
        <w:rPr>
          <w:color w:val="0D0D0D" w:themeColor="text1" w:themeTint="F2"/>
        </w:rPr>
        <w:t>globalisation</w:t>
      </w:r>
      <w:proofErr w:type="spellEnd"/>
      <w:r w:rsidRPr="00342F90">
        <w:rPr>
          <w:color w:val="0D0D0D" w:themeColor="text1" w:themeTint="F2"/>
        </w:rPr>
        <w:t xml:space="preserve">. Stulz (2005) and Rugman &amp; Verbeke (2004) find that firms gain access to foreign capital and economies of scale but face currency and political risk. Ghemawat (2003) warns that global integration can reduce local responsiveness. Recent research expands this debate: Luo (2022) notes that global financial strategy is increasingly dynamic due to market volatility, while OECD (2022) shows that sustainability and ESG requirements now influence capital structure and investment. These studies show that </w:t>
      </w:r>
      <w:proofErr w:type="spellStart"/>
      <w:r w:rsidRPr="00342F90">
        <w:rPr>
          <w:color w:val="0D0D0D" w:themeColor="text1" w:themeTint="F2"/>
        </w:rPr>
        <w:t>globalisation</w:t>
      </w:r>
      <w:proofErr w:type="spellEnd"/>
      <w:r w:rsidRPr="00342F90">
        <w:rPr>
          <w:color w:val="0D0D0D" w:themeColor="text1" w:themeTint="F2"/>
        </w:rPr>
        <w:t xml:space="preserve"> improves financial opportunities while introducing new risks.</w:t>
      </w:r>
    </w:p>
    <w:p w14:paraId="19E4EF36" w14:textId="77777777" w:rsidR="00024A9E" w:rsidRPr="00342F90" w:rsidRDefault="00691401" w:rsidP="00342F90">
      <w:pPr>
        <w:pStyle w:val="Heading2"/>
        <w:numPr>
          <w:ilvl w:val="1"/>
          <w:numId w:val="34"/>
        </w:numPr>
        <w:tabs>
          <w:tab w:val="left" w:pos="400"/>
        </w:tabs>
        <w:spacing w:before="200" w:line="276" w:lineRule="auto"/>
        <w:ind w:left="400" w:hanging="400"/>
        <w:rPr>
          <w:color w:val="0D0D0D" w:themeColor="text1" w:themeTint="F2"/>
        </w:rPr>
      </w:pPr>
      <w:r w:rsidRPr="00342F90">
        <w:rPr>
          <w:color w:val="0D0D0D" w:themeColor="text1" w:themeTint="F2"/>
        </w:rPr>
        <w:t>Research</w:t>
      </w:r>
      <w:r w:rsidRPr="00342F90">
        <w:rPr>
          <w:color w:val="0D0D0D" w:themeColor="text1" w:themeTint="F2"/>
          <w:spacing w:val="-8"/>
        </w:rPr>
        <w:t xml:space="preserve"> </w:t>
      </w:r>
      <w:r w:rsidRPr="00342F90">
        <w:rPr>
          <w:color w:val="0D0D0D" w:themeColor="text1" w:themeTint="F2"/>
          <w:spacing w:val="-4"/>
        </w:rPr>
        <w:t>Gap:</w:t>
      </w:r>
    </w:p>
    <w:p w14:paraId="19E4EF37" w14:textId="77777777" w:rsidR="00024A9E" w:rsidRPr="00342F90" w:rsidRDefault="00691401" w:rsidP="00342F90">
      <w:pPr>
        <w:pStyle w:val="BodyText"/>
        <w:spacing w:before="40" w:line="276" w:lineRule="auto"/>
        <w:ind w:right="608"/>
        <w:rPr>
          <w:color w:val="0D0D0D" w:themeColor="text1" w:themeTint="F2"/>
        </w:rPr>
      </w:pPr>
      <w:r w:rsidRPr="00342F90">
        <w:rPr>
          <w:color w:val="0D0D0D" w:themeColor="text1" w:themeTint="F2"/>
        </w:rPr>
        <w:t xml:space="preserve">Existing literature primarily focuses on the macroeconomic or strategic level impacts of </w:t>
      </w:r>
      <w:proofErr w:type="spellStart"/>
      <w:r w:rsidRPr="00342F90">
        <w:rPr>
          <w:color w:val="0D0D0D" w:themeColor="text1" w:themeTint="F2"/>
        </w:rPr>
        <w:t>globalisation</w:t>
      </w:r>
      <w:proofErr w:type="spellEnd"/>
      <w:r w:rsidRPr="00342F90">
        <w:rPr>
          <w:color w:val="0D0D0D" w:themeColor="text1" w:themeTint="F2"/>
        </w:rPr>
        <w:t>. There is limited research connecting these trends to micro-level</w:t>
      </w:r>
      <w:r w:rsidRPr="00342F90">
        <w:rPr>
          <w:color w:val="0D0D0D" w:themeColor="text1" w:themeTint="F2"/>
          <w:spacing w:val="-4"/>
        </w:rPr>
        <w:t xml:space="preserve"> </w:t>
      </w:r>
      <w:proofErr w:type="spellStart"/>
      <w:r w:rsidRPr="00342F90">
        <w:rPr>
          <w:color w:val="0D0D0D" w:themeColor="text1" w:themeTint="F2"/>
        </w:rPr>
        <w:t>organisational</w:t>
      </w:r>
      <w:proofErr w:type="spellEnd"/>
      <w:r w:rsidRPr="00342F90">
        <w:rPr>
          <w:color w:val="0D0D0D" w:themeColor="text1" w:themeTint="F2"/>
          <w:spacing w:val="-4"/>
        </w:rPr>
        <w:t xml:space="preserve"> </w:t>
      </w:r>
      <w:r w:rsidRPr="00342F90">
        <w:rPr>
          <w:color w:val="0D0D0D" w:themeColor="text1" w:themeTint="F2"/>
        </w:rPr>
        <w:t>financial</w:t>
      </w:r>
      <w:r w:rsidRPr="00342F90">
        <w:rPr>
          <w:color w:val="0D0D0D" w:themeColor="text1" w:themeTint="F2"/>
          <w:spacing w:val="-4"/>
        </w:rPr>
        <w:t xml:space="preserve"> </w:t>
      </w:r>
      <w:r w:rsidRPr="00342F90">
        <w:rPr>
          <w:color w:val="0D0D0D" w:themeColor="text1" w:themeTint="F2"/>
        </w:rPr>
        <w:t>decisions.</w:t>
      </w:r>
      <w:r w:rsidRPr="00342F90">
        <w:rPr>
          <w:color w:val="0D0D0D" w:themeColor="text1" w:themeTint="F2"/>
          <w:spacing w:val="-6"/>
        </w:rPr>
        <w:t xml:space="preserve"> </w:t>
      </w:r>
      <w:r w:rsidRPr="00342F90">
        <w:rPr>
          <w:color w:val="0D0D0D" w:themeColor="text1" w:themeTint="F2"/>
        </w:rPr>
        <w:t>This</w:t>
      </w:r>
      <w:r w:rsidRPr="00342F90">
        <w:rPr>
          <w:color w:val="0D0D0D" w:themeColor="text1" w:themeTint="F2"/>
          <w:spacing w:val="-4"/>
        </w:rPr>
        <w:t xml:space="preserve"> </w:t>
      </w:r>
      <w:r w:rsidRPr="00342F90">
        <w:rPr>
          <w:color w:val="0D0D0D" w:themeColor="text1" w:themeTint="F2"/>
        </w:rPr>
        <w:t>study</w:t>
      </w:r>
      <w:r w:rsidRPr="00342F90">
        <w:rPr>
          <w:color w:val="0D0D0D" w:themeColor="text1" w:themeTint="F2"/>
          <w:spacing w:val="-7"/>
        </w:rPr>
        <w:t xml:space="preserve"> </w:t>
      </w:r>
      <w:r w:rsidRPr="00342F90">
        <w:rPr>
          <w:color w:val="0D0D0D" w:themeColor="text1" w:themeTint="F2"/>
        </w:rPr>
        <w:t>addresses</w:t>
      </w:r>
      <w:r w:rsidRPr="00342F90">
        <w:rPr>
          <w:color w:val="0D0D0D" w:themeColor="text1" w:themeTint="F2"/>
          <w:spacing w:val="-6"/>
        </w:rPr>
        <w:t xml:space="preserve"> </w:t>
      </w:r>
      <w:r w:rsidRPr="00342F90">
        <w:rPr>
          <w:color w:val="0D0D0D" w:themeColor="text1" w:themeTint="F2"/>
        </w:rPr>
        <w:t>that</w:t>
      </w:r>
      <w:r w:rsidRPr="00342F90">
        <w:rPr>
          <w:color w:val="0D0D0D" w:themeColor="text1" w:themeTint="F2"/>
          <w:spacing w:val="-6"/>
        </w:rPr>
        <w:t xml:space="preserve"> </w:t>
      </w:r>
      <w:r w:rsidRPr="00342F90">
        <w:rPr>
          <w:color w:val="0D0D0D" w:themeColor="text1" w:themeTint="F2"/>
        </w:rPr>
        <w:t>gap</w:t>
      </w:r>
      <w:r w:rsidRPr="00342F90">
        <w:rPr>
          <w:color w:val="0D0D0D" w:themeColor="text1" w:themeTint="F2"/>
          <w:spacing w:val="-4"/>
        </w:rPr>
        <w:t xml:space="preserve"> </w:t>
      </w:r>
      <w:r w:rsidRPr="00342F90">
        <w:rPr>
          <w:color w:val="0D0D0D" w:themeColor="text1" w:themeTint="F2"/>
        </w:rPr>
        <w:t xml:space="preserve">by focusing on how </w:t>
      </w:r>
      <w:proofErr w:type="spellStart"/>
      <w:r w:rsidRPr="00342F90">
        <w:rPr>
          <w:color w:val="0D0D0D" w:themeColor="text1" w:themeTint="F2"/>
        </w:rPr>
        <w:t>globalisation</w:t>
      </w:r>
      <w:proofErr w:type="spellEnd"/>
      <w:r w:rsidRPr="00342F90">
        <w:rPr>
          <w:color w:val="0D0D0D" w:themeColor="text1" w:themeTint="F2"/>
        </w:rPr>
        <w:t xml:space="preserve"> reshapes internal decision-making processes in finance departments, particularly within globally active firms.</w:t>
      </w:r>
      <w:commentRangeEnd w:id="0"/>
      <w:r w:rsidR="00AE60E0" w:rsidRPr="00342F90">
        <w:rPr>
          <w:rStyle w:val="CommentReference"/>
          <w:color w:val="0D0D0D" w:themeColor="text1" w:themeTint="F2"/>
          <w:sz w:val="24"/>
          <w:szCs w:val="24"/>
        </w:rPr>
        <w:commentReference w:id="0"/>
      </w:r>
    </w:p>
    <w:p w14:paraId="19E4EF38" w14:textId="77777777" w:rsidR="00024A9E" w:rsidRPr="00342F90" w:rsidRDefault="00691401" w:rsidP="00342F90">
      <w:pPr>
        <w:pStyle w:val="Heading2"/>
        <w:numPr>
          <w:ilvl w:val="1"/>
          <w:numId w:val="34"/>
        </w:numPr>
        <w:tabs>
          <w:tab w:val="left" w:pos="400"/>
        </w:tabs>
        <w:spacing w:before="202" w:line="276" w:lineRule="auto"/>
        <w:ind w:left="400" w:hanging="400"/>
        <w:rPr>
          <w:color w:val="0D0D0D" w:themeColor="text1" w:themeTint="F2"/>
        </w:rPr>
      </w:pPr>
      <w:r w:rsidRPr="00342F90">
        <w:rPr>
          <w:color w:val="0D0D0D" w:themeColor="text1" w:themeTint="F2"/>
        </w:rPr>
        <w:t>Conceptual</w:t>
      </w:r>
      <w:r w:rsidRPr="00342F90">
        <w:rPr>
          <w:color w:val="0D0D0D" w:themeColor="text1" w:themeTint="F2"/>
          <w:spacing w:val="-7"/>
        </w:rPr>
        <w:t xml:space="preserve"> </w:t>
      </w:r>
      <w:r w:rsidRPr="00342F90">
        <w:rPr>
          <w:color w:val="0D0D0D" w:themeColor="text1" w:themeTint="F2"/>
          <w:spacing w:val="-2"/>
        </w:rPr>
        <w:t>Framework:</w:t>
      </w:r>
    </w:p>
    <w:p w14:paraId="686CD8E5" w14:textId="77777777" w:rsidR="00DE6980" w:rsidRPr="00342F90" w:rsidRDefault="00DE6980" w:rsidP="00342F90">
      <w:pPr>
        <w:spacing w:line="276" w:lineRule="auto"/>
        <w:rPr>
          <w:color w:val="0D0D0D" w:themeColor="text1" w:themeTint="F2"/>
          <w:sz w:val="24"/>
          <w:szCs w:val="24"/>
        </w:rPr>
      </w:pPr>
    </w:p>
    <w:p w14:paraId="7E4F06C1" w14:textId="77777777" w:rsidR="00DE6980" w:rsidRPr="00342F90" w:rsidRDefault="00DE6980" w:rsidP="00342F90">
      <w:pPr>
        <w:spacing w:line="276" w:lineRule="auto"/>
        <w:rPr>
          <w:color w:val="0D0D0D" w:themeColor="text1" w:themeTint="F2"/>
          <w:sz w:val="24"/>
          <w:szCs w:val="24"/>
        </w:rPr>
      </w:pPr>
      <w:r w:rsidRPr="00342F90">
        <w:rPr>
          <w:color w:val="0D0D0D" w:themeColor="text1" w:themeTint="F2"/>
          <w:sz w:val="24"/>
          <w:szCs w:val="24"/>
        </w:rPr>
        <w:t xml:space="preserve">This study uses a three-stage conceptual framework to explain how </w:t>
      </w:r>
      <w:proofErr w:type="spellStart"/>
      <w:r w:rsidRPr="00342F90">
        <w:rPr>
          <w:color w:val="0D0D0D" w:themeColor="text1" w:themeTint="F2"/>
          <w:sz w:val="24"/>
          <w:szCs w:val="24"/>
        </w:rPr>
        <w:t>globalisation</w:t>
      </w:r>
      <w:proofErr w:type="spellEnd"/>
      <w:r w:rsidRPr="00342F90">
        <w:rPr>
          <w:color w:val="0D0D0D" w:themeColor="text1" w:themeTint="F2"/>
          <w:sz w:val="24"/>
          <w:szCs w:val="24"/>
        </w:rPr>
        <w:t xml:space="preserve"> influences financial strategy and performance.</w:t>
      </w:r>
    </w:p>
    <w:p w14:paraId="2E121B8E" w14:textId="77777777" w:rsidR="00DE6980" w:rsidRPr="00342F90" w:rsidRDefault="00DE6980" w:rsidP="00342F90">
      <w:pPr>
        <w:spacing w:line="276" w:lineRule="auto"/>
        <w:rPr>
          <w:color w:val="0D0D0D" w:themeColor="text1" w:themeTint="F2"/>
          <w:sz w:val="24"/>
          <w:szCs w:val="24"/>
        </w:rPr>
      </w:pPr>
    </w:p>
    <w:p w14:paraId="56F0A3C9" w14:textId="32C9AF18" w:rsidR="00DE6980" w:rsidRPr="00342F90" w:rsidRDefault="00DE6980" w:rsidP="00342F90">
      <w:pPr>
        <w:spacing w:line="276" w:lineRule="auto"/>
        <w:rPr>
          <w:color w:val="0D0D0D" w:themeColor="text1" w:themeTint="F2"/>
          <w:sz w:val="24"/>
          <w:szCs w:val="24"/>
        </w:rPr>
      </w:pPr>
      <w:r w:rsidRPr="00342F90">
        <w:rPr>
          <w:color w:val="0D0D0D" w:themeColor="text1" w:themeTint="F2"/>
          <w:sz w:val="24"/>
          <w:szCs w:val="24"/>
        </w:rPr>
        <w:t xml:space="preserve"> </w:t>
      </w:r>
      <w:proofErr w:type="spellStart"/>
      <w:r w:rsidRPr="00342F90">
        <w:rPr>
          <w:color w:val="0D0D0D" w:themeColor="text1" w:themeTint="F2"/>
          <w:sz w:val="24"/>
          <w:szCs w:val="24"/>
        </w:rPr>
        <w:t>Globalisation</w:t>
      </w:r>
      <w:proofErr w:type="spellEnd"/>
      <w:r w:rsidRPr="00342F90">
        <w:rPr>
          <w:color w:val="0D0D0D" w:themeColor="text1" w:themeTint="F2"/>
          <w:sz w:val="24"/>
          <w:szCs w:val="24"/>
        </w:rPr>
        <w:t xml:space="preserve"> exposure reflects the degree to which firms operate internationally, measured by foreign sales ratio, number of overseas markets, and access to cross-border capital. </w:t>
      </w:r>
    </w:p>
    <w:p w14:paraId="320EAB21" w14:textId="77777777" w:rsidR="00DE6980" w:rsidRPr="00342F90" w:rsidRDefault="00DE6980" w:rsidP="00342F90">
      <w:pPr>
        <w:spacing w:line="276" w:lineRule="auto"/>
        <w:rPr>
          <w:color w:val="0D0D0D" w:themeColor="text1" w:themeTint="F2"/>
          <w:sz w:val="24"/>
          <w:szCs w:val="24"/>
        </w:rPr>
      </w:pPr>
    </w:p>
    <w:p w14:paraId="68C84AC1" w14:textId="77777777" w:rsidR="00DE6980" w:rsidRPr="00342F90" w:rsidRDefault="00DE6980" w:rsidP="00342F90">
      <w:pPr>
        <w:spacing w:line="276" w:lineRule="auto"/>
        <w:rPr>
          <w:color w:val="0D0D0D" w:themeColor="text1" w:themeTint="F2"/>
          <w:sz w:val="24"/>
          <w:szCs w:val="24"/>
        </w:rPr>
      </w:pPr>
      <w:r w:rsidRPr="00342F90">
        <w:rPr>
          <w:color w:val="0D0D0D" w:themeColor="text1" w:themeTint="F2"/>
          <w:sz w:val="24"/>
          <w:szCs w:val="24"/>
        </w:rPr>
        <w:t xml:space="preserve">In response, firms engage in financial strategy adaptation, adjusting capital structure, investment levels, and risk-hedging mechanisms to manage global pressures. </w:t>
      </w:r>
    </w:p>
    <w:p w14:paraId="4BE7746B" w14:textId="77777777" w:rsidR="00DE6980" w:rsidRPr="00342F90" w:rsidRDefault="00DE6980" w:rsidP="00342F90">
      <w:pPr>
        <w:spacing w:line="276" w:lineRule="auto"/>
        <w:rPr>
          <w:color w:val="0D0D0D" w:themeColor="text1" w:themeTint="F2"/>
          <w:sz w:val="24"/>
          <w:szCs w:val="24"/>
        </w:rPr>
      </w:pPr>
    </w:p>
    <w:p w14:paraId="66E8CE2A" w14:textId="77777777" w:rsidR="00DE6980" w:rsidRPr="00342F90" w:rsidRDefault="00DE6980" w:rsidP="00342F90">
      <w:pPr>
        <w:spacing w:line="276" w:lineRule="auto"/>
        <w:rPr>
          <w:color w:val="0D0D0D" w:themeColor="text1" w:themeTint="F2"/>
          <w:sz w:val="24"/>
          <w:szCs w:val="24"/>
        </w:rPr>
      </w:pPr>
      <w:r w:rsidRPr="00342F90">
        <w:rPr>
          <w:color w:val="0D0D0D" w:themeColor="text1" w:themeTint="F2"/>
          <w:sz w:val="24"/>
          <w:szCs w:val="24"/>
        </w:rPr>
        <w:t xml:space="preserve">The final stage captures </w:t>
      </w:r>
      <w:proofErr w:type="spellStart"/>
      <w:r w:rsidRPr="00342F90">
        <w:rPr>
          <w:color w:val="0D0D0D" w:themeColor="text1" w:themeTint="F2"/>
          <w:sz w:val="24"/>
          <w:szCs w:val="24"/>
        </w:rPr>
        <w:t>organisational</w:t>
      </w:r>
      <w:proofErr w:type="spellEnd"/>
      <w:r w:rsidRPr="00342F90">
        <w:rPr>
          <w:color w:val="0D0D0D" w:themeColor="text1" w:themeTint="F2"/>
          <w:sz w:val="24"/>
          <w:szCs w:val="24"/>
        </w:rPr>
        <w:t xml:space="preserve"> outcomes, including profitability, growth, and financial resilience. This framework allows measurable analysis of how international integration shapes financial decisions and whether </w:t>
      </w:r>
      <w:proofErr w:type="spellStart"/>
      <w:r w:rsidRPr="00342F90">
        <w:rPr>
          <w:color w:val="0D0D0D" w:themeColor="text1" w:themeTint="F2"/>
          <w:sz w:val="24"/>
          <w:szCs w:val="24"/>
        </w:rPr>
        <w:t>globalisation</w:t>
      </w:r>
      <w:proofErr w:type="spellEnd"/>
      <w:r w:rsidRPr="00342F90">
        <w:rPr>
          <w:color w:val="0D0D0D" w:themeColor="text1" w:themeTint="F2"/>
          <w:sz w:val="24"/>
          <w:szCs w:val="24"/>
        </w:rPr>
        <w:t xml:space="preserve"> strengthens or challenges the financial performance of UK/EU multinational firms.</w:t>
      </w:r>
    </w:p>
    <w:p w14:paraId="6C589374" w14:textId="77777777" w:rsidR="00172D0C" w:rsidRPr="00342F90" w:rsidRDefault="00172D0C" w:rsidP="00342F90">
      <w:pPr>
        <w:pStyle w:val="BodyText"/>
        <w:spacing w:before="247" w:line="276" w:lineRule="auto"/>
        <w:rPr>
          <w:color w:val="0D0D0D" w:themeColor="text1" w:themeTint="F2"/>
        </w:rPr>
      </w:pPr>
    </w:p>
    <w:p w14:paraId="19E4EF3B" w14:textId="77777777" w:rsidR="00024A9E" w:rsidRPr="00342F90" w:rsidRDefault="00691401" w:rsidP="00342F90">
      <w:pPr>
        <w:pStyle w:val="ListParagraph"/>
        <w:numPr>
          <w:ilvl w:val="0"/>
          <w:numId w:val="34"/>
        </w:numPr>
        <w:tabs>
          <w:tab w:val="left" w:pos="266"/>
        </w:tabs>
        <w:spacing w:before="0" w:line="276" w:lineRule="auto"/>
        <w:ind w:left="266" w:hanging="266"/>
        <w:rPr>
          <w:b/>
          <w:bCs/>
          <w:color w:val="0D0D0D" w:themeColor="text1" w:themeTint="F2"/>
          <w:sz w:val="24"/>
          <w:szCs w:val="24"/>
        </w:rPr>
      </w:pPr>
      <w:r w:rsidRPr="00342F90">
        <w:rPr>
          <w:b/>
          <w:bCs/>
          <w:color w:val="0D0D0D" w:themeColor="text1" w:themeTint="F2"/>
          <w:spacing w:val="-2"/>
          <w:sz w:val="24"/>
          <w:szCs w:val="24"/>
        </w:rPr>
        <w:t>Methodology</w:t>
      </w:r>
    </w:p>
    <w:p w14:paraId="4C1E513E" w14:textId="77777777" w:rsidR="000B004D" w:rsidRPr="00342F90" w:rsidRDefault="000B004D" w:rsidP="00342F90">
      <w:pPr>
        <w:tabs>
          <w:tab w:val="left" w:pos="266"/>
        </w:tabs>
        <w:spacing w:line="276" w:lineRule="auto"/>
        <w:rPr>
          <w:color w:val="0D0D0D" w:themeColor="text1" w:themeTint="F2"/>
          <w:sz w:val="24"/>
          <w:szCs w:val="24"/>
        </w:rPr>
      </w:pPr>
    </w:p>
    <w:p w14:paraId="11D89822" w14:textId="77777777" w:rsidR="000B004D" w:rsidRPr="00DC4EC9" w:rsidRDefault="000B004D" w:rsidP="00342F90">
      <w:pPr>
        <w:spacing w:after="160" w:line="276" w:lineRule="auto"/>
        <w:rPr>
          <w:b/>
          <w:bCs/>
          <w:color w:val="0D0D0D" w:themeColor="text1" w:themeTint="F2"/>
          <w:sz w:val="24"/>
          <w:szCs w:val="24"/>
        </w:rPr>
      </w:pPr>
      <w:r w:rsidRPr="00DC4EC9">
        <w:rPr>
          <w:color w:val="0D0D0D" w:themeColor="text1" w:themeTint="F2"/>
          <w:sz w:val="24"/>
          <w:szCs w:val="24"/>
        </w:rPr>
        <w:t xml:space="preserve">3.1 </w:t>
      </w:r>
      <w:r w:rsidRPr="00DC4EC9">
        <w:rPr>
          <w:b/>
          <w:bCs/>
          <w:color w:val="0D0D0D" w:themeColor="text1" w:themeTint="F2"/>
          <w:sz w:val="24"/>
          <w:szCs w:val="24"/>
        </w:rPr>
        <w:t>Research Design</w:t>
      </w:r>
    </w:p>
    <w:p w14:paraId="3D5100C1" w14:textId="77777777" w:rsidR="000B004D" w:rsidRPr="00DC4EC9" w:rsidRDefault="000B004D" w:rsidP="00342F90">
      <w:pPr>
        <w:spacing w:after="160" w:line="276" w:lineRule="auto"/>
        <w:rPr>
          <w:color w:val="0D0D0D" w:themeColor="text1" w:themeTint="F2"/>
          <w:sz w:val="24"/>
          <w:szCs w:val="24"/>
        </w:rPr>
      </w:pPr>
      <w:r w:rsidRPr="00DC4EC9">
        <w:rPr>
          <w:color w:val="0D0D0D" w:themeColor="text1" w:themeTint="F2"/>
          <w:sz w:val="24"/>
          <w:szCs w:val="24"/>
        </w:rPr>
        <w:t>This study adopts a desk-based mixed-method approach using only secondary data. The design is appropriate because</w:t>
      </w:r>
      <w:r w:rsidRPr="00342F90">
        <w:rPr>
          <w:color w:val="0D0D0D" w:themeColor="text1" w:themeTint="F2"/>
          <w:sz w:val="24"/>
          <w:szCs w:val="24"/>
        </w:rPr>
        <w:t xml:space="preserve"> MNC provides</w:t>
      </w:r>
      <w:r w:rsidRPr="00DC4EC9">
        <w:rPr>
          <w:color w:val="0D0D0D" w:themeColor="text1" w:themeTint="F2"/>
          <w:sz w:val="24"/>
          <w:szCs w:val="24"/>
        </w:rPr>
        <w:t xml:space="preserve"> publicly available financial data and annual reports of </w:t>
      </w:r>
      <w:r w:rsidRPr="00342F90">
        <w:rPr>
          <w:color w:val="0D0D0D" w:themeColor="text1" w:themeTint="F2"/>
          <w:sz w:val="24"/>
          <w:szCs w:val="24"/>
        </w:rPr>
        <w:t xml:space="preserve">which further </w:t>
      </w:r>
      <w:proofErr w:type="gramStart"/>
      <w:r w:rsidRPr="00342F90">
        <w:rPr>
          <w:color w:val="0D0D0D" w:themeColor="text1" w:themeTint="F2"/>
          <w:sz w:val="24"/>
          <w:szCs w:val="24"/>
        </w:rPr>
        <w:t xml:space="preserve">insights </w:t>
      </w:r>
      <w:r w:rsidRPr="00DC4EC9">
        <w:rPr>
          <w:color w:val="0D0D0D" w:themeColor="text1" w:themeTint="F2"/>
          <w:sz w:val="24"/>
          <w:szCs w:val="24"/>
        </w:rPr>
        <w:t xml:space="preserve"> into</w:t>
      </w:r>
      <w:proofErr w:type="gramEnd"/>
      <w:r w:rsidRPr="00DC4EC9">
        <w:rPr>
          <w:color w:val="0D0D0D" w:themeColor="text1" w:themeTint="F2"/>
          <w:sz w:val="24"/>
          <w:szCs w:val="24"/>
        </w:rPr>
        <w:t xml:space="preserve"> </w:t>
      </w:r>
      <w:proofErr w:type="spellStart"/>
      <w:r w:rsidRPr="00DC4EC9">
        <w:rPr>
          <w:color w:val="0D0D0D" w:themeColor="text1" w:themeTint="F2"/>
          <w:sz w:val="24"/>
          <w:szCs w:val="24"/>
        </w:rPr>
        <w:t>globalisation</w:t>
      </w:r>
      <w:proofErr w:type="spellEnd"/>
      <w:r w:rsidRPr="00DC4EC9">
        <w:rPr>
          <w:color w:val="0D0D0D" w:themeColor="text1" w:themeTint="F2"/>
          <w:sz w:val="24"/>
          <w:szCs w:val="24"/>
        </w:rPr>
        <w:t xml:space="preserve"> exposure and financial strategy decisions. The combination of quantitative financial ratios and qualitative content analysis enables methodological triangulation, increasing validity.</w:t>
      </w:r>
    </w:p>
    <w:p w14:paraId="6796D2FD" w14:textId="77777777" w:rsidR="000B004D" w:rsidRPr="00DC4EC9" w:rsidRDefault="000B004D" w:rsidP="00342F90">
      <w:pPr>
        <w:spacing w:after="160" w:line="276" w:lineRule="auto"/>
        <w:rPr>
          <w:color w:val="0D0D0D" w:themeColor="text1" w:themeTint="F2"/>
          <w:sz w:val="24"/>
          <w:szCs w:val="24"/>
        </w:rPr>
      </w:pPr>
    </w:p>
    <w:p w14:paraId="20291CD0" w14:textId="77777777" w:rsidR="000B004D" w:rsidRPr="00DC4EC9" w:rsidRDefault="000B004D" w:rsidP="00342F90">
      <w:pPr>
        <w:spacing w:after="160" w:line="276" w:lineRule="auto"/>
        <w:rPr>
          <w:color w:val="0D0D0D" w:themeColor="text1" w:themeTint="F2"/>
          <w:sz w:val="24"/>
          <w:szCs w:val="24"/>
        </w:rPr>
      </w:pPr>
      <w:r w:rsidRPr="00DC4EC9">
        <w:rPr>
          <w:color w:val="0D0D0D" w:themeColor="text1" w:themeTint="F2"/>
          <w:sz w:val="24"/>
          <w:szCs w:val="24"/>
        </w:rPr>
        <w:t xml:space="preserve">3.2 </w:t>
      </w:r>
      <w:r w:rsidRPr="00DC4EC9">
        <w:rPr>
          <w:b/>
          <w:bCs/>
          <w:color w:val="0D0D0D" w:themeColor="text1" w:themeTint="F2"/>
          <w:sz w:val="24"/>
          <w:szCs w:val="24"/>
        </w:rPr>
        <w:t>Sampling Strategy</w:t>
      </w:r>
    </w:p>
    <w:p w14:paraId="6443166D" w14:textId="77777777" w:rsidR="000B004D" w:rsidRPr="00DC4EC9" w:rsidRDefault="000B004D" w:rsidP="00342F90">
      <w:pPr>
        <w:spacing w:after="160" w:line="276" w:lineRule="auto"/>
        <w:rPr>
          <w:color w:val="0D0D0D" w:themeColor="text1" w:themeTint="F2"/>
          <w:sz w:val="24"/>
          <w:szCs w:val="24"/>
        </w:rPr>
      </w:pPr>
      <w:r w:rsidRPr="00DC4EC9">
        <w:rPr>
          <w:color w:val="0D0D0D" w:themeColor="text1" w:themeTint="F2"/>
          <w:sz w:val="24"/>
          <w:szCs w:val="24"/>
        </w:rPr>
        <w:t>A purposive sampling technique will be used to select 6–8 multinational corporations operating in both developed and emerging markets.</w:t>
      </w:r>
      <w:r w:rsidRPr="00DC4EC9">
        <w:rPr>
          <w:color w:val="0D0D0D" w:themeColor="text1" w:themeTint="F2"/>
          <w:sz w:val="24"/>
          <w:szCs w:val="24"/>
        </w:rPr>
        <w:br/>
        <w:t>Selection criteria include:</w:t>
      </w:r>
    </w:p>
    <w:p w14:paraId="7CC03CA5" w14:textId="77777777" w:rsidR="000B004D" w:rsidRPr="00DC4EC9" w:rsidRDefault="000B004D" w:rsidP="00342F90">
      <w:pPr>
        <w:widowControl/>
        <w:numPr>
          <w:ilvl w:val="0"/>
          <w:numId w:val="25"/>
        </w:numPr>
        <w:autoSpaceDE/>
        <w:autoSpaceDN/>
        <w:spacing w:after="160" w:line="276" w:lineRule="auto"/>
        <w:rPr>
          <w:color w:val="0D0D0D" w:themeColor="text1" w:themeTint="F2"/>
          <w:sz w:val="24"/>
          <w:szCs w:val="24"/>
        </w:rPr>
      </w:pPr>
      <w:r w:rsidRPr="00DC4EC9">
        <w:rPr>
          <w:color w:val="0D0D0D" w:themeColor="text1" w:themeTint="F2"/>
          <w:sz w:val="24"/>
          <w:szCs w:val="24"/>
        </w:rPr>
        <w:t xml:space="preserve">Degree of </w:t>
      </w:r>
      <w:proofErr w:type="spellStart"/>
      <w:r w:rsidRPr="00DC4EC9">
        <w:rPr>
          <w:color w:val="0D0D0D" w:themeColor="text1" w:themeTint="F2"/>
          <w:sz w:val="24"/>
          <w:szCs w:val="24"/>
        </w:rPr>
        <w:t>globalisation</w:t>
      </w:r>
      <w:proofErr w:type="spellEnd"/>
      <w:r w:rsidRPr="00DC4EC9">
        <w:rPr>
          <w:color w:val="0D0D0D" w:themeColor="text1" w:themeTint="F2"/>
          <w:sz w:val="24"/>
          <w:szCs w:val="24"/>
        </w:rPr>
        <w:t xml:space="preserve"> (foreign revenue share, international subsidiaries, global market presence).</w:t>
      </w:r>
    </w:p>
    <w:p w14:paraId="75E3791A" w14:textId="77777777" w:rsidR="000B004D" w:rsidRPr="00DC4EC9" w:rsidRDefault="000B004D" w:rsidP="00342F90">
      <w:pPr>
        <w:widowControl/>
        <w:numPr>
          <w:ilvl w:val="0"/>
          <w:numId w:val="25"/>
        </w:numPr>
        <w:autoSpaceDE/>
        <w:autoSpaceDN/>
        <w:spacing w:after="160" w:line="276" w:lineRule="auto"/>
        <w:rPr>
          <w:color w:val="0D0D0D" w:themeColor="text1" w:themeTint="F2"/>
          <w:sz w:val="24"/>
          <w:szCs w:val="24"/>
        </w:rPr>
      </w:pPr>
      <w:r w:rsidRPr="00DC4EC9">
        <w:rPr>
          <w:color w:val="0D0D0D" w:themeColor="text1" w:themeTint="F2"/>
          <w:sz w:val="24"/>
          <w:szCs w:val="24"/>
        </w:rPr>
        <w:t>Accessibility of at least five years of comparable financial data.</w:t>
      </w:r>
    </w:p>
    <w:p w14:paraId="32A9E1B1" w14:textId="77777777" w:rsidR="000B004D" w:rsidRPr="00DC4EC9" w:rsidRDefault="000B004D" w:rsidP="00342F90">
      <w:pPr>
        <w:widowControl/>
        <w:numPr>
          <w:ilvl w:val="0"/>
          <w:numId w:val="25"/>
        </w:numPr>
        <w:autoSpaceDE/>
        <w:autoSpaceDN/>
        <w:spacing w:after="160" w:line="276" w:lineRule="auto"/>
        <w:rPr>
          <w:color w:val="0D0D0D" w:themeColor="text1" w:themeTint="F2"/>
          <w:sz w:val="24"/>
          <w:szCs w:val="24"/>
        </w:rPr>
      </w:pPr>
      <w:r w:rsidRPr="00DC4EC9">
        <w:rPr>
          <w:color w:val="0D0D0D" w:themeColor="text1" w:themeTint="F2"/>
          <w:sz w:val="24"/>
          <w:szCs w:val="24"/>
        </w:rPr>
        <w:t xml:space="preserve">Representation across three major sectors highly affected by </w:t>
      </w:r>
      <w:proofErr w:type="spellStart"/>
      <w:r w:rsidRPr="00DC4EC9">
        <w:rPr>
          <w:color w:val="0D0D0D" w:themeColor="text1" w:themeTint="F2"/>
          <w:sz w:val="24"/>
          <w:szCs w:val="24"/>
        </w:rPr>
        <w:t>globalisation</w:t>
      </w:r>
      <w:proofErr w:type="spellEnd"/>
      <w:r w:rsidRPr="00DC4EC9">
        <w:rPr>
          <w:color w:val="0D0D0D" w:themeColor="text1" w:themeTint="F2"/>
          <w:sz w:val="24"/>
          <w:szCs w:val="24"/>
        </w:rPr>
        <w:t>:</w:t>
      </w:r>
    </w:p>
    <w:p w14:paraId="3A4417E5" w14:textId="77777777" w:rsidR="000B004D" w:rsidRPr="00DC4EC9" w:rsidRDefault="000B004D" w:rsidP="00342F90">
      <w:pPr>
        <w:widowControl/>
        <w:numPr>
          <w:ilvl w:val="1"/>
          <w:numId w:val="25"/>
        </w:numPr>
        <w:autoSpaceDE/>
        <w:autoSpaceDN/>
        <w:spacing w:after="160" w:line="276" w:lineRule="auto"/>
        <w:rPr>
          <w:color w:val="0D0D0D" w:themeColor="text1" w:themeTint="F2"/>
          <w:sz w:val="24"/>
          <w:szCs w:val="24"/>
        </w:rPr>
      </w:pPr>
      <w:r w:rsidRPr="00DC4EC9">
        <w:rPr>
          <w:color w:val="0D0D0D" w:themeColor="text1" w:themeTint="F2"/>
          <w:sz w:val="24"/>
          <w:szCs w:val="24"/>
        </w:rPr>
        <w:t>Technology</w:t>
      </w:r>
    </w:p>
    <w:p w14:paraId="615588CD" w14:textId="77777777" w:rsidR="000B004D" w:rsidRPr="00DC4EC9" w:rsidRDefault="000B004D" w:rsidP="00342F90">
      <w:pPr>
        <w:widowControl/>
        <w:numPr>
          <w:ilvl w:val="1"/>
          <w:numId w:val="25"/>
        </w:numPr>
        <w:autoSpaceDE/>
        <w:autoSpaceDN/>
        <w:spacing w:after="160" w:line="276" w:lineRule="auto"/>
        <w:rPr>
          <w:color w:val="0D0D0D" w:themeColor="text1" w:themeTint="F2"/>
          <w:sz w:val="24"/>
          <w:szCs w:val="24"/>
        </w:rPr>
      </w:pPr>
      <w:r w:rsidRPr="00DC4EC9">
        <w:rPr>
          <w:color w:val="0D0D0D" w:themeColor="text1" w:themeTint="F2"/>
          <w:sz w:val="24"/>
          <w:szCs w:val="24"/>
        </w:rPr>
        <w:t>Manufacturing</w:t>
      </w:r>
    </w:p>
    <w:p w14:paraId="296E0DCB" w14:textId="77777777" w:rsidR="000B004D" w:rsidRPr="00DC4EC9" w:rsidRDefault="000B004D" w:rsidP="00342F90">
      <w:pPr>
        <w:widowControl/>
        <w:numPr>
          <w:ilvl w:val="1"/>
          <w:numId w:val="25"/>
        </w:numPr>
        <w:autoSpaceDE/>
        <w:autoSpaceDN/>
        <w:spacing w:after="160" w:line="276" w:lineRule="auto"/>
        <w:rPr>
          <w:color w:val="0D0D0D" w:themeColor="text1" w:themeTint="F2"/>
          <w:sz w:val="24"/>
          <w:szCs w:val="24"/>
        </w:rPr>
      </w:pPr>
      <w:r w:rsidRPr="00DC4EC9">
        <w:rPr>
          <w:color w:val="0D0D0D" w:themeColor="text1" w:themeTint="F2"/>
          <w:sz w:val="24"/>
          <w:szCs w:val="24"/>
        </w:rPr>
        <w:t>Financial services</w:t>
      </w:r>
    </w:p>
    <w:p w14:paraId="7E13FF1B" w14:textId="77777777" w:rsidR="000B004D" w:rsidRPr="00342F90" w:rsidRDefault="000B004D" w:rsidP="00342F90">
      <w:pPr>
        <w:spacing w:line="276" w:lineRule="auto"/>
        <w:rPr>
          <w:color w:val="0D0D0D" w:themeColor="text1" w:themeTint="F2"/>
          <w:sz w:val="24"/>
          <w:szCs w:val="24"/>
        </w:rPr>
      </w:pPr>
      <w:r w:rsidRPr="00DC4EC9">
        <w:rPr>
          <w:color w:val="0D0D0D" w:themeColor="text1" w:themeTint="F2"/>
          <w:sz w:val="24"/>
          <w:szCs w:val="24"/>
        </w:rPr>
        <w:t xml:space="preserve">This cross-sectional sector selection helps </w:t>
      </w:r>
      <w:proofErr w:type="spellStart"/>
      <w:r w:rsidRPr="00DC4EC9">
        <w:rPr>
          <w:color w:val="0D0D0D" w:themeColor="text1" w:themeTint="F2"/>
          <w:sz w:val="24"/>
          <w:szCs w:val="24"/>
        </w:rPr>
        <w:t>generalise</w:t>
      </w:r>
      <w:proofErr w:type="spellEnd"/>
      <w:r w:rsidRPr="00DC4EC9">
        <w:rPr>
          <w:color w:val="0D0D0D" w:themeColor="text1" w:themeTint="F2"/>
          <w:sz w:val="24"/>
          <w:szCs w:val="24"/>
        </w:rPr>
        <w:t xml:space="preserve"> findings and compare how </w:t>
      </w:r>
      <w:proofErr w:type="spellStart"/>
      <w:r w:rsidRPr="00DC4EC9">
        <w:rPr>
          <w:color w:val="0D0D0D" w:themeColor="text1" w:themeTint="F2"/>
          <w:sz w:val="24"/>
          <w:szCs w:val="24"/>
        </w:rPr>
        <w:t>globalisation</w:t>
      </w:r>
      <w:proofErr w:type="spellEnd"/>
      <w:r w:rsidRPr="00DC4EC9">
        <w:rPr>
          <w:color w:val="0D0D0D" w:themeColor="text1" w:themeTint="F2"/>
          <w:sz w:val="24"/>
          <w:szCs w:val="24"/>
        </w:rPr>
        <w:t xml:space="preserve"> impacts financial strategy in different industries.</w:t>
      </w:r>
    </w:p>
    <w:p w14:paraId="5AD029DE" w14:textId="77777777" w:rsidR="00C67EB1" w:rsidRPr="00342F90" w:rsidRDefault="00C67EB1" w:rsidP="00342F90">
      <w:pPr>
        <w:spacing w:line="276" w:lineRule="auto"/>
        <w:rPr>
          <w:color w:val="0D0D0D" w:themeColor="text1" w:themeTint="F2"/>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61"/>
        <w:gridCol w:w="1226"/>
        <w:gridCol w:w="2613"/>
        <w:gridCol w:w="3490"/>
      </w:tblGrid>
      <w:tr w:rsidR="00342F90" w:rsidRPr="00342F90" w14:paraId="62E0F26B" w14:textId="77777777" w:rsidTr="00C67EB1">
        <w:trPr>
          <w:tblHeader/>
          <w:tblCellSpacing w:w="15" w:type="dxa"/>
        </w:trPr>
        <w:tc>
          <w:tcPr>
            <w:tcW w:w="0" w:type="auto"/>
            <w:vAlign w:val="center"/>
            <w:hideMark/>
          </w:tcPr>
          <w:p w14:paraId="602EB142" w14:textId="77777777" w:rsidR="000B004D" w:rsidRPr="00585DAB" w:rsidRDefault="000B004D" w:rsidP="00342F90">
            <w:pPr>
              <w:spacing w:after="160" w:line="276" w:lineRule="auto"/>
              <w:rPr>
                <w:color w:val="0D0D0D" w:themeColor="text1" w:themeTint="F2"/>
                <w:sz w:val="24"/>
                <w:szCs w:val="24"/>
              </w:rPr>
            </w:pPr>
            <w:r w:rsidRPr="00585DAB">
              <w:rPr>
                <w:color w:val="0D0D0D" w:themeColor="text1" w:themeTint="F2"/>
                <w:sz w:val="24"/>
                <w:szCs w:val="24"/>
              </w:rPr>
              <w:t>Sector</w:t>
            </w:r>
          </w:p>
        </w:tc>
        <w:tc>
          <w:tcPr>
            <w:tcW w:w="0" w:type="auto"/>
            <w:vAlign w:val="center"/>
            <w:hideMark/>
          </w:tcPr>
          <w:p w14:paraId="7A5313F4" w14:textId="77777777" w:rsidR="000B004D" w:rsidRPr="00585DAB" w:rsidRDefault="000B004D" w:rsidP="00342F90">
            <w:pPr>
              <w:spacing w:after="160" w:line="276" w:lineRule="auto"/>
              <w:rPr>
                <w:color w:val="0D0D0D" w:themeColor="text1" w:themeTint="F2"/>
                <w:sz w:val="24"/>
                <w:szCs w:val="24"/>
              </w:rPr>
            </w:pPr>
            <w:r w:rsidRPr="00585DAB">
              <w:rPr>
                <w:color w:val="0D0D0D" w:themeColor="text1" w:themeTint="F2"/>
                <w:sz w:val="24"/>
                <w:szCs w:val="24"/>
              </w:rPr>
              <w:t>Company</w:t>
            </w:r>
          </w:p>
        </w:tc>
        <w:tc>
          <w:tcPr>
            <w:tcW w:w="0" w:type="auto"/>
            <w:vAlign w:val="center"/>
            <w:hideMark/>
          </w:tcPr>
          <w:p w14:paraId="603175D1" w14:textId="77777777" w:rsidR="000B004D" w:rsidRPr="00585DAB" w:rsidRDefault="000B004D" w:rsidP="00342F90">
            <w:pPr>
              <w:spacing w:after="160" w:line="276" w:lineRule="auto"/>
              <w:rPr>
                <w:color w:val="0D0D0D" w:themeColor="text1" w:themeTint="F2"/>
                <w:sz w:val="24"/>
                <w:szCs w:val="24"/>
              </w:rPr>
            </w:pPr>
            <w:r w:rsidRPr="00585DAB">
              <w:rPr>
                <w:color w:val="0D0D0D" w:themeColor="text1" w:themeTint="F2"/>
                <w:sz w:val="24"/>
                <w:szCs w:val="24"/>
              </w:rPr>
              <w:t>Headquarters/Regional Base</w:t>
            </w:r>
          </w:p>
        </w:tc>
        <w:tc>
          <w:tcPr>
            <w:tcW w:w="0" w:type="auto"/>
            <w:vAlign w:val="center"/>
            <w:hideMark/>
          </w:tcPr>
          <w:p w14:paraId="6481CEA1" w14:textId="77777777" w:rsidR="000B004D" w:rsidRPr="00585DAB" w:rsidRDefault="000B004D" w:rsidP="00342F90">
            <w:pPr>
              <w:spacing w:after="160" w:line="276" w:lineRule="auto"/>
              <w:rPr>
                <w:color w:val="0D0D0D" w:themeColor="text1" w:themeTint="F2"/>
                <w:sz w:val="24"/>
                <w:szCs w:val="24"/>
              </w:rPr>
            </w:pPr>
            <w:r w:rsidRPr="00585DAB">
              <w:rPr>
                <w:color w:val="0D0D0D" w:themeColor="text1" w:themeTint="F2"/>
                <w:sz w:val="24"/>
                <w:szCs w:val="24"/>
              </w:rPr>
              <w:t>Justification for Inclusion</w:t>
            </w:r>
          </w:p>
        </w:tc>
      </w:tr>
      <w:tr w:rsidR="00342F90" w:rsidRPr="00342F90" w14:paraId="1B536D34" w14:textId="77777777" w:rsidTr="00C67EB1">
        <w:trPr>
          <w:tblCellSpacing w:w="15" w:type="dxa"/>
        </w:trPr>
        <w:tc>
          <w:tcPr>
            <w:tcW w:w="0" w:type="auto"/>
            <w:vAlign w:val="center"/>
            <w:hideMark/>
          </w:tcPr>
          <w:p w14:paraId="6AC0DD58" w14:textId="77777777" w:rsidR="000B004D" w:rsidRPr="00585DAB" w:rsidRDefault="000B004D" w:rsidP="00342F90">
            <w:pPr>
              <w:spacing w:after="160" w:line="276" w:lineRule="auto"/>
              <w:rPr>
                <w:color w:val="0D0D0D" w:themeColor="text1" w:themeTint="F2"/>
                <w:sz w:val="24"/>
                <w:szCs w:val="24"/>
              </w:rPr>
            </w:pPr>
            <w:r w:rsidRPr="00585DAB">
              <w:rPr>
                <w:color w:val="0D0D0D" w:themeColor="text1" w:themeTint="F2"/>
                <w:sz w:val="24"/>
                <w:szCs w:val="24"/>
              </w:rPr>
              <w:t>Technology</w:t>
            </w:r>
          </w:p>
        </w:tc>
        <w:tc>
          <w:tcPr>
            <w:tcW w:w="0" w:type="auto"/>
            <w:vAlign w:val="center"/>
            <w:hideMark/>
          </w:tcPr>
          <w:p w14:paraId="03F85715" w14:textId="77777777" w:rsidR="000B004D" w:rsidRPr="00585DAB" w:rsidRDefault="000B004D" w:rsidP="00342F90">
            <w:pPr>
              <w:spacing w:after="160" w:line="276" w:lineRule="auto"/>
              <w:rPr>
                <w:color w:val="0D0D0D" w:themeColor="text1" w:themeTint="F2"/>
                <w:sz w:val="24"/>
                <w:szCs w:val="24"/>
              </w:rPr>
            </w:pPr>
            <w:r w:rsidRPr="00585DAB">
              <w:rPr>
                <w:color w:val="0D0D0D" w:themeColor="text1" w:themeTint="F2"/>
                <w:sz w:val="24"/>
                <w:szCs w:val="24"/>
              </w:rPr>
              <w:t>Siemens AG</w:t>
            </w:r>
          </w:p>
        </w:tc>
        <w:tc>
          <w:tcPr>
            <w:tcW w:w="0" w:type="auto"/>
            <w:vAlign w:val="center"/>
            <w:hideMark/>
          </w:tcPr>
          <w:p w14:paraId="6931797F" w14:textId="77777777" w:rsidR="000B004D" w:rsidRPr="00585DAB" w:rsidRDefault="000B004D" w:rsidP="00342F90">
            <w:pPr>
              <w:spacing w:after="160" w:line="276" w:lineRule="auto"/>
              <w:rPr>
                <w:color w:val="0D0D0D" w:themeColor="text1" w:themeTint="F2"/>
                <w:sz w:val="24"/>
                <w:szCs w:val="24"/>
              </w:rPr>
            </w:pPr>
            <w:r w:rsidRPr="00585DAB">
              <w:rPr>
                <w:color w:val="0D0D0D" w:themeColor="text1" w:themeTint="F2"/>
                <w:sz w:val="24"/>
                <w:szCs w:val="24"/>
              </w:rPr>
              <w:t>Germany (EU)</w:t>
            </w:r>
          </w:p>
        </w:tc>
        <w:tc>
          <w:tcPr>
            <w:tcW w:w="0" w:type="auto"/>
            <w:vAlign w:val="center"/>
            <w:hideMark/>
          </w:tcPr>
          <w:p w14:paraId="2A0EF82C" w14:textId="77777777" w:rsidR="000B004D" w:rsidRPr="00585DAB" w:rsidRDefault="000B004D" w:rsidP="00342F90">
            <w:pPr>
              <w:spacing w:after="160" w:line="276" w:lineRule="auto"/>
              <w:rPr>
                <w:color w:val="0D0D0D" w:themeColor="text1" w:themeTint="F2"/>
                <w:sz w:val="24"/>
                <w:szCs w:val="24"/>
              </w:rPr>
            </w:pPr>
            <w:r w:rsidRPr="00585DAB">
              <w:rPr>
                <w:color w:val="0D0D0D" w:themeColor="text1" w:themeTint="F2"/>
                <w:sz w:val="24"/>
                <w:szCs w:val="24"/>
              </w:rPr>
              <w:t>Operates globally in energy, automation, healthcare and digital technologies. Publishes detailed annual and sustainability reports. Strong international revenue share and R&amp;D investment.</w:t>
            </w:r>
          </w:p>
        </w:tc>
      </w:tr>
      <w:tr w:rsidR="00342F90" w:rsidRPr="00342F90" w14:paraId="3ABBAB16" w14:textId="77777777" w:rsidTr="00C67EB1">
        <w:trPr>
          <w:tblCellSpacing w:w="15" w:type="dxa"/>
        </w:trPr>
        <w:tc>
          <w:tcPr>
            <w:tcW w:w="0" w:type="auto"/>
            <w:vAlign w:val="center"/>
            <w:hideMark/>
          </w:tcPr>
          <w:p w14:paraId="6A9126B9" w14:textId="77777777" w:rsidR="000B004D" w:rsidRPr="00585DAB" w:rsidRDefault="000B004D" w:rsidP="00342F90">
            <w:pPr>
              <w:spacing w:after="160" w:line="276" w:lineRule="auto"/>
              <w:rPr>
                <w:color w:val="0D0D0D" w:themeColor="text1" w:themeTint="F2"/>
                <w:sz w:val="24"/>
                <w:szCs w:val="24"/>
              </w:rPr>
            </w:pPr>
            <w:r w:rsidRPr="00585DAB">
              <w:rPr>
                <w:color w:val="0D0D0D" w:themeColor="text1" w:themeTint="F2"/>
                <w:sz w:val="24"/>
                <w:szCs w:val="24"/>
              </w:rPr>
              <w:t>Technology</w:t>
            </w:r>
          </w:p>
        </w:tc>
        <w:tc>
          <w:tcPr>
            <w:tcW w:w="0" w:type="auto"/>
            <w:vAlign w:val="center"/>
            <w:hideMark/>
          </w:tcPr>
          <w:p w14:paraId="5D87884F" w14:textId="77777777" w:rsidR="000B004D" w:rsidRPr="00585DAB" w:rsidRDefault="000B004D" w:rsidP="00342F90">
            <w:pPr>
              <w:spacing w:after="160" w:line="276" w:lineRule="auto"/>
              <w:rPr>
                <w:color w:val="0D0D0D" w:themeColor="text1" w:themeTint="F2"/>
                <w:sz w:val="24"/>
                <w:szCs w:val="24"/>
              </w:rPr>
            </w:pPr>
            <w:r w:rsidRPr="00585DAB">
              <w:rPr>
                <w:color w:val="0D0D0D" w:themeColor="text1" w:themeTint="F2"/>
                <w:sz w:val="24"/>
                <w:szCs w:val="24"/>
              </w:rPr>
              <w:t>Vodafone Group Plc</w:t>
            </w:r>
          </w:p>
        </w:tc>
        <w:tc>
          <w:tcPr>
            <w:tcW w:w="0" w:type="auto"/>
            <w:vAlign w:val="center"/>
            <w:hideMark/>
          </w:tcPr>
          <w:p w14:paraId="33851744" w14:textId="77777777" w:rsidR="000B004D" w:rsidRPr="00585DAB" w:rsidRDefault="000B004D" w:rsidP="00342F90">
            <w:pPr>
              <w:spacing w:after="160" w:line="276" w:lineRule="auto"/>
              <w:rPr>
                <w:color w:val="0D0D0D" w:themeColor="text1" w:themeTint="F2"/>
                <w:sz w:val="24"/>
                <w:szCs w:val="24"/>
              </w:rPr>
            </w:pPr>
            <w:r w:rsidRPr="00585DAB">
              <w:rPr>
                <w:color w:val="0D0D0D" w:themeColor="text1" w:themeTint="F2"/>
                <w:sz w:val="24"/>
                <w:szCs w:val="24"/>
              </w:rPr>
              <w:t>UK</w:t>
            </w:r>
          </w:p>
        </w:tc>
        <w:tc>
          <w:tcPr>
            <w:tcW w:w="0" w:type="auto"/>
            <w:vAlign w:val="center"/>
            <w:hideMark/>
          </w:tcPr>
          <w:p w14:paraId="13DA5A02" w14:textId="77777777" w:rsidR="000B004D" w:rsidRPr="00585DAB" w:rsidRDefault="000B004D" w:rsidP="00342F90">
            <w:pPr>
              <w:spacing w:after="160" w:line="276" w:lineRule="auto"/>
              <w:rPr>
                <w:color w:val="0D0D0D" w:themeColor="text1" w:themeTint="F2"/>
                <w:sz w:val="24"/>
                <w:szCs w:val="24"/>
              </w:rPr>
            </w:pPr>
            <w:r w:rsidRPr="00585DAB">
              <w:rPr>
                <w:color w:val="0D0D0D" w:themeColor="text1" w:themeTint="F2"/>
                <w:sz w:val="24"/>
                <w:szCs w:val="24"/>
              </w:rPr>
              <w:t>Major multinational telecom with operations across Europe, Asia, and Africa. High foreign revenue exposure, currency risk, and cross-border financing.</w:t>
            </w:r>
          </w:p>
        </w:tc>
      </w:tr>
      <w:tr w:rsidR="00342F90" w:rsidRPr="00342F90" w14:paraId="09634B09" w14:textId="77777777" w:rsidTr="00C67EB1">
        <w:trPr>
          <w:tblCellSpacing w:w="15" w:type="dxa"/>
        </w:trPr>
        <w:tc>
          <w:tcPr>
            <w:tcW w:w="0" w:type="auto"/>
            <w:vAlign w:val="center"/>
            <w:hideMark/>
          </w:tcPr>
          <w:p w14:paraId="4C9F32D9" w14:textId="77777777" w:rsidR="000B004D" w:rsidRPr="00585DAB" w:rsidRDefault="000B004D" w:rsidP="00342F90">
            <w:pPr>
              <w:spacing w:after="160" w:line="276" w:lineRule="auto"/>
              <w:rPr>
                <w:color w:val="0D0D0D" w:themeColor="text1" w:themeTint="F2"/>
                <w:sz w:val="24"/>
                <w:szCs w:val="24"/>
              </w:rPr>
            </w:pPr>
            <w:r w:rsidRPr="00585DAB">
              <w:rPr>
                <w:color w:val="0D0D0D" w:themeColor="text1" w:themeTint="F2"/>
                <w:sz w:val="24"/>
                <w:szCs w:val="24"/>
              </w:rPr>
              <w:t>Manufacturing</w:t>
            </w:r>
          </w:p>
        </w:tc>
        <w:tc>
          <w:tcPr>
            <w:tcW w:w="0" w:type="auto"/>
            <w:vAlign w:val="center"/>
            <w:hideMark/>
          </w:tcPr>
          <w:p w14:paraId="126E9018" w14:textId="77777777" w:rsidR="000B004D" w:rsidRPr="00585DAB" w:rsidRDefault="000B004D" w:rsidP="00342F90">
            <w:pPr>
              <w:spacing w:after="160" w:line="276" w:lineRule="auto"/>
              <w:rPr>
                <w:color w:val="0D0D0D" w:themeColor="text1" w:themeTint="F2"/>
                <w:sz w:val="24"/>
                <w:szCs w:val="24"/>
              </w:rPr>
            </w:pPr>
            <w:r w:rsidRPr="00585DAB">
              <w:rPr>
                <w:color w:val="0D0D0D" w:themeColor="text1" w:themeTint="F2"/>
                <w:sz w:val="24"/>
                <w:szCs w:val="24"/>
              </w:rPr>
              <w:t>Unilever Plc</w:t>
            </w:r>
          </w:p>
        </w:tc>
        <w:tc>
          <w:tcPr>
            <w:tcW w:w="0" w:type="auto"/>
            <w:vAlign w:val="center"/>
            <w:hideMark/>
          </w:tcPr>
          <w:p w14:paraId="369A935B" w14:textId="77777777" w:rsidR="000B004D" w:rsidRPr="00585DAB" w:rsidRDefault="000B004D" w:rsidP="00342F90">
            <w:pPr>
              <w:spacing w:after="160" w:line="276" w:lineRule="auto"/>
              <w:rPr>
                <w:color w:val="0D0D0D" w:themeColor="text1" w:themeTint="F2"/>
                <w:sz w:val="24"/>
                <w:szCs w:val="24"/>
              </w:rPr>
            </w:pPr>
            <w:r w:rsidRPr="00585DAB">
              <w:rPr>
                <w:color w:val="0D0D0D" w:themeColor="text1" w:themeTint="F2"/>
                <w:sz w:val="24"/>
                <w:szCs w:val="24"/>
              </w:rPr>
              <w:t>UK/Netherlands (dual listed)</w:t>
            </w:r>
          </w:p>
        </w:tc>
        <w:tc>
          <w:tcPr>
            <w:tcW w:w="0" w:type="auto"/>
            <w:vAlign w:val="center"/>
            <w:hideMark/>
          </w:tcPr>
          <w:p w14:paraId="6313CB18" w14:textId="77777777" w:rsidR="000B004D" w:rsidRPr="00585DAB" w:rsidRDefault="000B004D" w:rsidP="00342F90">
            <w:pPr>
              <w:spacing w:after="160" w:line="276" w:lineRule="auto"/>
              <w:rPr>
                <w:color w:val="0D0D0D" w:themeColor="text1" w:themeTint="F2"/>
                <w:sz w:val="24"/>
                <w:szCs w:val="24"/>
              </w:rPr>
            </w:pPr>
            <w:r w:rsidRPr="00585DAB">
              <w:rPr>
                <w:color w:val="0D0D0D" w:themeColor="text1" w:themeTint="F2"/>
                <w:sz w:val="24"/>
                <w:szCs w:val="24"/>
              </w:rPr>
              <w:t>One of the largest consumer goods MNCs, with 190+ country operations. Extensive financial disclosures, foreign currency exposure, and multinational supply chains.</w:t>
            </w:r>
          </w:p>
        </w:tc>
      </w:tr>
      <w:tr w:rsidR="00342F90" w:rsidRPr="00342F90" w14:paraId="0C98B6A9" w14:textId="77777777" w:rsidTr="00C67EB1">
        <w:trPr>
          <w:tblCellSpacing w:w="15" w:type="dxa"/>
        </w:trPr>
        <w:tc>
          <w:tcPr>
            <w:tcW w:w="0" w:type="auto"/>
            <w:vAlign w:val="center"/>
            <w:hideMark/>
          </w:tcPr>
          <w:p w14:paraId="414260A7" w14:textId="77777777" w:rsidR="000B004D" w:rsidRPr="00585DAB" w:rsidRDefault="000B004D" w:rsidP="00342F90">
            <w:pPr>
              <w:spacing w:after="160" w:line="276" w:lineRule="auto"/>
              <w:rPr>
                <w:color w:val="0D0D0D" w:themeColor="text1" w:themeTint="F2"/>
                <w:sz w:val="24"/>
                <w:szCs w:val="24"/>
              </w:rPr>
            </w:pPr>
            <w:r w:rsidRPr="00585DAB">
              <w:rPr>
                <w:color w:val="0D0D0D" w:themeColor="text1" w:themeTint="F2"/>
                <w:sz w:val="24"/>
                <w:szCs w:val="24"/>
              </w:rPr>
              <w:t>Manufacturing</w:t>
            </w:r>
          </w:p>
        </w:tc>
        <w:tc>
          <w:tcPr>
            <w:tcW w:w="0" w:type="auto"/>
            <w:vAlign w:val="center"/>
            <w:hideMark/>
          </w:tcPr>
          <w:p w14:paraId="2A82ABFA" w14:textId="77777777" w:rsidR="000B004D" w:rsidRPr="00585DAB" w:rsidRDefault="000B004D" w:rsidP="00342F90">
            <w:pPr>
              <w:spacing w:after="160" w:line="276" w:lineRule="auto"/>
              <w:rPr>
                <w:color w:val="0D0D0D" w:themeColor="text1" w:themeTint="F2"/>
                <w:sz w:val="24"/>
                <w:szCs w:val="24"/>
              </w:rPr>
            </w:pPr>
            <w:r w:rsidRPr="00585DAB">
              <w:rPr>
                <w:color w:val="0D0D0D" w:themeColor="text1" w:themeTint="F2"/>
                <w:sz w:val="24"/>
                <w:szCs w:val="24"/>
              </w:rPr>
              <w:t>BMW Group</w:t>
            </w:r>
          </w:p>
        </w:tc>
        <w:tc>
          <w:tcPr>
            <w:tcW w:w="0" w:type="auto"/>
            <w:vAlign w:val="center"/>
            <w:hideMark/>
          </w:tcPr>
          <w:p w14:paraId="720C7055" w14:textId="77777777" w:rsidR="000B004D" w:rsidRPr="00585DAB" w:rsidRDefault="000B004D" w:rsidP="00342F90">
            <w:pPr>
              <w:spacing w:after="160" w:line="276" w:lineRule="auto"/>
              <w:rPr>
                <w:color w:val="0D0D0D" w:themeColor="text1" w:themeTint="F2"/>
                <w:sz w:val="24"/>
                <w:szCs w:val="24"/>
              </w:rPr>
            </w:pPr>
            <w:r w:rsidRPr="00585DAB">
              <w:rPr>
                <w:color w:val="0D0D0D" w:themeColor="text1" w:themeTint="F2"/>
                <w:sz w:val="24"/>
                <w:szCs w:val="24"/>
              </w:rPr>
              <w:t>Germany (EU)</w:t>
            </w:r>
          </w:p>
        </w:tc>
        <w:tc>
          <w:tcPr>
            <w:tcW w:w="0" w:type="auto"/>
            <w:vAlign w:val="center"/>
            <w:hideMark/>
          </w:tcPr>
          <w:p w14:paraId="623E56E7" w14:textId="77777777" w:rsidR="000B004D" w:rsidRPr="00585DAB" w:rsidRDefault="000B004D" w:rsidP="00342F90">
            <w:pPr>
              <w:spacing w:after="160" w:line="276" w:lineRule="auto"/>
              <w:rPr>
                <w:color w:val="0D0D0D" w:themeColor="text1" w:themeTint="F2"/>
                <w:sz w:val="24"/>
                <w:szCs w:val="24"/>
              </w:rPr>
            </w:pPr>
            <w:r w:rsidRPr="00585DAB">
              <w:rPr>
                <w:color w:val="0D0D0D" w:themeColor="text1" w:themeTint="F2"/>
                <w:sz w:val="24"/>
                <w:szCs w:val="24"/>
              </w:rPr>
              <w:t>Large global automotive manufacturer. Provides 5-year financial reports, global sales distribution, CAPEX, and risk-management details.</w:t>
            </w:r>
          </w:p>
        </w:tc>
      </w:tr>
      <w:tr w:rsidR="00342F90" w:rsidRPr="00342F90" w14:paraId="5CDDD48F" w14:textId="77777777" w:rsidTr="00C67EB1">
        <w:trPr>
          <w:tblCellSpacing w:w="15" w:type="dxa"/>
        </w:trPr>
        <w:tc>
          <w:tcPr>
            <w:tcW w:w="0" w:type="auto"/>
            <w:vAlign w:val="center"/>
            <w:hideMark/>
          </w:tcPr>
          <w:p w14:paraId="59A42398" w14:textId="77777777" w:rsidR="000B004D" w:rsidRPr="00585DAB" w:rsidRDefault="000B004D" w:rsidP="00342F90">
            <w:pPr>
              <w:spacing w:after="160" w:line="276" w:lineRule="auto"/>
              <w:rPr>
                <w:color w:val="0D0D0D" w:themeColor="text1" w:themeTint="F2"/>
                <w:sz w:val="24"/>
                <w:szCs w:val="24"/>
              </w:rPr>
            </w:pPr>
            <w:r w:rsidRPr="00585DAB">
              <w:rPr>
                <w:color w:val="0D0D0D" w:themeColor="text1" w:themeTint="F2"/>
                <w:sz w:val="24"/>
                <w:szCs w:val="24"/>
              </w:rPr>
              <w:t>Financial Services</w:t>
            </w:r>
          </w:p>
        </w:tc>
        <w:tc>
          <w:tcPr>
            <w:tcW w:w="0" w:type="auto"/>
            <w:vAlign w:val="center"/>
            <w:hideMark/>
          </w:tcPr>
          <w:p w14:paraId="08F672E3" w14:textId="77777777" w:rsidR="000B004D" w:rsidRPr="00585DAB" w:rsidRDefault="000B004D" w:rsidP="00342F90">
            <w:pPr>
              <w:spacing w:after="160" w:line="276" w:lineRule="auto"/>
              <w:rPr>
                <w:color w:val="0D0D0D" w:themeColor="text1" w:themeTint="F2"/>
                <w:sz w:val="24"/>
                <w:szCs w:val="24"/>
              </w:rPr>
            </w:pPr>
            <w:r w:rsidRPr="00585DAB">
              <w:rPr>
                <w:color w:val="0D0D0D" w:themeColor="text1" w:themeTint="F2"/>
                <w:sz w:val="24"/>
                <w:szCs w:val="24"/>
              </w:rPr>
              <w:t>HSBC Holdings Plc</w:t>
            </w:r>
          </w:p>
        </w:tc>
        <w:tc>
          <w:tcPr>
            <w:tcW w:w="0" w:type="auto"/>
            <w:vAlign w:val="center"/>
            <w:hideMark/>
          </w:tcPr>
          <w:p w14:paraId="71A21AD2" w14:textId="77777777" w:rsidR="000B004D" w:rsidRPr="00585DAB" w:rsidRDefault="000B004D" w:rsidP="00342F90">
            <w:pPr>
              <w:spacing w:after="160" w:line="276" w:lineRule="auto"/>
              <w:rPr>
                <w:color w:val="0D0D0D" w:themeColor="text1" w:themeTint="F2"/>
                <w:sz w:val="24"/>
                <w:szCs w:val="24"/>
              </w:rPr>
            </w:pPr>
            <w:r w:rsidRPr="00585DAB">
              <w:rPr>
                <w:color w:val="0D0D0D" w:themeColor="text1" w:themeTint="F2"/>
                <w:sz w:val="24"/>
                <w:szCs w:val="24"/>
              </w:rPr>
              <w:t>UK</w:t>
            </w:r>
          </w:p>
        </w:tc>
        <w:tc>
          <w:tcPr>
            <w:tcW w:w="0" w:type="auto"/>
            <w:vAlign w:val="center"/>
            <w:hideMark/>
          </w:tcPr>
          <w:p w14:paraId="72EBD881" w14:textId="77777777" w:rsidR="000B004D" w:rsidRPr="00585DAB" w:rsidRDefault="000B004D" w:rsidP="00342F90">
            <w:pPr>
              <w:spacing w:after="160" w:line="276" w:lineRule="auto"/>
              <w:rPr>
                <w:color w:val="0D0D0D" w:themeColor="text1" w:themeTint="F2"/>
                <w:sz w:val="24"/>
                <w:szCs w:val="24"/>
              </w:rPr>
            </w:pPr>
            <w:r w:rsidRPr="00585DAB">
              <w:rPr>
                <w:color w:val="0D0D0D" w:themeColor="text1" w:themeTint="F2"/>
                <w:sz w:val="24"/>
                <w:szCs w:val="24"/>
              </w:rPr>
              <w:t>One of the world’s largest global banks, operating across Europe, Asia, and North America. Access to cross-border capital and financial resilience indicators.</w:t>
            </w:r>
          </w:p>
        </w:tc>
      </w:tr>
      <w:tr w:rsidR="00342F90" w:rsidRPr="00342F90" w14:paraId="3A6C43C2" w14:textId="77777777" w:rsidTr="00C67EB1">
        <w:trPr>
          <w:tblCellSpacing w:w="15" w:type="dxa"/>
        </w:trPr>
        <w:tc>
          <w:tcPr>
            <w:tcW w:w="0" w:type="auto"/>
            <w:vAlign w:val="center"/>
            <w:hideMark/>
          </w:tcPr>
          <w:p w14:paraId="453049FD" w14:textId="77777777" w:rsidR="000B004D" w:rsidRPr="00585DAB" w:rsidRDefault="000B004D" w:rsidP="00342F90">
            <w:pPr>
              <w:spacing w:after="160" w:line="276" w:lineRule="auto"/>
              <w:rPr>
                <w:color w:val="0D0D0D" w:themeColor="text1" w:themeTint="F2"/>
                <w:sz w:val="24"/>
                <w:szCs w:val="24"/>
              </w:rPr>
            </w:pPr>
            <w:r w:rsidRPr="00585DAB">
              <w:rPr>
                <w:color w:val="0D0D0D" w:themeColor="text1" w:themeTint="F2"/>
                <w:sz w:val="24"/>
                <w:szCs w:val="24"/>
              </w:rPr>
              <w:t>Financial Services</w:t>
            </w:r>
          </w:p>
        </w:tc>
        <w:tc>
          <w:tcPr>
            <w:tcW w:w="0" w:type="auto"/>
            <w:vAlign w:val="center"/>
            <w:hideMark/>
          </w:tcPr>
          <w:p w14:paraId="68935928" w14:textId="77777777" w:rsidR="000B004D" w:rsidRPr="00585DAB" w:rsidRDefault="000B004D" w:rsidP="00342F90">
            <w:pPr>
              <w:spacing w:after="160" w:line="276" w:lineRule="auto"/>
              <w:rPr>
                <w:color w:val="0D0D0D" w:themeColor="text1" w:themeTint="F2"/>
                <w:sz w:val="24"/>
                <w:szCs w:val="24"/>
              </w:rPr>
            </w:pPr>
            <w:r w:rsidRPr="00585DAB">
              <w:rPr>
                <w:color w:val="0D0D0D" w:themeColor="text1" w:themeTint="F2"/>
                <w:sz w:val="24"/>
                <w:szCs w:val="24"/>
              </w:rPr>
              <w:t>Allianz SE</w:t>
            </w:r>
          </w:p>
        </w:tc>
        <w:tc>
          <w:tcPr>
            <w:tcW w:w="0" w:type="auto"/>
            <w:vAlign w:val="center"/>
            <w:hideMark/>
          </w:tcPr>
          <w:p w14:paraId="77D04319" w14:textId="77777777" w:rsidR="000B004D" w:rsidRPr="00585DAB" w:rsidRDefault="000B004D" w:rsidP="00342F90">
            <w:pPr>
              <w:spacing w:after="160" w:line="276" w:lineRule="auto"/>
              <w:rPr>
                <w:color w:val="0D0D0D" w:themeColor="text1" w:themeTint="F2"/>
                <w:sz w:val="24"/>
                <w:szCs w:val="24"/>
              </w:rPr>
            </w:pPr>
            <w:r w:rsidRPr="00585DAB">
              <w:rPr>
                <w:color w:val="0D0D0D" w:themeColor="text1" w:themeTint="F2"/>
                <w:sz w:val="24"/>
                <w:szCs w:val="24"/>
              </w:rPr>
              <w:t>Germany (EU)</w:t>
            </w:r>
          </w:p>
        </w:tc>
        <w:tc>
          <w:tcPr>
            <w:tcW w:w="0" w:type="auto"/>
            <w:vAlign w:val="center"/>
            <w:hideMark/>
          </w:tcPr>
          <w:p w14:paraId="0BAB01AF" w14:textId="77777777" w:rsidR="000B004D" w:rsidRPr="00585DAB" w:rsidRDefault="000B004D" w:rsidP="00342F90">
            <w:pPr>
              <w:spacing w:after="160" w:line="276" w:lineRule="auto"/>
              <w:rPr>
                <w:color w:val="0D0D0D" w:themeColor="text1" w:themeTint="F2"/>
                <w:sz w:val="24"/>
                <w:szCs w:val="24"/>
              </w:rPr>
            </w:pPr>
            <w:r w:rsidRPr="00585DAB">
              <w:rPr>
                <w:color w:val="0D0D0D" w:themeColor="text1" w:themeTint="F2"/>
                <w:sz w:val="24"/>
                <w:szCs w:val="24"/>
              </w:rPr>
              <w:t>Major multinational insurance and asset management firm, with complex global financial operations. Annual reports include solvency ratios, hedging, and global exposure metrics.</w:t>
            </w:r>
          </w:p>
        </w:tc>
      </w:tr>
    </w:tbl>
    <w:p w14:paraId="66703141" w14:textId="77777777" w:rsidR="000B004D" w:rsidRPr="00DC4EC9" w:rsidRDefault="000B004D" w:rsidP="00342F90">
      <w:pPr>
        <w:spacing w:after="160" w:line="276" w:lineRule="auto"/>
        <w:rPr>
          <w:color w:val="0D0D0D" w:themeColor="text1" w:themeTint="F2"/>
          <w:sz w:val="24"/>
          <w:szCs w:val="24"/>
        </w:rPr>
      </w:pPr>
    </w:p>
    <w:p w14:paraId="791E8B43" w14:textId="43BBF843" w:rsidR="000B004D" w:rsidRPr="00DC4EC9" w:rsidRDefault="000B004D" w:rsidP="00342F90">
      <w:pPr>
        <w:spacing w:after="160" w:line="276" w:lineRule="auto"/>
        <w:rPr>
          <w:color w:val="0D0D0D" w:themeColor="text1" w:themeTint="F2"/>
          <w:sz w:val="24"/>
          <w:szCs w:val="24"/>
        </w:rPr>
      </w:pPr>
    </w:p>
    <w:p w14:paraId="23D184D3" w14:textId="77777777" w:rsidR="000B004D" w:rsidRPr="00DC4EC9" w:rsidRDefault="000B004D" w:rsidP="00342F90">
      <w:pPr>
        <w:spacing w:after="160" w:line="276" w:lineRule="auto"/>
        <w:rPr>
          <w:color w:val="0D0D0D" w:themeColor="text1" w:themeTint="F2"/>
          <w:sz w:val="24"/>
          <w:szCs w:val="24"/>
        </w:rPr>
      </w:pPr>
      <w:r w:rsidRPr="00DC4EC9">
        <w:rPr>
          <w:color w:val="0D0D0D" w:themeColor="text1" w:themeTint="F2"/>
          <w:sz w:val="24"/>
          <w:szCs w:val="24"/>
        </w:rPr>
        <w:t>3.</w:t>
      </w:r>
      <w:r w:rsidRPr="00DC4EC9">
        <w:rPr>
          <w:b/>
          <w:bCs/>
          <w:color w:val="0D0D0D" w:themeColor="text1" w:themeTint="F2"/>
          <w:sz w:val="24"/>
          <w:szCs w:val="24"/>
        </w:rPr>
        <w:t>3 Data Sources</w:t>
      </w:r>
    </w:p>
    <w:p w14:paraId="37E15351" w14:textId="77777777" w:rsidR="000B004D" w:rsidRPr="00DC4EC9" w:rsidRDefault="000B004D" w:rsidP="00342F90">
      <w:pPr>
        <w:spacing w:after="160" w:line="276" w:lineRule="auto"/>
        <w:rPr>
          <w:color w:val="0D0D0D" w:themeColor="text1" w:themeTint="F2"/>
          <w:sz w:val="24"/>
          <w:szCs w:val="24"/>
        </w:rPr>
      </w:pPr>
      <w:r w:rsidRPr="00DC4EC9">
        <w:rPr>
          <w:color w:val="0D0D0D" w:themeColor="text1" w:themeTint="F2"/>
          <w:sz w:val="24"/>
          <w:szCs w:val="24"/>
        </w:rPr>
        <w:t>Secondary data will be obtained from:</w:t>
      </w:r>
    </w:p>
    <w:p w14:paraId="5A461AE6" w14:textId="77777777" w:rsidR="000B004D" w:rsidRPr="00DC4EC9" w:rsidRDefault="000B004D" w:rsidP="00342F90">
      <w:pPr>
        <w:widowControl/>
        <w:numPr>
          <w:ilvl w:val="0"/>
          <w:numId w:val="26"/>
        </w:numPr>
        <w:autoSpaceDE/>
        <w:autoSpaceDN/>
        <w:spacing w:after="160" w:line="276" w:lineRule="auto"/>
        <w:rPr>
          <w:color w:val="0D0D0D" w:themeColor="text1" w:themeTint="F2"/>
          <w:sz w:val="24"/>
          <w:szCs w:val="24"/>
        </w:rPr>
      </w:pPr>
      <w:r w:rsidRPr="00DC4EC9">
        <w:rPr>
          <w:color w:val="0D0D0D" w:themeColor="text1" w:themeTint="F2"/>
          <w:sz w:val="24"/>
          <w:szCs w:val="24"/>
        </w:rPr>
        <w:t>Annual reports and audited financial statements (5-year period)</w:t>
      </w:r>
    </w:p>
    <w:p w14:paraId="4E82C68A" w14:textId="77777777" w:rsidR="000B004D" w:rsidRPr="00DC4EC9" w:rsidRDefault="000B004D" w:rsidP="00342F90">
      <w:pPr>
        <w:widowControl/>
        <w:numPr>
          <w:ilvl w:val="0"/>
          <w:numId w:val="26"/>
        </w:numPr>
        <w:autoSpaceDE/>
        <w:autoSpaceDN/>
        <w:spacing w:after="160" w:line="276" w:lineRule="auto"/>
        <w:rPr>
          <w:color w:val="0D0D0D" w:themeColor="text1" w:themeTint="F2"/>
          <w:sz w:val="24"/>
          <w:szCs w:val="24"/>
        </w:rPr>
      </w:pPr>
      <w:r w:rsidRPr="00DC4EC9">
        <w:rPr>
          <w:color w:val="0D0D0D" w:themeColor="text1" w:themeTint="F2"/>
          <w:sz w:val="24"/>
          <w:szCs w:val="24"/>
        </w:rPr>
        <w:t>Bloomberg, Statista, World Bank, OECD and S&amp;P Global financial databases</w:t>
      </w:r>
    </w:p>
    <w:p w14:paraId="0A0785EF" w14:textId="77777777" w:rsidR="000B004D" w:rsidRPr="00DC4EC9" w:rsidRDefault="000B004D" w:rsidP="00342F90">
      <w:pPr>
        <w:widowControl/>
        <w:numPr>
          <w:ilvl w:val="0"/>
          <w:numId w:val="26"/>
        </w:numPr>
        <w:autoSpaceDE/>
        <w:autoSpaceDN/>
        <w:spacing w:after="160" w:line="276" w:lineRule="auto"/>
        <w:rPr>
          <w:color w:val="0D0D0D" w:themeColor="text1" w:themeTint="F2"/>
          <w:sz w:val="24"/>
          <w:szCs w:val="24"/>
        </w:rPr>
      </w:pPr>
      <w:r w:rsidRPr="00DC4EC9">
        <w:rPr>
          <w:color w:val="0D0D0D" w:themeColor="text1" w:themeTint="F2"/>
          <w:sz w:val="24"/>
          <w:szCs w:val="24"/>
        </w:rPr>
        <w:t>CEO letters, Management Discussion &amp; Analysis (MD&amp;A) sections, and investor reports</w:t>
      </w:r>
    </w:p>
    <w:p w14:paraId="5DA9E795" w14:textId="77777777" w:rsidR="000B004D" w:rsidRPr="00DC4EC9" w:rsidRDefault="000B004D" w:rsidP="00342F90">
      <w:pPr>
        <w:widowControl/>
        <w:numPr>
          <w:ilvl w:val="0"/>
          <w:numId w:val="26"/>
        </w:numPr>
        <w:autoSpaceDE/>
        <w:autoSpaceDN/>
        <w:spacing w:after="160" w:line="276" w:lineRule="auto"/>
        <w:rPr>
          <w:color w:val="0D0D0D" w:themeColor="text1" w:themeTint="F2"/>
          <w:sz w:val="24"/>
          <w:szCs w:val="24"/>
        </w:rPr>
      </w:pPr>
      <w:r w:rsidRPr="00DC4EC9">
        <w:rPr>
          <w:color w:val="0D0D0D" w:themeColor="text1" w:themeTint="F2"/>
          <w:sz w:val="24"/>
          <w:szCs w:val="24"/>
        </w:rPr>
        <w:t>Peer-reviewed academic studies and industry white papers</w:t>
      </w:r>
    </w:p>
    <w:p w14:paraId="5A261D16" w14:textId="6CC8CDF5" w:rsidR="000B004D" w:rsidRPr="00DC4EC9" w:rsidRDefault="000B004D" w:rsidP="00342F90">
      <w:pPr>
        <w:spacing w:after="160" w:line="276" w:lineRule="auto"/>
        <w:rPr>
          <w:b/>
          <w:bCs/>
          <w:color w:val="0D0D0D" w:themeColor="text1" w:themeTint="F2"/>
          <w:sz w:val="24"/>
          <w:szCs w:val="24"/>
        </w:rPr>
      </w:pPr>
    </w:p>
    <w:p w14:paraId="0336CCA8" w14:textId="77777777" w:rsidR="000B004D" w:rsidRPr="00DC4EC9" w:rsidRDefault="000B004D" w:rsidP="00342F90">
      <w:pPr>
        <w:spacing w:after="160" w:line="276" w:lineRule="auto"/>
        <w:rPr>
          <w:b/>
          <w:bCs/>
          <w:color w:val="0D0D0D" w:themeColor="text1" w:themeTint="F2"/>
          <w:sz w:val="24"/>
          <w:szCs w:val="24"/>
        </w:rPr>
      </w:pPr>
      <w:r w:rsidRPr="00DC4EC9">
        <w:rPr>
          <w:b/>
          <w:bCs/>
          <w:color w:val="0D0D0D" w:themeColor="text1" w:themeTint="F2"/>
          <w:sz w:val="24"/>
          <w:szCs w:val="24"/>
        </w:rPr>
        <w:t xml:space="preserve">3.4 </w:t>
      </w:r>
      <w:proofErr w:type="spellStart"/>
      <w:r w:rsidRPr="00DC4EC9">
        <w:rPr>
          <w:b/>
          <w:bCs/>
          <w:color w:val="0D0D0D" w:themeColor="text1" w:themeTint="F2"/>
          <w:sz w:val="24"/>
          <w:szCs w:val="24"/>
        </w:rPr>
        <w:t>Operationalisation</w:t>
      </w:r>
      <w:proofErr w:type="spellEnd"/>
      <w:r w:rsidRPr="00DC4EC9">
        <w:rPr>
          <w:b/>
          <w:bCs/>
          <w:color w:val="0D0D0D" w:themeColor="text1" w:themeTint="F2"/>
          <w:sz w:val="24"/>
          <w:szCs w:val="24"/>
        </w:rPr>
        <w:t xml:space="preserve"> of Variables</w:t>
      </w:r>
    </w:p>
    <w:p w14:paraId="6855FF94" w14:textId="77777777" w:rsidR="000B004D" w:rsidRPr="00DC4EC9" w:rsidRDefault="000B004D" w:rsidP="00342F90">
      <w:pPr>
        <w:spacing w:after="160" w:line="276" w:lineRule="auto"/>
        <w:rPr>
          <w:color w:val="0D0D0D" w:themeColor="text1" w:themeTint="F2"/>
          <w:sz w:val="24"/>
          <w:szCs w:val="24"/>
        </w:rPr>
      </w:pPr>
      <w:r w:rsidRPr="00DC4EC9">
        <w:rPr>
          <w:color w:val="0D0D0D" w:themeColor="text1" w:themeTint="F2"/>
          <w:sz w:val="24"/>
          <w:szCs w:val="24"/>
        </w:rPr>
        <w:t xml:space="preserve">To address the need for measurable indicators, key variables will be </w:t>
      </w:r>
      <w:proofErr w:type="spellStart"/>
      <w:r w:rsidRPr="00DC4EC9">
        <w:rPr>
          <w:color w:val="0D0D0D" w:themeColor="text1" w:themeTint="F2"/>
          <w:sz w:val="24"/>
          <w:szCs w:val="24"/>
        </w:rPr>
        <w:t>operationalised</w:t>
      </w:r>
      <w:proofErr w:type="spellEnd"/>
      <w:r w:rsidRPr="00DC4EC9">
        <w:rPr>
          <w:color w:val="0D0D0D" w:themeColor="text1" w:themeTint="F2"/>
          <w:sz w:val="24"/>
          <w:szCs w:val="24"/>
        </w:rPr>
        <w:t xml:space="preserve"> as follows: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92"/>
        <w:gridCol w:w="3942"/>
        <w:gridCol w:w="3056"/>
      </w:tblGrid>
      <w:tr w:rsidR="00342F90" w:rsidRPr="00342F90" w14:paraId="36933D65" w14:textId="77777777" w:rsidTr="00444E2A">
        <w:trPr>
          <w:tblHeader/>
          <w:tblCellSpacing w:w="15" w:type="dxa"/>
        </w:trPr>
        <w:tc>
          <w:tcPr>
            <w:tcW w:w="0" w:type="auto"/>
            <w:vAlign w:val="center"/>
            <w:hideMark/>
          </w:tcPr>
          <w:p w14:paraId="463AB399" w14:textId="77777777" w:rsidR="000B004D" w:rsidRPr="00DC4EC9" w:rsidRDefault="000B004D" w:rsidP="00342F90">
            <w:pPr>
              <w:spacing w:after="160" w:line="276" w:lineRule="auto"/>
              <w:rPr>
                <w:color w:val="0D0D0D" w:themeColor="text1" w:themeTint="F2"/>
                <w:sz w:val="24"/>
                <w:szCs w:val="24"/>
              </w:rPr>
            </w:pPr>
            <w:r w:rsidRPr="00DC4EC9">
              <w:rPr>
                <w:color w:val="0D0D0D" w:themeColor="text1" w:themeTint="F2"/>
                <w:sz w:val="24"/>
                <w:szCs w:val="24"/>
              </w:rPr>
              <w:t>Variable Category</w:t>
            </w:r>
          </w:p>
        </w:tc>
        <w:tc>
          <w:tcPr>
            <w:tcW w:w="0" w:type="auto"/>
            <w:vAlign w:val="center"/>
            <w:hideMark/>
          </w:tcPr>
          <w:p w14:paraId="5508D577" w14:textId="77777777" w:rsidR="000B004D" w:rsidRPr="00DC4EC9" w:rsidRDefault="000B004D" w:rsidP="00342F90">
            <w:pPr>
              <w:spacing w:after="160" w:line="276" w:lineRule="auto"/>
              <w:rPr>
                <w:color w:val="0D0D0D" w:themeColor="text1" w:themeTint="F2"/>
                <w:sz w:val="24"/>
                <w:szCs w:val="24"/>
              </w:rPr>
            </w:pPr>
            <w:r w:rsidRPr="00DC4EC9">
              <w:rPr>
                <w:color w:val="0D0D0D" w:themeColor="text1" w:themeTint="F2"/>
                <w:sz w:val="24"/>
                <w:szCs w:val="24"/>
              </w:rPr>
              <w:t>Indicator (Quantitative)</w:t>
            </w:r>
          </w:p>
        </w:tc>
        <w:tc>
          <w:tcPr>
            <w:tcW w:w="0" w:type="auto"/>
            <w:vAlign w:val="center"/>
            <w:hideMark/>
          </w:tcPr>
          <w:p w14:paraId="4EF20AC0" w14:textId="77777777" w:rsidR="000B004D" w:rsidRPr="00DC4EC9" w:rsidRDefault="000B004D" w:rsidP="00342F90">
            <w:pPr>
              <w:spacing w:after="160" w:line="276" w:lineRule="auto"/>
              <w:rPr>
                <w:color w:val="0D0D0D" w:themeColor="text1" w:themeTint="F2"/>
                <w:sz w:val="24"/>
                <w:szCs w:val="24"/>
              </w:rPr>
            </w:pPr>
            <w:r w:rsidRPr="00DC4EC9">
              <w:rPr>
                <w:color w:val="0D0D0D" w:themeColor="text1" w:themeTint="F2"/>
                <w:sz w:val="24"/>
                <w:szCs w:val="24"/>
              </w:rPr>
              <w:t>Indicator (Qualitative)</w:t>
            </w:r>
          </w:p>
        </w:tc>
      </w:tr>
      <w:tr w:rsidR="00342F90" w:rsidRPr="00342F90" w14:paraId="21217F50" w14:textId="77777777" w:rsidTr="00444E2A">
        <w:trPr>
          <w:tblCellSpacing w:w="15" w:type="dxa"/>
        </w:trPr>
        <w:tc>
          <w:tcPr>
            <w:tcW w:w="0" w:type="auto"/>
            <w:vAlign w:val="center"/>
            <w:hideMark/>
          </w:tcPr>
          <w:p w14:paraId="49A716C5" w14:textId="77777777" w:rsidR="000B004D" w:rsidRPr="00DC4EC9" w:rsidRDefault="000B004D" w:rsidP="00342F90">
            <w:pPr>
              <w:spacing w:after="160" w:line="276" w:lineRule="auto"/>
              <w:rPr>
                <w:color w:val="0D0D0D" w:themeColor="text1" w:themeTint="F2"/>
                <w:sz w:val="24"/>
                <w:szCs w:val="24"/>
              </w:rPr>
            </w:pPr>
            <w:proofErr w:type="spellStart"/>
            <w:r w:rsidRPr="00DC4EC9">
              <w:rPr>
                <w:color w:val="0D0D0D" w:themeColor="text1" w:themeTint="F2"/>
                <w:sz w:val="24"/>
                <w:szCs w:val="24"/>
              </w:rPr>
              <w:t>Globalisation</w:t>
            </w:r>
            <w:proofErr w:type="spellEnd"/>
            <w:r w:rsidRPr="00DC4EC9">
              <w:rPr>
                <w:color w:val="0D0D0D" w:themeColor="text1" w:themeTint="F2"/>
                <w:sz w:val="24"/>
                <w:szCs w:val="24"/>
              </w:rPr>
              <w:t xml:space="preserve"> Exposure</w:t>
            </w:r>
          </w:p>
        </w:tc>
        <w:tc>
          <w:tcPr>
            <w:tcW w:w="0" w:type="auto"/>
            <w:vAlign w:val="center"/>
            <w:hideMark/>
          </w:tcPr>
          <w:p w14:paraId="2A215D8F" w14:textId="77777777" w:rsidR="000B004D" w:rsidRPr="00DC4EC9" w:rsidRDefault="000B004D" w:rsidP="00342F90">
            <w:pPr>
              <w:spacing w:after="160" w:line="276" w:lineRule="auto"/>
              <w:rPr>
                <w:color w:val="0D0D0D" w:themeColor="text1" w:themeTint="F2"/>
                <w:sz w:val="24"/>
                <w:szCs w:val="24"/>
              </w:rPr>
            </w:pPr>
            <w:r w:rsidRPr="00DC4EC9">
              <w:rPr>
                <w:color w:val="0D0D0D" w:themeColor="text1" w:themeTint="F2"/>
                <w:sz w:val="24"/>
                <w:szCs w:val="24"/>
              </w:rPr>
              <w:t>% foreign revenue, foreign subsidiaries, cross-border financing</w:t>
            </w:r>
          </w:p>
        </w:tc>
        <w:tc>
          <w:tcPr>
            <w:tcW w:w="0" w:type="auto"/>
            <w:vAlign w:val="center"/>
            <w:hideMark/>
          </w:tcPr>
          <w:p w14:paraId="5D0EF031" w14:textId="77777777" w:rsidR="000B004D" w:rsidRPr="00DC4EC9" w:rsidRDefault="000B004D" w:rsidP="00342F90">
            <w:pPr>
              <w:spacing w:after="160" w:line="276" w:lineRule="auto"/>
              <w:rPr>
                <w:color w:val="0D0D0D" w:themeColor="text1" w:themeTint="F2"/>
                <w:sz w:val="24"/>
                <w:szCs w:val="24"/>
              </w:rPr>
            </w:pPr>
            <w:r w:rsidRPr="00DC4EC9">
              <w:rPr>
                <w:color w:val="0D0D0D" w:themeColor="text1" w:themeTint="F2"/>
                <w:sz w:val="24"/>
                <w:szCs w:val="24"/>
              </w:rPr>
              <w:t>global market expansion strategy statements</w:t>
            </w:r>
          </w:p>
        </w:tc>
      </w:tr>
      <w:tr w:rsidR="00342F90" w:rsidRPr="00342F90" w14:paraId="422B27B6" w14:textId="77777777" w:rsidTr="00444E2A">
        <w:trPr>
          <w:tblCellSpacing w:w="15" w:type="dxa"/>
        </w:trPr>
        <w:tc>
          <w:tcPr>
            <w:tcW w:w="0" w:type="auto"/>
            <w:vAlign w:val="center"/>
            <w:hideMark/>
          </w:tcPr>
          <w:p w14:paraId="1D1DEF0A" w14:textId="77777777" w:rsidR="000B004D" w:rsidRPr="00DC4EC9" w:rsidRDefault="000B004D" w:rsidP="00342F90">
            <w:pPr>
              <w:spacing w:after="160" w:line="276" w:lineRule="auto"/>
              <w:rPr>
                <w:color w:val="0D0D0D" w:themeColor="text1" w:themeTint="F2"/>
                <w:sz w:val="24"/>
                <w:szCs w:val="24"/>
              </w:rPr>
            </w:pPr>
            <w:r w:rsidRPr="00DC4EC9">
              <w:rPr>
                <w:color w:val="0D0D0D" w:themeColor="text1" w:themeTint="F2"/>
                <w:sz w:val="24"/>
                <w:szCs w:val="24"/>
              </w:rPr>
              <w:t>Profitability</w:t>
            </w:r>
          </w:p>
        </w:tc>
        <w:tc>
          <w:tcPr>
            <w:tcW w:w="0" w:type="auto"/>
            <w:vAlign w:val="center"/>
            <w:hideMark/>
          </w:tcPr>
          <w:p w14:paraId="20681758" w14:textId="77777777" w:rsidR="000B004D" w:rsidRPr="00DC4EC9" w:rsidRDefault="000B004D" w:rsidP="00342F90">
            <w:pPr>
              <w:spacing w:after="160" w:line="276" w:lineRule="auto"/>
              <w:rPr>
                <w:color w:val="0D0D0D" w:themeColor="text1" w:themeTint="F2"/>
                <w:sz w:val="24"/>
                <w:szCs w:val="24"/>
              </w:rPr>
            </w:pPr>
            <w:r w:rsidRPr="00DC4EC9">
              <w:rPr>
                <w:color w:val="0D0D0D" w:themeColor="text1" w:themeTint="F2"/>
                <w:sz w:val="24"/>
                <w:szCs w:val="24"/>
              </w:rPr>
              <w:t>ROA, ROE, Net Profit Margin</w:t>
            </w:r>
          </w:p>
        </w:tc>
        <w:tc>
          <w:tcPr>
            <w:tcW w:w="0" w:type="auto"/>
            <w:vAlign w:val="center"/>
            <w:hideMark/>
          </w:tcPr>
          <w:p w14:paraId="54545419" w14:textId="77777777" w:rsidR="000B004D" w:rsidRPr="00DC4EC9" w:rsidRDefault="000B004D" w:rsidP="00342F90">
            <w:pPr>
              <w:spacing w:after="160" w:line="276" w:lineRule="auto"/>
              <w:rPr>
                <w:color w:val="0D0D0D" w:themeColor="text1" w:themeTint="F2"/>
                <w:sz w:val="24"/>
                <w:szCs w:val="24"/>
              </w:rPr>
            </w:pPr>
            <w:r w:rsidRPr="00DC4EC9">
              <w:rPr>
                <w:color w:val="0D0D0D" w:themeColor="text1" w:themeTint="F2"/>
                <w:sz w:val="24"/>
                <w:szCs w:val="24"/>
              </w:rPr>
              <w:t>management explanations for performance</w:t>
            </w:r>
          </w:p>
        </w:tc>
      </w:tr>
      <w:tr w:rsidR="00342F90" w:rsidRPr="00342F90" w14:paraId="6C230481" w14:textId="77777777" w:rsidTr="00444E2A">
        <w:trPr>
          <w:tblCellSpacing w:w="15" w:type="dxa"/>
        </w:trPr>
        <w:tc>
          <w:tcPr>
            <w:tcW w:w="0" w:type="auto"/>
            <w:vAlign w:val="center"/>
            <w:hideMark/>
          </w:tcPr>
          <w:p w14:paraId="0C9F48C9" w14:textId="77777777" w:rsidR="000B004D" w:rsidRPr="00DC4EC9" w:rsidRDefault="000B004D" w:rsidP="00342F90">
            <w:pPr>
              <w:spacing w:after="160" w:line="276" w:lineRule="auto"/>
              <w:rPr>
                <w:color w:val="0D0D0D" w:themeColor="text1" w:themeTint="F2"/>
                <w:sz w:val="24"/>
                <w:szCs w:val="24"/>
              </w:rPr>
            </w:pPr>
            <w:r w:rsidRPr="00DC4EC9">
              <w:rPr>
                <w:color w:val="0D0D0D" w:themeColor="text1" w:themeTint="F2"/>
                <w:sz w:val="24"/>
                <w:szCs w:val="24"/>
              </w:rPr>
              <w:t>Capital Structure</w:t>
            </w:r>
          </w:p>
        </w:tc>
        <w:tc>
          <w:tcPr>
            <w:tcW w:w="0" w:type="auto"/>
            <w:vAlign w:val="center"/>
            <w:hideMark/>
          </w:tcPr>
          <w:p w14:paraId="55B80E6D" w14:textId="77777777" w:rsidR="000B004D" w:rsidRPr="00DC4EC9" w:rsidRDefault="000B004D" w:rsidP="00342F90">
            <w:pPr>
              <w:spacing w:after="160" w:line="276" w:lineRule="auto"/>
              <w:rPr>
                <w:color w:val="0D0D0D" w:themeColor="text1" w:themeTint="F2"/>
                <w:sz w:val="24"/>
                <w:szCs w:val="24"/>
              </w:rPr>
            </w:pPr>
            <w:r w:rsidRPr="00DC4EC9">
              <w:rPr>
                <w:color w:val="0D0D0D" w:themeColor="text1" w:themeTint="F2"/>
                <w:sz w:val="24"/>
                <w:szCs w:val="24"/>
              </w:rPr>
              <w:t>Debt-to-Equity, Cost of Capital</w:t>
            </w:r>
          </w:p>
        </w:tc>
        <w:tc>
          <w:tcPr>
            <w:tcW w:w="0" w:type="auto"/>
            <w:vAlign w:val="center"/>
            <w:hideMark/>
          </w:tcPr>
          <w:p w14:paraId="110E4969" w14:textId="77777777" w:rsidR="000B004D" w:rsidRPr="00DC4EC9" w:rsidRDefault="000B004D" w:rsidP="00342F90">
            <w:pPr>
              <w:spacing w:after="160" w:line="276" w:lineRule="auto"/>
              <w:rPr>
                <w:color w:val="0D0D0D" w:themeColor="text1" w:themeTint="F2"/>
                <w:sz w:val="24"/>
                <w:szCs w:val="24"/>
              </w:rPr>
            </w:pPr>
            <w:r w:rsidRPr="00DC4EC9">
              <w:rPr>
                <w:color w:val="0D0D0D" w:themeColor="text1" w:themeTint="F2"/>
                <w:sz w:val="24"/>
                <w:szCs w:val="24"/>
              </w:rPr>
              <w:t>debt strategy, financing decisions</w:t>
            </w:r>
          </w:p>
        </w:tc>
      </w:tr>
      <w:tr w:rsidR="00342F90" w:rsidRPr="00342F90" w14:paraId="1E692BAB" w14:textId="77777777" w:rsidTr="00444E2A">
        <w:trPr>
          <w:tblCellSpacing w:w="15" w:type="dxa"/>
        </w:trPr>
        <w:tc>
          <w:tcPr>
            <w:tcW w:w="0" w:type="auto"/>
            <w:vAlign w:val="center"/>
            <w:hideMark/>
          </w:tcPr>
          <w:p w14:paraId="1670AE05" w14:textId="77777777" w:rsidR="000B004D" w:rsidRPr="00DC4EC9" w:rsidRDefault="000B004D" w:rsidP="00342F90">
            <w:pPr>
              <w:spacing w:after="160" w:line="276" w:lineRule="auto"/>
              <w:rPr>
                <w:color w:val="0D0D0D" w:themeColor="text1" w:themeTint="F2"/>
                <w:sz w:val="24"/>
                <w:szCs w:val="24"/>
              </w:rPr>
            </w:pPr>
            <w:r w:rsidRPr="00DC4EC9">
              <w:rPr>
                <w:color w:val="0D0D0D" w:themeColor="text1" w:themeTint="F2"/>
                <w:sz w:val="24"/>
                <w:szCs w:val="24"/>
              </w:rPr>
              <w:t>Investment Strategy</w:t>
            </w:r>
          </w:p>
        </w:tc>
        <w:tc>
          <w:tcPr>
            <w:tcW w:w="0" w:type="auto"/>
            <w:vAlign w:val="center"/>
            <w:hideMark/>
          </w:tcPr>
          <w:p w14:paraId="7BD0B1AE" w14:textId="77777777" w:rsidR="000B004D" w:rsidRPr="00DC4EC9" w:rsidRDefault="000B004D" w:rsidP="00342F90">
            <w:pPr>
              <w:spacing w:after="160" w:line="276" w:lineRule="auto"/>
              <w:rPr>
                <w:color w:val="0D0D0D" w:themeColor="text1" w:themeTint="F2"/>
                <w:sz w:val="24"/>
                <w:szCs w:val="24"/>
              </w:rPr>
            </w:pPr>
            <w:r w:rsidRPr="00DC4EC9">
              <w:rPr>
                <w:color w:val="0D0D0D" w:themeColor="text1" w:themeTint="F2"/>
                <w:sz w:val="24"/>
                <w:szCs w:val="24"/>
              </w:rPr>
              <w:t>CAPEX, R&amp;D spending, acquisitions</w:t>
            </w:r>
          </w:p>
        </w:tc>
        <w:tc>
          <w:tcPr>
            <w:tcW w:w="0" w:type="auto"/>
            <w:vAlign w:val="center"/>
            <w:hideMark/>
          </w:tcPr>
          <w:p w14:paraId="103D6570" w14:textId="77777777" w:rsidR="000B004D" w:rsidRPr="00DC4EC9" w:rsidRDefault="000B004D" w:rsidP="00342F90">
            <w:pPr>
              <w:spacing w:after="160" w:line="276" w:lineRule="auto"/>
              <w:rPr>
                <w:color w:val="0D0D0D" w:themeColor="text1" w:themeTint="F2"/>
                <w:sz w:val="24"/>
                <w:szCs w:val="24"/>
              </w:rPr>
            </w:pPr>
            <w:r w:rsidRPr="00DC4EC9">
              <w:rPr>
                <w:color w:val="0D0D0D" w:themeColor="text1" w:themeTint="F2"/>
                <w:sz w:val="24"/>
                <w:szCs w:val="24"/>
              </w:rPr>
              <w:t>innovation and market entry strategies</w:t>
            </w:r>
          </w:p>
        </w:tc>
      </w:tr>
      <w:tr w:rsidR="00342F90" w:rsidRPr="00342F90" w14:paraId="6B0D409B" w14:textId="77777777" w:rsidTr="00444E2A">
        <w:trPr>
          <w:tblCellSpacing w:w="15" w:type="dxa"/>
        </w:trPr>
        <w:tc>
          <w:tcPr>
            <w:tcW w:w="0" w:type="auto"/>
            <w:vAlign w:val="center"/>
            <w:hideMark/>
          </w:tcPr>
          <w:p w14:paraId="43BCF884" w14:textId="77777777" w:rsidR="000B004D" w:rsidRPr="00DC4EC9" w:rsidRDefault="000B004D" w:rsidP="00342F90">
            <w:pPr>
              <w:spacing w:after="160" w:line="276" w:lineRule="auto"/>
              <w:rPr>
                <w:color w:val="0D0D0D" w:themeColor="text1" w:themeTint="F2"/>
                <w:sz w:val="24"/>
                <w:szCs w:val="24"/>
              </w:rPr>
            </w:pPr>
            <w:r w:rsidRPr="00DC4EC9">
              <w:rPr>
                <w:color w:val="0D0D0D" w:themeColor="text1" w:themeTint="F2"/>
                <w:sz w:val="24"/>
                <w:szCs w:val="24"/>
              </w:rPr>
              <w:t>Risk Management</w:t>
            </w:r>
          </w:p>
        </w:tc>
        <w:tc>
          <w:tcPr>
            <w:tcW w:w="0" w:type="auto"/>
            <w:vAlign w:val="center"/>
            <w:hideMark/>
          </w:tcPr>
          <w:p w14:paraId="4396BF0A" w14:textId="77777777" w:rsidR="000B004D" w:rsidRPr="00DC4EC9" w:rsidRDefault="000B004D" w:rsidP="00342F90">
            <w:pPr>
              <w:spacing w:after="160" w:line="276" w:lineRule="auto"/>
              <w:rPr>
                <w:color w:val="0D0D0D" w:themeColor="text1" w:themeTint="F2"/>
                <w:sz w:val="24"/>
                <w:szCs w:val="24"/>
              </w:rPr>
            </w:pPr>
            <w:r w:rsidRPr="00DC4EC9">
              <w:rPr>
                <w:color w:val="0D0D0D" w:themeColor="text1" w:themeTint="F2"/>
                <w:sz w:val="24"/>
                <w:szCs w:val="24"/>
              </w:rPr>
              <w:t>Hedging activity, liquidity ratios</w:t>
            </w:r>
          </w:p>
        </w:tc>
        <w:tc>
          <w:tcPr>
            <w:tcW w:w="0" w:type="auto"/>
            <w:vAlign w:val="center"/>
            <w:hideMark/>
          </w:tcPr>
          <w:p w14:paraId="092BA95E" w14:textId="77777777" w:rsidR="000B004D" w:rsidRPr="00DC4EC9" w:rsidRDefault="000B004D" w:rsidP="00342F90">
            <w:pPr>
              <w:spacing w:after="160" w:line="276" w:lineRule="auto"/>
              <w:rPr>
                <w:color w:val="0D0D0D" w:themeColor="text1" w:themeTint="F2"/>
                <w:sz w:val="24"/>
                <w:szCs w:val="24"/>
              </w:rPr>
            </w:pPr>
            <w:r w:rsidRPr="00DC4EC9">
              <w:rPr>
                <w:color w:val="0D0D0D" w:themeColor="text1" w:themeTint="F2"/>
                <w:sz w:val="24"/>
                <w:szCs w:val="24"/>
              </w:rPr>
              <w:t>stated risk-management policies</w:t>
            </w:r>
          </w:p>
        </w:tc>
      </w:tr>
    </w:tbl>
    <w:p w14:paraId="767462C1" w14:textId="77777777" w:rsidR="000B004D" w:rsidRPr="00DC4EC9" w:rsidRDefault="000B004D" w:rsidP="00342F90">
      <w:pPr>
        <w:spacing w:after="160" w:line="276" w:lineRule="auto"/>
        <w:rPr>
          <w:color w:val="0D0D0D" w:themeColor="text1" w:themeTint="F2"/>
          <w:sz w:val="24"/>
          <w:szCs w:val="24"/>
        </w:rPr>
      </w:pPr>
      <w:r w:rsidRPr="00DC4EC9">
        <w:rPr>
          <w:color w:val="0D0D0D" w:themeColor="text1" w:themeTint="F2"/>
          <w:sz w:val="24"/>
          <w:szCs w:val="24"/>
        </w:rPr>
        <w:t>This fulfils the professor’s request for operational definitions and measurable indicators such as ROE, Debt-to-Equity, and global market exposure.</w:t>
      </w:r>
    </w:p>
    <w:p w14:paraId="69FD8E68" w14:textId="1A216F1C" w:rsidR="000B004D" w:rsidRPr="00DC4EC9" w:rsidRDefault="000B004D" w:rsidP="00342F90">
      <w:pPr>
        <w:spacing w:after="160" w:line="276" w:lineRule="auto"/>
        <w:rPr>
          <w:b/>
          <w:bCs/>
          <w:color w:val="0D0D0D" w:themeColor="text1" w:themeTint="F2"/>
          <w:sz w:val="24"/>
          <w:szCs w:val="24"/>
        </w:rPr>
      </w:pPr>
    </w:p>
    <w:p w14:paraId="3F4D1535" w14:textId="77777777" w:rsidR="000B004D" w:rsidRPr="00DC4EC9" w:rsidRDefault="000B004D" w:rsidP="00342F90">
      <w:pPr>
        <w:spacing w:after="160" w:line="276" w:lineRule="auto"/>
        <w:rPr>
          <w:b/>
          <w:bCs/>
          <w:color w:val="0D0D0D" w:themeColor="text1" w:themeTint="F2"/>
          <w:sz w:val="24"/>
          <w:szCs w:val="24"/>
        </w:rPr>
      </w:pPr>
      <w:r w:rsidRPr="00DC4EC9">
        <w:rPr>
          <w:b/>
          <w:bCs/>
          <w:color w:val="0D0D0D" w:themeColor="text1" w:themeTint="F2"/>
          <w:sz w:val="24"/>
          <w:szCs w:val="24"/>
        </w:rPr>
        <w:t>3.5 Data Analysis Methods</w:t>
      </w:r>
    </w:p>
    <w:p w14:paraId="0B335B8A" w14:textId="77777777" w:rsidR="000B004D" w:rsidRPr="00DC4EC9" w:rsidRDefault="000B004D" w:rsidP="00342F90">
      <w:pPr>
        <w:spacing w:after="160" w:line="276" w:lineRule="auto"/>
        <w:rPr>
          <w:color w:val="0D0D0D" w:themeColor="text1" w:themeTint="F2"/>
          <w:sz w:val="24"/>
          <w:szCs w:val="24"/>
        </w:rPr>
      </w:pPr>
      <w:r w:rsidRPr="00DC4EC9">
        <w:rPr>
          <w:color w:val="0D0D0D" w:themeColor="text1" w:themeTint="F2"/>
          <w:sz w:val="24"/>
          <w:szCs w:val="24"/>
        </w:rPr>
        <w:t>Both quantitative and qualitative techniques will be used:</w:t>
      </w:r>
    </w:p>
    <w:p w14:paraId="4C4B62F9" w14:textId="77777777" w:rsidR="000B004D" w:rsidRPr="00DC4EC9" w:rsidRDefault="000B004D" w:rsidP="00342F90">
      <w:pPr>
        <w:spacing w:after="160" w:line="276" w:lineRule="auto"/>
        <w:rPr>
          <w:color w:val="0D0D0D" w:themeColor="text1" w:themeTint="F2"/>
          <w:sz w:val="24"/>
          <w:szCs w:val="24"/>
        </w:rPr>
      </w:pPr>
      <w:r w:rsidRPr="00DC4EC9">
        <w:rPr>
          <w:color w:val="0D0D0D" w:themeColor="text1" w:themeTint="F2"/>
          <w:sz w:val="24"/>
          <w:szCs w:val="24"/>
        </w:rPr>
        <w:t xml:space="preserve"> Quantitative Analysis</w:t>
      </w:r>
    </w:p>
    <w:p w14:paraId="0320B9E3" w14:textId="77777777" w:rsidR="000B004D" w:rsidRPr="00DC4EC9" w:rsidRDefault="000B004D" w:rsidP="00342F90">
      <w:pPr>
        <w:widowControl/>
        <w:numPr>
          <w:ilvl w:val="0"/>
          <w:numId w:val="27"/>
        </w:numPr>
        <w:autoSpaceDE/>
        <w:autoSpaceDN/>
        <w:spacing w:after="160" w:line="276" w:lineRule="auto"/>
        <w:rPr>
          <w:color w:val="0D0D0D" w:themeColor="text1" w:themeTint="F2"/>
          <w:sz w:val="24"/>
          <w:szCs w:val="24"/>
        </w:rPr>
      </w:pPr>
      <w:r w:rsidRPr="00DC4EC9">
        <w:rPr>
          <w:color w:val="0D0D0D" w:themeColor="text1" w:themeTint="F2"/>
          <w:sz w:val="24"/>
          <w:szCs w:val="24"/>
        </w:rPr>
        <w:t>Trend and ratio analysis of ROE, ROA, net margin, CAPEX, and leverage ratios</w:t>
      </w:r>
    </w:p>
    <w:p w14:paraId="1987DB43" w14:textId="77777777" w:rsidR="000B004D" w:rsidRPr="00DC4EC9" w:rsidRDefault="000B004D" w:rsidP="00342F90">
      <w:pPr>
        <w:widowControl/>
        <w:numPr>
          <w:ilvl w:val="0"/>
          <w:numId w:val="27"/>
        </w:numPr>
        <w:autoSpaceDE/>
        <w:autoSpaceDN/>
        <w:spacing w:after="160" w:line="276" w:lineRule="auto"/>
        <w:rPr>
          <w:color w:val="0D0D0D" w:themeColor="text1" w:themeTint="F2"/>
          <w:sz w:val="24"/>
          <w:szCs w:val="24"/>
        </w:rPr>
      </w:pPr>
      <w:r w:rsidRPr="00DC4EC9">
        <w:rPr>
          <w:color w:val="0D0D0D" w:themeColor="text1" w:themeTint="F2"/>
          <w:sz w:val="24"/>
          <w:szCs w:val="24"/>
        </w:rPr>
        <w:t xml:space="preserve">Correlation or regression analysis (if data permits) to examine relationships between </w:t>
      </w:r>
      <w:proofErr w:type="spellStart"/>
      <w:r w:rsidRPr="00DC4EC9">
        <w:rPr>
          <w:color w:val="0D0D0D" w:themeColor="text1" w:themeTint="F2"/>
          <w:sz w:val="24"/>
          <w:szCs w:val="24"/>
        </w:rPr>
        <w:t>globalisation</w:t>
      </w:r>
      <w:proofErr w:type="spellEnd"/>
      <w:r w:rsidRPr="00DC4EC9">
        <w:rPr>
          <w:color w:val="0D0D0D" w:themeColor="text1" w:themeTint="F2"/>
          <w:sz w:val="24"/>
          <w:szCs w:val="24"/>
        </w:rPr>
        <w:t xml:space="preserve"> exposure and financial performance</w:t>
      </w:r>
    </w:p>
    <w:p w14:paraId="0BF349C0" w14:textId="77777777" w:rsidR="000B004D" w:rsidRPr="00DC4EC9" w:rsidRDefault="000B004D" w:rsidP="00342F90">
      <w:pPr>
        <w:widowControl/>
        <w:numPr>
          <w:ilvl w:val="0"/>
          <w:numId w:val="27"/>
        </w:numPr>
        <w:autoSpaceDE/>
        <w:autoSpaceDN/>
        <w:spacing w:after="160" w:line="276" w:lineRule="auto"/>
        <w:rPr>
          <w:color w:val="0D0D0D" w:themeColor="text1" w:themeTint="F2"/>
          <w:sz w:val="24"/>
          <w:szCs w:val="24"/>
        </w:rPr>
      </w:pPr>
      <w:r w:rsidRPr="00DC4EC9">
        <w:rPr>
          <w:color w:val="0D0D0D" w:themeColor="text1" w:themeTint="F2"/>
          <w:sz w:val="24"/>
          <w:szCs w:val="24"/>
        </w:rPr>
        <w:t>Conducted in Excel and SPSS</w:t>
      </w:r>
    </w:p>
    <w:p w14:paraId="0F60FBE8" w14:textId="77777777" w:rsidR="000B004D" w:rsidRPr="00DC4EC9" w:rsidRDefault="000B004D" w:rsidP="00342F90">
      <w:pPr>
        <w:spacing w:after="160" w:line="276" w:lineRule="auto"/>
        <w:rPr>
          <w:color w:val="0D0D0D" w:themeColor="text1" w:themeTint="F2"/>
          <w:sz w:val="24"/>
          <w:szCs w:val="24"/>
        </w:rPr>
      </w:pPr>
      <w:r w:rsidRPr="00DC4EC9">
        <w:rPr>
          <w:color w:val="0D0D0D" w:themeColor="text1" w:themeTint="F2"/>
          <w:sz w:val="24"/>
          <w:szCs w:val="24"/>
        </w:rPr>
        <w:t xml:space="preserve"> Qualitative Analysis</w:t>
      </w:r>
    </w:p>
    <w:p w14:paraId="16ACACC1" w14:textId="77777777" w:rsidR="000B004D" w:rsidRPr="00DC4EC9" w:rsidRDefault="000B004D" w:rsidP="00342F90">
      <w:pPr>
        <w:widowControl/>
        <w:numPr>
          <w:ilvl w:val="0"/>
          <w:numId w:val="28"/>
        </w:numPr>
        <w:autoSpaceDE/>
        <w:autoSpaceDN/>
        <w:spacing w:after="160" w:line="276" w:lineRule="auto"/>
        <w:rPr>
          <w:color w:val="0D0D0D" w:themeColor="text1" w:themeTint="F2"/>
          <w:sz w:val="24"/>
          <w:szCs w:val="24"/>
        </w:rPr>
      </w:pPr>
      <w:r w:rsidRPr="00DC4EC9">
        <w:rPr>
          <w:color w:val="0D0D0D" w:themeColor="text1" w:themeTint="F2"/>
          <w:sz w:val="24"/>
          <w:szCs w:val="24"/>
        </w:rPr>
        <w:t>Thematic content analysis of CEO letters, MD&amp;A statements, and annual reports</w:t>
      </w:r>
    </w:p>
    <w:p w14:paraId="796C27CD" w14:textId="77777777" w:rsidR="000B004D" w:rsidRPr="00DC4EC9" w:rsidRDefault="000B004D" w:rsidP="00342F90">
      <w:pPr>
        <w:widowControl/>
        <w:numPr>
          <w:ilvl w:val="0"/>
          <w:numId w:val="28"/>
        </w:numPr>
        <w:autoSpaceDE/>
        <w:autoSpaceDN/>
        <w:spacing w:after="160" w:line="276" w:lineRule="auto"/>
        <w:rPr>
          <w:color w:val="0D0D0D" w:themeColor="text1" w:themeTint="F2"/>
          <w:sz w:val="24"/>
          <w:szCs w:val="24"/>
        </w:rPr>
      </w:pPr>
      <w:r w:rsidRPr="00DC4EC9">
        <w:rPr>
          <w:color w:val="0D0D0D" w:themeColor="text1" w:themeTint="F2"/>
          <w:sz w:val="24"/>
          <w:szCs w:val="24"/>
        </w:rPr>
        <w:t>Coding performed using NVivo to identify patterns in financial strategy adaptation (risk-hedging, capital structure changes, investment decisions)</w:t>
      </w:r>
    </w:p>
    <w:p w14:paraId="453FCC72" w14:textId="19CD3D74" w:rsidR="000B004D" w:rsidRPr="00DC4EC9" w:rsidRDefault="000B004D" w:rsidP="00342F90">
      <w:pPr>
        <w:spacing w:after="160" w:line="276" w:lineRule="auto"/>
        <w:rPr>
          <w:color w:val="0D0D0D" w:themeColor="text1" w:themeTint="F2"/>
          <w:sz w:val="24"/>
          <w:szCs w:val="24"/>
        </w:rPr>
      </w:pPr>
    </w:p>
    <w:p w14:paraId="3B931DB0" w14:textId="75E836AA" w:rsidR="000B004D" w:rsidRPr="00DC4EC9" w:rsidRDefault="000B004D" w:rsidP="00342F90">
      <w:pPr>
        <w:spacing w:after="160" w:line="276" w:lineRule="auto"/>
        <w:rPr>
          <w:b/>
          <w:bCs/>
          <w:color w:val="0D0D0D" w:themeColor="text1" w:themeTint="F2"/>
          <w:sz w:val="24"/>
          <w:szCs w:val="24"/>
        </w:rPr>
      </w:pPr>
      <w:r w:rsidRPr="00DC4EC9">
        <w:rPr>
          <w:b/>
          <w:bCs/>
          <w:color w:val="0D0D0D" w:themeColor="text1" w:themeTint="F2"/>
          <w:sz w:val="24"/>
          <w:szCs w:val="24"/>
        </w:rPr>
        <w:t xml:space="preserve">3.6 Objective → Data Source → Analysis Method </w:t>
      </w:r>
    </w:p>
    <w:tbl>
      <w:tblPr>
        <w:tblW w:w="9049"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84"/>
        <w:gridCol w:w="2578"/>
        <w:gridCol w:w="3687"/>
      </w:tblGrid>
      <w:tr w:rsidR="00342F90" w:rsidRPr="00342F90" w14:paraId="6C169A89" w14:textId="77777777" w:rsidTr="00444E2A">
        <w:trPr>
          <w:trHeight w:val="448"/>
          <w:tblHeader/>
          <w:tblCellSpacing w:w="15" w:type="dxa"/>
        </w:trPr>
        <w:tc>
          <w:tcPr>
            <w:tcW w:w="0" w:type="auto"/>
            <w:vAlign w:val="center"/>
            <w:hideMark/>
          </w:tcPr>
          <w:p w14:paraId="15E6AE79" w14:textId="77777777" w:rsidR="000B004D" w:rsidRPr="00DC4EC9" w:rsidRDefault="000B004D" w:rsidP="00342F90">
            <w:pPr>
              <w:spacing w:after="160" w:line="276" w:lineRule="auto"/>
              <w:rPr>
                <w:color w:val="0D0D0D" w:themeColor="text1" w:themeTint="F2"/>
                <w:sz w:val="24"/>
                <w:szCs w:val="24"/>
              </w:rPr>
            </w:pPr>
            <w:r w:rsidRPr="00DC4EC9">
              <w:rPr>
                <w:color w:val="0D0D0D" w:themeColor="text1" w:themeTint="F2"/>
                <w:sz w:val="24"/>
                <w:szCs w:val="24"/>
              </w:rPr>
              <w:t>Research Objective</w:t>
            </w:r>
          </w:p>
        </w:tc>
        <w:tc>
          <w:tcPr>
            <w:tcW w:w="0" w:type="auto"/>
            <w:vAlign w:val="center"/>
            <w:hideMark/>
          </w:tcPr>
          <w:p w14:paraId="4DC02103" w14:textId="77777777" w:rsidR="000B004D" w:rsidRPr="00DC4EC9" w:rsidRDefault="000B004D" w:rsidP="00342F90">
            <w:pPr>
              <w:spacing w:after="160" w:line="276" w:lineRule="auto"/>
              <w:rPr>
                <w:color w:val="0D0D0D" w:themeColor="text1" w:themeTint="F2"/>
                <w:sz w:val="24"/>
                <w:szCs w:val="24"/>
              </w:rPr>
            </w:pPr>
            <w:r w:rsidRPr="00DC4EC9">
              <w:rPr>
                <w:color w:val="0D0D0D" w:themeColor="text1" w:themeTint="F2"/>
                <w:sz w:val="24"/>
                <w:szCs w:val="24"/>
              </w:rPr>
              <w:t>Data Source</w:t>
            </w:r>
          </w:p>
        </w:tc>
        <w:tc>
          <w:tcPr>
            <w:tcW w:w="0" w:type="auto"/>
            <w:vAlign w:val="center"/>
            <w:hideMark/>
          </w:tcPr>
          <w:p w14:paraId="5EBF4DC0" w14:textId="77777777" w:rsidR="000B004D" w:rsidRPr="00DC4EC9" w:rsidRDefault="000B004D" w:rsidP="00342F90">
            <w:pPr>
              <w:spacing w:after="160" w:line="276" w:lineRule="auto"/>
              <w:rPr>
                <w:color w:val="0D0D0D" w:themeColor="text1" w:themeTint="F2"/>
                <w:sz w:val="24"/>
                <w:szCs w:val="24"/>
              </w:rPr>
            </w:pPr>
            <w:r w:rsidRPr="00DC4EC9">
              <w:rPr>
                <w:color w:val="0D0D0D" w:themeColor="text1" w:themeTint="F2"/>
                <w:sz w:val="24"/>
                <w:szCs w:val="24"/>
              </w:rPr>
              <w:t>Analysis Method</w:t>
            </w:r>
          </w:p>
        </w:tc>
      </w:tr>
      <w:tr w:rsidR="00342F90" w:rsidRPr="00342F90" w14:paraId="28E18292" w14:textId="77777777" w:rsidTr="00444E2A">
        <w:trPr>
          <w:trHeight w:val="738"/>
          <w:tblCellSpacing w:w="15" w:type="dxa"/>
        </w:trPr>
        <w:tc>
          <w:tcPr>
            <w:tcW w:w="0" w:type="auto"/>
            <w:vAlign w:val="center"/>
            <w:hideMark/>
          </w:tcPr>
          <w:p w14:paraId="3A33672A" w14:textId="77777777" w:rsidR="000B004D" w:rsidRPr="00DC4EC9" w:rsidRDefault="000B004D" w:rsidP="00342F90">
            <w:pPr>
              <w:spacing w:after="160" w:line="276" w:lineRule="auto"/>
              <w:rPr>
                <w:color w:val="0D0D0D" w:themeColor="text1" w:themeTint="F2"/>
                <w:sz w:val="24"/>
                <w:szCs w:val="24"/>
              </w:rPr>
            </w:pPr>
            <w:r w:rsidRPr="00DC4EC9">
              <w:rPr>
                <w:color w:val="0D0D0D" w:themeColor="text1" w:themeTint="F2"/>
                <w:sz w:val="24"/>
                <w:szCs w:val="24"/>
              </w:rPr>
              <w:t xml:space="preserve">Assess impact of </w:t>
            </w:r>
            <w:proofErr w:type="spellStart"/>
            <w:r w:rsidRPr="00DC4EC9">
              <w:rPr>
                <w:color w:val="0D0D0D" w:themeColor="text1" w:themeTint="F2"/>
                <w:sz w:val="24"/>
                <w:szCs w:val="24"/>
              </w:rPr>
              <w:t>globalisation</w:t>
            </w:r>
            <w:proofErr w:type="spellEnd"/>
            <w:r w:rsidRPr="00DC4EC9">
              <w:rPr>
                <w:color w:val="0D0D0D" w:themeColor="text1" w:themeTint="F2"/>
                <w:sz w:val="24"/>
                <w:szCs w:val="24"/>
              </w:rPr>
              <w:t xml:space="preserve"> on profitability</w:t>
            </w:r>
          </w:p>
        </w:tc>
        <w:tc>
          <w:tcPr>
            <w:tcW w:w="0" w:type="auto"/>
            <w:vAlign w:val="center"/>
            <w:hideMark/>
          </w:tcPr>
          <w:p w14:paraId="61099797" w14:textId="77777777" w:rsidR="000B004D" w:rsidRPr="00DC4EC9" w:rsidRDefault="000B004D" w:rsidP="00342F90">
            <w:pPr>
              <w:spacing w:after="160" w:line="276" w:lineRule="auto"/>
              <w:rPr>
                <w:color w:val="0D0D0D" w:themeColor="text1" w:themeTint="F2"/>
                <w:sz w:val="24"/>
                <w:szCs w:val="24"/>
              </w:rPr>
            </w:pPr>
            <w:r w:rsidRPr="00DC4EC9">
              <w:rPr>
                <w:color w:val="0D0D0D" w:themeColor="text1" w:themeTint="F2"/>
                <w:sz w:val="24"/>
                <w:szCs w:val="24"/>
              </w:rPr>
              <w:t>Financial statements, Bloomberg (2019–2024)</w:t>
            </w:r>
          </w:p>
        </w:tc>
        <w:tc>
          <w:tcPr>
            <w:tcW w:w="0" w:type="auto"/>
            <w:vAlign w:val="center"/>
            <w:hideMark/>
          </w:tcPr>
          <w:p w14:paraId="480953D2" w14:textId="77777777" w:rsidR="000B004D" w:rsidRPr="00DC4EC9" w:rsidRDefault="000B004D" w:rsidP="00342F90">
            <w:pPr>
              <w:spacing w:after="160" w:line="276" w:lineRule="auto"/>
              <w:rPr>
                <w:color w:val="0D0D0D" w:themeColor="text1" w:themeTint="F2"/>
                <w:sz w:val="24"/>
                <w:szCs w:val="24"/>
              </w:rPr>
            </w:pPr>
            <w:r w:rsidRPr="00DC4EC9">
              <w:rPr>
                <w:color w:val="0D0D0D" w:themeColor="text1" w:themeTint="F2"/>
                <w:sz w:val="24"/>
                <w:szCs w:val="24"/>
              </w:rPr>
              <w:t>Trend &amp; ratio analysis (ROE, ROA) in Excel/SPSS</w:t>
            </w:r>
          </w:p>
        </w:tc>
      </w:tr>
      <w:tr w:rsidR="00342F90" w:rsidRPr="00342F90" w14:paraId="47F15A01" w14:textId="77777777" w:rsidTr="00444E2A">
        <w:trPr>
          <w:trHeight w:val="748"/>
          <w:tblCellSpacing w:w="15" w:type="dxa"/>
        </w:trPr>
        <w:tc>
          <w:tcPr>
            <w:tcW w:w="0" w:type="auto"/>
            <w:vAlign w:val="center"/>
            <w:hideMark/>
          </w:tcPr>
          <w:p w14:paraId="6E5AE85D" w14:textId="77777777" w:rsidR="000B004D" w:rsidRPr="00DC4EC9" w:rsidRDefault="000B004D" w:rsidP="00342F90">
            <w:pPr>
              <w:spacing w:after="160" w:line="276" w:lineRule="auto"/>
              <w:rPr>
                <w:color w:val="0D0D0D" w:themeColor="text1" w:themeTint="F2"/>
                <w:sz w:val="24"/>
                <w:szCs w:val="24"/>
              </w:rPr>
            </w:pPr>
            <w:r w:rsidRPr="00DC4EC9">
              <w:rPr>
                <w:color w:val="0D0D0D" w:themeColor="text1" w:themeTint="F2"/>
                <w:sz w:val="24"/>
                <w:szCs w:val="24"/>
              </w:rPr>
              <w:t>Examine effect on debt &amp; investment strategies</w:t>
            </w:r>
          </w:p>
        </w:tc>
        <w:tc>
          <w:tcPr>
            <w:tcW w:w="0" w:type="auto"/>
            <w:vAlign w:val="center"/>
            <w:hideMark/>
          </w:tcPr>
          <w:p w14:paraId="30912302" w14:textId="77777777" w:rsidR="000B004D" w:rsidRPr="00DC4EC9" w:rsidRDefault="000B004D" w:rsidP="00342F90">
            <w:pPr>
              <w:spacing w:after="160" w:line="276" w:lineRule="auto"/>
              <w:rPr>
                <w:color w:val="0D0D0D" w:themeColor="text1" w:themeTint="F2"/>
                <w:sz w:val="24"/>
                <w:szCs w:val="24"/>
              </w:rPr>
            </w:pPr>
            <w:r w:rsidRPr="00DC4EC9">
              <w:rPr>
                <w:color w:val="0D0D0D" w:themeColor="text1" w:themeTint="F2"/>
                <w:sz w:val="24"/>
                <w:szCs w:val="24"/>
              </w:rPr>
              <w:t>Bloomberg, World Bank, annual reports</w:t>
            </w:r>
          </w:p>
        </w:tc>
        <w:tc>
          <w:tcPr>
            <w:tcW w:w="0" w:type="auto"/>
            <w:vAlign w:val="center"/>
            <w:hideMark/>
          </w:tcPr>
          <w:p w14:paraId="4AF8DADE" w14:textId="77777777" w:rsidR="000B004D" w:rsidRPr="00DC4EC9" w:rsidRDefault="000B004D" w:rsidP="00342F90">
            <w:pPr>
              <w:spacing w:after="160" w:line="276" w:lineRule="auto"/>
              <w:rPr>
                <w:color w:val="0D0D0D" w:themeColor="text1" w:themeTint="F2"/>
                <w:sz w:val="24"/>
                <w:szCs w:val="24"/>
              </w:rPr>
            </w:pPr>
            <w:r w:rsidRPr="00DC4EC9">
              <w:rPr>
                <w:color w:val="0D0D0D" w:themeColor="text1" w:themeTint="F2"/>
                <w:sz w:val="24"/>
                <w:szCs w:val="24"/>
              </w:rPr>
              <w:t>Correlation/regression analysis + leverage &amp; CAPEX ratios</w:t>
            </w:r>
          </w:p>
        </w:tc>
      </w:tr>
      <w:tr w:rsidR="00342F90" w:rsidRPr="00342F90" w14:paraId="43A4279C" w14:textId="77777777" w:rsidTr="00444E2A">
        <w:trPr>
          <w:trHeight w:val="748"/>
          <w:tblCellSpacing w:w="15" w:type="dxa"/>
        </w:trPr>
        <w:tc>
          <w:tcPr>
            <w:tcW w:w="0" w:type="auto"/>
            <w:vAlign w:val="center"/>
            <w:hideMark/>
          </w:tcPr>
          <w:p w14:paraId="1116ACA9" w14:textId="77777777" w:rsidR="000B004D" w:rsidRPr="00DC4EC9" w:rsidRDefault="000B004D" w:rsidP="00342F90">
            <w:pPr>
              <w:spacing w:after="160" w:line="276" w:lineRule="auto"/>
              <w:rPr>
                <w:color w:val="0D0D0D" w:themeColor="text1" w:themeTint="F2"/>
                <w:sz w:val="24"/>
                <w:szCs w:val="24"/>
              </w:rPr>
            </w:pPr>
            <w:r w:rsidRPr="00DC4EC9">
              <w:rPr>
                <w:color w:val="0D0D0D" w:themeColor="text1" w:themeTint="F2"/>
                <w:sz w:val="24"/>
                <w:szCs w:val="24"/>
              </w:rPr>
              <w:t>Evaluate strategic adaptation and risk management</w:t>
            </w:r>
          </w:p>
        </w:tc>
        <w:tc>
          <w:tcPr>
            <w:tcW w:w="0" w:type="auto"/>
            <w:vAlign w:val="center"/>
            <w:hideMark/>
          </w:tcPr>
          <w:p w14:paraId="2DEA9022" w14:textId="77777777" w:rsidR="000B004D" w:rsidRPr="00DC4EC9" w:rsidRDefault="000B004D" w:rsidP="00342F90">
            <w:pPr>
              <w:spacing w:after="160" w:line="276" w:lineRule="auto"/>
              <w:rPr>
                <w:color w:val="0D0D0D" w:themeColor="text1" w:themeTint="F2"/>
                <w:sz w:val="24"/>
                <w:szCs w:val="24"/>
              </w:rPr>
            </w:pPr>
            <w:r w:rsidRPr="00DC4EC9">
              <w:rPr>
                <w:color w:val="0D0D0D" w:themeColor="text1" w:themeTint="F2"/>
                <w:sz w:val="24"/>
                <w:szCs w:val="24"/>
              </w:rPr>
              <w:t>CEO letters, MD&amp;A, sustainability reports</w:t>
            </w:r>
          </w:p>
        </w:tc>
        <w:tc>
          <w:tcPr>
            <w:tcW w:w="0" w:type="auto"/>
            <w:vAlign w:val="center"/>
            <w:hideMark/>
          </w:tcPr>
          <w:p w14:paraId="1AA83FCC" w14:textId="77777777" w:rsidR="000B004D" w:rsidRPr="00DC4EC9" w:rsidRDefault="000B004D" w:rsidP="00342F90">
            <w:pPr>
              <w:spacing w:after="160" w:line="276" w:lineRule="auto"/>
              <w:rPr>
                <w:color w:val="0D0D0D" w:themeColor="text1" w:themeTint="F2"/>
                <w:sz w:val="24"/>
                <w:szCs w:val="24"/>
              </w:rPr>
            </w:pPr>
            <w:r w:rsidRPr="00DC4EC9">
              <w:rPr>
                <w:color w:val="0D0D0D" w:themeColor="text1" w:themeTint="F2"/>
                <w:sz w:val="24"/>
                <w:szCs w:val="24"/>
              </w:rPr>
              <w:t>Thematic content analysis in NVivo</w:t>
            </w:r>
          </w:p>
        </w:tc>
      </w:tr>
      <w:tr w:rsidR="00342F90" w:rsidRPr="00342F90" w14:paraId="7D42DB5C" w14:textId="77777777" w:rsidTr="00444E2A">
        <w:trPr>
          <w:trHeight w:val="738"/>
          <w:tblCellSpacing w:w="15" w:type="dxa"/>
        </w:trPr>
        <w:tc>
          <w:tcPr>
            <w:tcW w:w="0" w:type="auto"/>
            <w:vAlign w:val="center"/>
            <w:hideMark/>
          </w:tcPr>
          <w:p w14:paraId="0B9075D9" w14:textId="77777777" w:rsidR="000B004D" w:rsidRPr="00DC4EC9" w:rsidRDefault="000B004D" w:rsidP="00342F90">
            <w:pPr>
              <w:spacing w:after="160" w:line="276" w:lineRule="auto"/>
              <w:rPr>
                <w:color w:val="0D0D0D" w:themeColor="text1" w:themeTint="F2"/>
                <w:sz w:val="24"/>
                <w:szCs w:val="24"/>
              </w:rPr>
            </w:pPr>
            <w:r w:rsidRPr="00DC4EC9">
              <w:rPr>
                <w:color w:val="0D0D0D" w:themeColor="text1" w:themeTint="F2"/>
                <w:sz w:val="24"/>
                <w:szCs w:val="24"/>
              </w:rPr>
              <w:t>Compare industry differences across MNCs</w:t>
            </w:r>
          </w:p>
        </w:tc>
        <w:tc>
          <w:tcPr>
            <w:tcW w:w="0" w:type="auto"/>
            <w:vAlign w:val="center"/>
            <w:hideMark/>
          </w:tcPr>
          <w:p w14:paraId="4005C812" w14:textId="77777777" w:rsidR="000B004D" w:rsidRPr="00DC4EC9" w:rsidRDefault="000B004D" w:rsidP="00342F90">
            <w:pPr>
              <w:spacing w:after="160" w:line="276" w:lineRule="auto"/>
              <w:rPr>
                <w:color w:val="0D0D0D" w:themeColor="text1" w:themeTint="F2"/>
                <w:sz w:val="24"/>
                <w:szCs w:val="24"/>
              </w:rPr>
            </w:pPr>
            <w:r w:rsidRPr="00DC4EC9">
              <w:rPr>
                <w:color w:val="0D0D0D" w:themeColor="text1" w:themeTint="F2"/>
                <w:sz w:val="24"/>
                <w:szCs w:val="24"/>
              </w:rPr>
              <w:t>Cross-sector firm data</w:t>
            </w:r>
          </w:p>
        </w:tc>
        <w:tc>
          <w:tcPr>
            <w:tcW w:w="0" w:type="auto"/>
            <w:vAlign w:val="center"/>
            <w:hideMark/>
          </w:tcPr>
          <w:p w14:paraId="38D923E5" w14:textId="77777777" w:rsidR="000B004D" w:rsidRPr="00DC4EC9" w:rsidRDefault="000B004D" w:rsidP="00342F90">
            <w:pPr>
              <w:spacing w:after="160" w:line="276" w:lineRule="auto"/>
              <w:rPr>
                <w:color w:val="0D0D0D" w:themeColor="text1" w:themeTint="F2"/>
                <w:sz w:val="24"/>
                <w:szCs w:val="24"/>
              </w:rPr>
            </w:pPr>
            <w:r w:rsidRPr="00DC4EC9">
              <w:rPr>
                <w:color w:val="0D0D0D" w:themeColor="text1" w:themeTint="F2"/>
                <w:sz w:val="24"/>
                <w:szCs w:val="24"/>
              </w:rPr>
              <w:t>Cross-case comparison</w:t>
            </w:r>
          </w:p>
        </w:tc>
      </w:tr>
    </w:tbl>
    <w:p w14:paraId="08E64A17" w14:textId="77777777" w:rsidR="000B004D" w:rsidRPr="00DC4EC9" w:rsidRDefault="000B004D" w:rsidP="00342F90">
      <w:pPr>
        <w:spacing w:after="160" w:line="276" w:lineRule="auto"/>
        <w:rPr>
          <w:b/>
          <w:bCs/>
          <w:color w:val="0D0D0D" w:themeColor="text1" w:themeTint="F2"/>
          <w:sz w:val="24"/>
          <w:szCs w:val="24"/>
        </w:rPr>
      </w:pPr>
    </w:p>
    <w:p w14:paraId="05B51CF7" w14:textId="77777777" w:rsidR="000B004D" w:rsidRPr="00DC4EC9" w:rsidRDefault="000B004D" w:rsidP="00342F90">
      <w:pPr>
        <w:spacing w:after="160" w:line="276" w:lineRule="auto"/>
        <w:rPr>
          <w:b/>
          <w:bCs/>
          <w:color w:val="0D0D0D" w:themeColor="text1" w:themeTint="F2"/>
          <w:sz w:val="24"/>
          <w:szCs w:val="24"/>
        </w:rPr>
      </w:pPr>
      <w:r w:rsidRPr="00DC4EC9">
        <w:rPr>
          <w:b/>
          <w:bCs/>
          <w:color w:val="0D0D0D" w:themeColor="text1" w:themeTint="F2"/>
          <w:sz w:val="24"/>
          <w:szCs w:val="24"/>
        </w:rPr>
        <w:t>3.7 Justification of Method</w:t>
      </w:r>
    </w:p>
    <w:p w14:paraId="1024E396" w14:textId="77777777" w:rsidR="000B004D" w:rsidRPr="00DC4EC9" w:rsidRDefault="000B004D" w:rsidP="00342F90">
      <w:pPr>
        <w:widowControl/>
        <w:numPr>
          <w:ilvl w:val="0"/>
          <w:numId w:val="29"/>
        </w:numPr>
        <w:autoSpaceDE/>
        <w:autoSpaceDN/>
        <w:spacing w:after="160" w:line="276" w:lineRule="auto"/>
        <w:rPr>
          <w:color w:val="0D0D0D" w:themeColor="text1" w:themeTint="F2"/>
          <w:sz w:val="24"/>
          <w:szCs w:val="24"/>
        </w:rPr>
      </w:pPr>
      <w:r w:rsidRPr="00DC4EC9">
        <w:rPr>
          <w:color w:val="0D0D0D" w:themeColor="text1" w:themeTint="F2"/>
          <w:sz w:val="24"/>
          <w:szCs w:val="24"/>
        </w:rPr>
        <w:t>Secondary data ensures credibility and corporate transparency</w:t>
      </w:r>
    </w:p>
    <w:p w14:paraId="723B9947" w14:textId="77777777" w:rsidR="000B004D" w:rsidRPr="00DC4EC9" w:rsidRDefault="000B004D" w:rsidP="00342F90">
      <w:pPr>
        <w:widowControl/>
        <w:numPr>
          <w:ilvl w:val="0"/>
          <w:numId w:val="29"/>
        </w:numPr>
        <w:autoSpaceDE/>
        <w:autoSpaceDN/>
        <w:spacing w:after="160" w:line="276" w:lineRule="auto"/>
        <w:rPr>
          <w:color w:val="0D0D0D" w:themeColor="text1" w:themeTint="F2"/>
          <w:sz w:val="24"/>
          <w:szCs w:val="24"/>
        </w:rPr>
      </w:pPr>
      <w:r w:rsidRPr="00DC4EC9">
        <w:rPr>
          <w:color w:val="0D0D0D" w:themeColor="text1" w:themeTint="F2"/>
          <w:sz w:val="24"/>
          <w:szCs w:val="24"/>
        </w:rPr>
        <w:t>Desk-based research is feasible, ethical, and realistic within the MBA timeframe</w:t>
      </w:r>
    </w:p>
    <w:p w14:paraId="737423F0" w14:textId="77777777" w:rsidR="000B004D" w:rsidRPr="00DC4EC9" w:rsidRDefault="000B004D" w:rsidP="00342F90">
      <w:pPr>
        <w:widowControl/>
        <w:numPr>
          <w:ilvl w:val="0"/>
          <w:numId w:val="29"/>
        </w:numPr>
        <w:autoSpaceDE/>
        <w:autoSpaceDN/>
        <w:spacing w:after="160" w:line="276" w:lineRule="auto"/>
        <w:rPr>
          <w:color w:val="0D0D0D" w:themeColor="text1" w:themeTint="F2"/>
          <w:sz w:val="24"/>
          <w:szCs w:val="24"/>
        </w:rPr>
      </w:pPr>
      <w:r w:rsidRPr="00DC4EC9">
        <w:rPr>
          <w:color w:val="0D0D0D" w:themeColor="text1" w:themeTint="F2"/>
          <w:sz w:val="24"/>
          <w:szCs w:val="24"/>
        </w:rPr>
        <w:t>Financial data from multiple sources allows triangulation</w:t>
      </w:r>
    </w:p>
    <w:p w14:paraId="4993A4CC" w14:textId="77777777" w:rsidR="000B004D" w:rsidRPr="00DC4EC9" w:rsidRDefault="000B004D" w:rsidP="00342F90">
      <w:pPr>
        <w:widowControl/>
        <w:numPr>
          <w:ilvl w:val="0"/>
          <w:numId w:val="29"/>
        </w:numPr>
        <w:autoSpaceDE/>
        <w:autoSpaceDN/>
        <w:spacing w:after="160" w:line="276" w:lineRule="auto"/>
        <w:rPr>
          <w:color w:val="0D0D0D" w:themeColor="text1" w:themeTint="F2"/>
          <w:sz w:val="24"/>
          <w:szCs w:val="24"/>
        </w:rPr>
      </w:pPr>
      <w:r w:rsidRPr="00DC4EC9">
        <w:rPr>
          <w:color w:val="0D0D0D" w:themeColor="text1" w:themeTint="F2"/>
          <w:sz w:val="24"/>
          <w:szCs w:val="24"/>
        </w:rPr>
        <w:t>Using both ratio analysis and content analysis gives deeper insight than financial numbers alone</w:t>
      </w:r>
    </w:p>
    <w:p w14:paraId="402614A1" w14:textId="2B20C651" w:rsidR="000B004D" w:rsidRPr="00DC4EC9" w:rsidRDefault="000B004D" w:rsidP="00342F90">
      <w:pPr>
        <w:spacing w:after="160" w:line="276" w:lineRule="auto"/>
        <w:rPr>
          <w:b/>
          <w:bCs/>
          <w:color w:val="0D0D0D" w:themeColor="text1" w:themeTint="F2"/>
          <w:sz w:val="24"/>
          <w:szCs w:val="24"/>
        </w:rPr>
      </w:pPr>
    </w:p>
    <w:p w14:paraId="0FF23B42" w14:textId="77777777" w:rsidR="000B004D" w:rsidRPr="00DC4EC9" w:rsidRDefault="000B004D" w:rsidP="00342F90">
      <w:pPr>
        <w:spacing w:after="160" w:line="276" w:lineRule="auto"/>
        <w:rPr>
          <w:b/>
          <w:bCs/>
          <w:color w:val="0D0D0D" w:themeColor="text1" w:themeTint="F2"/>
          <w:sz w:val="24"/>
          <w:szCs w:val="24"/>
        </w:rPr>
      </w:pPr>
      <w:r w:rsidRPr="00DC4EC9">
        <w:rPr>
          <w:b/>
          <w:bCs/>
          <w:color w:val="0D0D0D" w:themeColor="text1" w:themeTint="F2"/>
          <w:sz w:val="24"/>
          <w:szCs w:val="24"/>
        </w:rPr>
        <w:t>3.8 Ethical Considerations</w:t>
      </w:r>
    </w:p>
    <w:p w14:paraId="5AD8137D" w14:textId="77777777" w:rsidR="000B004D" w:rsidRPr="00DC4EC9" w:rsidRDefault="000B004D" w:rsidP="00342F90">
      <w:pPr>
        <w:widowControl/>
        <w:numPr>
          <w:ilvl w:val="0"/>
          <w:numId w:val="30"/>
        </w:numPr>
        <w:autoSpaceDE/>
        <w:autoSpaceDN/>
        <w:spacing w:after="160" w:line="276" w:lineRule="auto"/>
        <w:rPr>
          <w:color w:val="0D0D0D" w:themeColor="text1" w:themeTint="F2"/>
          <w:sz w:val="24"/>
          <w:szCs w:val="24"/>
        </w:rPr>
      </w:pPr>
      <w:r w:rsidRPr="00DC4EC9">
        <w:rPr>
          <w:color w:val="0D0D0D" w:themeColor="text1" w:themeTint="F2"/>
          <w:sz w:val="24"/>
          <w:szCs w:val="24"/>
        </w:rPr>
        <w:t>All data is publicly available and non-sensitive</w:t>
      </w:r>
    </w:p>
    <w:p w14:paraId="2E708B50" w14:textId="77777777" w:rsidR="000B004D" w:rsidRPr="00DC4EC9" w:rsidRDefault="000B004D" w:rsidP="00342F90">
      <w:pPr>
        <w:widowControl/>
        <w:numPr>
          <w:ilvl w:val="0"/>
          <w:numId w:val="30"/>
        </w:numPr>
        <w:autoSpaceDE/>
        <w:autoSpaceDN/>
        <w:spacing w:after="160" w:line="276" w:lineRule="auto"/>
        <w:rPr>
          <w:color w:val="0D0D0D" w:themeColor="text1" w:themeTint="F2"/>
          <w:sz w:val="24"/>
          <w:szCs w:val="24"/>
        </w:rPr>
      </w:pPr>
      <w:r w:rsidRPr="00DC4EC9">
        <w:rPr>
          <w:color w:val="0D0D0D" w:themeColor="text1" w:themeTint="F2"/>
          <w:sz w:val="24"/>
          <w:szCs w:val="24"/>
        </w:rPr>
        <w:t>Financial reports will be cited accurately</w:t>
      </w:r>
    </w:p>
    <w:p w14:paraId="2E9D3AEE" w14:textId="77777777" w:rsidR="000B004D" w:rsidRPr="00342F90" w:rsidRDefault="000B004D" w:rsidP="00342F90">
      <w:pPr>
        <w:widowControl/>
        <w:numPr>
          <w:ilvl w:val="0"/>
          <w:numId w:val="30"/>
        </w:numPr>
        <w:autoSpaceDE/>
        <w:autoSpaceDN/>
        <w:spacing w:after="160" w:line="276" w:lineRule="auto"/>
        <w:rPr>
          <w:color w:val="0D0D0D" w:themeColor="text1" w:themeTint="F2"/>
          <w:sz w:val="24"/>
          <w:szCs w:val="24"/>
        </w:rPr>
      </w:pPr>
      <w:r w:rsidRPr="00DC4EC9">
        <w:rPr>
          <w:color w:val="0D0D0D" w:themeColor="text1" w:themeTint="F2"/>
          <w:sz w:val="24"/>
          <w:szCs w:val="24"/>
        </w:rPr>
        <w:t>No human subjects involved, therefore minimal ethical risk</w:t>
      </w:r>
    </w:p>
    <w:p w14:paraId="19E4EF4B" w14:textId="77777777" w:rsidR="00024A9E" w:rsidRPr="00342F90" w:rsidRDefault="00024A9E" w:rsidP="00342F90">
      <w:pPr>
        <w:pStyle w:val="BodyText"/>
        <w:spacing w:before="164" w:line="276" w:lineRule="auto"/>
        <w:rPr>
          <w:color w:val="0D0D0D" w:themeColor="text1" w:themeTint="F2"/>
        </w:rPr>
      </w:pPr>
      <w:commentRangeStart w:id="1"/>
    </w:p>
    <w:p w14:paraId="19E4EF4C" w14:textId="77777777" w:rsidR="00024A9E" w:rsidRPr="001D4685" w:rsidRDefault="00691401" w:rsidP="00342F90">
      <w:pPr>
        <w:pStyle w:val="Heading2"/>
        <w:numPr>
          <w:ilvl w:val="0"/>
          <w:numId w:val="34"/>
        </w:numPr>
        <w:tabs>
          <w:tab w:val="left" w:pos="266"/>
        </w:tabs>
        <w:spacing w:line="276" w:lineRule="auto"/>
        <w:ind w:left="266" w:hanging="266"/>
        <w:rPr>
          <w:color w:val="0D0D0D" w:themeColor="text1" w:themeTint="F2"/>
        </w:rPr>
      </w:pPr>
      <w:r w:rsidRPr="001D4685">
        <w:rPr>
          <w:color w:val="0D0D0D" w:themeColor="text1" w:themeTint="F2"/>
        </w:rPr>
        <w:t>Expected</w:t>
      </w:r>
      <w:r w:rsidRPr="001D4685">
        <w:rPr>
          <w:color w:val="0D0D0D" w:themeColor="text1" w:themeTint="F2"/>
          <w:spacing w:val="-3"/>
        </w:rPr>
        <w:t xml:space="preserve"> </w:t>
      </w:r>
      <w:r w:rsidRPr="001D4685">
        <w:rPr>
          <w:color w:val="0D0D0D" w:themeColor="text1" w:themeTint="F2"/>
          <w:spacing w:val="-2"/>
        </w:rPr>
        <w:t>Findings</w:t>
      </w:r>
    </w:p>
    <w:p w14:paraId="19E4EF4D" w14:textId="77777777" w:rsidR="00024A9E" w:rsidRPr="001D4685" w:rsidRDefault="00691401" w:rsidP="00342F90">
      <w:pPr>
        <w:pStyle w:val="ListParagraph"/>
        <w:numPr>
          <w:ilvl w:val="1"/>
          <w:numId w:val="34"/>
        </w:numPr>
        <w:tabs>
          <w:tab w:val="left" w:pos="400"/>
        </w:tabs>
        <w:spacing w:before="245" w:line="276" w:lineRule="auto"/>
        <w:ind w:left="400" w:hanging="400"/>
        <w:rPr>
          <w:b/>
          <w:bCs/>
          <w:color w:val="0D0D0D" w:themeColor="text1" w:themeTint="F2"/>
          <w:sz w:val="24"/>
          <w:szCs w:val="24"/>
        </w:rPr>
      </w:pPr>
      <w:r w:rsidRPr="001D4685">
        <w:rPr>
          <w:b/>
          <w:bCs/>
          <w:color w:val="0D0D0D" w:themeColor="text1" w:themeTint="F2"/>
          <w:sz w:val="24"/>
          <w:szCs w:val="24"/>
        </w:rPr>
        <w:t>Anticipated</w:t>
      </w:r>
      <w:r w:rsidRPr="001D4685">
        <w:rPr>
          <w:b/>
          <w:bCs/>
          <w:color w:val="0D0D0D" w:themeColor="text1" w:themeTint="F2"/>
          <w:spacing w:val="-4"/>
          <w:sz w:val="24"/>
          <w:szCs w:val="24"/>
        </w:rPr>
        <w:t xml:space="preserve"> </w:t>
      </w:r>
      <w:r w:rsidRPr="001D4685">
        <w:rPr>
          <w:b/>
          <w:bCs/>
          <w:color w:val="0D0D0D" w:themeColor="text1" w:themeTint="F2"/>
          <w:spacing w:val="-2"/>
          <w:sz w:val="24"/>
          <w:szCs w:val="24"/>
        </w:rPr>
        <w:t>Results:</w:t>
      </w:r>
    </w:p>
    <w:p w14:paraId="5898E39E" w14:textId="77777777" w:rsidR="00C67EB1" w:rsidRPr="00342F90" w:rsidRDefault="00C67EB1" w:rsidP="00342F90">
      <w:pPr>
        <w:spacing w:after="160" w:line="276" w:lineRule="auto"/>
        <w:rPr>
          <w:color w:val="0D0D0D" w:themeColor="text1" w:themeTint="F2"/>
          <w:sz w:val="24"/>
          <w:szCs w:val="24"/>
        </w:rPr>
      </w:pPr>
      <w:r w:rsidRPr="00342F90">
        <w:rPr>
          <w:color w:val="0D0D0D" w:themeColor="text1" w:themeTint="F2"/>
          <w:sz w:val="24"/>
          <w:szCs w:val="24"/>
        </w:rPr>
        <w:t xml:space="preserve">Based on </w:t>
      </w:r>
      <w:proofErr w:type="gramStart"/>
      <w:r w:rsidRPr="00342F90">
        <w:rPr>
          <w:color w:val="0D0D0D" w:themeColor="text1" w:themeTint="F2"/>
          <w:sz w:val="24"/>
          <w:szCs w:val="24"/>
        </w:rPr>
        <w:t>prior ,</w:t>
      </w:r>
      <w:proofErr w:type="gramEnd"/>
      <w:r w:rsidRPr="00342F90">
        <w:rPr>
          <w:color w:val="0D0D0D" w:themeColor="text1" w:themeTint="F2"/>
          <w:sz w:val="24"/>
          <w:szCs w:val="24"/>
        </w:rPr>
        <w:t xml:space="preserve"> the study develops the following testable propositions:</w:t>
      </w:r>
    </w:p>
    <w:p w14:paraId="7C6119F5" w14:textId="77777777" w:rsidR="00C67EB1" w:rsidRPr="00342F90" w:rsidRDefault="00C67EB1" w:rsidP="00342F90">
      <w:pPr>
        <w:spacing w:after="160" w:line="276" w:lineRule="auto"/>
        <w:rPr>
          <w:color w:val="0D0D0D" w:themeColor="text1" w:themeTint="F2"/>
          <w:sz w:val="24"/>
          <w:szCs w:val="24"/>
        </w:rPr>
      </w:pPr>
      <w:r w:rsidRPr="00342F90">
        <w:rPr>
          <w:color w:val="0D0D0D" w:themeColor="text1" w:themeTint="F2"/>
          <w:sz w:val="24"/>
          <w:szCs w:val="24"/>
        </w:rPr>
        <w:t>• Multinational firms with diversified international operations demonstrate more stable cash flow patterns due to access to multiple revenue sources and global capital markets.</w:t>
      </w:r>
    </w:p>
    <w:p w14:paraId="342DCBFC" w14:textId="77777777" w:rsidR="00C67EB1" w:rsidRPr="00342F90" w:rsidRDefault="00C67EB1" w:rsidP="00342F90">
      <w:pPr>
        <w:spacing w:after="160" w:line="276" w:lineRule="auto"/>
        <w:rPr>
          <w:color w:val="0D0D0D" w:themeColor="text1" w:themeTint="F2"/>
          <w:sz w:val="24"/>
          <w:szCs w:val="24"/>
        </w:rPr>
      </w:pPr>
      <w:r w:rsidRPr="00342F90">
        <w:rPr>
          <w:color w:val="0D0D0D" w:themeColor="text1" w:themeTint="F2"/>
          <w:sz w:val="24"/>
          <w:szCs w:val="24"/>
        </w:rPr>
        <w:t>• Exposure to global markets moderates the relationship between debt level and profitability, allowing firms to leverage higher debt due to lower financing costs and cross-border capital access.</w:t>
      </w:r>
    </w:p>
    <w:p w14:paraId="5BF73F50" w14:textId="77777777" w:rsidR="00C67EB1" w:rsidRPr="00342F90" w:rsidRDefault="00C67EB1" w:rsidP="00342F90">
      <w:pPr>
        <w:spacing w:after="160" w:line="276" w:lineRule="auto"/>
        <w:rPr>
          <w:color w:val="0D0D0D" w:themeColor="text1" w:themeTint="F2"/>
          <w:sz w:val="24"/>
          <w:szCs w:val="24"/>
        </w:rPr>
      </w:pPr>
      <w:r w:rsidRPr="00342F90">
        <w:rPr>
          <w:color w:val="0D0D0D" w:themeColor="text1" w:themeTint="F2"/>
          <w:sz w:val="24"/>
          <w:szCs w:val="24"/>
        </w:rPr>
        <w:t>• Companies that adopt financial risk-management practices—such as currency hedging and diversified investment portfolios—exhibit higher financial resilience during periods of market volatility.</w:t>
      </w:r>
    </w:p>
    <w:p w14:paraId="3744C5D1" w14:textId="77777777" w:rsidR="00C67EB1" w:rsidRPr="00342F90" w:rsidRDefault="00C67EB1" w:rsidP="00342F90">
      <w:pPr>
        <w:spacing w:after="160" w:line="276" w:lineRule="auto"/>
        <w:rPr>
          <w:color w:val="0D0D0D" w:themeColor="text1" w:themeTint="F2"/>
          <w:sz w:val="24"/>
          <w:szCs w:val="24"/>
        </w:rPr>
      </w:pPr>
      <w:r w:rsidRPr="00342F90">
        <w:rPr>
          <w:color w:val="0D0D0D" w:themeColor="text1" w:themeTint="F2"/>
          <w:sz w:val="24"/>
          <w:szCs w:val="24"/>
        </w:rPr>
        <w:t>• Firms operating across multiple regulatory environments incur higher compliance and governance costs, influencing their capital structure and liquidity management decisions.</w:t>
      </w:r>
    </w:p>
    <w:p w14:paraId="77B76EEC" w14:textId="77777777" w:rsidR="00C67EB1" w:rsidRPr="00342F90" w:rsidRDefault="00C67EB1" w:rsidP="00342F90">
      <w:pPr>
        <w:tabs>
          <w:tab w:val="left" w:pos="400"/>
        </w:tabs>
        <w:spacing w:before="245" w:line="276" w:lineRule="auto"/>
        <w:rPr>
          <w:color w:val="0D0D0D" w:themeColor="text1" w:themeTint="F2"/>
          <w:sz w:val="24"/>
          <w:szCs w:val="24"/>
        </w:rPr>
      </w:pPr>
    </w:p>
    <w:p w14:paraId="19E4EF4F" w14:textId="77777777" w:rsidR="00024A9E" w:rsidRPr="001D4685" w:rsidRDefault="00691401" w:rsidP="00342F90">
      <w:pPr>
        <w:pStyle w:val="Heading2"/>
        <w:numPr>
          <w:ilvl w:val="1"/>
          <w:numId w:val="34"/>
        </w:numPr>
        <w:tabs>
          <w:tab w:val="left" w:pos="400"/>
        </w:tabs>
        <w:spacing w:before="201" w:line="276" w:lineRule="auto"/>
        <w:ind w:left="400" w:hanging="400"/>
        <w:rPr>
          <w:color w:val="0D0D0D" w:themeColor="text1" w:themeTint="F2"/>
        </w:rPr>
      </w:pPr>
      <w:r w:rsidRPr="001D4685">
        <w:rPr>
          <w:color w:val="0D0D0D" w:themeColor="text1" w:themeTint="F2"/>
        </w:rPr>
        <w:t>Expected</w:t>
      </w:r>
      <w:r w:rsidRPr="001D4685">
        <w:rPr>
          <w:color w:val="0D0D0D" w:themeColor="text1" w:themeTint="F2"/>
          <w:spacing w:val="-5"/>
        </w:rPr>
        <w:t xml:space="preserve"> </w:t>
      </w:r>
      <w:r w:rsidRPr="001D4685">
        <w:rPr>
          <w:color w:val="0D0D0D" w:themeColor="text1" w:themeTint="F2"/>
          <w:spacing w:val="-2"/>
        </w:rPr>
        <w:t>Contribution:</w:t>
      </w:r>
    </w:p>
    <w:p w14:paraId="19E4EF50" w14:textId="77777777" w:rsidR="00024A9E" w:rsidRPr="00342F90" w:rsidRDefault="00691401" w:rsidP="00342F90">
      <w:pPr>
        <w:pStyle w:val="BodyText"/>
        <w:spacing w:before="40" w:line="276" w:lineRule="auto"/>
        <w:ind w:right="442"/>
        <w:rPr>
          <w:color w:val="0D0D0D" w:themeColor="text1" w:themeTint="F2"/>
        </w:rPr>
      </w:pPr>
      <w:r w:rsidRPr="00342F90">
        <w:rPr>
          <w:color w:val="0D0D0D" w:themeColor="text1" w:themeTint="F2"/>
        </w:rPr>
        <w:t xml:space="preserve">The research will contribute to both academic and managerial knowledge by providing a framework for linking </w:t>
      </w:r>
      <w:proofErr w:type="spellStart"/>
      <w:r w:rsidRPr="00342F90">
        <w:rPr>
          <w:color w:val="0D0D0D" w:themeColor="text1" w:themeTint="F2"/>
        </w:rPr>
        <w:t>globalisation</w:t>
      </w:r>
      <w:proofErr w:type="spellEnd"/>
      <w:r w:rsidRPr="00342F90">
        <w:rPr>
          <w:color w:val="0D0D0D" w:themeColor="text1" w:themeTint="F2"/>
        </w:rPr>
        <w:t xml:space="preserve"> to financial decision-making, offering</w:t>
      </w:r>
      <w:r w:rsidRPr="00342F90">
        <w:rPr>
          <w:color w:val="0D0D0D" w:themeColor="text1" w:themeTint="F2"/>
          <w:spacing w:val="-6"/>
        </w:rPr>
        <w:t xml:space="preserve"> </w:t>
      </w:r>
      <w:r w:rsidRPr="00342F90">
        <w:rPr>
          <w:color w:val="0D0D0D" w:themeColor="text1" w:themeTint="F2"/>
        </w:rPr>
        <w:t>practical</w:t>
      </w:r>
      <w:r w:rsidRPr="00342F90">
        <w:rPr>
          <w:color w:val="0D0D0D" w:themeColor="text1" w:themeTint="F2"/>
          <w:spacing w:val="-4"/>
        </w:rPr>
        <w:t xml:space="preserve"> </w:t>
      </w:r>
      <w:r w:rsidRPr="00342F90">
        <w:rPr>
          <w:color w:val="0D0D0D" w:themeColor="text1" w:themeTint="F2"/>
        </w:rPr>
        <w:t>insights</w:t>
      </w:r>
      <w:r w:rsidRPr="00342F90">
        <w:rPr>
          <w:color w:val="0D0D0D" w:themeColor="text1" w:themeTint="F2"/>
          <w:spacing w:val="-4"/>
        </w:rPr>
        <w:t xml:space="preserve"> </w:t>
      </w:r>
      <w:r w:rsidRPr="00342F90">
        <w:rPr>
          <w:color w:val="0D0D0D" w:themeColor="text1" w:themeTint="F2"/>
        </w:rPr>
        <w:t>for</w:t>
      </w:r>
      <w:r w:rsidRPr="00342F90">
        <w:rPr>
          <w:color w:val="0D0D0D" w:themeColor="text1" w:themeTint="F2"/>
          <w:spacing w:val="-4"/>
        </w:rPr>
        <w:t xml:space="preserve"> </w:t>
      </w:r>
      <w:r w:rsidRPr="00342F90">
        <w:rPr>
          <w:color w:val="0D0D0D" w:themeColor="text1" w:themeTint="F2"/>
        </w:rPr>
        <w:t>CFOs</w:t>
      </w:r>
      <w:r w:rsidRPr="00342F90">
        <w:rPr>
          <w:color w:val="0D0D0D" w:themeColor="text1" w:themeTint="F2"/>
          <w:spacing w:val="-4"/>
        </w:rPr>
        <w:t xml:space="preserve"> </w:t>
      </w:r>
      <w:r w:rsidRPr="00342F90">
        <w:rPr>
          <w:color w:val="0D0D0D" w:themeColor="text1" w:themeTint="F2"/>
        </w:rPr>
        <w:t>and</w:t>
      </w:r>
      <w:r w:rsidRPr="00342F90">
        <w:rPr>
          <w:color w:val="0D0D0D" w:themeColor="text1" w:themeTint="F2"/>
          <w:spacing w:val="-6"/>
        </w:rPr>
        <w:t xml:space="preserve"> </w:t>
      </w:r>
      <w:r w:rsidRPr="00342F90">
        <w:rPr>
          <w:color w:val="0D0D0D" w:themeColor="text1" w:themeTint="F2"/>
        </w:rPr>
        <w:t>managers</w:t>
      </w:r>
      <w:r w:rsidRPr="00342F90">
        <w:rPr>
          <w:color w:val="0D0D0D" w:themeColor="text1" w:themeTint="F2"/>
          <w:spacing w:val="-4"/>
        </w:rPr>
        <w:t xml:space="preserve"> </w:t>
      </w:r>
      <w:r w:rsidRPr="00342F90">
        <w:rPr>
          <w:color w:val="0D0D0D" w:themeColor="text1" w:themeTint="F2"/>
        </w:rPr>
        <w:t>to</w:t>
      </w:r>
      <w:r w:rsidRPr="00342F90">
        <w:rPr>
          <w:color w:val="0D0D0D" w:themeColor="text1" w:themeTint="F2"/>
          <w:spacing w:val="-5"/>
        </w:rPr>
        <w:t xml:space="preserve"> </w:t>
      </w:r>
      <w:r w:rsidRPr="00342F90">
        <w:rPr>
          <w:color w:val="0D0D0D" w:themeColor="text1" w:themeTint="F2"/>
        </w:rPr>
        <w:t>develop</w:t>
      </w:r>
      <w:r w:rsidRPr="00342F90">
        <w:rPr>
          <w:color w:val="0D0D0D" w:themeColor="text1" w:themeTint="F2"/>
          <w:spacing w:val="-5"/>
        </w:rPr>
        <w:t xml:space="preserve"> </w:t>
      </w:r>
      <w:r w:rsidRPr="00342F90">
        <w:rPr>
          <w:color w:val="0D0D0D" w:themeColor="text1" w:themeTint="F2"/>
        </w:rPr>
        <w:t>globally</w:t>
      </w:r>
      <w:r w:rsidRPr="00342F90">
        <w:rPr>
          <w:color w:val="0D0D0D" w:themeColor="text1" w:themeTint="F2"/>
          <w:spacing w:val="-4"/>
        </w:rPr>
        <w:t xml:space="preserve"> </w:t>
      </w:r>
      <w:r w:rsidRPr="00342F90">
        <w:rPr>
          <w:color w:val="0D0D0D" w:themeColor="text1" w:themeTint="F2"/>
        </w:rPr>
        <w:t>adaptive financial strategies, and supporting policymakers in understanding global financial dynamics.</w:t>
      </w:r>
      <w:commentRangeEnd w:id="1"/>
      <w:r w:rsidR="00927E7D" w:rsidRPr="00342F90">
        <w:rPr>
          <w:rStyle w:val="CommentReference"/>
          <w:color w:val="0D0D0D" w:themeColor="text1" w:themeTint="F2"/>
          <w:sz w:val="24"/>
          <w:szCs w:val="24"/>
        </w:rPr>
        <w:commentReference w:id="1"/>
      </w:r>
    </w:p>
    <w:p w14:paraId="19E4EF51" w14:textId="77777777" w:rsidR="00024A9E" w:rsidRPr="001D4685" w:rsidRDefault="00691401" w:rsidP="00342F90">
      <w:pPr>
        <w:pStyle w:val="Heading2"/>
        <w:numPr>
          <w:ilvl w:val="0"/>
          <w:numId w:val="34"/>
        </w:numPr>
        <w:tabs>
          <w:tab w:val="left" w:pos="266"/>
        </w:tabs>
        <w:spacing w:before="202" w:line="276" w:lineRule="auto"/>
        <w:ind w:left="266" w:hanging="266"/>
        <w:rPr>
          <w:color w:val="0D0D0D" w:themeColor="text1" w:themeTint="F2"/>
        </w:rPr>
      </w:pPr>
      <w:r w:rsidRPr="001D4685">
        <w:rPr>
          <w:color w:val="0D0D0D" w:themeColor="text1" w:themeTint="F2"/>
          <w:spacing w:val="-2"/>
        </w:rPr>
        <w:t>Limitations</w:t>
      </w:r>
    </w:p>
    <w:p w14:paraId="19E4EF52" w14:textId="77777777" w:rsidR="00024A9E" w:rsidRPr="00342F90" w:rsidRDefault="00691401" w:rsidP="00342F90">
      <w:pPr>
        <w:pStyle w:val="BodyText"/>
        <w:spacing w:before="40" w:line="276" w:lineRule="auto"/>
        <w:ind w:right="375"/>
        <w:rPr>
          <w:color w:val="0D0D0D" w:themeColor="text1" w:themeTint="F2"/>
        </w:rPr>
      </w:pPr>
      <w:r w:rsidRPr="00342F90">
        <w:rPr>
          <w:color w:val="0D0D0D" w:themeColor="text1" w:themeTint="F2"/>
        </w:rPr>
        <w:t>Limitations</w:t>
      </w:r>
      <w:r w:rsidRPr="00342F90">
        <w:rPr>
          <w:color w:val="0D0D0D" w:themeColor="text1" w:themeTint="F2"/>
          <w:spacing w:val="-5"/>
        </w:rPr>
        <w:t xml:space="preserve"> </w:t>
      </w:r>
      <w:r w:rsidRPr="00342F90">
        <w:rPr>
          <w:color w:val="0D0D0D" w:themeColor="text1" w:themeTint="F2"/>
        </w:rPr>
        <w:t>include</w:t>
      </w:r>
      <w:r w:rsidRPr="00342F90">
        <w:rPr>
          <w:color w:val="0D0D0D" w:themeColor="text1" w:themeTint="F2"/>
          <w:spacing w:val="-7"/>
        </w:rPr>
        <w:t xml:space="preserve"> </w:t>
      </w:r>
      <w:r w:rsidRPr="00342F90">
        <w:rPr>
          <w:color w:val="0D0D0D" w:themeColor="text1" w:themeTint="F2"/>
        </w:rPr>
        <w:t>data</w:t>
      </w:r>
      <w:r w:rsidRPr="00342F90">
        <w:rPr>
          <w:color w:val="0D0D0D" w:themeColor="text1" w:themeTint="F2"/>
          <w:spacing w:val="-5"/>
        </w:rPr>
        <w:t xml:space="preserve"> </w:t>
      </w:r>
      <w:r w:rsidRPr="00342F90">
        <w:rPr>
          <w:color w:val="0D0D0D" w:themeColor="text1" w:themeTint="F2"/>
        </w:rPr>
        <w:t>availability,</w:t>
      </w:r>
      <w:r w:rsidRPr="00342F90">
        <w:rPr>
          <w:color w:val="0D0D0D" w:themeColor="text1" w:themeTint="F2"/>
          <w:spacing w:val="-5"/>
        </w:rPr>
        <w:t xml:space="preserve"> </w:t>
      </w:r>
      <w:r w:rsidRPr="00342F90">
        <w:rPr>
          <w:color w:val="0D0D0D" w:themeColor="text1" w:themeTint="F2"/>
        </w:rPr>
        <w:t>measurement</w:t>
      </w:r>
      <w:r w:rsidRPr="00342F90">
        <w:rPr>
          <w:color w:val="0D0D0D" w:themeColor="text1" w:themeTint="F2"/>
          <w:spacing w:val="-5"/>
        </w:rPr>
        <w:t xml:space="preserve"> </w:t>
      </w:r>
      <w:r w:rsidRPr="00342F90">
        <w:rPr>
          <w:color w:val="0D0D0D" w:themeColor="text1" w:themeTint="F2"/>
        </w:rPr>
        <w:t>of</w:t>
      </w:r>
      <w:r w:rsidRPr="00342F90">
        <w:rPr>
          <w:color w:val="0D0D0D" w:themeColor="text1" w:themeTint="F2"/>
          <w:spacing w:val="-7"/>
        </w:rPr>
        <w:t xml:space="preserve"> </w:t>
      </w:r>
      <w:proofErr w:type="spellStart"/>
      <w:r w:rsidRPr="00342F90">
        <w:rPr>
          <w:color w:val="0D0D0D" w:themeColor="text1" w:themeTint="F2"/>
        </w:rPr>
        <w:t>globalisation</w:t>
      </w:r>
      <w:proofErr w:type="spellEnd"/>
      <w:r w:rsidRPr="00342F90">
        <w:rPr>
          <w:color w:val="0D0D0D" w:themeColor="text1" w:themeTint="F2"/>
          <w:spacing w:val="-5"/>
        </w:rPr>
        <w:t xml:space="preserve"> </w:t>
      </w:r>
      <w:r w:rsidRPr="00342F90">
        <w:rPr>
          <w:color w:val="0D0D0D" w:themeColor="text1" w:themeTint="F2"/>
        </w:rPr>
        <w:t>exposure,</w:t>
      </w:r>
      <w:r w:rsidRPr="00342F90">
        <w:rPr>
          <w:color w:val="0D0D0D" w:themeColor="text1" w:themeTint="F2"/>
          <w:spacing w:val="-7"/>
        </w:rPr>
        <w:t xml:space="preserve"> </w:t>
      </w:r>
      <w:r w:rsidRPr="00342F90">
        <w:rPr>
          <w:color w:val="0D0D0D" w:themeColor="text1" w:themeTint="F2"/>
        </w:rPr>
        <w:t>and difficulty in establishing causality. As the research uses secondary data, variations in disclosure quality may affect reliability. To mitigate this, multiple sources will be used and sensitivity analyses performed.</w:t>
      </w:r>
    </w:p>
    <w:p w14:paraId="19E4EF53" w14:textId="77777777" w:rsidR="00024A9E" w:rsidRPr="001D4685" w:rsidRDefault="00691401" w:rsidP="00342F90">
      <w:pPr>
        <w:pStyle w:val="Heading2"/>
        <w:numPr>
          <w:ilvl w:val="0"/>
          <w:numId w:val="34"/>
        </w:numPr>
        <w:tabs>
          <w:tab w:val="left" w:pos="264"/>
        </w:tabs>
        <w:spacing w:before="200" w:line="276" w:lineRule="auto"/>
        <w:ind w:left="264" w:hanging="264"/>
        <w:rPr>
          <w:color w:val="0D0D0D" w:themeColor="text1" w:themeTint="F2"/>
        </w:rPr>
      </w:pPr>
      <w:r w:rsidRPr="001D4685">
        <w:rPr>
          <w:color w:val="0D0D0D" w:themeColor="text1" w:themeTint="F2"/>
          <w:spacing w:val="-2"/>
        </w:rPr>
        <w:t>Timeframe</w:t>
      </w:r>
    </w:p>
    <w:p w14:paraId="19E4EF54" w14:textId="77777777" w:rsidR="00024A9E" w:rsidRPr="00342F90" w:rsidRDefault="00691401" w:rsidP="00342F90">
      <w:pPr>
        <w:pStyle w:val="BodyText"/>
        <w:spacing w:line="276" w:lineRule="auto"/>
        <w:rPr>
          <w:color w:val="0D0D0D" w:themeColor="text1" w:themeTint="F2"/>
        </w:rPr>
      </w:pPr>
      <w:r w:rsidRPr="00342F90">
        <w:rPr>
          <w:color w:val="0D0D0D" w:themeColor="text1" w:themeTint="F2"/>
        </w:rPr>
        <w:t>A</w:t>
      </w:r>
      <w:r w:rsidRPr="00342F90">
        <w:rPr>
          <w:color w:val="0D0D0D" w:themeColor="text1" w:themeTint="F2"/>
          <w:spacing w:val="-3"/>
        </w:rPr>
        <w:t xml:space="preserve"> </w:t>
      </w:r>
      <w:r w:rsidRPr="00342F90">
        <w:rPr>
          <w:color w:val="0D0D0D" w:themeColor="text1" w:themeTint="F2"/>
        </w:rPr>
        <w:t>proposed</w:t>
      </w:r>
      <w:r w:rsidRPr="00342F90">
        <w:rPr>
          <w:color w:val="0D0D0D" w:themeColor="text1" w:themeTint="F2"/>
          <w:spacing w:val="-4"/>
        </w:rPr>
        <w:t xml:space="preserve"> </w:t>
      </w:r>
      <w:r w:rsidRPr="00342F90">
        <w:rPr>
          <w:color w:val="0D0D0D" w:themeColor="text1" w:themeTint="F2"/>
        </w:rPr>
        <w:t>schedule</w:t>
      </w:r>
      <w:r w:rsidRPr="00342F90">
        <w:rPr>
          <w:color w:val="0D0D0D" w:themeColor="text1" w:themeTint="F2"/>
          <w:spacing w:val="-5"/>
        </w:rPr>
        <w:t xml:space="preserve"> </w:t>
      </w:r>
      <w:r w:rsidRPr="00342F90">
        <w:rPr>
          <w:color w:val="0D0D0D" w:themeColor="text1" w:themeTint="F2"/>
        </w:rPr>
        <w:t>for</w:t>
      </w:r>
      <w:r w:rsidRPr="00342F90">
        <w:rPr>
          <w:color w:val="0D0D0D" w:themeColor="text1" w:themeTint="F2"/>
          <w:spacing w:val="-2"/>
        </w:rPr>
        <w:t xml:space="preserve"> completion:</w:t>
      </w:r>
    </w:p>
    <w:p w14:paraId="19E4EF55" w14:textId="77777777" w:rsidR="00024A9E" w:rsidRPr="00342F90" w:rsidRDefault="00024A9E" w:rsidP="00342F90">
      <w:pPr>
        <w:pStyle w:val="BodyText"/>
        <w:spacing w:before="12" w:line="276" w:lineRule="auto"/>
        <w:rPr>
          <w:color w:val="0D0D0D" w:themeColor="text1" w:themeTint="F2"/>
        </w:rPr>
      </w:pPr>
    </w:p>
    <w:tbl>
      <w:tblPr>
        <w:tblW w:w="0" w:type="auto"/>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58"/>
        <w:gridCol w:w="2157"/>
        <w:gridCol w:w="2157"/>
        <w:gridCol w:w="2157"/>
      </w:tblGrid>
      <w:tr w:rsidR="00342F90" w:rsidRPr="00342F90" w14:paraId="19E4EF5A" w14:textId="77777777">
        <w:trPr>
          <w:trHeight w:val="518"/>
        </w:trPr>
        <w:tc>
          <w:tcPr>
            <w:tcW w:w="2158" w:type="dxa"/>
          </w:tcPr>
          <w:p w14:paraId="19E4EF56" w14:textId="77777777" w:rsidR="00024A9E" w:rsidRPr="00342F90" w:rsidRDefault="00691401" w:rsidP="00342F90">
            <w:pPr>
              <w:pStyle w:val="TableParagraph"/>
              <w:spacing w:line="276" w:lineRule="auto"/>
              <w:rPr>
                <w:color w:val="0D0D0D" w:themeColor="text1" w:themeTint="F2"/>
                <w:sz w:val="24"/>
                <w:szCs w:val="24"/>
              </w:rPr>
            </w:pPr>
            <w:r w:rsidRPr="00342F90">
              <w:rPr>
                <w:color w:val="0D0D0D" w:themeColor="text1" w:themeTint="F2"/>
                <w:sz w:val="24"/>
                <w:szCs w:val="24"/>
              </w:rPr>
              <w:t>Phase</w:t>
            </w:r>
            <w:r w:rsidRPr="00342F90">
              <w:rPr>
                <w:color w:val="0D0D0D" w:themeColor="text1" w:themeTint="F2"/>
                <w:spacing w:val="-5"/>
                <w:sz w:val="24"/>
                <w:szCs w:val="24"/>
              </w:rPr>
              <w:t xml:space="preserve"> </w:t>
            </w:r>
            <w:r w:rsidRPr="00342F90">
              <w:rPr>
                <w:color w:val="0D0D0D" w:themeColor="text1" w:themeTint="F2"/>
                <w:sz w:val="24"/>
                <w:szCs w:val="24"/>
              </w:rPr>
              <w:t xml:space="preserve">/ </w:t>
            </w:r>
            <w:r w:rsidRPr="00342F90">
              <w:rPr>
                <w:color w:val="0D0D0D" w:themeColor="text1" w:themeTint="F2"/>
                <w:spacing w:val="-4"/>
                <w:sz w:val="24"/>
                <w:szCs w:val="24"/>
              </w:rPr>
              <w:t>Task</w:t>
            </w:r>
          </w:p>
        </w:tc>
        <w:tc>
          <w:tcPr>
            <w:tcW w:w="2157" w:type="dxa"/>
          </w:tcPr>
          <w:p w14:paraId="19E4EF57" w14:textId="77777777" w:rsidR="00024A9E" w:rsidRPr="00342F90" w:rsidRDefault="00691401" w:rsidP="00342F90">
            <w:pPr>
              <w:pStyle w:val="TableParagraph"/>
              <w:spacing w:line="276" w:lineRule="auto"/>
              <w:rPr>
                <w:color w:val="0D0D0D" w:themeColor="text1" w:themeTint="F2"/>
                <w:sz w:val="24"/>
                <w:szCs w:val="24"/>
              </w:rPr>
            </w:pPr>
            <w:r w:rsidRPr="00342F90">
              <w:rPr>
                <w:color w:val="0D0D0D" w:themeColor="text1" w:themeTint="F2"/>
                <w:sz w:val="24"/>
                <w:szCs w:val="24"/>
              </w:rPr>
              <w:t>Start</w:t>
            </w:r>
            <w:r w:rsidRPr="00342F90">
              <w:rPr>
                <w:color w:val="0D0D0D" w:themeColor="text1" w:themeTint="F2"/>
                <w:spacing w:val="-2"/>
                <w:sz w:val="24"/>
                <w:szCs w:val="24"/>
              </w:rPr>
              <w:t xml:space="preserve"> </w:t>
            </w:r>
            <w:r w:rsidRPr="00342F90">
              <w:rPr>
                <w:color w:val="0D0D0D" w:themeColor="text1" w:themeTint="F2"/>
                <w:spacing w:val="-4"/>
                <w:sz w:val="24"/>
                <w:szCs w:val="24"/>
              </w:rPr>
              <w:t>Date</w:t>
            </w:r>
          </w:p>
        </w:tc>
        <w:tc>
          <w:tcPr>
            <w:tcW w:w="2157" w:type="dxa"/>
          </w:tcPr>
          <w:p w14:paraId="19E4EF58" w14:textId="77777777" w:rsidR="00024A9E" w:rsidRPr="00342F90" w:rsidRDefault="00691401" w:rsidP="00342F90">
            <w:pPr>
              <w:pStyle w:val="TableParagraph"/>
              <w:spacing w:line="276" w:lineRule="auto"/>
              <w:ind w:left="108"/>
              <w:rPr>
                <w:color w:val="0D0D0D" w:themeColor="text1" w:themeTint="F2"/>
                <w:sz w:val="24"/>
                <w:szCs w:val="24"/>
              </w:rPr>
            </w:pPr>
            <w:r w:rsidRPr="00342F90">
              <w:rPr>
                <w:color w:val="0D0D0D" w:themeColor="text1" w:themeTint="F2"/>
                <w:sz w:val="24"/>
                <w:szCs w:val="24"/>
              </w:rPr>
              <w:t>End</w:t>
            </w:r>
            <w:r w:rsidRPr="00342F90">
              <w:rPr>
                <w:color w:val="0D0D0D" w:themeColor="text1" w:themeTint="F2"/>
                <w:spacing w:val="-2"/>
                <w:sz w:val="24"/>
                <w:szCs w:val="24"/>
              </w:rPr>
              <w:t xml:space="preserve"> </w:t>
            </w:r>
            <w:r w:rsidRPr="00342F90">
              <w:rPr>
                <w:color w:val="0D0D0D" w:themeColor="text1" w:themeTint="F2"/>
                <w:spacing w:val="-4"/>
                <w:sz w:val="24"/>
                <w:szCs w:val="24"/>
              </w:rPr>
              <w:t>Date</w:t>
            </w:r>
          </w:p>
        </w:tc>
        <w:tc>
          <w:tcPr>
            <w:tcW w:w="2157" w:type="dxa"/>
          </w:tcPr>
          <w:p w14:paraId="19E4EF59" w14:textId="77777777" w:rsidR="00024A9E" w:rsidRPr="00342F90" w:rsidRDefault="00691401" w:rsidP="00342F90">
            <w:pPr>
              <w:pStyle w:val="TableParagraph"/>
              <w:spacing w:line="276" w:lineRule="auto"/>
              <w:ind w:left="109"/>
              <w:rPr>
                <w:color w:val="0D0D0D" w:themeColor="text1" w:themeTint="F2"/>
                <w:sz w:val="24"/>
                <w:szCs w:val="24"/>
              </w:rPr>
            </w:pPr>
            <w:r w:rsidRPr="00342F90">
              <w:rPr>
                <w:color w:val="0D0D0D" w:themeColor="text1" w:themeTint="F2"/>
                <w:sz w:val="24"/>
                <w:szCs w:val="24"/>
              </w:rPr>
              <w:t>Duration</w:t>
            </w:r>
            <w:r w:rsidRPr="00342F90">
              <w:rPr>
                <w:color w:val="0D0D0D" w:themeColor="text1" w:themeTint="F2"/>
                <w:spacing w:val="-5"/>
                <w:sz w:val="24"/>
                <w:szCs w:val="24"/>
              </w:rPr>
              <w:t xml:space="preserve"> </w:t>
            </w:r>
            <w:r w:rsidRPr="00342F90">
              <w:rPr>
                <w:color w:val="0D0D0D" w:themeColor="text1" w:themeTint="F2"/>
                <w:spacing w:val="-2"/>
                <w:sz w:val="24"/>
                <w:szCs w:val="24"/>
              </w:rPr>
              <w:t>(weeks)</w:t>
            </w:r>
          </w:p>
        </w:tc>
      </w:tr>
      <w:tr w:rsidR="00024A9E" w:rsidRPr="00342F90" w14:paraId="19E4EF5F" w14:textId="77777777">
        <w:trPr>
          <w:trHeight w:val="834"/>
        </w:trPr>
        <w:tc>
          <w:tcPr>
            <w:tcW w:w="2158" w:type="dxa"/>
          </w:tcPr>
          <w:p w14:paraId="19E4EF5B" w14:textId="77777777" w:rsidR="00024A9E" w:rsidRPr="00342F90" w:rsidRDefault="00691401" w:rsidP="00342F90">
            <w:pPr>
              <w:pStyle w:val="TableParagraph"/>
              <w:spacing w:line="276" w:lineRule="auto"/>
              <w:ind w:right="50"/>
              <w:rPr>
                <w:color w:val="0D0D0D" w:themeColor="text1" w:themeTint="F2"/>
                <w:sz w:val="24"/>
                <w:szCs w:val="24"/>
              </w:rPr>
            </w:pPr>
            <w:r w:rsidRPr="00342F90">
              <w:rPr>
                <w:color w:val="0D0D0D" w:themeColor="text1" w:themeTint="F2"/>
                <w:sz w:val="24"/>
                <w:szCs w:val="24"/>
              </w:rPr>
              <w:t>Literature</w:t>
            </w:r>
            <w:r w:rsidRPr="00342F90">
              <w:rPr>
                <w:color w:val="0D0D0D" w:themeColor="text1" w:themeTint="F2"/>
                <w:spacing w:val="-17"/>
                <w:sz w:val="24"/>
                <w:szCs w:val="24"/>
              </w:rPr>
              <w:t xml:space="preserve"> </w:t>
            </w:r>
            <w:r w:rsidRPr="00342F90">
              <w:rPr>
                <w:color w:val="0D0D0D" w:themeColor="text1" w:themeTint="F2"/>
                <w:sz w:val="24"/>
                <w:szCs w:val="24"/>
              </w:rPr>
              <w:t>Review &amp; Framework</w:t>
            </w:r>
          </w:p>
        </w:tc>
        <w:tc>
          <w:tcPr>
            <w:tcW w:w="2157" w:type="dxa"/>
          </w:tcPr>
          <w:p w14:paraId="19E4EF5C" w14:textId="59AF4E39" w:rsidR="00024A9E" w:rsidRPr="00342F90" w:rsidRDefault="00C67EB1" w:rsidP="00342F90">
            <w:pPr>
              <w:pStyle w:val="TableParagraph"/>
              <w:spacing w:line="276" w:lineRule="auto"/>
              <w:rPr>
                <w:color w:val="0D0D0D" w:themeColor="text1" w:themeTint="F2"/>
                <w:sz w:val="24"/>
                <w:szCs w:val="24"/>
              </w:rPr>
            </w:pPr>
            <w:r w:rsidRPr="00342F90">
              <w:rPr>
                <w:color w:val="0D0D0D" w:themeColor="text1" w:themeTint="F2"/>
                <w:sz w:val="24"/>
                <w:szCs w:val="24"/>
              </w:rPr>
              <w:t>12</w:t>
            </w:r>
            <w:r w:rsidR="00691401" w:rsidRPr="00342F90">
              <w:rPr>
                <w:color w:val="0D0D0D" w:themeColor="text1" w:themeTint="F2"/>
                <w:sz w:val="24"/>
                <w:szCs w:val="24"/>
              </w:rPr>
              <w:t xml:space="preserve"> </w:t>
            </w:r>
            <w:r w:rsidRPr="00342F90">
              <w:rPr>
                <w:color w:val="0D0D0D" w:themeColor="text1" w:themeTint="F2"/>
                <w:spacing w:val="-5"/>
                <w:sz w:val="24"/>
                <w:szCs w:val="24"/>
              </w:rPr>
              <w:t>Nov</w:t>
            </w:r>
          </w:p>
        </w:tc>
        <w:tc>
          <w:tcPr>
            <w:tcW w:w="2157" w:type="dxa"/>
          </w:tcPr>
          <w:p w14:paraId="19E4EF5D" w14:textId="496AD479" w:rsidR="00024A9E" w:rsidRPr="00342F90" w:rsidRDefault="00C67EB1" w:rsidP="00342F90">
            <w:pPr>
              <w:pStyle w:val="TableParagraph"/>
              <w:spacing w:line="276" w:lineRule="auto"/>
              <w:ind w:left="108"/>
              <w:rPr>
                <w:color w:val="0D0D0D" w:themeColor="text1" w:themeTint="F2"/>
                <w:sz w:val="24"/>
                <w:szCs w:val="24"/>
              </w:rPr>
            </w:pPr>
            <w:r w:rsidRPr="00342F90">
              <w:rPr>
                <w:color w:val="0D0D0D" w:themeColor="text1" w:themeTint="F2"/>
                <w:sz w:val="24"/>
                <w:szCs w:val="24"/>
              </w:rPr>
              <w:t>22</w:t>
            </w:r>
            <w:r w:rsidR="00691401" w:rsidRPr="00342F90">
              <w:rPr>
                <w:color w:val="0D0D0D" w:themeColor="text1" w:themeTint="F2"/>
                <w:sz w:val="24"/>
                <w:szCs w:val="24"/>
              </w:rPr>
              <w:t xml:space="preserve"> </w:t>
            </w:r>
            <w:r w:rsidRPr="00342F90">
              <w:rPr>
                <w:color w:val="0D0D0D" w:themeColor="text1" w:themeTint="F2"/>
                <w:spacing w:val="-5"/>
                <w:sz w:val="24"/>
                <w:szCs w:val="24"/>
              </w:rPr>
              <w:t>Nov</w:t>
            </w:r>
          </w:p>
        </w:tc>
        <w:tc>
          <w:tcPr>
            <w:tcW w:w="2157" w:type="dxa"/>
          </w:tcPr>
          <w:p w14:paraId="19E4EF5E" w14:textId="7538A832" w:rsidR="00024A9E" w:rsidRPr="00342F90" w:rsidRDefault="00342F90" w:rsidP="00342F90">
            <w:pPr>
              <w:pStyle w:val="TableParagraph"/>
              <w:spacing w:line="276" w:lineRule="auto"/>
              <w:ind w:left="109"/>
              <w:rPr>
                <w:color w:val="0D0D0D" w:themeColor="text1" w:themeTint="F2"/>
                <w:sz w:val="24"/>
                <w:szCs w:val="24"/>
              </w:rPr>
            </w:pPr>
            <w:r w:rsidRPr="00342F90">
              <w:rPr>
                <w:color w:val="0D0D0D" w:themeColor="text1" w:themeTint="F2"/>
                <w:spacing w:val="-5"/>
                <w:sz w:val="24"/>
                <w:szCs w:val="24"/>
              </w:rPr>
              <w:t>1.5</w:t>
            </w:r>
          </w:p>
        </w:tc>
      </w:tr>
    </w:tbl>
    <w:p w14:paraId="19E4EF60" w14:textId="77777777" w:rsidR="00024A9E" w:rsidRPr="00342F90" w:rsidRDefault="00024A9E" w:rsidP="00342F90">
      <w:pPr>
        <w:pStyle w:val="TableParagraph"/>
        <w:spacing w:line="276" w:lineRule="auto"/>
        <w:rPr>
          <w:color w:val="0D0D0D" w:themeColor="text1" w:themeTint="F2"/>
          <w:sz w:val="24"/>
          <w:szCs w:val="24"/>
        </w:rPr>
        <w:sectPr w:rsidR="00024A9E" w:rsidRPr="00342F90">
          <w:pgSz w:w="12240" w:h="15840"/>
          <w:pgMar w:top="1360" w:right="1440" w:bottom="1160" w:left="1800" w:header="720" w:footer="720" w:gutter="0"/>
          <w:cols w:space="720"/>
        </w:sectPr>
      </w:pPr>
    </w:p>
    <w:tbl>
      <w:tblPr>
        <w:tblW w:w="0" w:type="auto"/>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58"/>
        <w:gridCol w:w="2157"/>
        <w:gridCol w:w="2157"/>
        <w:gridCol w:w="2157"/>
      </w:tblGrid>
      <w:tr w:rsidR="00342F90" w:rsidRPr="00342F90" w14:paraId="19E4EF65" w14:textId="77777777">
        <w:trPr>
          <w:trHeight w:val="835"/>
        </w:trPr>
        <w:tc>
          <w:tcPr>
            <w:tcW w:w="2158" w:type="dxa"/>
          </w:tcPr>
          <w:p w14:paraId="19E4EF61" w14:textId="77777777" w:rsidR="00024A9E" w:rsidRPr="00342F90" w:rsidRDefault="00691401" w:rsidP="00342F90">
            <w:pPr>
              <w:pStyle w:val="TableParagraph"/>
              <w:spacing w:line="276" w:lineRule="auto"/>
              <w:rPr>
                <w:color w:val="0D0D0D" w:themeColor="text1" w:themeTint="F2"/>
                <w:sz w:val="24"/>
                <w:szCs w:val="24"/>
              </w:rPr>
            </w:pPr>
            <w:r w:rsidRPr="00342F90">
              <w:rPr>
                <w:color w:val="0D0D0D" w:themeColor="text1" w:themeTint="F2"/>
                <w:sz w:val="24"/>
                <w:szCs w:val="24"/>
              </w:rPr>
              <w:t>Design</w:t>
            </w:r>
            <w:r w:rsidRPr="00342F90">
              <w:rPr>
                <w:color w:val="0D0D0D" w:themeColor="text1" w:themeTint="F2"/>
                <w:spacing w:val="-17"/>
                <w:sz w:val="24"/>
                <w:szCs w:val="24"/>
              </w:rPr>
              <w:t xml:space="preserve"> </w:t>
            </w:r>
            <w:r w:rsidRPr="00342F90">
              <w:rPr>
                <w:color w:val="0D0D0D" w:themeColor="text1" w:themeTint="F2"/>
                <w:sz w:val="24"/>
                <w:szCs w:val="24"/>
              </w:rPr>
              <w:t>&amp;</w:t>
            </w:r>
            <w:r w:rsidRPr="00342F90">
              <w:rPr>
                <w:color w:val="0D0D0D" w:themeColor="text1" w:themeTint="F2"/>
                <w:spacing w:val="-17"/>
                <w:sz w:val="24"/>
                <w:szCs w:val="24"/>
              </w:rPr>
              <w:t xml:space="preserve"> </w:t>
            </w:r>
            <w:r w:rsidRPr="00342F90">
              <w:rPr>
                <w:color w:val="0D0D0D" w:themeColor="text1" w:themeTint="F2"/>
                <w:sz w:val="24"/>
                <w:szCs w:val="24"/>
              </w:rPr>
              <w:t xml:space="preserve">Data </w:t>
            </w:r>
            <w:r w:rsidRPr="00342F90">
              <w:rPr>
                <w:color w:val="0D0D0D" w:themeColor="text1" w:themeTint="F2"/>
                <w:spacing w:val="-2"/>
                <w:sz w:val="24"/>
                <w:szCs w:val="24"/>
              </w:rPr>
              <w:t>Identification</w:t>
            </w:r>
          </w:p>
        </w:tc>
        <w:tc>
          <w:tcPr>
            <w:tcW w:w="2157" w:type="dxa"/>
          </w:tcPr>
          <w:p w14:paraId="19E4EF62" w14:textId="10BD9880" w:rsidR="00024A9E" w:rsidRPr="00342F90" w:rsidRDefault="00C67EB1" w:rsidP="00342F90">
            <w:pPr>
              <w:pStyle w:val="TableParagraph"/>
              <w:spacing w:line="276" w:lineRule="auto"/>
              <w:rPr>
                <w:color w:val="0D0D0D" w:themeColor="text1" w:themeTint="F2"/>
                <w:sz w:val="24"/>
                <w:szCs w:val="24"/>
              </w:rPr>
            </w:pPr>
            <w:r w:rsidRPr="00342F90">
              <w:rPr>
                <w:color w:val="0D0D0D" w:themeColor="text1" w:themeTint="F2"/>
                <w:sz w:val="24"/>
                <w:szCs w:val="24"/>
              </w:rPr>
              <w:t>22</w:t>
            </w:r>
            <w:r w:rsidR="00691401" w:rsidRPr="00342F90">
              <w:rPr>
                <w:color w:val="0D0D0D" w:themeColor="text1" w:themeTint="F2"/>
                <w:sz w:val="24"/>
                <w:szCs w:val="24"/>
              </w:rPr>
              <w:t xml:space="preserve"> </w:t>
            </w:r>
            <w:r w:rsidR="00691401" w:rsidRPr="00342F90">
              <w:rPr>
                <w:color w:val="0D0D0D" w:themeColor="text1" w:themeTint="F2"/>
                <w:spacing w:val="-5"/>
                <w:sz w:val="24"/>
                <w:szCs w:val="24"/>
              </w:rPr>
              <w:t>Nov</w:t>
            </w:r>
          </w:p>
        </w:tc>
        <w:tc>
          <w:tcPr>
            <w:tcW w:w="2157" w:type="dxa"/>
          </w:tcPr>
          <w:p w14:paraId="19E4EF63" w14:textId="7ED27A0D" w:rsidR="00024A9E" w:rsidRPr="00342F90" w:rsidRDefault="00C67EB1" w:rsidP="00342F90">
            <w:pPr>
              <w:pStyle w:val="TableParagraph"/>
              <w:spacing w:line="276" w:lineRule="auto"/>
              <w:ind w:left="108"/>
              <w:rPr>
                <w:color w:val="0D0D0D" w:themeColor="text1" w:themeTint="F2"/>
                <w:sz w:val="24"/>
                <w:szCs w:val="24"/>
              </w:rPr>
            </w:pPr>
            <w:r w:rsidRPr="00342F90">
              <w:rPr>
                <w:color w:val="0D0D0D" w:themeColor="text1" w:themeTint="F2"/>
                <w:sz w:val="24"/>
                <w:szCs w:val="24"/>
              </w:rPr>
              <w:t>30</w:t>
            </w:r>
            <w:r w:rsidR="00691401" w:rsidRPr="00342F90">
              <w:rPr>
                <w:color w:val="0D0D0D" w:themeColor="text1" w:themeTint="F2"/>
                <w:sz w:val="24"/>
                <w:szCs w:val="24"/>
              </w:rPr>
              <w:t xml:space="preserve"> </w:t>
            </w:r>
            <w:r w:rsidR="00691401" w:rsidRPr="00342F90">
              <w:rPr>
                <w:color w:val="0D0D0D" w:themeColor="text1" w:themeTint="F2"/>
                <w:spacing w:val="-5"/>
                <w:sz w:val="24"/>
                <w:szCs w:val="24"/>
              </w:rPr>
              <w:t>Nov</w:t>
            </w:r>
          </w:p>
        </w:tc>
        <w:tc>
          <w:tcPr>
            <w:tcW w:w="2157" w:type="dxa"/>
          </w:tcPr>
          <w:p w14:paraId="19E4EF64" w14:textId="77777777" w:rsidR="00024A9E" w:rsidRPr="00342F90" w:rsidRDefault="00691401" w:rsidP="00342F90">
            <w:pPr>
              <w:pStyle w:val="TableParagraph"/>
              <w:spacing w:line="276" w:lineRule="auto"/>
              <w:ind w:left="109"/>
              <w:rPr>
                <w:color w:val="0D0D0D" w:themeColor="text1" w:themeTint="F2"/>
                <w:sz w:val="24"/>
                <w:szCs w:val="24"/>
              </w:rPr>
            </w:pPr>
            <w:r w:rsidRPr="00342F90">
              <w:rPr>
                <w:color w:val="0D0D0D" w:themeColor="text1" w:themeTint="F2"/>
                <w:spacing w:val="-10"/>
                <w:sz w:val="24"/>
                <w:szCs w:val="24"/>
              </w:rPr>
              <w:t>2</w:t>
            </w:r>
          </w:p>
        </w:tc>
      </w:tr>
      <w:tr w:rsidR="00342F90" w:rsidRPr="00342F90" w14:paraId="19E4EF6A" w14:textId="77777777">
        <w:trPr>
          <w:trHeight w:val="517"/>
        </w:trPr>
        <w:tc>
          <w:tcPr>
            <w:tcW w:w="2158" w:type="dxa"/>
          </w:tcPr>
          <w:p w14:paraId="19E4EF66" w14:textId="77777777" w:rsidR="00024A9E" w:rsidRPr="00342F90" w:rsidRDefault="00691401" w:rsidP="00342F90">
            <w:pPr>
              <w:pStyle w:val="TableParagraph"/>
              <w:spacing w:line="276" w:lineRule="auto"/>
              <w:rPr>
                <w:color w:val="0D0D0D" w:themeColor="text1" w:themeTint="F2"/>
                <w:sz w:val="24"/>
                <w:szCs w:val="24"/>
              </w:rPr>
            </w:pPr>
            <w:r w:rsidRPr="00342F90">
              <w:rPr>
                <w:color w:val="0D0D0D" w:themeColor="text1" w:themeTint="F2"/>
                <w:sz w:val="24"/>
                <w:szCs w:val="24"/>
              </w:rPr>
              <w:t xml:space="preserve">Data </w:t>
            </w:r>
            <w:r w:rsidRPr="00342F90">
              <w:rPr>
                <w:color w:val="0D0D0D" w:themeColor="text1" w:themeTint="F2"/>
                <w:spacing w:val="-2"/>
                <w:sz w:val="24"/>
                <w:szCs w:val="24"/>
              </w:rPr>
              <w:t>Collection</w:t>
            </w:r>
          </w:p>
        </w:tc>
        <w:tc>
          <w:tcPr>
            <w:tcW w:w="2157" w:type="dxa"/>
          </w:tcPr>
          <w:p w14:paraId="19E4EF67" w14:textId="3E87DB00" w:rsidR="00024A9E" w:rsidRPr="00342F90" w:rsidRDefault="00C67EB1" w:rsidP="00342F90">
            <w:pPr>
              <w:pStyle w:val="TableParagraph"/>
              <w:spacing w:line="276" w:lineRule="auto"/>
              <w:rPr>
                <w:color w:val="0D0D0D" w:themeColor="text1" w:themeTint="F2"/>
                <w:sz w:val="24"/>
                <w:szCs w:val="24"/>
              </w:rPr>
            </w:pPr>
            <w:r w:rsidRPr="00342F90">
              <w:rPr>
                <w:color w:val="0D0D0D" w:themeColor="text1" w:themeTint="F2"/>
                <w:sz w:val="24"/>
                <w:szCs w:val="24"/>
              </w:rPr>
              <w:t>1Dec</w:t>
            </w:r>
            <w:r w:rsidR="00691401" w:rsidRPr="00342F90">
              <w:rPr>
                <w:color w:val="0D0D0D" w:themeColor="text1" w:themeTint="F2"/>
                <w:sz w:val="24"/>
                <w:szCs w:val="24"/>
              </w:rPr>
              <w:t xml:space="preserve"> </w:t>
            </w:r>
          </w:p>
        </w:tc>
        <w:tc>
          <w:tcPr>
            <w:tcW w:w="2157" w:type="dxa"/>
          </w:tcPr>
          <w:p w14:paraId="19E4EF68" w14:textId="03C1A8A0" w:rsidR="00024A9E" w:rsidRPr="00342F90" w:rsidRDefault="00C67EB1" w:rsidP="00342F90">
            <w:pPr>
              <w:pStyle w:val="TableParagraph"/>
              <w:spacing w:line="276" w:lineRule="auto"/>
              <w:ind w:left="108"/>
              <w:rPr>
                <w:color w:val="0D0D0D" w:themeColor="text1" w:themeTint="F2"/>
                <w:sz w:val="24"/>
                <w:szCs w:val="24"/>
              </w:rPr>
            </w:pPr>
            <w:r w:rsidRPr="00342F90">
              <w:rPr>
                <w:color w:val="0D0D0D" w:themeColor="text1" w:themeTint="F2"/>
                <w:sz w:val="24"/>
                <w:szCs w:val="24"/>
              </w:rPr>
              <w:t>15</w:t>
            </w:r>
            <w:r w:rsidR="00691401" w:rsidRPr="00342F90">
              <w:rPr>
                <w:color w:val="0D0D0D" w:themeColor="text1" w:themeTint="F2"/>
                <w:sz w:val="24"/>
                <w:szCs w:val="24"/>
              </w:rPr>
              <w:t xml:space="preserve"> </w:t>
            </w:r>
            <w:r w:rsidRPr="00342F90">
              <w:rPr>
                <w:color w:val="0D0D0D" w:themeColor="text1" w:themeTint="F2"/>
                <w:spacing w:val="-5"/>
                <w:sz w:val="24"/>
                <w:szCs w:val="24"/>
              </w:rPr>
              <w:t>Dec</w:t>
            </w:r>
          </w:p>
        </w:tc>
        <w:tc>
          <w:tcPr>
            <w:tcW w:w="2157" w:type="dxa"/>
          </w:tcPr>
          <w:p w14:paraId="19E4EF69" w14:textId="45A8C69A" w:rsidR="00024A9E" w:rsidRPr="00342F90" w:rsidRDefault="00691401" w:rsidP="00342F90">
            <w:pPr>
              <w:pStyle w:val="TableParagraph"/>
              <w:spacing w:line="276" w:lineRule="auto"/>
              <w:ind w:left="109"/>
              <w:rPr>
                <w:color w:val="0D0D0D" w:themeColor="text1" w:themeTint="F2"/>
                <w:sz w:val="24"/>
                <w:szCs w:val="24"/>
              </w:rPr>
            </w:pPr>
            <w:r w:rsidRPr="00342F90">
              <w:rPr>
                <w:color w:val="0D0D0D" w:themeColor="text1" w:themeTint="F2"/>
                <w:spacing w:val="-5"/>
                <w:sz w:val="24"/>
                <w:szCs w:val="24"/>
              </w:rPr>
              <w:t>2</w:t>
            </w:r>
          </w:p>
        </w:tc>
      </w:tr>
      <w:tr w:rsidR="00342F90" w:rsidRPr="00342F90" w14:paraId="19E4EF6F" w14:textId="77777777">
        <w:trPr>
          <w:trHeight w:val="515"/>
        </w:trPr>
        <w:tc>
          <w:tcPr>
            <w:tcW w:w="2158" w:type="dxa"/>
          </w:tcPr>
          <w:p w14:paraId="19E4EF6B" w14:textId="77777777" w:rsidR="00024A9E" w:rsidRPr="00342F90" w:rsidRDefault="00691401" w:rsidP="00342F90">
            <w:pPr>
              <w:pStyle w:val="TableParagraph"/>
              <w:spacing w:line="276" w:lineRule="auto"/>
              <w:rPr>
                <w:color w:val="0D0D0D" w:themeColor="text1" w:themeTint="F2"/>
                <w:sz w:val="24"/>
                <w:szCs w:val="24"/>
              </w:rPr>
            </w:pPr>
            <w:r w:rsidRPr="00342F90">
              <w:rPr>
                <w:color w:val="0D0D0D" w:themeColor="text1" w:themeTint="F2"/>
                <w:sz w:val="24"/>
                <w:szCs w:val="24"/>
              </w:rPr>
              <w:t xml:space="preserve">Data </w:t>
            </w:r>
            <w:r w:rsidRPr="00342F90">
              <w:rPr>
                <w:color w:val="0D0D0D" w:themeColor="text1" w:themeTint="F2"/>
                <w:spacing w:val="-2"/>
                <w:sz w:val="24"/>
                <w:szCs w:val="24"/>
              </w:rPr>
              <w:t>Analysis</w:t>
            </w:r>
          </w:p>
        </w:tc>
        <w:tc>
          <w:tcPr>
            <w:tcW w:w="2157" w:type="dxa"/>
          </w:tcPr>
          <w:p w14:paraId="19E4EF6C" w14:textId="413F0485" w:rsidR="00024A9E" w:rsidRPr="00342F90" w:rsidRDefault="00C67EB1" w:rsidP="00342F90">
            <w:pPr>
              <w:pStyle w:val="TableParagraph"/>
              <w:spacing w:line="276" w:lineRule="auto"/>
              <w:rPr>
                <w:color w:val="0D0D0D" w:themeColor="text1" w:themeTint="F2"/>
                <w:sz w:val="24"/>
                <w:szCs w:val="24"/>
              </w:rPr>
            </w:pPr>
            <w:r w:rsidRPr="00342F90">
              <w:rPr>
                <w:color w:val="0D0D0D" w:themeColor="text1" w:themeTint="F2"/>
                <w:sz w:val="24"/>
                <w:szCs w:val="24"/>
              </w:rPr>
              <w:t>16</w:t>
            </w:r>
            <w:r w:rsidR="00691401" w:rsidRPr="00342F90">
              <w:rPr>
                <w:color w:val="0D0D0D" w:themeColor="text1" w:themeTint="F2"/>
                <w:sz w:val="24"/>
                <w:szCs w:val="24"/>
              </w:rPr>
              <w:t xml:space="preserve"> </w:t>
            </w:r>
            <w:r w:rsidR="00691401" w:rsidRPr="00342F90">
              <w:rPr>
                <w:color w:val="0D0D0D" w:themeColor="text1" w:themeTint="F2"/>
                <w:spacing w:val="-5"/>
                <w:sz w:val="24"/>
                <w:szCs w:val="24"/>
              </w:rPr>
              <w:t>Dec</w:t>
            </w:r>
          </w:p>
        </w:tc>
        <w:tc>
          <w:tcPr>
            <w:tcW w:w="2157" w:type="dxa"/>
          </w:tcPr>
          <w:p w14:paraId="19E4EF6D" w14:textId="4FFB168A" w:rsidR="00024A9E" w:rsidRPr="00342F90" w:rsidRDefault="00C67EB1" w:rsidP="00342F90">
            <w:pPr>
              <w:pStyle w:val="TableParagraph"/>
              <w:spacing w:line="276" w:lineRule="auto"/>
              <w:ind w:left="108"/>
              <w:rPr>
                <w:color w:val="0D0D0D" w:themeColor="text1" w:themeTint="F2"/>
                <w:sz w:val="24"/>
                <w:szCs w:val="24"/>
              </w:rPr>
            </w:pPr>
            <w:r w:rsidRPr="00342F90">
              <w:rPr>
                <w:color w:val="0D0D0D" w:themeColor="text1" w:themeTint="F2"/>
                <w:sz w:val="24"/>
                <w:szCs w:val="24"/>
              </w:rPr>
              <w:t>22</w:t>
            </w:r>
            <w:r w:rsidR="00691401" w:rsidRPr="00342F90">
              <w:rPr>
                <w:color w:val="0D0D0D" w:themeColor="text1" w:themeTint="F2"/>
                <w:sz w:val="24"/>
                <w:szCs w:val="24"/>
              </w:rPr>
              <w:t xml:space="preserve"> </w:t>
            </w:r>
            <w:r w:rsidR="00691401" w:rsidRPr="00342F90">
              <w:rPr>
                <w:color w:val="0D0D0D" w:themeColor="text1" w:themeTint="F2"/>
                <w:spacing w:val="-5"/>
                <w:sz w:val="24"/>
                <w:szCs w:val="24"/>
              </w:rPr>
              <w:t>Dec</w:t>
            </w:r>
          </w:p>
        </w:tc>
        <w:tc>
          <w:tcPr>
            <w:tcW w:w="2157" w:type="dxa"/>
          </w:tcPr>
          <w:p w14:paraId="19E4EF6E" w14:textId="4F545F81" w:rsidR="00024A9E" w:rsidRPr="00342F90" w:rsidRDefault="00342F90" w:rsidP="00342F90">
            <w:pPr>
              <w:pStyle w:val="TableParagraph"/>
              <w:spacing w:line="276" w:lineRule="auto"/>
              <w:ind w:left="109"/>
              <w:rPr>
                <w:color w:val="0D0D0D" w:themeColor="text1" w:themeTint="F2"/>
                <w:sz w:val="24"/>
                <w:szCs w:val="24"/>
              </w:rPr>
            </w:pPr>
            <w:r w:rsidRPr="00342F90">
              <w:rPr>
                <w:color w:val="0D0D0D" w:themeColor="text1" w:themeTint="F2"/>
                <w:spacing w:val="-10"/>
                <w:sz w:val="24"/>
                <w:szCs w:val="24"/>
              </w:rPr>
              <w:t>1</w:t>
            </w:r>
          </w:p>
        </w:tc>
      </w:tr>
      <w:tr w:rsidR="00342F90" w:rsidRPr="00342F90" w14:paraId="19E4EF74" w14:textId="77777777">
        <w:trPr>
          <w:trHeight w:val="517"/>
        </w:trPr>
        <w:tc>
          <w:tcPr>
            <w:tcW w:w="2158" w:type="dxa"/>
          </w:tcPr>
          <w:p w14:paraId="19E4EF70" w14:textId="77777777" w:rsidR="00024A9E" w:rsidRPr="00342F90" w:rsidRDefault="00691401" w:rsidP="00342F90">
            <w:pPr>
              <w:pStyle w:val="TableParagraph"/>
              <w:spacing w:before="2" w:line="276" w:lineRule="auto"/>
              <w:rPr>
                <w:color w:val="0D0D0D" w:themeColor="text1" w:themeTint="F2"/>
                <w:sz w:val="24"/>
                <w:szCs w:val="24"/>
              </w:rPr>
            </w:pPr>
            <w:r w:rsidRPr="00342F90">
              <w:rPr>
                <w:color w:val="0D0D0D" w:themeColor="text1" w:themeTint="F2"/>
                <w:sz w:val="24"/>
                <w:szCs w:val="24"/>
              </w:rPr>
              <w:t>Writing</w:t>
            </w:r>
            <w:r w:rsidRPr="00342F90">
              <w:rPr>
                <w:color w:val="0D0D0D" w:themeColor="text1" w:themeTint="F2"/>
                <w:spacing w:val="-4"/>
                <w:sz w:val="24"/>
                <w:szCs w:val="24"/>
              </w:rPr>
              <w:t xml:space="preserve"> </w:t>
            </w:r>
            <w:r w:rsidRPr="00342F90">
              <w:rPr>
                <w:color w:val="0D0D0D" w:themeColor="text1" w:themeTint="F2"/>
                <w:spacing w:val="-2"/>
                <w:sz w:val="24"/>
                <w:szCs w:val="24"/>
              </w:rPr>
              <w:t>Draft</w:t>
            </w:r>
          </w:p>
        </w:tc>
        <w:tc>
          <w:tcPr>
            <w:tcW w:w="2157" w:type="dxa"/>
          </w:tcPr>
          <w:p w14:paraId="19E4EF71" w14:textId="6DA98E8B" w:rsidR="00024A9E" w:rsidRPr="00342F90" w:rsidRDefault="00C67EB1" w:rsidP="00342F90">
            <w:pPr>
              <w:pStyle w:val="TableParagraph"/>
              <w:spacing w:before="2" w:line="276" w:lineRule="auto"/>
              <w:rPr>
                <w:color w:val="0D0D0D" w:themeColor="text1" w:themeTint="F2"/>
                <w:sz w:val="24"/>
                <w:szCs w:val="24"/>
              </w:rPr>
            </w:pPr>
            <w:r w:rsidRPr="00342F90">
              <w:rPr>
                <w:color w:val="0D0D0D" w:themeColor="text1" w:themeTint="F2"/>
                <w:sz w:val="24"/>
                <w:szCs w:val="24"/>
              </w:rPr>
              <w:t>22</w:t>
            </w:r>
            <w:r w:rsidR="00691401" w:rsidRPr="00342F90">
              <w:rPr>
                <w:color w:val="0D0D0D" w:themeColor="text1" w:themeTint="F2"/>
                <w:sz w:val="24"/>
                <w:szCs w:val="24"/>
              </w:rPr>
              <w:t xml:space="preserve"> </w:t>
            </w:r>
            <w:r w:rsidRPr="00342F90">
              <w:rPr>
                <w:color w:val="0D0D0D" w:themeColor="text1" w:themeTint="F2"/>
                <w:spacing w:val="-5"/>
                <w:sz w:val="24"/>
                <w:szCs w:val="24"/>
              </w:rPr>
              <w:t xml:space="preserve">dec </w:t>
            </w:r>
          </w:p>
        </w:tc>
        <w:tc>
          <w:tcPr>
            <w:tcW w:w="2157" w:type="dxa"/>
          </w:tcPr>
          <w:p w14:paraId="19E4EF72" w14:textId="77777777" w:rsidR="00024A9E" w:rsidRPr="00342F90" w:rsidRDefault="00691401" w:rsidP="00342F90">
            <w:pPr>
              <w:pStyle w:val="TableParagraph"/>
              <w:spacing w:before="2" w:line="276" w:lineRule="auto"/>
              <w:ind w:left="108"/>
              <w:rPr>
                <w:color w:val="0D0D0D" w:themeColor="text1" w:themeTint="F2"/>
                <w:sz w:val="24"/>
                <w:szCs w:val="24"/>
              </w:rPr>
            </w:pPr>
            <w:r w:rsidRPr="00342F90">
              <w:rPr>
                <w:color w:val="0D0D0D" w:themeColor="text1" w:themeTint="F2"/>
                <w:sz w:val="24"/>
                <w:szCs w:val="24"/>
              </w:rPr>
              <w:t xml:space="preserve">21 </w:t>
            </w:r>
            <w:r w:rsidRPr="00342F90">
              <w:rPr>
                <w:color w:val="0D0D0D" w:themeColor="text1" w:themeTint="F2"/>
                <w:spacing w:val="-5"/>
                <w:sz w:val="24"/>
                <w:szCs w:val="24"/>
              </w:rPr>
              <w:t>Jan</w:t>
            </w:r>
          </w:p>
        </w:tc>
        <w:tc>
          <w:tcPr>
            <w:tcW w:w="2157" w:type="dxa"/>
          </w:tcPr>
          <w:p w14:paraId="19E4EF73" w14:textId="336F7CA6" w:rsidR="00024A9E" w:rsidRPr="00342F90" w:rsidRDefault="00342F90" w:rsidP="00342F90">
            <w:pPr>
              <w:pStyle w:val="TableParagraph"/>
              <w:spacing w:before="2" w:line="276" w:lineRule="auto"/>
              <w:ind w:left="109"/>
              <w:rPr>
                <w:color w:val="0D0D0D" w:themeColor="text1" w:themeTint="F2"/>
                <w:sz w:val="24"/>
                <w:szCs w:val="24"/>
              </w:rPr>
            </w:pPr>
            <w:r w:rsidRPr="00342F90">
              <w:rPr>
                <w:color w:val="0D0D0D" w:themeColor="text1" w:themeTint="F2"/>
                <w:spacing w:val="-10"/>
                <w:sz w:val="24"/>
                <w:szCs w:val="24"/>
              </w:rPr>
              <w:t>4</w:t>
            </w:r>
          </w:p>
        </w:tc>
      </w:tr>
      <w:tr w:rsidR="00024A9E" w:rsidRPr="00342F90" w14:paraId="19E4EF79" w14:textId="77777777">
        <w:trPr>
          <w:trHeight w:val="834"/>
        </w:trPr>
        <w:tc>
          <w:tcPr>
            <w:tcW w:w="2158" w:type="dxa"/>
          </w:tcPr>
          <w:p w14:paraId="19E4EF75" w14:textId="77777777" w:rsidR="00024A9E" w:rsidRPr="00342F90" w:rsidRDefault="00691401" w:rsidP="00342F90">
            <w:pPr>
              <w:pStyle w:val="TableParagraph"/>
              <w:spacing w:line="276" w:lineRule="auto"/>
              <w:rPr>
                <w:color w:val="0D0D0D" w:themeColor="text1" w:themeTint="F2"/>
                <w:sz w:val="24"/>
                <w:szCs w:val="24"/>
              </w:rPr>
            </w:pPr>
            <w:r w:rsidRPr="00342F90">
              <w:rPr>
                <w:color w:val="0D0D0D" w:themeColor="text1" w:themeTint="F2"/>
                <w:sz w:val="24"/>
                <w:szCs w:val="24"/>
              </w:rPr>
              <w:t xml:space="preserve">Editing &amp; </w:t>
            </w:r>
            <w:r w:rsidRPr="00342F90">
              <w:rPr>
                <w:color w:val="0D0D0D" w:themeColor="text1" w:themeTint="F2"/>
                <w:spacing w:val="-2"/>
                <w:sz w:val="24"/>
                <w:szCs w:val="24"/>
              </w:rPr>
              <w:t>Submission</w:t>
            </w:r>
          </w:p>
        </w:tc>
        <w:tc>
          <w:tcPr>
            <w:tcW w:w="2157" w:type="dxa"/>
          </w:tcPr>
          <w:p w14:paraId="19E4EF76" w14:textId="124ECF77" w:rsidR="00024A9E" w:rsidRPr="00342F90" w:rsidRDefault="00342F90" w:rsidP="00342F90">
            <w:pPr>
              <w:pStyle w:val="TableParagraph"/>
              <w:spacing w:line="276" w:lineRule="auto"/>
              <w:rPr>
                <w:color w:val="0D0D0D" w:themeColor="text1" w:themeTint="F2"/>
                <w:sz w:val="24"/>
                <w:szCs w:val="24"/>
              </w:rPr>
            </w:pPr>
            <w:r w:rsidRPr="00342F90">
              <w:rPr>
                <w:color w:val="0D0D0D" w:themeColor="text1" w:themeTint="F2"/>
                <w:sz w:val="24"/>
                <w:szCs w:val="24"/>
              </w:rPr>
              <w:t xml:space="preserve">21 </w:t>
            </w:r>
            <w:proofErr w:type="spellStart"/>
            <w:r w:rsidRPr="00342F90">
              <w:rPr>
                <w:color w:val="0D0D0D" w:themeColor="text1" w:themeTint="F2"/>
                <w:sz w:val="24"/>
                <w:szCs w:val="24"/>
              </w:rPr>
              <w:t>jan</w:t>
            </w:r>
            <w:proofErr w:type="spellEnd"/>
            <w:r w:rsidRPr="00342F90">
              <w:rPr>
                <w:color w:val="0D0D0D" w:themeColor="text1" w:themeTint="F2"/>
                <w:sz w:val="24"/>
                <w:szCs w:val="24"/>
              </w:rPr>
              <w:t xml:space="preserve"> </w:t>
            </w:r>
          </w:p>
        </w:tc>
        <w:tc>
          <w:tcPr>
            <w:tcW w:w="2157" w:type="dxa"/>
          </w:tcPr>
          <w:p w14:paraId="19E4EF77" w14:textId="480777E2" w:rsidR="00024A9E" w:rsidRPr="00342F90" w:rsidRDefault="00342F90" w:rsidP="00342F90">
            <w:pPr>
              <w:pStyle w:val="TableParagraph"/>
              <w:spacing w:line="276" w:lineRule="auto"/>
              <w:ind w:left="108"/>
              <w:rPr>
                <w:color w:val="0D0D0D" w:themeColor="text1" w:themeTint="F2"/>
                <w:sz w:val="24"/>
                <w:szCs w:val="24"/>
              </w:rPr>
            </w:pPr>
            <w:r w:rsidRPr="00342F90">
              <w:rPr>
                <w:color w:val="0D0D0D" w:themeColor="text1" w:themeTint="F2"/>
                <w:sz w:val="24"/>
                <w:szCs w:val="24"/>
              </w:rPr>
              <w:t>5</w:t>
            </w:r>
            <w:r w:rsidR="00691401" w:rsidRPr="00342F90">
              <w:rPr>
                <w:color w:val="0D0D0D" w:themeColor="text1" w:themeTint="F2"/>
                <w:sz w:val="24"/>
                <w:szCs w:val="24"/>
              </w:rPr>
              <w:t xml:space="preserve"> </w:t>
            </w:r>
            <w:r w:rsidR="00691401" w:rsidRPr="00342F90">
              <w:rPr>
                <w:color w:val="0D0D0D" w:themeColor="text1" w:themeTint="F2"/>
                <w:spacing w:val="-5"/>
                <w:sz w:val="24"/>
                <w:szCs w:val="24"/>
              </w:rPr>
              <w:t>Feb</w:t>
            </w:r>
          </w:p>
        </w:tc>
        <w:tc>
          <w:tcPr>
            <w:tcW w:w="2157" w:type="dxa"/>
          </w:tcPr>
          <w:p w14:paraId="19E4EF78" w14:textId="77777777" w:rsidR="00024A9E" w:rsidRPr="00342F90" w:rsidRDefault="00691401" w:rsidP="00342F90">
            <w:pPr>
              <w:pStyle w:val="TableParagraph"/>
              <w:spacing w:line="276" w:lineRule="auto"/>
              <w:ind w:left="109"/>
              <w:rPr>
                <w:color w:val="0D0D0D" w:themeColor="text1" w:themeTint="F2"/>
                <w:sz w:val="24"/>
                <w:szCs w:val="24"/>
              </w:rPr>
            </w:pPr>
            <w:r w:rsidRPr="00342F90">
              <w:rPr>
                <w:color w:val="0D0D0D" w:themeColor="text1" w:themeTint="F2"/>
                <w:spacing w:val="-10"/>
                <w:sz w:val="24"/>
                <w:szCs w:val="24"/>
              </w:rPr>
              <w:t>1</w:t>
            </w:r>
          </w:p>
        </w:tc>
      </w:tr>
    </w:tbl>
    <w:p w14:paraId="19E4EF7A" w14:textId="77777777" w:rsidR="00024A9E" w:rsidRPr="00342F90" w:rsidRDefault="00024A9E" w:rsidP="00342F90">
      <w:pPr>
        <w:pStyle w:val="BodyText"/>
        <w:spacing w:before="0" w:line="276" w:lineRule="auto"/>
        <w:rPr>
          <w:color w:val="0D0D0D" w:themeColor="text1" w:themeTint="F2"/>
        </w:rPr>
      </w:pPr>
    </w:p>
    <w:p w14:paraId="19E4EF7B" w14:textId="77777777" w:rsidR="00024A9E" w:rsidRPr="00342F90" w:rsidRDefault="00024A9E" w:rsidP="00342F90">
      <w:pPr>
        <w:pStyle w:val="BodyText"/>
        <w:spacing w:before="0" w:line="276" w:lineRule="auto"/>
        <w:rPr>
          <w:color w:val="0D0D0D" w:themeColor="text1" w:themeTint="F2"/>
        </w:rPr>
      </w:pPr>
    </w:p>
    <w:p w14:paraId="19E4EF7C" w14:textId="77777777" w:rsidR="00024A9E" w:rsidRPr="00342F90" w:rsidRDefault="00024A9E" w:rsidP="00342F90">
      <w:pPr>
        <w:pStyle w:val="BodyText"/>
        <w:spacing w:before="230" w:line="276" w:lineRule="auto"/>
        <w:rPr>
          <w:color w:val="0D0D0D" w:themeColor="text1" w:themeTint="F2"/>
        </w:rPr>
      </w:pPr>
    </w:p>
    <w:p w14:paraId="19E4EF7D" w14:textId="77777777" w:rsidR="00024A9E" w:rsidRPr="001D4685" w:rsidRDefault="00691401" w:rsidP="00342F90">
      <w:pPr>
        <w:pStyle w:val="Heading2"/>
        <w:numPr>
          <w:ilvl w:val="0"/>
          <w:numId w:val="34"/>
        </w:numPr>
        <w:tabs>
          <w:tab w:val="left" w:pos="266"/>
        </w:tabs>
        <w:spacing w:line="276" w:lineRule="auto"/>
        <w:ind w:left="266" w:hanging="266"/>
        <w:rPr>
          <w:color w:val="0D0D0D" w:themeColor="text1" w:themeTint="F2"/>
        </w:rPr>
      </w:pPr>
      <w:r w:rsidRPr="001D4685">
        <w:rPr>
          <w:color w:val="0D0D0D" w:themeColor="text1" w:themeTint="F2"/>
          <w:spacing w:val="-2"/>
        </w:rPr>
        <w:t>Conclusion</w:t>
      </w:r>
    </w:p>
    <w:p w14:paraId="19E4EF7E" w14:textId="77777777" w:rsidR="00024A9E" w:rsidRPr="00342F90" w:rsidRDefault="00691401" w:rsidP="00342F90">
      <w:pPr>
        <w:pStyle w:val="BodyText"/>
        <w:spacing w:before="44" w:line="276" w:lineRule="auto"/>
        <w:ind w:right="324"/>
        <w:rPr>
          <w:color w:val="0D0D0D" w:themeColor="text1" w:themeTint="F2"/>
        </w:rPr>
      </w:pPr>
      <w:r w:rsidRPr="00342F90">
        <w:rPr>
          <w:color w:val="0D0D0D" w:themeColor="text1" w:themeTint="F2"/>
        </w:rPr>
        <w:t xml:space="preserve">This research proposal highlights the significance of understanding how </w:t>
      </w:r>
      <w:proofErr w:type="spellStart"/>
      <w:r w:rsidRPr="00342F90">
        <w:rPr>
          <w:color w:val="0D0D0D" w:themeColor="text1" w:themeTint="F2"/>
        </w:rPr>
        <w:t>globalisation</w:t>
      </w:r>
      <w:proofErr w:type="spellEnd"/>
      <w:r w:rsidRPr="00342F90">
        <w:rPr>
          <w:color w:val="0D0D0D" w:themeColor="text1" w:themeTint="F2"/>
        </w:rPr>
        <w:t xml:space="preserve"> impacts the financial strategies of modern </w:t>
      </w:r>
      <w:proofErr w:type="spellStart"/>
      <w:r w:rsidRPr="00342F90">
        <w:rPr>
          <w:color w:val="0D0D0D" w:themeColor="text1" w:themeTint="F2"/>
        </w:rPr>
        <w:t>organisations</w:t>
      </w:r>
      <w:proofErr w:type="spellEnd"/>
      <w:r w:rsidRPr="00342F90">
        <w:rPr>
          <w:color w:val="0D0D0D" w:themeColor="text1" w:themeTint="F2"/>
        </w:rPr>
        <w:t>. The study aims</w:t>
      </w:r>
      <w:r w:rsidRPr="00342F90">
        <w:rPr>
          <w:color w:val="0D0D0D" w:themeColor="text1" w:themeTint="F2"/>
          <w:spacing w:val="-4"/>
        </w:rPr>
        <w:t xml:space="preserve"> </w:t>
      </w:r>
      <w:r w:rsidRPr="00342F90">
        <w:rPr>
          <w:color w:val="0D0D0D" w:themeColor="text1" w:themeTint="F2"/>
        </w:rPr>
        <w:t>to</w:t>
      </w:r>
      <w:r w:rsidRPr="00342F90">
        <w:rPr>
          <w:color w:val="0D0D0D" w:themeColor="text1" w:themeTint="F2"/>
          <w:spacing w:val="-4"/>
        </w:rPr>
        <w:t xml:space="preserve"> </w:t>
      </w:r>
      <w:r w:rsidRPr="00342F90">
        <w:rPr>
          <w:color w:val="0D0D0D" w:themeColor="text1" w:themeTint="F2"/>
        </w:rPr>
        <w:t>explore</w:t>
      </w:r>
      <w:r w:rsidRPr="00342F90">
        <w:rPr>
          <w:color w:val="0D0D0D" w:themeColor="text1" w:themeTint="F2"/>
          <w:spacing w:val="-4"/>
        </w:rPr>
        <w:t xml:space="preserve"> </w:t>
      </w:r>
      <w:r w:rsidRPr="00342F90">
        <w:rPr>
          <w:color w:val="0D0D0D" w:themeColor="text1" w:themeTint="F2"/>
        </w:rPr>
        <w:t>how</w:t>
      </w:r>
      <w:r w:rsidRPr="00342F90">
        <w:rPr>
          <w:color w:val="0D0D0D" w:themeColor="text1" w:themeTint="F2"/>
          <w:spacing w:val="-4"/>
        </w:rPr>
        <w:t xml:space="preserve"> </w:t>
      </w:r>
      <w:r w:rsidRPr="00342F90">
        <w:rPr>
          <w:color w:val="0D0D0D" w:themeColor="text1" w:themeTint="F2"/>
        </w:rPr>
        <w:t>internal</w:t>
      </w:r>
      <w:r w:rsidRPr="00342F90">
        <w:rPr>
          <w:color w:val="0D0D0D" w:themeColor="text1" w:themeTint="F2"/>
          <w:spacing w:val="-4"/>
        </w:rPr>
        <w:t xml:space="preserve"> </w:t>
      </w:r>
      <w:r w:rsidRPr="00342F90">
        <w:rPr>
          <w:color w:val="0D0D0D" w:themeColor="text1" w:themeTint="F2"/>
        </w:rPr>
        <w:t>financial</w:t>
      </w:r>
      <w:r w:rsidRPr="00342F90">
        <w:rPr>
          <w:color w:val="0D0D0D" w:themeColor="text1" w:themeTint="F2"/>
          <w:spacing w:val="-6"/>
        </w:rPr>
        <w:t xml:space="preserve"> </w:t>
      </w:r>
      <w:r w:rsidRPr="00342F90">
        <w:rPr>
          <w:color w:val="0D0D0D" w:themeColor="text1" w:themeTint="F2"/>
        </w:rPr>
        <w:t>decisions</w:t>
      </w:r>
      <w:r w:rsidRPr="00342F90">
        <w:rPr>
          <w:color w:val="0D0D0D" w:themeColor="text1" w:themeTint="F2"/>
          <w:spacing w:val="-4"/>
        </w:rPr>
        <w:t xml:space="preserve"> </w:t>
      </w:r>
      <w:r w:rsidRPr="00342F90">
        <w:rPr>
          <w:color w:val="0D0D0D" w:themeColor="text1" w:themeTint="F2"/>
        </w:rPr>
        <w:t>concerning</w:t>
      </w:r>
      <w:r w:rsidRPr="00342F90">
        <w:rPr>
          <w:color w:val="0D0D0D" w:themeColor="text1" w:themeTint="F2"/>
          <w:spacing w:val="-6"/>
        </w:rPr>
        <w:t xml:space="preserve"> </w:t>
      </w:r>
      <w:r w:rsidRPr="00342F90">
        <w:rPr>
          <w:color w:val="0D0D0D" w:themeColor="text1" w:themeTint="F2"/>
        </w:rPr>
        <w:t>expansion,</w:t>
      </w:r>
      <w:r w:rsidRPr="00342F90">
        <w:rPr>
          <w:color w:val="0D0D0D" w:themeColor="text1" w:themeTint="F2"/>
          <w:spacing w:val="-4"/>
        </w:rPr>
        <w:t xml:space="preserve"> </w:t>
      </w:r>
      <w:r w:rsidRPr="00342F90">
        <w:rPr>
          <w:color w:val="0D0D0D" w:themeColor="text1" w:themeTint="F2"/>
        </w:rPr>
        <w:t>cash</w:t>
      </w:r>
      <w:r w:rsidRPr="00342F90">
        <w:rPr>
          <w:color w:val="0D0D0D" w:themeColor="text1" w:themeTint="F2"/>
          <w:spacing w:val="-4"/>
        </w:rPr>
        <w:t xml:space="preserve"> </w:t>
      </w:r>
      <w:r w:rsidRPr="00342F90">
        <w:rPr>
          <w:color w:val="0D0D0D" w:themeColor="text1" w:themeTint="F2"/>
        </w:rPr>
        <w:t xml:space="preserve">flow, profits, investments, and debt are shaped by global integration. This research proposal outlines a study exploring the impact of </w:t>
      </w:r>
      <w:proofErr w:type="spellStart"/>
      <w:r w:rsidRPr="00342F90">
        <w:rPr>
          <w:color w:val="0D0D0D" w:themeColor="text1" w:themeTint="F2"/>
        </w:rPr>
        <w:t>globalisation</w:t>
      </w:r>
      <w:proofErr w:type="spellEnd"/>
      <w:r w:rsidRPr="00342F90">
        <w:rPr>
          <w:color w:val="0D0D0D" w:themeColor="text1" w:themeTint="F2"/>
        </w:rPr>
        <w:t xml:space="preserve"> on the financial strategies of </w:t>
      </w:r>
      <w:proofErr w:type="spellStart"/>
      <w:r w:rsidRPr="00342F90">
        <w:rPr>
          <w:color w:val="0D0D0D" w:themeColor="text1" w:themeTint="F2"/>
        </w:rPr>
        <w:t>organisations</w:t>
      </w:r>
      <w:proofErr w:type="spellEnd"/>
      <w:r w:rsidRPr="00342F90">
        <w:rPr>
          <w:color w:val="0D0D0D" w:themeColor="text1" w:themeTint="F2"/>
        </w:rPr>
        <w:t>. It highlights both the benefits—such as improved access</w:t>
      </w:r>
      <w:r w:rsidRPr="00342F90">
        <w:rPr>
          <w:color w:val="0D0D0D" w:themeColor="text1" w:themeTint="F2"/>
          <w:spacing w:val="-3"/>
        </w:rPr>
        <w:t xml:space="preserve"> </w:t>
      </w:r>
      <w:r w:rsidRPr="00342F90">
        <w:rPr>
          <w:color w:val="0D0D0D" w:themeColor="text1" w:themeTint="F2"/>
        </w:rPr>
        <w:t>to</w:t>
      </w:r>
      <w:r w:rsidRPr="00342F90">
        <w:rPr>
          <w:color w:val="0D0D0D" w:themeColor="text1" w:themeTint="F2"/>
          <w:spacing w:val="-3"/>
        </w:rPr>
        <w:t xml:space="preserve"> </w:t>
      </w:r>
      <w:r w:rsidRPr="00342F90">
        <w:rPr>
          <w:color w:val="0D0D0D" w:themeColor="text1" w:themeTint="F2"/>
        </w:rPr>
        <w:t>global</w:t>
      </w:r>
      <w:r w:rsidRPr="00342F90">
        <w:rPr>
          <w:color w:val="0D0D0D" w:themeColor="text1" w:themeTint="F2"/>
          <w:spacing w:val="-5"/>
        </w:rPr>
        <w:t xml:space="preserve"> </w:t>
      </w:r>
      <w:r w:rsidRPr="00342F90">
        <w:rPr>
          <w:color w:val="0D0D0D" w:themeColor="text1" w:themeTint="F2"/>
        </w:rPr>
        <w:t>markets</w:t>
      </w:r>
      <w:r w:rsidRPr="00342F90">
        <w:rPr>
          <w:color w:val="0D0D0D" w:themeColor="text1" w:themeTint="F2"/>
          <w:spacing w:val="-3"/>
        </w:rPr>
        <w:t xml:space="preserve"> </w:t>
      </w:r>
      <w:r w:rsidRPr="00342F90">
        <w:rPr>
          <w:color w:val="0D0D0D" w:themeColor="text1" w:themeTint="F2"/>
        </w:rPr>
        <w:t>and</w:t>
      </w:r>
      <w:r w:rsidRPr="00342F90">
        <w:rPr>
          <w:color w:val="0D0D0D" w:themeColor="text1" w:themeTint="F2"/>
          <w:spacing w:val="-3"/>
        </w:rPr>
        <w:t xml:space="preserve"> </w:t>
      </w:r>
      <w:r w:rsidRPr="00342F90">
        <w:rPr>
          <w:color w:val="0D0D0D" w:themeColor="text1" w:themeTint="F2"/>
        </w:rPr>
        <w:t>capital—and</w:t>
      </w:r>
      <w:r w:rsidRPr="00342F90">
        <w:rPr>
          <w:color w:val="0D0D0D" w:themeColor="text1" w:themeTint="F2"/>
          <w:spacing w:val="-3"/>
        </w:rPr>
        <w:t xml:space="preserve"> </w:t>
      </w:r>
      <w:r w:rsidRPr="00342F90">
        <w:rPr>
          <w:color w:val="0D0D0D" w:themeColor="text1" w:themeTint="F2"/>
        </w:rPr>
        <w:t>the</w:t>
      </w:r>
      <w:r w:rsidRPr="00342F90">
        <w:rPr>
          <w:color w:val="0D0D0D" w:themeColor="text1" w:themeTint="F2"/>
          <w:spacing w:val="-4"/>
        </w:rPr>
        <w:t xml:space="preserve"> </w:t>
      </w:r>
      <w:r w:rsidRPr="00342F90">
        <w:rPr>
          <w:color w:val="0D0D0D" w:themeColor="text1" w:themeTint="F2"/>
        </w:rPr>
        <w:t>challenges,</w:t>
      </w:r>
      <w:r w:rsidRPr="00342F90">
        <w:rPr>
          <w:color w:val="0D0D0D" w:themeColor="text1" w:themeTint="F2"/>
          <w:spacing w:val="-3"/>
        </w:rPr>
        <w:t xml:space="preserve"> </w:t>
      </w:r>
      <w:r w:rsidRPr="00342F90">
        <w:rPr>
          <w:color w:val="0D0D0D" w:themeColor="text1" w:themeTint="F2"/>
        </w:rPr>
        <w:t>including</w:t>
      </w:r>
      <w:r w:rsidRPr="00342F90">
        <w:rPr>
          <w:color w:val="0D0D0D" w:themeColor="text1" w:themeTint="F2"/>
          <w:spacing w:val="-4"/>
        </w:rPr>
        <w:t xml:space="preserve"> </w:t>
      </w:r>
      <w:r w:rsidRPr="00342F90">
        <w:rPr>
          <w:color w:val="0D0D0D" w:themeColor="text1" w:themeTint="F2"/>
        </w:rPr>
        <w:t>volatility</w:t>
      </w:r>
      <w:r w:rsidRPr="00342F90">
        <w:rPr>
          <w:color w:val="0D0D0D" w:themeColor="text1" w:themeTint="F2"/>
          <w:spacing w:val="-3"/>
        </w:rPr>
        <w:t xml:space="preserve"> </w:t>
      </w:r>
      <w:r w:rsidRPr="00342F90">
        <w:rPr>
          <w:color w:val="0D0D0D" w:themeColor="text1" w:themeTint="F2"/>
        </w:rPr>
        <w:t xml:space="preserve">and debt exposure. The study’s results will contribute to theory and management practice, offering actionable recommendations for firms operating in an increasingly </w:t>
      </w:r>
      <w:proofErr w:type="spellStart"/>
      <w:r w:rsidRPr="00342F90">
        <w:rPr>
          <w:color w:val="0D0D0D" w:themeColor="text1" w:themeTint="F2"/>
        </w:rPr>
        <w:t>globalised</w:t>
      </w:r>
      <w:proofErr w:type="spellEnd"/>
      <w:r w:rsidRPr="00342F90">
        <w:rPr>
          <w:color w:val="0D0D0D" w:themeColor="text1" w:themeTint="F2"/>
        </w:rPr>
        <w:t xml:space="preserve"> economy.</w:t>
      </w:r>
    </w:p>
    <w:p w14:paraId="32658EA7" w14:textId="0CBF5F68" w:rsidR="00342F90" w:rsidRPr="001D4685" w:rsidRDefault="00342F90" w:rsidP="00342F90">
      <w:pPr>
        <w:pStyle w:val="BodyText"/>
        <w:spacing w:before="44" w:line="276" w:lineRule="auto"/>
        <w:ind w:right="324"/>
        <w:rPr>
          <w:b/>
          <w:bCs/>
          <w:color w:val="0D0D0D" w:themeColor="text1" w:themeTint="F2"/>
        </w:rPr>
      </w:pPr>
      <w:r w:rsidRPr="001D4685">
        <w:rPr>
          <w:b/>
          <w:bCs/>
          <w:color w:val="0D0D0D" w:themeColor="text1" w:themeTint="F2"/>
        </w:rPr>
        <w:t>References:</w:t>
      </w:r>
    </w:p>
    <w:p w14:paraId="19E4EF80" w14:textId="77777777" w:rsidR="00024A9E" w:rsidRPr="00342F90" w:rsidRDefault="00691401" w:rsidP="00342F90">
      <w:pPr>
        <w:pStyle w:val="BodyText"/>
        <w:spacing w:before="243" w:line="276" w:lineRule="auto"/>
        <w:ind w:right="442"/>
        <w:rPr>
          <w:color w:val="0D0D0D" w:themeColor="text1" w:themeTint="F2"/>
        </w:rPr>
      </w:pPr>
      <w:r w:rsidRPr="00342F90">
        <w:rPr>
          <w:color w:val="0D0D0D" w:themeColor="text1" w:themeTint="F2"/>
        </w:rPr>
        <w:t>Brigham,</w:t>
      </w:r>
      <w:r w:rsidRPr="00342F90">
        <w:rPr>
          <w:color w:val="0D0D0D" w:themeColor="text1" w:themeTint="F2"/>
          <w:spacing w:val="-5"/>
        </w:rPr>
        <w:t xml:space="preserve"> </w:t>
      </w:r>
      <w:r w:rsidRPr="00342F90">
        <w:rPr>
          <w:color w:val="0D0D0D" w:themeColor="text1" w:themeTint="F2"/>
        </w:rPr>
        <w:t>E.F.</w:t>
      </w:r>
      <w:r w:rsidRPr="00342F90">
        <w:rPr>
          <w:color w:val="0D0D0D" w:themeColor="text1" w:themeTint="F2"/>
          <w:spacing w:val="-4"/>
        </w:rPr>
        <w:t xml:space="preserve"> </w:t>
      </w:r>
      <w:r w:rsidRPr="00342F90">
        <w:rPr>
          <w:color w:val="0D0D0D" w:themeColor="text1" w:themeTint="F2"/>
        </w:rPr>
        <w:t>and</w:t>
      </w:r>
      <w:r w:rsidRPr="00342F90">
        <w:rPr>
          <w:color w:val="0D0D0D" w:themeColor="text1" w:themeTint="F2"/>
          <w:spacing w:val="-7"/>
        </w:rPr>
        <w:t xml:space="preserve"> </w:t>
      </w:r>
      <w:r w:rsidRPr="00342F90">
        <w:rPr>
          <w:color w:val="0D0D0D" w:themeColor="text1" w:themeTint="F2"/>
        </w:rPr>
        <w:t>Ehrhardt,</w:t>
      </w:r>
      <w:r w:rsidRPr="00342F90">
        <w:rPr>
          <w:color w:val="0D0D0D" w:themeColor="text1" w:themeTint="F2"/>
          <w:spacing w:val="-4"/>
        </w:rPr>
        <w:t xml:space="preserve"> </w:t>
      </w:r>
      <w:r w:rsidRPr="00342F90">
        <w:rPr>
          <w:color w:val="0D0D0D" w:themeColor="text1" w:themeTint="F2"/>
        </w:rPr>
        <w:t>M.C.</w:t>
      </w:r>
      <w:r w:rsidRPr="00342F90">
        <w:rPr>
          <w:color w:val="0D0D0D" w:themeColor="text1" w:themeTint="F2"/>
          <w:spacing w:val="-8"/>
        </w:rPr>
        <w:t xml:space="preserve"> </w:t>
      </w:r>
      <w:r w:rsidRPr="00342F90">
        <w:rPr>
          <w:color w:val="0D0D0D" w:themeColor="text1" w:themeTint="F2"/>
        </w:rPr>
        <w:t>(2016)</w:t>
      </w:r>
      <w:r w:rsidRPr="00342F90">
        <w:rPr>
          <w:color w:val="0D0D0D" w:themeColor="text1" w:themeTint="F2"/>
          <w:spacing w:val="-5"/>
        </w:rPr>
        <w:t xml:space="preserve"> </w:t>
      </w:r>
      <w:r w:rsidRPr="00342F90">
        <w:rPr>
          <w:color w:val="0D0D0D" w:themeColor="text1" w:themeTint="F2"/>
        </w:rPr>
        <w:t>Financial</w:t>
      </w:r>
      <w:r w:rsidRPr="00342F90">
        <w:rPr>
          <w:color w:val="0D0D0D" w:themeColor="text1" w:themeTint="F2"/>
          <w:spacing w:val="-5"/>
        </w:rPr>
        <w:t xml:space="preserve"> </w:t>
      </w:r>
      <w:r w:rsidRPr="00342F90">
        <w:rPr>
          <w:color w:val="0D0D0D" w:themeColor="text1" w:themeTint="F2"/>
        </w:rPr>
        <w:t>Management:</w:t>
      </w:r>
      <w:r w:rsidRPr="00342F90">
        <w:rPr>
          <w:color w:val="0D0D0D" w:themeColor="text1" w:themeTint="F2"/>
          <w:spacing w:val="-7"/>
        </w:rPr>
        <w:t xml:space="preserve"> </w:t>
      </w:r>
      <w:r w:rsidRPr="00342F90">
        <w:rPr>
          <w:color w:val="0D0D0D" w:themeColor="text1" w:themeTint="F2"/>
        </w:rPr>
        <w:t>Theory</w:t>
      </w:r>
      <w:r w:rsidRPr="00342F90">
        <w:rPr>
          <w:color w:val="0D0D0D" w:themeColor="text1" w:themeTint="F2"/>
          <w:spacing w:val="-5"/>
        </w:rPr>
        <w:t xml:space="preserve"> </w:t>
      </w:r>
      <w:r w:rsidRPr="00342F90">
        <w:rPr>
          <w:color w:val="0D0D0D" w:themeColor="text1" w:themeTint="F2"/>
        </w:rPr>
        <w:t>&amp; Practice. 15th ed. Boston: Cengage Learning.</w:t>
      </w:r>
    </w:p>
    <w:p w14:paraId="19E4EF81" w14:textId="77777777" w:rsidR="00024A9E" w:rsidRPr="00342F90" w:rsidRDefault="00691401" w:rsidP="00342F90">
      <w:pPr>
        <w:pStyle w:val="BodyText"/>
        <w:spacing w:before="200" w:line="276" w:lineRule="auto"/>
        <w:ind w:right="324"/>
        <w:rPr>
          <w:color w:val="0D0D0D" w:themeColor="text1" w:themeTint="F2"/>
        </w:rPr>
      </w:pPr>
      <w:r w:rsidRPr="00342F90">
        <w:rPr>
          <w:color w:val="0D0D0D" w:themeColor="text1" w:themeTint="F2"/>
        </w:rPr>
        <w:t>Claessens,</w:t>
      </w:r>
      <w:r w:rsidRPr="00342F90">
        <w:rPr>
          <w:color w:val="0D0D0D" w:themeColor="text1" w:themeTint="F2"/>
          <w:spacing w:val="-5"/>
        </w:rPr>
        <w:t xml:space="preserve"> </w:t>
      </w:r>
      <w:r w:rsidRPr="00342F90">
        <w:rPr>
          <w:color w:val="0D0D0D" w:themeColor="text1" w:themeTint="F2"/>
        </w:rPr>
        <w:t>S.</w:t>
      </w:r>
      <w:r w:rsidRPr="00342F90">
        <w:rPr>
          <w:color w:val="0D0D0D" w:themeColor="text1" w:themeTint="F2"/>
          <w:spacing w:val="-5"/>
        </w:rPr>
        <w:t xml:space="preserve"> </w:t>
      </w:r>
      <w:r w:rsidRPr="00342F90">
        <w:rPr>
          <w:color w:val="0D0D0D" w:themeColor="text1" w:themeTint="F2"/>
        </w:rPr>
        <w:t>and</w:t>
      </w:r>
      <w:r w:rsidRPr="00342F90">
        <w:rPr>
          <w:color w:val="0D0D0D" w:themeColor="text1" w:themeTint="F2"/>
          <w:spacing w:val="-5"/>
        </w:rPr>
        <w:t xml:space="preserve"> </w:t>
      </w:r>
      <w:r w:rsidRPr="00342F90">
        <w:rPr>
          <w:color w:val="0D0D0D" w:themeColor="text1" w:themeTint="F2"/>
        </w:rPr>
        <w:t>Yafeh,</w:t>
      </w:r>
      <w:r w:rsidRPr="00342F90">
        <w:rPr>
          <w:color w:val="0D0D0D" w:themeColor="text1" w:themeTint="F2"/>
          <w:spacing w:val="-3"/>
        </w:rPr>
        <w:t xml:space="preserve"> </w:t>
      </w:r>
      <w:r w:rsidRPr="00342F90">
        <w:rPr>
          <w:color w:val="0D0D0D" w:themeColor="text1" w:themeTint="F2"/>
        </w:rPr>
        <w:t>Y.</w:t>
      </w:r>
      <w:r w:rsidRPr="00342F90">
        <w:rPr>
          <w:color w:val="0D0D0D" w:themeColor="text1" w:themeTint="F2"/>
          <w:spacing w:val="-3"/>
        </w:rPr>
        <w:t xml:space="preserve"> </w:t>
      </w:r>
      <w:r w:rsidRPr="00342F90">
        <w:rPr>
          <w:color w:val="0D0D0D" w:themeColor="text1" w:themeTint="F2"/>
        </w:rPr>
        <w:t>(2012)</w:t>
      </w:r>
      <w:r w:rsidRPr="00342F90">
        <w:rPr>
          <w:color w:val="0D0D0D" w:themeColor="text1" w:themeTint="F2"/>
          <w:spacing w:val="-3"/>
        </w:rPr>
        <w:t xml:space="preserve"> </w:t>
      </w:r>
      <w:r w:rsidRPr="00342F90">
        <w:rPr>
          <w:color w:val="0D0D0D" w:themeColor="text1" w:themeTint="F2"/>
        </w:rPr>
        <w:t>‘How</w:t>
      </w:r>
      <w:r w:rsidRPr="00342F90">
        <w:rPr>
          <w:color w:val="0D0D0D" w:themeColor="text1" w:themeTint="F2"/>
          <w:spacing w:val="-3"/>
        </w:rPr>
        <w:t xml:space="preserve"> </w:t>
      </w:r>
      <w:r w:rsidRPr="00342F90">
        <w:rPr>
          <w:color w:val="0D0D0D" w:themeColor="text1" w:themeTint="F2"/>
        </w:rPr>
        <w:t>does</w:t>
      </w:r>
      <w:r w:rsidRPr="00342F90">
        <w:rPr>
          <w:color w:val="0D0D0D" w:themeColor="text1" w:themeTint="F2"/>
          <w:spacing w:val="-3"/>
        </w:rPr>
        <w:t xml:space="preserve"> </w:t>
      </w:r>
      <w:r w:rsidRPr="00342F90">
        <w:rPr>
          <w:color w:val="0D0D0D" w:themeColor="text1" w:themeTint="F2"/>
        </w:rPr>
        <w:t>corporate</w:t>
      </w:r>
      <w:r w:rsidRPr="00342F90">
        <w:rPr>
          <w:color w:val="0D0D0D" w:themeColor="text1" w:themeTint="F2"/>
          <w:spacing w:val="-3"/>
        </w:rPr>
        <w:t xml:space="preserve"> </w:t>
      </w:r>
      <w:r w:rsidRPr="00342F90">
        <w:rPr>
          <w:color w:val="0D0D0D" w:themeColor="text1" w:themeTint="F2"/>
        </w:rPr>
        <w:t>governance</w:t>
      </w:r>
      <w:r w:rsidRPr="00342F90">
        <w:rPr>
          <w:color w:val="0D0D0D" w:themeColor="text1" w:themeTint="F2"/>
          <w:spacing w:val="-3"/>
        </w:rPr>
        <w:t xml:space="preserve"> </w:t>
      </w:r>
      <w:r w:rsidRPr="00342F90">
        <w:rPr>
          <w:color w:val="0D0D0D" w:themeColor="text1" w:themeTint="F2"/>
        </w:rPr>
        <w:t>affect</w:t>
      </w:r>
      <w:r w:rsidRPr="00342F90">
        <w:rPr>
          <w:color w:val="0D0D0D" w:themeColor="text1" w:themeTint="F2"/>
          <w:spacing w:val="-5"/>
        </w:rPr>
        <w:t xml:space="preserve"> </w:t>
      </w:r>
      <w:r w:rsidRPr="00342F90">
        <w:rPr>
          <w:color w:val="0D0D0D" w:themeColor="text1" w:themeTint="F2"/>
        </w:rPr>
        <w:t xml:space="preserve">bank </w:t>
      </w:r>
      <w:proofErr w:type="spellStart"/>
      <w:r w:rsidRPr="00342F90">
        <w:rPr>
          <w:color w:val="0D0D0D" w:themeColor="text1" w:themeTint="F2"/>
        </w:rPr>
        <w:t>capitalisation</w:t>
      </w:r>
      <w:proofErr w:type="spellEnd"/>
      <w:r w:rsidRPr="00342F90">
        <w:rPr>
          <w:color w:val="0D0D0D" w:themeColor="text1" w:themeTint="F2"/>
        </w:rPr>
        <w:t xml:space="preserve"> strategies?’, Journal of Financial Intermediation, 21(2), pp. 301–</w:t>
      </w:r>
      <w:r w:rsidRPr="00342F90">
        <w:rPr>
          <w:color w:val="0D0D0D" w:themeColor="text1" w:themeTint="F2"/>
          <w:spacing w:val="-4"/>
        </w:rPr>
        <w:t>322.</w:t>
      </w:r>
    </w:p>
    <w:p w14:paraId="19E4EF82" w14:textId="77777777" w:rsidR="00024A9E" w:rsidRPr="00342F90" w:rsidRDefault="00691401" w:rsidP="00342F90">
      <w:pPr>
        <w:pStyle w:val="BodyText"/>
        <w:spacing w:before="201" w:line="276" w:lineRule="auto"/>
        <w:rPr>
          <w:color w:val="0D0D0D" w:themeColor="text1" w:themeTint="F2"/>
        </w:rPr>
      </w:pPr>
      <w:r w:rsidRPr="00342F90">
        <w:rPr>
          <w:color w:val="0D0D0D" w:themeColor="text1" w:themeTint="F2"/>
        </w:rPr>
        <w:t>Ghemawat,</w:t>
      </w:r>
      <w:r w:rsidRPr="00342F90">
        <w:rPr>
          <w:color w:val="0D0D0D" w:themeColor="text1" w:themeTint="F2"/>
          <w:spacing w:val="-5"/>
        </w:rPr>
        <w:t xml:space="preserve"> </w:t>
      </w:r>
      <w:r w:rsidRPr="00342F90">
        <w:rPr>
          <w:color w:val="0D0D0D" w:themeColor="text1" w:themeTint="F2"/>
        </w:rPr>
        <w:t>P.</w:t>
      </w:r>
      <w:r w:rsidRPr="00342F90">
        <w:rPr>
          <w:color w:val="0D0D0D" w:themeColor="text1" w:themeTint="F2"/>
          <w:spacing w:val="-6"/>
        </w:rPr>
        <w:t xml:space="preserve"> </w:t>
      </w:r>
      <w:r w:rsidRPr="00342F90">
        <w:rPr>
          <w:color w:val="0D0D0D" w:themeColor="text1" w:themeTint="F2"/>
        </w:rPr>
        <w:t>(2003)</w:t>
      </w:r>
      <w:r w:rsidRPr="00342F90">
        <w:rPr>
          <w:color w:val="0D0D0D" w:themeColor="text1" w:themeTint="F2"/>
          <w:spacing w:val="-4"/>
        </w:rPr>
        <w:t xml:space="preserve"> </w:t>
      </w:r>
      <w:r w:rsidRPr="00342F90">
        <w:rPr>
          <w:color w:val="0D0D0D" w:themeColor="text1" w:themeTint="F2"/>
        </w:rPr>
        <w:t>‘</w:t>
      </w:r>
      <w:proofErr w:type="spellStart"/>
      <w:r w:rsidRPr="00342F90">
        <w:rPr>
          <w:color w:val="0D0D0D" w:themeColor="text1" w:themeTint="F2"/>
        </w:rPr>
        <w:t>Semiglobalization</w:t>
      </w:r>
      <w:proofErr w:type="spellEnd"/>
      <w:r w:rsidRPr="00342F90">
        <w:rPr>
          <w:color w:val="0D0D0D" w:themeColor="text1" w:themeTint="F2"/>
          <w:spacing w:val="-6"/>
        </w:rPr>
        <w:t xml:space="preserve"> </w:t>
      </w:r>
      <w:r w:rsidRPr="00342F90">
        <w:rPr>
          <w:color w:val="0D0D0D" w:themeColor="text1" w:themeTint="F2"/>
        </w:rPr>
        <w:t>and</w:t>
      </w:r>
      <w:r w:rsidRPr="00342F90">
        <w:rPr>
          <w:color w:val="0D0D0D" w:themeColor="text1" w:themeTint="F2"/>
          <w:spacing w:val="-6"/>
        </w:rPr>
        <w:t xml:space="preserve"> </w:t>
      </w:r>
      <w:r w:rsidRPr="00342F90">
        <w:rPr>
          <w:color w:val="0D0D0D" w:themeColor="text1" w:themeTint="F2"/>
        </w:rPr>
        <w:t>international</w:t>
      </w:r>
      <w:r w:rsidRPr="00342F90">
        <w:rPr>
          <w:color w:val="0D0D0D" w:themeColor="text1" w:themeTint="F2"/>
          <w:spacing w:val="-7"/>
        </w:rPr>
        <w:t xml:space="preserve"> </w:t>
      </w:r>
      <w:r w:rsidRPr="00342F90">
        <w:rPr>
          <w:color w:val="0D0D0D" w:themeColor="text1" w:themeTint="F2"/>
        </w:rPr>
        <w:t>business</w:t>
      </w:r>
      <w:r w:rsidRPr="00342F90">
        <w:rPr>
          <w:color w:val="0D0D0D" w:themeColor="text1" w:themeTint="F2"/>
          <w:spacing w:val="-6"/>
        </w:rPr>
        <w:t xml:space="preserve"> </w:t>
      </w:r>
      <w:r w:rsidRPr="00342F90">
        <w:rPr>
          <w:color w:val="0D0D0D" w:themeColor="text1" w:themeTint="F2"/>
          <w:spacing w:val="-2"/>
        </w:rPr>
        <w:t>strategy’,</w:t>
      </w:r>
    </w:p>
    <w:p w14:paraId="19E4EF83" w14:textId="77777777" w:rsidR="00024A9E" w:rsidRPr="00342F90" w:rsidRDefault="00691401" w:rsidP="00342F90">
      <w:pPr>
        <w:pStyle w:val="BodyText"/>
        <w:spacing w:line="276" w:lineRule="auto"/>
        <w:rPr>
          <w:color w:val="0D0D0D" w:themeColor="text1" w:themeTint="F2"/>
        </w:rPr>
      </w:pPr>
      <w:r w:rsidRPr="00342F90">
        <w:rPr>
          <w:color w:val="0D0D0D" w:themeColor="text1" w:themeTint="F2"/>
        </w:rPr>
        <w:t>Journal</w:t>
      </w:r>
      <w:r w:rsidRPr="00342F90">
        <w:rPr>
          <w:color w:val="0D0D0D" w:themeColor="text1" w:themeTint="F2"/>
          <w:spacing w:val="-6"/>
        </w:rPr>
        <w:t xml:space="preserve"> </w:t>
      </w:r>
      <w:r w:rsidRPr="00342F90">
        <w:rPr>
          <w:color w:val="0D0D0D" w:themeColor="text1" w:themeTint="F2"/>
        </w:rPr>
        <w:t>of</w:t>
      </w:r>
      <w:r w:rsidRPr="00342F90">
        <w:rPr>
          <w:color w:val="0D0D0D" w:themeColor="text1" w:themeTint="F2"/>
          <w:spacing w:val="-2"/>
        </w:rPr>
        <w:t xml:space="preserve"> </w:t>
      </w:r>
      <w:r w:rsidRPr="00342F90">
        <w:rPr>
          <w:color w:val="0D0D0D" w:themeColor="text1" w:themeTint="F2"/>
        </w:rPr>
        <w:t>International</w:t>
      </w:r>
      <w:r w:rsidRPr="00342F90">
        <w:rPr>
          <w:color w:val="0D0D0D" w:themeColor="text1" w:themeTint="F2"/>
          <w:spacing w:val="-6"/>
        </w:rPr>
        <w:t xml:space="preserve"> </w:t>
      </w:r>
      <w:r w:rsidRPr="00342F90">
        <w:rPr>
          <w:color w:val="0D0D0D" w:themeColor="text1" w:themeTint="F2"/>
        </w:rPr>
        <w:t>Business</w:t>
      </w:r>
      <w:r w:rsidRPr="00342F90">
        <w:rPr>
          <w:color w:val="0D0D0D" w:themeColor="text1" w:themeTint="F2"/>
          <w:spacing w:val="-5"/>
        </w:rPr>
        <w:t xml:space="preserve"> </w:t>
      </w:r>
      <w:r w:rsidRPr="00342F90">
        <w:rPr>
          <w:color w:val="0D0D0D" w:themeColor="text1" w:themeTint="F2"/>
        </w:rPr>
        <w:t>Studies,</w:t>
      </w:r>
      <w:r w:rsidRPr="00342F90">
        <w:rPr>
          <w:color w:val="0D0D0D" w:themeColor="text1" w:themeTint="F2"/>
          <w:spacing w:val="-5"/>
        </w:rPr>
        <w:t xml:space="preserve"> </w:t>
      </w:r>
      <w:r w:rsidRPr="00342F90">
        <w:rPr>
          <w:color w:val="0D0D0D" w:themeColor="text1" w:themeTint="F2"/>
        </w:rPr>
        <w:t>34(2),</w:t>
      </w:r>
      <w:r w:rsidRPr="00342F90">
        <w:rPr>
          <w:color w:val="0D0D0D" w:themeColor="text1" w:themeTint="F2"/>
          <w:spacing w:val="-2"/>
        </w:rPr>
        <w:t xml:space="preserve"> </w:t>
      </w:r>
      <w:r w:rsidRPr="00342F90">
        <w:rPr>
          <w:color w:val="0D0D0D" w:themeColor="text1" w:themeTint="F2"/>
        </w:rPr>
        <w:t>pp.</w:t>
      </w:r>
      <w:r w:rsidRPr="00342F90">
        <w:rPr>
          <w:color w:val="0D0D0D" w:themeColor="text1" w:themeTint="F2"/>
          <w:spacing w:val="-4"/>
        </w:rPr>
        <w:t xml:space="preserve"> </w:t>
      </w:r>
      <w:r w:rsidRPr="00342F90">
        <w:rPr>
          <w:color w:val="0D0D0D" w:themeColor="text1" w:themeTint="F2"/>
        </w:rPr>
        <w:t>138–</w:t>
      </w:r>
      <w:r w:rsidRPr="00342F90">
        <w:rPr>
          <w:color w:val="0D0D0D" w:themeColor="text1" w:themeTint="F2"/>
          <w:spacing w:val="-4"/>
        </w:rPr>
        <w:t>152.</w:t>
      </w:r>
    </w:p>
    <w:p w14:paraId="19E4EF84" w14:textId="77777777" w:rsidR="00024A9E" w:rsidRPr="00342F90" w:rsidRDefault="00691401" w:rsidP="00342F90">
      <w:pPr>
        <w:pStyle w:val="BodyText"/>
        <w:spacing w:before="242" w:line="276" w:lineRule="auto"/>
        <w:rPr>
          <w:color w:val="0D0D0D" w:themeColor="text1" w:themeTint="F2"/>
        </w:rPr>
      </w:pPr>
      <w:r w:rsidRPr="00342F90">
        <w:rPr>
          <w:color w:val="0D0D0D" w:themeColor="text1" w:themeTint="F2"/>
        </w:rPr>
        <w:t>Giddens,</w:t>
      </w:r>
      <w:r w:rsidRPr="00342F90">
        <w:rPr>
          <w:color w:val="0D0D0D" w:themeColor="text1" w:themeTint="F2"/>
          <w:spacing w:val="-6"/>
        </w:rPr>
        <w:t xml:space="preserve"> </w:t>
      </w:r>
      <w:r w:rsidRPr="00342F90">
        <w:rPr>
          <w:color w:val="0D0D0D" w:themeColor="text1" w:themeTint="F2"/>
        </w:rPr>
        <w:t>A.</w:t>
      </w:r>
      <w:r w:rsidRPr="00342F90">
        <w:rPr>
          <w:color w:val="0D0D0D" w:themeColor="text1" w:themeTint="F2"/>
          <w:spacing w:val="-5"/>
        </w:rPr>
        <w:t xml:space="preserve"> </w:t>
      </w:r>
      <w:r w:rsidRPr="00342F90">
        <w:rPr>
          <w:color w:val="0D0D0D" w:themeColor="text1" w:themeTint="F2"/>
        </w:rPr>
        <w:t>(1990)</w:t>
      </w:r>
      <w:r w:rsidRPr="00342F90">
        <w:rPr>
          <w:color w:val="0D0D0D" w:themeColor="text1" w:themeTint="F2"/>
          <w:spacing w:val="-4"/>
        </w:rPr>
        <w:t xml:space="preserve"> </w:t>
      </w:r>
      <w:r w:rsidRPr="00342F90">
        <w:rPr>
          <w:color w:val="0D0D0D" w:themeColor="text1" w:themeTint="F2"/>
        </w:rPr>
        <w:t>The</w:t>
      </w:r>
      <w:r w:rsidRPr="00342F90">
        <w:rPr>
          <w:color w:val="0D0D0D" w:themeColor="text1" w:themeTint="F2"/>
          <w:spacing w:val="-3"/>
        </w:rPr>
        <w:t xml:space="preserve"> </w:t>
      </w:r>
      <w:r w:rsidRPr="00342F90">
        <w:rPr>
          <w:color w:val="0D0D0D" w:themeColor="text1" w:themeTint="F2"/>
        </w:rPr>
        <w:t>Consequences</w:t>
      </w:r>
      <w:r w:rsidRPr="00342F90">
        <w:rPr>
          <w:color w:val="0D0D0D" w:themeColor="text1" w:themeTint="F2"/>
          <w:spacing w:val="-7"/>
        </w:rPr>
        <w:t xml:space="preserve"> </w:t>
      </w:r>
      <w:r w:rsidRPr="00342F90">
        <w:rPr>
          <w:color w:val="0D0D0D" w:themeColor="text1" w:themeTint="F2"/>
        </w:rPr>
        <w:t>of</w:t>
      </w:r>
      <w:r w:rsidRPr="00342F90">
        <w:rPr>
          <w:color w:val="0D0D0D" w:themeColor="text1" w:themeTint="F2"/>
          <w:spacing w:val="-3"/>
        </w:rPr>
        <w:t xml:space="preserve"> </w:t>
      </w:r>
      <w:r w:rsidRPr="00342F90">
        <w:rPr>
          <w:color w:val="0D0D0D" w:themeColor="text1" w:themeTint="F2"/>
        </w:rPr>
        <w:t>Modernity.</w:t>
      </w:r>
      <w:r w:rsidRPr="00342F90">
        <w:rPr>
          <w:color w:val="0D0D0D" w:themeColor="text1" w:themeTint="F2"/>
          <w:spacing w:val="-6"/>
        </w:rPr>
        <w:t xml:space="preserve"> </w:t>
      </w:r>
      <w:r w:rsidRPr="00342F90">
        <w:rPr>
          <w:color w:val="0D0D0D" w:themeColor="text1" w:themeTint="F2"/>
        </w:rPr>
        <w:t>Cambridge:</w:t>
      </w:r>
      <w:r w:rsidRPr="00342F90">
        <w:rPr>
          <w:color w:val="0D0D0D" w:themeColor="text1" w:themeTint="F2"/>
          <w:spacing w:val="-3"/>
        </w:rPr>
        <w:t xml:space="preserve"> </w:t>
      </w:r>
      <w:r w:rsidRPr="00342F90">
        <w:rPr>
          <w:color w:val="0D0D0D" w:themeColor="text1" w:themeTint="F2"/>
        </w:rPr>
        <w:t>Polity</w:t>
      </w:r>
      <w:r w:rsidRPr="00342F90">
        <w:rPr>
          <w:color w:val="0D0D0D" w:themeColor="text1" w:themeTint="F2"/>
          <w:spacing w:val="-3"/>
        </w:rPr>
        <w:t xml:space="preserve"> </w:t>
      </w:r>
      <w:r w:rsidRPr="00342F90">
        <w:rPr>
          <w:color w:val="0D0D0D" w:themeColor="text1" w:themeTint="F2"/>
          <w:spacing w:val="-2"/>
        </w:rPr>
        <w:t>Press.</w:t>
      </w:r>
    </w:p>
    <w:p w14:paraId="367744B0" w14:textId="0D68B0CB" w:rsidR="001C7D4F" w:rsidRPr="00342F90" w:rsidRDefault="00691401" w:rsidP="00342F90">
      <w:pPr>
        <w:pStyle w:val="BodyText"/>
        <w:spacing w:before="240" w:line="276" w:lineRule="auto"/>
        <w:ind w:right="442"/>
        <w:rPr>
          <w:color w:val="0D0D0D" w:themeColor="text1" w:themeTint="F2"/>
          <w:spacing w:val="-4"/>
        </w:rPr>
      </w:pPr>
      <w:r w:rsidRPr="00342F90">
        <w:rPr>
          <w:color w:val="0D0D0D" w:themeColor="text1" w:themeTint="F2"/>
        </w:rPr>
        <w:t>Johanson,</w:t>
      </w:r>
      <w:r w:rsidRPr="00342F90">
        <w:rPr>
          <w:color w:val="0D0D0D" w:themeColor="text1" w:themeTint="F2"/>
          <w:spacing w:val="-6"/>
        </w:rPr>
        <w:t xml:space="preserve"> </w:t>
      </w:r>
      <w:r w:rsidRPr="00342F90">
        <w:rPr>
          <w:color w:val="0D0D0D" w:themeColor="text1" w:themeTint="F2"/>
        </w:rPr>
        <w:t>J.</w:t>
      </w:r>
      <w:r w:rsidRPr="00342F90">
        <w:rPr>
          <w:color w:val="0D0D0D" w:themeColor="text1" w:themeTint="F2"/>
          <w:spacing w:val="-6"/>
        </w:rPr>
        <w:t xml:space="preserve"> </w:t>
      </w:r>
      <w:r w:rsidRPr="00342F90">
        <w:rPr>
          <w:color w:val="0D0D0D" w:themeColor="text1" w:themeTint="F2"/>
        </w:rPr>
        <w:t>and</w:t>
      </w:r>
      <w:r w:rsidRPr="00342F90">
        <w:rPr>
          <w:color w:val="0D0D0D" w:themeColor="text1" w:themeTint="F2"/>
          <w:spacing w:val="-6"/>
        </w:rPr>
        <w:t xml:space="preserve"> </w:t>
      </w:r>
      <w:r w:rsidRPr="00342F90">
        <w:rPr>
          <w:color w:val="0D0D0D" w:themeColor="text1" w:themeTint="F2"/>
        </w:rPr>
        <w:t>Vahlne,</w:t>
      </w:r>
      <w:r w:rsidRPr="00342F90">
        <w:rPr>
          <w:color w:val="0D0D0D" w:themeColor="text1" w:themeTint="F2"/>
          <w:spacing w:val="-5"/>
        </w:rPr>
        <w:t xml:space="preserve"> </w:t>
      </w:r>
      <w:r w:rsidRPr="00342F90">
        <w:rPr>
          <w:color w:val="0D0D0D" w:themeColor="text1" w:themeTint="F2"/>
        </w:rPr>
        <w:t>J.E.</w:t>
      </w:r>
      <w:r w:rsidRPr="00342F90">
        <w:rPr>
          <w:color w:val="0D0D0D" w:themeColor="text1" w:themeTint="F2"/>
          <w:spacing w:val="-5"/>
        </w:rPr>
        <w:t xml:space="preserve"> </w:t>
      </w:r>
      <w:r w:rsidRPr="00342F90">
        <w:rPr>
          <w:color w:val="0D0D0D" w:themeColor="text1" w:themeTint="F2"/>
        </w:rPr>
        <w:t>(2009)</w:t>
      </w:r>
      <w:r w:rsidRPr="00342F90">
        <w:rPr>
          <w:color w:val="0D0D0D" w:themeColor="text1" w:themeTint="F2"/>
          <w:spacing w:val="-5"/>
        </w:rPr>
        <w:t xml:space="preserve"> </w:t>
      </w:r>
      <w:r w:rsidRPr="00342F90">
        <w:rPr>
          <w:color w:val="0D0D0D" w:themeColor="text1" w:themeTint="F2"/>
        </w:rPr>
        <w:t>‘The</w:t>
      </w:r>
      <w:r w:rsidRPr="00342F90">
        <w:rPr>
          <w:color w:val="0D0D0D" w:themeColor="text1" w:themeTint="F2"/>
          <w:spacing w:val="-5"/>
        </w:rPr>
        <w:t xml:space="preserve"> </w:t>
      </w:r>
      <w:r w:rsidRPr="00342F90">
        <w:rPr>
          <w:color w:val="0D0D0D" w:themeColor="text1" w:themeTint="F2"/>
        </w:rPr>
        <w:t>Uppsala</w:t>
      </w:r>
      <w:r w:rsidRPr="00342F90">
        <w:rPr>
          <w:color w:val="0D0D0D" w:themeColor="text1" w:themeTint="F2"/>
          <w:spacing w:val="-6"/>
        </w:rPr>
        <w:t xml:space="preserve"> </w:t>
      </w:r>
      <w:r w:rsidRPr="00342F90">
        <w:rPr>
          <w:color w:val="0D0D0D" w:themeColor="text1" w:themeTint="F2"/>
        </w:rPr>
        <w:t>internationalization</w:t>
      </w:r>
      <w:r w:rsidRPr="00342F90">
        <w:rPr>
          <w:color w:val="0D0D0D" w:themeColor="text1" w:themeTint="F2"/>
          <w:spacing w:val="-4"/>
        </w:rPr>
        <w:t xml:space="preserve"> </w:t>
      </w:r>
      <w:r w:rsidRPr="00342F90">
        <w:rPr>
          <w:color w:val="0D0D0D" w:themeColor="text1" w:themeTint="F2"/>
        </w:rPr>
        <w:t>process model revisited’, Journal of International Business Studies, 40(9), pp. 1411–</w:t>
      </w:r>
      <w:r w:rsidRPr="00342F90">
        <w:rPr>
          <w:color w:val="0D0D0D" w:themeColor="text1" w:themeTint="F2"/>
          <w:spacing w:val="-4"/>
        </w:rPr>
        <w:t>1431.</w:t>
      </w:r>
    </w:p>
    <w:p w14:paraId="1892E65D" w14:textId="77777777" w:rsidR="001C7D4F" w:rsidRPr="00342F90" w:rsidRDefault="001C7D4F" w:rsidP="00342F90">
      <w:pPr>
        <w:pStyle w:val="BodyText"/>
        <w:spacing w:before="240" w:line="276" w:lineRule="auto"/>
        <w:ind w:right="442"/>
        <w:rPr>
          <w:color w:val="0D0D0D" w:themeColor="text1" w:themeTint="F2"/>
          <w:lang w:val="en-GB"/>
        </w:rPr>
      </w:pPr>
      <w:r w:rsidRPr="00342F90">
        <w:rPr>
          <w:color w:val="0D0D0D" w:themeColor="text1" w:themeTint="F2"/>
          <w:lang w:val="en-GB"/>
        </w:rPr>
        <w:t xml:space="preserve">Hill, C. &amp; Hult, G.T.M. (2023). </w:t>
      </w:r>
      <w:r w:rsidRPr="00342F90">
        <w:rPr>
          <w:i/>
          <w:iCs/>
          <w:color w:val="0D0D0D" w:themeColor="text1" w:themeTint="F2"/>
          <w:lang w:val="en-GB"/>
        </w:rPr>
        <w:t>Global Business Today</w:t>
      </w:r>
      <w:r w:rsidRPr="00342F90">
        <w:rPr>
          <w:color w:val="0D0D0D" w:themeColor="text1" w:themeTint="F2"/>
          <w:lang w:val="en-GB"/>
        </w:rPr>
        <w:t>. McGraw-Hill.</w:t>
      </w:r>
    </w:p>
    <w:p w14:paraId="569C29C4" w14:textId="77777777" w:rsidR="001C7D4F" w:rsidRPr="00342F90" w:rsidRDefault="001C7D4F" w:rsidP="00342F90">
      <w:pPr>
        <w:pStyle w:val="BodyText"/>
        <w:spacing w:before="240" w:line="276" w:lineRule="auto"/>
        <w:ind w:right="442"/>
        <w:rPr>
          <w:color w:val="0D0D0D" w:themeColor="text1" w:themeTint="F2"/>
          <w:lang w:val="en-GB"/>
        </w:rPr>
      </w:pPr>
      <w:r w:rsidRPr="00342F90">
        <w:rPr>
          <w:color w:val="0D0D0D" w:themeColor="text1" w:themeTint="F2"/>
          <w:lang w:val="de-DE"/>
        </w:rPr>
        <w:t xml:space="preserve">Bodie, Z., Kane, A., &amp; Marcus, A. (2022). </w:t>
      </w:r>
      <w:r w:rsidRPr="00342F90">
        <w:rPr>
          <w:i/>
          <w:iCs/>
          <w:color w:val="0D0D0D" w:themeColor="text1" w:themeTint="F2"/>
          <w:lang w:val="en-GB"/>
        </w:rPr>
        <w:t>Investments and Global Financial Markets</w:t>
      </w:r>
      <w:r w:rsidRPr="00342F90">
        <w:rPr>
          <w:color w:val="0D0D0D" w:themeColor="text1" w:themeTint="F2"/>
          <w:lang w:val="en-GB"/>
        </w:rPr>
        <w:t>. McGraw-Hill.</w:t>
      </w:r>
    </w:p>
    <w:p w14:paraId="3FFB35F2" w14:textId="77777777" w:rsidR="001C7D4F" w:rsidRPr="00342F90" w:rsidRDefault="001C7D4F" w:rsidP="00342F90">
      <w:pPr>
        <w:pStyle w:val="BodyText"/>
        <w:spacing w:before="240" w:line="276" w:lineRule="auto"/>
        <w:ind w:right="442"/>
        <w:rPr>
          <w:color w:val="0D0D0D" w:themeColor="text1" w:themeTint="F2"/>
          <w:lang w:val="en-GB"/>
        </w:rPr>
      </w:pPr>
      <w:r w:rsidRPr="00342F90">
        <w:rPr>
          <w:color w:val="0D0D0D" w:themeColor="text1" w:themeTint="F2"/>
          <w:lang w:val="en-GB"/>
        </w:rPr>
        <w:t xml:space="preserve">Dunning, J.H. (2014). </w:t>
      </w:r>
      <w:r w:rsidRPr="00342F90">
        <w:rPr>
          <w:i/>
          <w:iCs/>
          <w:color w:val="0D0D0D" w:themeColor="text1" w:themeTint="F2"/>
          <w:lang w:val="en-GB"/>
        </w:rPr>
        <w:t>The Globalization of Business</w:t>
      </w:r>
      <w:r w:rsidRPr="00342F90">
        <w:rPr>
          <w:color w:val="0D0D0D" w:themeColor="text1" w:themeTint="F2"/>
          <w:lang w:val="en-GB"/>
        </w:rPr>
        <w:t>. Routledge.</w:t>
      </w:r>
    </w:p>
    <w:p w14:paraId="2351546A" w14:textId="77777777" w:rsidR="001C7D4F" w:rsidRPr="00342F90" w:rsidRDefault="001C7D4F" w:rsidP="00342F90">
      <w:pPr>
        <w:pStyle w:val="BodyText"/>
        <w:spacing w:before="240" w:line="276" w:lineRule="auto"/>
        <w:ind w:right="442"/>
        <w:rPr>
          <w:color w:val="0D0D0D" w:themeColor="text1" w:themeTint="F2"/>
          <w:lang w:val="en-GB"/>
        </w:rPr>
      </w:pPr>
      <w:r w:rsidRPr="00342F90">
        <w:rPr>
          <w:color w:val="0D0D0D" w:themeColor="text1" w:themeTint="F2"/>
          <w:lang w:val="en-GB"/>
        </w:rPr>
        <w:t>Recent Articles</w:t>
      </w:r>
    </w:p>
    <w:p w14:paraId="022035A3" w14:textId="77777777" w:rsidR="001C7D4F" w:rsidRPr="00342F90" w:rsidRDefault="001C7D4F" w:rsidP="00342F90">
      <w:pPr>
        <w:pStyle w:val="BodyText"/>
        <w:spacing w:before="240" w:line="276" w:lineRule="auto"/>
        <w:ind w:right="442"/>
        <w:rPr>
          <w:color w:val="0D0D0D" w:themeColor="text1" w:themeTint="F2"/>
          <w:lang w:val="en-GB"/>
        </w:rPr>
      </w:pPr>
      <w:r w:rsidRPr="00342F90">
        <w:rPr>
          <w:color w:val="0D0D0D" w:themeColor="text1" w:themeTint="F2"/>
          <w:lang w:val="en-GB"/>
        </w:rPr>
        <w:t xml:space="preserve">Buckley, P.J. (2020). “Internalisation theory and globalisation.” </w:t>
      </w:r>
      <w:r w:rsidRPr="00342F90">
        <w:rPr>
          <w:i/>
          <w:iCs/>
          <w:color w:val="0D0D0D" w:themeColor="text1" w:themeTint="F2"/>
          <w:lang w:val="en-GB"/>
        </w:rPr>
        <w:t>International Business Review, 29(2).</w:t>
      </w:r>
    </w:p>
    <w:p w14:paraId="28B65A80" w14:textId="77777777" w:rsidR="001C7D4F" w:rsidRPr="00342F90" w:rsidRDefault="001C7D4F" w:rsidP="00342F90">
      <w:pPr>
        <w:pStyle w:val="BodyText"/>
        <w:spacing w:before="240" w:line="276" w:lineRule="auto"/>
        <w:ind w:right="442"/>
        <w:rPr>
          <w:color w:val="0D0D0D" w:themeColor="text1" w:themeTint="F2"/>
          <w:lang w:val="en-GB"/>
        </w:rPr>
      </w:pPr>
      <w:r w:rsidRPr="00342F90">
        <w:rPr>
          <w:color w:val="0D0D0D" w:themeColor="text1" w:themeTint="F2"/>
          <w:lang w:val="en-GB"/>
        </w:rPr>
        <w:t xml:space="preserve">Luo, Y. (2022). “Dynamic global strategy in turbulent times.” </w:t>
      </w:r>
      <w:r w:rsidRPr="00342F90">
        <w:rPr>
          <w:i/>
          <w:iCs/>
          <w:color w:val="0D0D0D" w:themeColor="text1" w:themeTint="F2"/>
          <w:lang w:val="en-GB"/>
        </w:rPr>
        <w:t>Journal of World Business, 57(5).</w:t>
      </w:r>
    </w:p>
    <w:p w14:paraId="76BAA163" w14:textId="77777777" w:rsidR="001C7D4F" w:rsidRPr="00342F90" w:rsidRDefault="001C7D4F" w:rsidP="00342F90">
      <w:pPr>
        <w:pStyle w:val="BodyText"/>
        <w:spacing w:before="240" w:line="276" w:lineRule="auto"/>
        <w:ind w:right="442"/>
        <w:rPr>
          <w:color w:val="0D0D0D" w:themeColor="text1" w:themeTint="F2"/>
          <w:lang w:val="en-GB"/>
        </w:rPr>
      </w:pPr>
      <w:r w:rsidRPr="00342F90">
        <w:rPr>
          <w:color w:val="0D0D0D" w:themeColor="text1" w:themeTint="F2"/>
          <w:lang w:val="en-GB"/>
        </w:rPr>
        <w:t xml:space="preserve">Narula, R. (2021). “Reassessing the role of MNEs in the global economy.” </w:t>
      </w:r>
      <w:r w:rsidRPr="00342F90">
        <w:rPr>
          <w:i/>
          <w:iCs/>
          <w:color w:val="0D0D0D" w:themeColor="text1" w:themeTint="F2"/>
          <w:lang w:val="en-GB"/>
        </w:rPr>
        <w:t>Journal of International Management.</w:t>
      </w:r>
    </w:p>
    <w:p w14:paraId="70CE4F58" w14:textId="77777777" w:rsidR="001C7D4F" w:rsidRPr="00342F90" w:rsidRDefault="001C7D4F" w:rsidP="00342F90">
      <w:pPr>
        <w:pStyle w:val="BodyText"/>
        <w:spacing w:before="240" w:line="276" w:lineRule="auto"/>
        <w:ind w:right="442"/>
        <w:rPr>
          <w:color w:val="0D0D0D" w:themeColor="text1" w:themeTint="F2"/>
          <w:lang w:val="en-GB"/>
        </w:rPr>
      </w:pPr>
      <w:r w:rsidRPr="00342F90">
        <w:rPr>
          <w:color w:val="0D0D0D" w:themeColor="text1" w:themeTint="F2"/>
          <w:lang w:val="en-GB"/>
        </w:rPr>
        <w:t>Databases for Secondary Data</w:t>
      </w:r>
    </w:p>
    <w:p w14:paraId="35C6D0E4" w14:textId="77777777" w:rsidR="001C7D4F" w:rsidRPr="00342F90" w:rsidRDefault="001C7D4F" w:rsidP="00342F90">
      <w:pPr>
        <w:pStyle w:val="BodyText"/>
        <w:spacing w:before="240" w:line="276" w:lineRule="auto"/>
        <w:ind w:right="442"/>
        <w:rPr>
          <w:color w:val="0D0D0D" w:themeColor="text1" w:themeTint="F2"/>
          <w:lang w:val="en-GB"/>
        </w:rPr>
      </w:pPr>
      <w:r w:rsidRPr="00342F90">
        <w:rPr>
          <w:color w:val="0D0D0D" w:themeColor="text1" w:themeTint="F2"/>
          <w:lang w:val="en-GB"/>
        </w:rPr>
        <w:t xml:space="preserve">Bloomberg / Statista / World Bank </w:t>
      </w:r>
      <w:proofErr w:type="spellStart"/>
      <w:r w:rsidRPr="00342F90">
        <w:rPr>
          <w:color w:val="0D0D0D" w:themeColor="text1" w:themeTint="F2"/>
          <w:lang w:val="en-GB"/>
        </w:rPr>
        <w:t>DataBank</w:t>
      </w:r>
      <w:proofErr w:type="spellEnd"/>
    </w:p>
    <w:p w14:paraId="2748804A" w14:textId="77777777" w:rsidR="001C7D4F" w:rsidRPr="00342F90" w:rsidRDefault="001C7D4F" w:rsidP="00342F90">
      <w:pPr>
        <w:pStyle w:val="BodyText"/>
        <w:spacing w:before="240" w:line="276" w:lineRule="auto"/>
        <w:ind w:right="442"/>
        <w:rPr>
          <w:color w:val="0D0D0D" w:themeColor="text1" w:themeTint="F2"/>
          <w:lang w:val="en-GB"/>
        </w:rPr>
      </w:pPr>
      <w:r w:rsidRPr="00342F90">
        <w:rPr>
          <w:color w:val="0D0D0D" w:themeColor="text1" w:themeTint="F2"/>
          <w:lang w:val="en-GB"/>
        </w:rPr>
        <w:t xml:space="preserve">OECD </w:t>
      </w:r>
      <w:proofErr w:type="spellStart"/>
      <w:r w:rsidRPr="00342F90">
        <w:rPr>
          <w:color w:val="0D0D0D" w:themeColor="text1" w:themeTint="F2"/>
          <w:lang w:val="en-GB"/>
        </w:rPr>
        <w:t>iLibrary</w:t>
      </w:r>
      <w:proofErr w:type="spellEnd"/>
      <w:r w:rsidRPr="00342F90">
        <w:rPr>
          <w:color w:val="0D0D0D" w:themeColor="text1" w:themeTint="F2"/>
          <w:lang w:val="en-GB"/>
        </w:rPr>
        <w:t xml:space="preserve"> – for financial globalisation indicators.</w:t>
      </w:r>
    </w:p>
    <w:p w14:paraId="236E58F9" w14:textId="77777777" w:rsidR="001C7D4F" w:rsidRPr="00342F90" w:rsidRDefault="001C7D4F" w:rsidP="00342F90">
      <w:pPr>
        <w:pStyle w:val="BodyText"/>
        <w:spacing w:before="240" w:line="276" w:lineRule="auto"/>
        <w:ind w:right="442"/>
        <w:rPr>
          <w:color w:val="0D0D0D" w:themeColor="text1" w:themeTint="F2"/>
          <w:lang w:val="en-GB"/>
        </w:rPr>
      </w:pPr>
      <w:r w:rsidRPr="00342F90">
        <w:rPr>
          <w:color w:val="0D0D0D" w:themeColor="text1" w:themeTint="F2"/>
          <w:lang w:val="en-GB"/>
        </w:rPr>
        <w:t>S&amp;P Global Market Intelligence – for corporate financial ratios.</w:t>
      </w:r>
    </w:p>
    <w:p w14:paraId="21834858" w14:textId="77777777" w:rsidR="00342F90" w:rsidRPr="00342F90" w:rsidRDefault="00342F90" w:rsidP="00342F90">
      <w:pPr>
        <w:pStyle w:val="BodyText"/>
        <w:spacing w:before="240" w:line="276" w:lineRule="auto"/>
        <w:ind w:right="442"/>
        <w:rPr>
          <w:color w:val="0D0D0D" w:themeColor="text1" w:themeTint="F2"/>
        </w:rPr>
      </w:pPr>
      <w:r w:rsidRPr="00342F90">
        <w:rPr>
          <w:color w:val="0D0D0D" w:themeColor="text1" w:themeTint="F2"/>
        </w:rPr>
        <w:t xml:space="preserve">Siemens AG (2023) </w:t>
      </w:r>
      <w:r w:rsidRPr="00342F90">
        <w:rPr>
          <w:i/>
          <w:iCs/>
          <w:color w:val="0D0D0D" w:themeColor="text1" w:themeTint="F2"/>
        </w:rPr>
        <w:t>Annual Report 2023</w:t>
      </w:r>
      <w:r w:rsidRPr="00342F90">
        <w:rPr>
          <w:color w:val="0D0D0D" w:themeColor="text1" w:themeTint="F2"/>
        </w:rPr>
        <w:t xml:space="preserve">. Munich: Siemens AG. Available at: </w:t>
      </w:r>
      <w:hyperlink r:id="rId10" w:tgtFrame="_new" w:history="1">
        <w:r w:rsidRPr="00342F90">
          <w:rPr>
            <w:rStyle w:val="Hyperlink"/>
            <w:color w:val="0D0D0D" w:themeColor="text1" w:themeTint="F2"/>
          </w:rPr>
          <w:t>https://www.siemens.com</w:t>
        </w:r>
      </w:hyperlink>
      <w:r w:rsidRPr="00342F90">
        <w:rPr>
          <w:color w:val="0D0D0D" w:themeColor="text1" w:themeTint="F2"/>
        </w:rPr>
        <w:t xml:space="preserve"> (Accessed: 10 February 2025).</w:t>
      </w:r>
    </w:p>
    <w:p w14:paraId="447B1184" w14:textId="77777777" w:rsidR="00342F90" w:rsidRPr="00342F90" w:rsidRDefault="00342F90" w:rsidP="00342F90">
      <w:pPr>
        <w:pStyle w:val="BodyText"/>
        <w:spacing w:before="240" w:line="276" w:lineRule="auto"/>
        <w:ind w:right="442"/>
        <w:rPr>
          <w:color w:val="0D0D0D" w:themeColor="text1" w:themeTint="F2"/>
        </w:rPr>
      </w:pPr>
      <w:r w:rsidRPr="00342F90">
        <w:rPr>
          <w:color w:val="0D0D0D" w:themeColor="text1" w:themeTint="F2"/>
        </w:rPr>
        <w:t>Vodafone Group Plc</w:t>
      </w:r>
      <w:r w:rsidRPr="00342F90">
        <w:rPr>
          <w:color w:val="0D0D0D" w:themeColor="text1" w:themeTint="F2"/>
        </w:rPr>
        <w:br/>
        <w:t xml:space="preserve">Vodafone Group Plc (2023) </w:t>
      </w:r>
      <w:r w:rsidRPr="00342F90">
        <w:rPr>
          <w:i/>
          <w:iCs/>
          <w:color w:val="0D0D0D" w:themeColor="text1" w:themeTint="F2"/>
        </w:rPr>
        <w:t>Annual Report &amp; Accounts 2023</w:t>
      </w:r>
      <w:r w:rsidRPr="00342F90">
        <w:rPr>
          <w:color w:val="0D0D0D" w:themeColor="text1" w:themeTint="F2"/>
        </w:rPr>
        <w:t xml:space="preserve">. Berkshire: Vodafone Group. Available at: </w:t>
      </w:r>
      <w:hyperlink r:id="rId11" w:tgtFrame="_new" w:history="1">
        <w:r w:rsidRPr="00342F90">
          <w:rPr>
            <w:rStyle w:val="Hyperlink"/>
            <w:color w:val="0D0D0D" w:themeColor="text1" w:themeTint="F2"/>
          </w:rPr>
          <w:t>https://www.vodafone.com</w:t>
        </w:r>
      </w:hyperlink>
      <w:r w:rsidRPr="00342F90">
        <w:rPr>
          <w:color w:val="0D0D0D" w:themeColor="text1" w:themeTint="F2"/>
        </w:rPr>
        <w:t xml:space="preserve"> (Accessed: 10 February 2025).</w:t>
      </w:r>
    </w:p>
    <w:p w14:paraId="405BBB9C" w14:textId="77777777" w:rsidR="00342F90" w:rsidRPr="00342F90" w:rsidRDefault="00342F90" w:rsidP="00342F90">
      <w:pPr>
        <w:pStyle w:val="BodyText"/>
        <w:spacing w:before="240" w:line="276" w:lineRule="auto"/>
        <w:ind w:right="442"/>
        <w:rPr>
          <w:color w:val="0D0D0D" w:themeColor="text1" w:themeTint="F2"/>
        </w:rPr>
      </w:pPr>
      <w:r w:rsidRPr="00342F90">
        <w:rPr>
          <w:color w:val="0D0D0D" w:themeColor="text1" w:themeTint="F2"/>
        </w:rPr>
        <w:t>Unilever Plc</w:t>
      </w:r>
      <w:r w:rsidRPr="00342F90">
        <w:rPr>
          <w:color w:val="0D0D0D" w:themeColor="text1" w:themeTint="F2"/>
        </w:rPr>
        <w:br/>
        <w:t xml:space="preserve">Unilever (2023) </w:t>
      </w:r>
      <w:r w:rsidRPr="00342F90">
        <w:rPr>
          <w:i/>
          <w:iCs/>
          <w:color w:val="0D0D0D" w:themeColor="text1" w:themeTint="F2"/>
        </w:rPr>
        <w:t>Annual Report and Accounts 2023</w:t>
      </w:r>
      <w:r w:rsidRPr="00342F90">
        <w:rPr>
          <w:color w:val="0D0D0D" w:themeColor="text1" w:themeTint="F2"/>
        </w:rPr>
        <w:t xml:space="preserve">. London/Rotterdam: Unilever PLC &amp; Unilever N.V. Available at: </w:t>
      </w:r>
      <w:hyperlink r:id="rId12" w:tgtFrame="_new" w:history="1">
        <w:r w:rsidRPr="00342F90">
          <w:rPr>
            <w:rStyle w:val="Hyperlink"/>
            <w:color w:val="0D0D0D" w:themeColor="text1" w:themeTint="F2"/>
          </w:rPr>
          <w:t>https://www.unilever.com</w:t>
        </w:r>
      </w:hyperlink>
      <w:r w:rsidRPr="00342F90">
        <w:rPr>
          <w:color w:val="0D0D0D" w:themeColor="text1" w:themeTint="F2"/>
        </w:rPr>
        <w:t xml:space="preserve"> (Accessed: 10 February 2025).</w:t>
      </w:r>
    </w:p>
    <w:p w14:paraId="1A393487" w14:textId="77777777" w:rsidR="00342F90" w:rsidRPr="00342F90" w:rsidRDefault="00342F90" w:rsidP="00342F90">
      <w:pPr>
        <w:pStyle w:val="BodyText"/>
        <w:spacing w:before="240" w:line="276" w:lineRule="auto"/>
        <w:ind w:right="442"/>
        <w:rPr>
          <w:color w:val="0D0D0D" w:themeColor="text1" w:themeTint="F2"/>
        </w:rPr>
      </w:pPr>
      <w:r w:rsidRPr="00342F90">
        <w:rPr>
          <w:color w:val="0D0D0D" w:themeColor="text1" w:themeTint="F2"/>
        </w:rPr>
        <w:t>BMW Group</w:t>
      </w:r>
      <w:r w:rsidRPr="00342F90">
        <w:rPr>
          <w:color w:val="0D0D0D" w:themeColor="text1" w:themeTint="F2"/>
        </w:rPr>
        <w:br/>
        <w:t xml:space="preserve">BMW Group (2023) </w:t>
      </w:r>
      <w:r w:rsidRPr="00342F90">
        <w:rPr>
          <w:i/>
          <w:iCs/>
          <w:color w:val="0D0D0D" w:themeColor="text1" w:themeTint="F2"/>
        </w:rPr>
        <w:t>BMW Group Annual Report 2023</w:t>
      </w:r>
      <w:r w:rsidRPr="00342F90">
        <w:rPr>
          <w:color w:val="0D0D0D" w:themeColor="text1" w:themeTint="F2"/>
        </w:rPr>
        <w:t xml:space="preserve">. Munich: Bayerische </w:t>
      </w:r>
      <w:proofErr w:type="spellStart"/>
      <w:r w:rsidRPr="00342F90">
        <w:rPr>
          <w:color w:val="0D0D0D" w:themeColor="text1" w:themeTint="F2"/>
        </w:rPr>
        <w:t>Motoren</w:t>
      </w:r>
      <w:proofErr w:type="spellEnd"/>
      <w:r w:rsidRPr="00342F90">
        <w:rPr>
          <w:color w:val="0D0D0D" w:themeColor="text1" w:themeTint="F2"/>
        </w:rPr>
        <w:t xml:space="preserve"> Werke AG. Available at: </w:t>
      </w:r>
      <w:hyperlink r:id="rId13" w:tgtFrame="_new" w:history="1">
        <w:r w:rsidRPr="00342F90">
          <w:rPr>
            <w:rStyle w:val="Hyperlink"/>
            <w:color w:val="0D0D0D" w:themeColor="text1" w:themeTint="F2"/>
          </w:rPr>
          <w:t>https://www.bmwgroup.com</w:t>
        </w:r>
      </w:hyperlink>
      <w:r w:rsidRPr="00342F90">
        <w:rPr>
          <w:color w:val="0D0D0D" w:themeColor="text1" w:themeTint="F2"/>
        </w:rPr>
        <w:t xml:space="preserve"> (Accessed: 10 February 2025).</w:t>
      </w:r>
    </w:p>
    <w:p w14:paraId="1FA0E541" w14:textId="77777777" w:rsidR="00342F90" w:rsidRPr="00342F90" w:rsidRDefault="00342F90" w:rsidP="00342F90">
      <w:pPr>
        <w:pStyle w:val="BodyText"/>
        <w:spacing w:before="240" w:line="276" w:lineRule="auto"/>
        <w:ind w:right="442"/>
        <w:rPr>
          <w:color w:val="0D0D0D" w:themeColor="text1" w:themeTint="F2"/>
        </w:rPr>
      </w:pPr>
      <w:r w:rsidRPr="00342F90">
        <w:rPr>
          <w:color w:val="0D0D0D" w:themeColor="text1" w:themeTint="F2"/>
        </w:rPr>
        <w:t>HSBC Holdings Plc</w:t>
      </w:r>
      <w:r w:rsidRPr="00342F90">
        <w:rPr>
          <w:color w:val="0D0D0D" w:themeColor="text1" w:themeTint="F2"/>
        </w:rPr>
        <w:br/>
        <w:t xml:space="preserve">HSBC Holdings Plc (2023) </w:t>
      </w:r>
      <w:r w:rsidRPr="00342F90">
        <w:rPr>
          <w:i/>
          <w:iCs/>
          <w:color w:val="0D0D0D" w:themeColor="text1" w:themeTint="F2"/>
        </w:rPr>
        <w:t>Annual Report and Accounts 2023</w:t>
      </w:r>
      <w:r w:rsidRPr="00342F90">
        <w:rPr>
          <w:color w:val="0D0D0D" w:themeColor="text1" w:themeTint="F2"/>
        </w:rPr>
        <w:t xml:space="preserve">. London: HSBC Group. Available at: </w:t>
      </w:r>
      <w:hyperlink r:id="rId14" w:tgtFrame="_new" w:history="1">
        <w:r w:rsidRPr="00342F90">
          <w:rPr>
            <w:rStyle w:val="Hyperlink"/>
            <w:color w:val="0D0D0D" w:themeColor="text1" w:themeTint="F2"/>
          </w:rPr>
          <w:t>https://www.hsbc.com</w:t>
        </w:r>
      </w:hyperlink>
      <w:r w:rsidRPr="00342F90">
        <w:rPr>
          <w:color w:val="0D0D0D" w:themeColor="text1" w:themeTint="F2"/>
        </w:rPr>
        <w:t xml:space="preserve"> (Accessed: 10 February 2025).</w:t>
      </w:r>
    </w:p>
    <w:p w14:paraId="10EE92F8" w14:textId="6B0CC756" w:rsidR="00342F90" w:rsidRPr="00342F90" w:rsidRDefault="00342F90" w:rsidP="00342F90">
      <w:pPr>
        <w:pStyle w:val="BodyText"/>
        <w:spacing w:before="240" w:line="276" w:lineRule="auto"/>
        <w:ind w:right="442"/>
        <w:rPr>
          <w:color w:val="0D0D0D" w:themeColor="text1" w:themeTint="F2"/>
        </w:rPr>
      </w:pPr>
      <w:r w:rsidRPr="00342F90">
        <w:rPr>
          <w:color w:val="0D0D0D" w:themeColor="text1" w:themeTint="F2"/>
          <w:lang w:val="de-DE"/>
        </w:rPr>
        <w:t>Allianz SE</w:t>
      </w:r>
      <w:r w:rsidRPr="00342F90">
        <w:rPr>
          <w:color w:val="0D0D0D" w:themeColor="text1" w:themeTint="F2"/>
          <w:lang w:val="de-DE"/>
        </w:rPr>
        <w:br/>
        <w:t xml:space="preserve">Allianz SE (2023) </w:t>
      </w:r>
      <w:r w:rsidRPr="00342F90">
        <w:rPr>
          <w:i/>
          <w:iCs/>
          <w:color w:val="0D0D0D" w:themeColor="text1" w:themeTint="F2"/>
          <w:lang w:val="de-DE"/>
        </w:rPr>
        <w:t>Annual Report 2023</w:t>
      </w:r>
      <w:r w:rsidRPr="00342F90">
        <w:rPr>
          <w:color w:val="0D0D0D" w:themeColor="text1" w:themeTint="F2"/>
          <w:lang w:val="de-DE"/>
        </w:rPr>
        <w:t xml:space="preserve">. Munich: Allianz Group. </w:t>
      </w:r>
      <w:r w:rsidRPr="00342F90">
        <w:rPr>
          <w:color w:val="0D0D0D" w:themeColor="text1" w:themeTint="F2"/>
        </w:rPr>
        <w:t xml:space="preserve">Available at: </w:t>
      </w:r>
      <w:hyperlink r:id="rId15" w:tgtFrame="_new" w:history="1">
        <w:r w:rsidRPr="00342F90">
          <w:rPr>
            <w:rStyle w:val="Hyperlink"/>
            <w:color w:val="0D0D0D" w:themeColor="text1" w:themeTint="F2"/>
          </w:rPr>
          <w:t>https://www.allianz.com</w:t>
        </w:r>
      </w:hyperlink>
      <w:r w:rsidRPr="00342F90">
        <w:rPr>
          <w:color w:val="0D0D0D" w:themeColor="text1" w:themeTint="F2"/>
        </w:rPr>
        <w:t xml:space="preserve"> (Accessed: 10 February 2025</w:t>
      </w:r>
    </w:p>
    <w:p w14:paraId="2B88E267" w14:textId="1CE5835B" w:rsidR="00342F90" w:rsidRPr="00342F90" w:rsidRDefault="00342F90" w:rsidP="00342F90">
      <w:pPr>
        <w:pStyle w:val="BodyText"/>
        <w:spacing w:before="240" w:line="276" w:lineRule="auto"/>
        <w:ind w:right="442"/>
        <w:rPr>
          <w:color w:val="0D0D0D" w:themeColor="text1" w:themeTint="F2"/>
        </w:rPr>
      </w:pPr>
      <w:r w:rsidRPr="00342F90">
        <w:rPr>
          <w:color w:val="0D0D0D" w:themeColor="text1" w:themeTint="F2"/>
        </w:rPr>
        <w:t>for</w:t>
      </w:r>
      <w:r w:rsidRPr="00342F90">
        <w:rPr>
          <w:color w:val="0D0D0D" w:themeColor="text1" w:themeTint="F2"/>
        </w:rPr>
        <w:t xml:space="preserve"> extracting financial ratios from Bloomberg, S&amp;P or Statista:</w:t>
      </w:r>
    </w:p>
    <w:p w14:paraId="19E4EF86" w14:textId="61B93040" w:rsidR="00024A9E" w:rsidRPr="00342F90" w:rsidRDefault="00342F90" w:rsidP="00342F90">
      <w:pPr>
        <w:pStyle w:val="BodyText"/>
        <w:spacing w:before="240" w:line="276" w:lineRule="auto"/>
        <w:ind w:right="442"/>
        <w:rPr>
          <w:color w:val="0D0D0D" w:themeColor="text1" w:themeTint="F2"/>
        </w:rPr>
        <w:sectPr w:rsidR="00024A9E" w:rsidRPr="00342F90">
          <w:type w:val="continuous"/>
          <w:pgSz w:w="12240" w:h="15840"/>
          <w:pgMar w:top="1420" w:right="1440" w:bottom="280" w:left="1800" w:header="720" w:footer="720" w:gutter="0"/>
          <w:cols w:space="720"/>
        </w:sectPr>
      </w:pPr>
      <w:r w:rsidRPr="00342F90">
        <w:rPr>
          <w:color w:val="0D0D0D" w:themeColor="text1" w:themeTint="F2"/>
        </w:rPr>
        <w:t xml:space="preserve">Bloomberg (2025) </w:t>
      </w:r>
      <w:r w:rsidRPr="00342F90">
        <w:rPr>
          <w:i/>
          <w:iCs/>
          <w:color w:val="0D0D0D" w:themeColor="text1" w:themeTint="F2"/>
        </w:rPr>
        <w:t>Company Financial Statements: Siemens, Vodafone, Unilever, BMW, HSBC, Allianz</w:t>
      </w:r>
      <w:r w:rsidRPr="00342F90">
        <w:rPr>
          <w:color w:val="0D0D0D" w:themeColor="text1" w:themeTint="F2"/>
        </w:rPr>
        <w:t>. Bloomberg Terminal.</w:t>
      </w:r>
      <w:r w:rsidRPr="00342F90">
        <w:rPr>
          <w:color w:val="0D0D0D" w:themeColor="text1" w:themeTint="F2"/>
        </w:rPr>
        <w:br/>
        <w:t xml:space="preserve">S&amp;P Global Market Intelligence (2025) </w:t>
      </w:r>
      <w:r w:rsidRPr="00342F90">
        <w:rPr>
          <w:i/>
          <w:iCs/>
          <w:color w:val="0D0D0D" w:themeColor="text1" w:themeTint="F2"/>
        </w:rPr>
        <w:t>Financial ratio database</w:t>
      </w:r>
      <w:r w:rsidRPr="00342F90">
        <w:rPr>
          <w:color w:val="0D0D0D" w:themeColor="text1" w:themeTint="F2"/>
        </w:rPr>
        <w:t>. S&amp;P Global</w:t>
      </w:r>
    </w:p>
    <w:p w14:paraId="19E4EF8B" w14:textId="24BBCE82" w:rsidR="00024A9E" w:rsidRPr="00342F90" w:rsidRDefault="00024A9E" w:rsidP="00342F90">
      <w:pPr>
        <w:pStyle w:val="BodyText"/>
        <w:spacing w:before="81" w:line="276" w:lineRule="auto"/>
      </w:pPr>
    </w:p>
    <w:sectPr w:rsidR="00024A9E" w:rsidRPr="00342F90">
      <w:pgSz w:w="12240" w:h="15840"/>
      <w:pgMar w:top="1360" w:right="1440" w:bottom="280" w:left="1800" w:header="720" w:footer="72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Ebad Banissi" w:date="2025-10-28T14:47:00Z" w:initials="EB">
    <w:p w14:paraId="6942914D" w14:textId="77777777" w:rsidR="00AE60E0" w:rsidRDefault="00AE60E0" w:rsidP="00AE60E0">
      <w:pPr>
        <w:pStyle w:val="CommentText"/>
      </w:pPr>
      <w:r>
        <w:rPr>
          <w:rStyle w:val="CommentReference"/>
        </w:rPr>
        <w:annotationRef/>
      </w:r>
      <w:r>
        <w:rPr>
          <w:b/>
          <w:bCs/>
          <w:color w:val="C00000"/>
        </w:rPr>
        <w:t>4. Literature Review</w:t>
      </w:r>
    </w:p>
    <w:p w14:paraId="39CD2425" w14:textId="77777777" w:rsidR="00AE60E0" w:rsidRDefault="00AE60E0" w:rsidP="00AE60E0">
      <w:pPr>
        <w:pStyle w:val="CommentText"/>
      </w:pPr>
      <w:r>
        <w:rPr>
          <w:color w:val="C00000"/>
        </w:rPr>
        <w:t>Includes Giddens (1990), Johanson &amp; Vahlne (2009), Modigliani &amp; Miller (1958), etc.</w:t>
      </w:r>
    </w:p>
    <w:p w14:paraId="0DF06BDF" w14:textId="77777777" w:rsidR="00AE60E0" w:rsidRDefault="00AE60E0" w:rsidP="00AE60E0">
      <w:pPr>
        <w:pStyle w:val="CommentText"/>
      </w:pPr>
      <w:r>
        <w:rPr>
          <w:b/>
          <w:bCs/>
          <w:color w:val="C00000"/>
        </w:rPr>
        <w:t>Strengths:</w:t>
      </w:r>
    </w:p>
    <w:p w14:paraId="5B6707FA" w14:textId="77777777" w:rsidR="00AE60E0" w:rsidRDefault="00AE60E0" w:rsidP="00AE60E0">
      <w:pPr>
        <w:pStyle w:val="CommentText"/>
        <w:numPr>
          <w:ilvl w:val="0"/>
          <w:numId w:val="15"/>
        </w:numPr>
      </w:pPr>
      <w:r>
        <w:rPr>
          <w:color w:val="C00000"/>
        </w:rPr>
        <w:t>Theoretical coverage is solid and shows awareness of foundational work.</w:t>
      </w:r>
    </w:p>
    <w:p w14:paraId="1AA9E3FB" w14:textId="77777777" w:rsidR="00AE60E0" w:rsidRDefault="00AE60E0" w:rsidP="00AE60E0">
      <w:pPr>
        <w:pStyle w:val="CommentText"/>
      </w:pPr>
      <w:r>
        <w:rPr>
          <w:b/>
          <w:bCs/>
          <w:color w:val="C00000"/>
        </w:rPr>
        <w:t>Weaknesses:</w:t>
      </w:r>
    </w:p>
    <w:p w14:paraId="029BC5B7" w14:textId="77777777" w:rsidR="00AE60E0" w:rsidRDefault="00AE60E0" w:rsidP="00AE60E0">
      <w:pPr>
        <w:pStyle w:val="CommentText"/>
        <w:numPr>
          <w:ilvl w:val="0"/>
          <w:numId w:val="16"/>
        </w:numPr>
        <w:ind w:left="360"/>
      </w:pPr>
      <w:r>
        <w:rPr>
          <w:color w:val="C00000"/>
        </w:rPr>
        <w:t xml:space="preserve">Most sources are </w:t>
      </w:r>
      <w:r>
        <w:rPr>
          <w:b/>
          <w:bCs/>
          <w:color w:val="C00000"/>
        </w:rPr>
        <w:t>dated</w:t>
      </w:r>
      <w:r>
        <w:rPr>
          <w:color w:val="C00000"/>
        </w:rPr>
        <w:t>; only a few post-2010 references.</w:t>
      </w:r>
    </w:p>
    <w:p w14:paraId="2CFCB36E" w14:textId="77777777" w:rsidR="00AE60E0" w:rsidRDefault="00AE60E0" w:rsidP="00AE60E0">
      <w:pPr>
        <w:pStyle w:val="CommentText"/>
        <w:numPr>
          <w:ilvl w:val="0"/>
          <w:numId w:val="16"/>
        </w:numPr>
        <w:ind w:left="360"/>
      </w:pPr>
      <w:r>
        <w:rPr>
          <w:color w:val="C00000"/>
        </w:rPr>
        <w:t xml:space="preserve">Missing key contemporary debates — e.g., global financial integration in the context of </w:t>
      </w:r>
      <w:r>
        <w:rPr>
          <w:b/>
          <w:bCs/>
          <w:color w:val="C00000"/>
        </w:rPr>
        <w:t>digitalisation</w:t>
      </w:r>
      <w:r>
        <w:rPr>
          <w:color w:val="C00000"/>
        </w:rPr>
        <w:t xml:space="preserve">, </w:t>
      </w:r>
      <w:r>
        <w:rPr>
          <w:b/>
          <w:bCs/>
          <w:color w:val="C00000"/>
        </w:rPr>
        <w:t>geopolitical decoupling</w:t>
      </w:r>
      <w:r>
        <w:rPr>
          <w:color w:val="C00000"/>
        </w:rPr>
        <w:t xml:space="preserve">, or </w:t>
      </w:r>
      <w:r>
        <w:rPr>
          <w:b/>
          <w:bCs/>
          <w:color w:val="C00000"/>
        </w:rPr>
        <w:t>ESG finance</w:t>
      </w:r>
      <w:r>
        <w:rPr>
          <w:color w:val="C00000"/>
        </w:rPr>
        <w:t>.</w:t>
      </w:r>
    </w:p>
    <w:p w14:paraId="757C5468" w14:textId="77777777" w:rsidR="00AE60E0" w:rsidRDefault="00AE60E0" w:rsidP="00AE60E0">
      <w:pPr>
        <w:pStyle w:val="CommentText"/>
        <w:numPr>
          <w:ilvl w:val="0"/>
          <w:numId w:val="16"/>
        </w:numPr>
      </w:pPr>
      <w:r>
        <w:rPr>
          <w:color w:val="C00000"/>
        </w:rPr>
        <w:t>The conceptual framework (“Globalisation → Financial Strategy → Organisational Growth”) is too linear and simplistic.</w:t>
      </w:r>
    </w:p>
    <w:p w14:paraId="3DBF1BA2" w14:textId="77777777" w:rsidR="00AE60E0" w:rsidRDefault="00AE60E0" w:rsidP="00AE60E0">
      <w:pPr>
        <w:pStyle w:val="CommentText"/>
      </w:pPr>
      <w:r>
        <w:rPr>
          <w:b/>
          <w:bCs/>
          <w:color w:val="C00000"/>
        </w:rPr>
        <w:t>Recommendations:</w:t>
      </w:r>
    </w:p>
    <w:p w14:paraId="6793E772" w14:textId="77777777" w:rsidR="00AE60E0" w:rsidRDefault="00AE60E0" w:rsidP="00AE60E0">
      <w:pPr>
        <w:pStyle w:val="CommentText"/>
        <w:numPr>
          <w:ilvl w:val="0"/>
          <w:numId w:val="17"/>
        </w:numPr>
      </w:pPr>
      <w:r>
        <w:rPr>
          <w:color w:val="C00000"/>
        </w:rPr>
        <w:t>Incorporate recent literature:</w:t>
      </w:r>
    </w:p>
    <w:p w14:paraId="3022F933" w14:textId="77777777" w:rsidR="00AE60E0" w:rsidRDefault="00AE60E0" w:rsidP="00AE60E0">
      <w:pPr>
        <w:pStyle w:val="CommentText"/>
        <w:numPr>
          <w:ilvl w:val="0"/>
          <w:numId w:val="17"/>
        </w:numPr>
      </w:pPr>
    </w:p>
    <w:p w14:paraId="48BEEBE0" w14:textId="77777777" w:rsidR="00AE60E0" w:rsidRDefault="00AE60E0" w:rsidP="00AE60E0">
      <w:pPr>
        <w:pStyle w:val="CommentText"/>
        <w:numPr>
          <w:ilvl w:val="1"/>
          <w:numId w:val="17"/>
        </w:numPr>
        <w:ind w:left="720"/>
      </w:pPr>
      <w:r>
        <w:rPr>
          <w:color w:val="C00000"/>
        </w:rPr>
        <w:t xml:space="preserve">Buckley, P.J. (2020). </w:t>
      </w:r>
      <w:r>
        <w:rPr>
          <w:i/>
          <w:iCs/>
          <w:color w:val="C00000"/>
        </w:rPr>
        <w:t>Internalisation theory and globalisation: Towards a research agenda.</w:t>
      </w:r>
      <w:r>
        <w:rPr>
          <w:color w:val="C00000"/>
        </w:rPr>
        <w:t xml:space="preserve"> </w:t>
      </w:r>
      <w:r>
        <w:rPr>
          <w:i/>
          <w:iCs/>
          <w:color w:val="C00000"/>
        </w:rPr>
        <w:t>International Business Review.</w:t>
      </w:r>
    </w:p>
    <w:p w14:paraId="5F6BBBC0" w14:textId="77777777" w:rsidR="00AE60E0" w:rsidRDefault="00AE60E0" w:rsidP="00AE60E0">
      <w:pPr>
        <w:pStyle w:val="CommentText"/>
        <w:numPr>
          <w:ilvl w:val="1"/>
          <w:numId w:val="17"/>
        </w:numPr>
        <w:ind w:left="720"/>
      </w:pPr>
      <w:r>
        <w:rPr>
          <w:color w:val="C00000"/>
        </w:rPr>
        <w:t xml:space="preserve">Narula, R. (2021). </w:t>
      </w:r>
      <w:r>
        <w:rPr>
          <w:i/>
          <w:iCs/>
          <w:color w:val="C00000"/>
        </w:rPr>
        <w:t>Multinational firms and the future of globalisation.</w:t>
      </w:r>
      <w:r>
        <w:rPr>
          <w:color w:val="C00000"/>
        </w:rPr>
        <w:t xml:space="preserve"> </w:t>
      </w:r>
      <w:r>
        <w:rPr>
          <w:i/>
          <w:iCs/>
          <w:color w:val="C00000"/>
        </w:rPr>
        <w:t>Journal of International Business Studies.</w:t>
      </w:r>
    </w:p>
    <w:p w14:paraId="430EAA9D" w14:textId="77777777" w:rsidR="00AE60E0" w:rsidRDefault="00AE60E0" w:rsidP="00AE60E0">
      <w:pPr>
        <w:pStyle w:val="CommentText"/>
        <w:numPr>
          <w:ilvl w:val="1"/>
          <w:numId w:val="17"/>
        </w:numPr>
        <w:ind w:left="720"/>
      </w:pPr>
      <w:r>
        <w:rPr>
          <w:color w:val="C00000"/>
        </w:rPr>
        <w:t xml:space="preserve">OECD (2022). </w:t>
      </w:r>
      <w:r>
        <w:rPr>
          <w:i/>
          <w:iCs/>
          <w:color w:val="C00000"/>
        </w:rPr>
        <w:t>Global financial markets and sustainability transitions.</w:t>
      </w:r>
    </w:p>
    <w:p w14:paraId="663A40EE" w14:textId="77777777" w:rsidR="00AE60E0" w:rsidRDefault="00AE60E0" w:rsidP="00AE60E0">
      <w:pPr>
        <w:pStyle w:val="CommentText"/>
        <w:numPr>
          <w:ilvl w:val="0"/>
          <w:numId w:val="17"/>
        </w:numPr>
      </w:pPr>
      <w:r>
        <w:rPr>
          <w:color w:val="C00000"/>
        </w:rPr>
        <w:t>Refine conceptual model:</w:t>
      </w:r>
    </w:p>
  </w:comment>
  <w:comment w:id="1" w:author="Ebad Banissi" w:date="2025-10-28T14:53:00Z" w:initials="EB">
    <w:p w14:paraId="446134D2" w14:textId="77777777" w:rsidR="00927E7D" w:rsidRDefault="00927E7D" w:rsidP="00927E7D">
      <w:pPr>
        <w:pStyle w:val="CommentText"/>
      </w:pPr>
      <w:r>
        <w:rPr>
          <w:rStyle w:val="CommentReference"/>
        </w:rPr>
        <w:annotationRef/>
      </w:r>
      <w:r>
        <w:rPr>
          <w:b/>
          <w:bCs/>
          <w:color w:val="C00000"/>
        </w:rPr>
        <w:t>6. Expected Findings &amp; Contributions</w:t>
      </w:r>
    </w:p>
    <w:p w14:paraId="60342B56" w14:textId="77777777" w:rsidR="00927E7D" w:rsidRDefault="00927E7D" w:rsidP="00927E7D">
      <w:pPr>
        <w:pStyle w:val="CommentText"/>
      </w:pPr>
      <w:r>
        <w:rPr>
          <w:b/>
          <w:bCs/>
          <w:color w:val="C00000"/>
        </w:rPr>
        <w:t>Strengths:</w:t>
      </w:r>
    </w:p>
    <w:p w14:paraId="4C6F7448" w14:textId="77777777" w:rsidR="00927E7D" w:rsidRDefault="00927E7D" w:rsidP="00927E7D">
      <w:pPr>
        <w:pStyle w:val="CommentText"/>
        <w:numPr>
          <w:ilvl w:val="0"/>
          <w:numId w:val="21"/>
        </w:numPr>
      </w:pPr>
      <w:r>
        <w:rPr>
          <w:color w:val="C00000"/>
        </w:rPr>
        <w:t>Balanced view of positive and negative effects.</w:t>
      </w:r>
    </w:p>
    <w:p w14:paraId="6ACCD987" w14:textId="77777777" w:rsidR="00927E7D" w:rsidRDefault="00927E7D" w:rsidP="00927E7D">
      <w:pPr>
        <w:pStyle w:val="CommentText"/>
        <w:numPr>
          <w:ilvl w:val="0"/>
          <w:numId w:val="21"/>
        </w:numPr>
      </w:pPr>
      <w:r>
        <w:rPr>
          <w:color w:val="C00000"/>
        </w:rPr>
        <w:t>Links to managerial implications.</w:t>
      </w:r>
    </w:p>
    <w:p w14:paraId="4FC1F50C" w14:textId="77777777" w:rsidR="00927E7D" w:rsidRDefault="00927E7D" w:rsidP="00927E7D">
      <w:pPr>
        <w:pStyle w:val="CommentText"/>
      </w:pPr>
      <w:r>
        <w:rPr>
          <w:b/>
          <w:bCs/>
          <w:color w:val="C00000"/>
        </w:rPr>
        <w:t>Weaknesses:</w:t>
      </w:r>
    </w:p>
    <w:p w14:paraId="5EE2A181" w14:textId="77777777" w:rsidR="00927E7D" w:rsidRDefault="00927E7D" w:rsidP="00927E7D">
      <w:pPr>
        <w:pStyle w:val="CommentText"/>
        <w:numPr>
          <w:ilvl w:val="0"/>
          <w:numId w:val="22"/>
        </w:numPr>
        <w:ind w:left="360"/>
      </w:pPr>
      <w:r>
        <w:rPr>
          <w:color w:val="C00000"/>
        </w:rPr>
        <w:t xml:space="preserve">Predictive phrasing (“expected to reveal that…”) can be reframed as </w:t>
      </w:r>
      <w:r>
        <w:rPr>
          <w:b/>
          <w:bCs/>
          <w:color w:val="C00000"/>
        </w:rPr>
        <w:t>testable propositions</w:t>
      </w:r>
      <w:r>
        <w:rPr>
          <w:color w:val="C00000"/>
        </w:rPr>
        <w:t>.</w:t>
      </w:r>
    </w:p>
    <w:p w14:paraId="375AAB07" w14:textId="77777777" w:rsidR="00927E7D" w:rsidRDefault="00927E7D" w:rsidP="00927E7D">
      <w:pPr>
        <w:pStyle w:val="CommentText"/>
      </w:pPr>
      <w:r>
        <w:rPr>
          <w:b/>
          <w:bCs/>
          <w:color w:val="C00000"/>
        </w:rPr>
        <w:t>Recommendation:</w:t>
      </w:r>
    </w:p>
    <w:p w14:paraId="2C600B3A" w14:textId="77777777" w:rsidR="00927E7D" w:rsidRDefault="00927E7D" w:rsidP="00927E7D">
      <w:pPr>
        <w:pStyle w:val="CommentText"/>
        <w:numPr>
          <w:ilvl w:val="0"/>
          <w:numId w:val="23"/>
        </w:numPr>
      </w:pPr>
      <w:r>
        <w:rPr>
          <w:color w:val="C00000"/>
        </w:rPr>
        <w:t>Example:</w:t>
      </w:r>
    </w:p>
    <w:p w14:paraId="7B9B882F" w14:textId="77777777" w:rsidR="00927E7D" w:rsidRDefault="00927E7D" w:rsidP="00927E7D">
      <w:pPr>
        <w:pStyle w:val="CommentText"/>
        <w:numPr>
          <w:ilvl w:val="0"/>
          <w:numId w:val="23"/>
        </w:numPr>
      </w:pPr>
    </w:p>
    <w:p w14:paraId="18C4644B" w14:textId="77777777" w:rsidR="00927E7D" w:rsidRDefault="00927E7D" w:rsidP="00927E7D">
      <w:pPr>
        <w:pStyle w:val="CommentText"/>
        <w:numPr>
          <w:ilvl w:val="1"/>
          <w:numId w:val="23"/>
        </w:numPr>
        <w:ind w:left="720"/>
      </w:pPr>
      <w:r>
        <w:rPr>
          <w:i/>
          <w:iCs/>
          <w:color w:val="C00000"/>
        </w:rPr>
        <w:t>Proposition 1:</w:t>
      </w:r>
      <w:r>
        <w:rPr>
          <w:color w:val="C00000"/>
        </w:rPr>
        <w:t xml:space="preserve"> Firms with diversified international operations achieve more stable cash flow patterns.</w:t>
      </w:r>
    </w:p>
    <w:p w14:paraId="41871CC7" w14:textId="77777777" w:rsidR="00927E7D" w:rsidRDefault="00927E7D" w:rsidP="00927E7D">
      <w:pPr>
        <w:pStyle w:val="CommentText"/>
        <w:numPr>
          <w:ilvl w:val="1"/>
          <w:numId w:val="23"/>
        </w:numPr>
        <w:ind w:left="720"/>
      </w:pPr>
      <w:r>
        <w:rPr>
          <w:i/>
          <w:iCs/>
          <w:color w:val="C00000"/>
        </w:rPr>
        <w:t>Proposition 2:</w:t>
      </w:r>
      <w:r>
        <w:rPr>
          <w:color w:val="C00000"/>
        </w:rPr>
        <w:t xml:space="preserve"> Exposure to global markets moderates the relationship between debt level and profitability.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63A40EE" w15:done="0"/>
  <w15:commentEx w15:paraId="41871CC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59A369E" w16cex:dateUtc="2025-10-28T14:47:00Z"/>
  <w16cex:commentExtensible w16cex:durableId="1EB49B1D" w16cex:dateUtc="2025-10-28T14: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63A40EE" w16cid:durableId="459A369E"/>
  <w16cid:commentId w16cid:paraId="41871CC7" w16cid:durableId="1EB49B1D"/>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A30B8"/>
    <w:multiLevelType w:val="hybridMultilevel"/>
    <w:tmpl w:val="87AA0D30"/>
    <w:lvl w:ilvl="0" w:tplc="3280E85C">
      <w:start w:val="1"/>
      <w:numFmt w:val="bullet"/>
      <w:lvlText w:val=""/>
      <w:lvlJc w:val="left"/>
      <w:pPr>
        <w:ind w:left="1080" w:hanging="360"/>
      </w:pPr>
      <w:rPr>
        <w:rFonts w:ascii="Symbol" w:hAnsi="Symbol"/>
      </w:rPr>
    </w:lvl>
    <w:lvl w:ilvl="1" w:tplc="C6843C4A">
      <w:start w:val="1"/>
      <w:numFmt w:val="bullet"/>
      <w:lvlText w:val=""/>
      <w:lvlJc w:val="left"/>
      <w:pPr>
        <w:ind w:left="1080" w:hanging="360"/>
      </w:pPr>
      <w:rPr>
        <w:rFonts w:ascii="Symbol" w:hAnsi="Symbol"/>
      </w:rPr>
    </w:lvl>
    <w:lvl w:ilvl="2" w:tplc="493E303A">
      <w:start w:val="1"/>
      <w:numFmt w:val="bullet"/>
      <w:lvlText w:val=""/>
      <w:lvlJc w:val="left"/>
      <w:pPr>
        <w:ind w:left="1080" w:hanging="360"/>
      </w:pPr>
      <w:rPr>
        <w:rFonts w:ascii="Symbol" w:hAnsi="Symbol"/>
      </w:rPr>
    </w:lvl>
    <w:lvl w:ilvl="3" w:tplc="9508DFD4">
      <w:start w:val="1"/>
      <w:numFmt w:val="bullet"/>
      <w:lvlText w:val=""/>
      <w:lvlJc w:val="left"/>
      <w:pPr>
        <w:ind w:left="1080" w:hanging="360"/>
      </w:pPr>
      <w:rPr>
        <w:rFonts w:ascii="Symbol" w:hAnsi="Symbol"/>
      </w:rPr>
    </w:lvl>
    <w:lvl w:ilvl="4" w:tplc="7AE07932">
      <w:start w:val="1"/>
      <w:numFmt w:val="bullet"/>
      <w:lvlText w:val=""/>
      <w:lvlJc w:val="left"/>
      <w:pPr>
        <w:ind w:left="1080" w:hanging="360"/>
      </w:pPr>
      <w:rPr>
        <w:rFonts w:ascii="Symbol" w:hAnsi="Symbol"/>
      </w:rPr>
    </w:lvl>
    <w:lvl w:ilvl="5" w:tplc="02B66C62">
      <w:start w:val="1"/>
      <w:numFmt w:val="bullet"/>
      <w:lvlText w:val=""/>
      <w:lvlJc w:val="left"/>
      <w:pPr>
        <w:ind w:left="1080" w:hanging="360"/>
      </w:pPr>
      <w:rPr>
        <w:rFonts w:ascii="Symbol" w:hAnsi="Symbol"/>
      </w:rPr>
    </w:lvl>
    <w:lvl w:ilvl="6" w:tplc="7602B858">
      <w:start w:val="1"/>
      <w:numFmt w:val="bullet"/>
      <w:lvlText w:val=""/>
      <w:lvlJc w:val="left"/>
      <w:pPr>
        <w:ind w:left="1080" w:hanging="360"/>
      </w:pPr>
      <w:rPr>
        <w:rFonts w:ascii="Symbol" w:hAnsi="Symbol"/>
      </w:rPr>
    </w:lvl>
    <w:lvl w:ilvl="7" w:tplc="7F289E86">
      <w:start w:val="1"/>
      <w:numFmt w:val="bullet"/>
      <w:lvlText w:val=""/>
      <w:lvlJc w:val="left"/>
      <w:pPr>
        <w:ind w:left="1080" w:hanging="360"/>
      </w:pPr>
      <w:rPr>
        <w:rFonts w:ascii="Symbol" w:hAnsi="Symbol"/>
      </w:rPr>
    </w:lvl>
    <w:lvl w:ilvl="8" w:tplc="10C25D6A">
      <w:start w:val="1"/>
      <w:numFmt w:val="bullet"/>
      <w:lvlText w:val=""/>
      <w:lvlJc w:val="left"/>
      <w:pPr>
        <w:ind w:left="1080" w:hanging="360"/>
      </w:pPr>
      <w:rPr>
        <w:rFonts w:ascii="Symbol" w:hAnsi="Symbol"/>
      </w:rPr>
    </w:lvl>
  </w:abstractNum>
  <w:abstractNum w:abstractNumId="1" w15:restartNumberingAfterBreak="0">
    <w:nsid w:val="035210D8"/>
    <w:multiLevelType w:val="multilevel"/>
    <w:tmpl w:val="C7245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C75186"/>
    <w:multiLevelType w:val="hybridMultilevel"/>
    <w:tmpl w:val="72326686"/>
    <w:lvl w:ilvl="0" w:tplc="A0742CD6">
      <w:start w:val="1"/>
      <w:numFmt w:val="bullet"/>
      <w:lvlText w:val=""/>
      <w:lvlJc w:val="left"/>
      <w:pPr>
        <w:ind w:left="1080" w:hanging="360"/>
      </w:pPr>
      <w:rPr>
        <w:rFonts w:ascii="Symbol" w:hAnsi="Symbol"/>
      </w:rPr>
    </w:lvl>
    <w:lvl w:ilvl="1" w:tplc="70A4BAF6">
      <w:start w:val="1"/>
      <w:numFmt w:val="bullet"/>
      <w:lvlText w:val=""/>
      <w:lvlJc w:val="left"/>
      <w:pPr>
        <w:ind w:left="1080" w:hanging="360"/>
      </w:pPr>
      <w:rPr>
        <w:rFonts w:ascii="Symbol" w:hAnsi="Symbol"/>
      </w:rPr>
    </w:lvl>
    <w:lvl w:ilvl="2" w:tplc="EB70C708">
      <w:start w:val="1"/>
      <w:numFmt w:val="bullet"/>
      <w:lvlText w:val=""/>
      <w:lvlJc w:val="left"/>
      <w:pPr>
        <w:ind w:left="1080" w:hanging="360"/>
      </w:pPr>
      <w:rPr>
        <w:rFonts w:ascii="Symbol" w:hAnsi="Symbol"/>
      </w:rPr>
    </w:lvl>
    <w:lvl w:ilvl="3" w:tplc="2F3C6A0C">
      <w:start w:val="1"/>
      <w:numFmt w:val="bullet"/>
      <w:lvlText w:val=""/>
      <w:lvlJc w:val="left"/>
      <w:pPr>
        <w:ind w:left="1080" w:hanging="360"/>
      </w:pPr>
      <w:rPr>
        <w:rFonts w:ascii="Symbol" w:hAnsi="Symbol"/>
      </w:rPr>
    </w:lvl>
    <w:lvl w:ilvl="4" w:tplc="BA0250B0">
      <w:start w:val="1"/>
      <w:numFmt w:val="bullet"/>
      <w:lvlText w:val=""/>
      <w:lvlJc w:val="left"/>
      <w:pPr>
        <w:ind w:left="1080" w:hanging="360"/>
      </w:pPr>
      <w:rPr>
        <w:rFonts w:ascii="Symbol" w:hAnsi="Symbol"/>
      </w:rPr>
    </w:lvl>
    <w:lvl w:ilvl="5" w:tplc="F626C162">
      <w:start w:val="1"/>
      <w:numFmt w:val="bullet"/>
      <w:lvlText w:val=""/>
      <w:lvlJc w:val="left"/>
      <w:pPr>
        <w:ind w:left="1080" w:hanging="360"/>
      </w:pPr>
      <w:rPr>
        <w:rFonts w:ascii="Symbol" w:hAnsi="Symbol"/>
      </w:rPr>
    </w:lvl>
    <w:lvl w:ilvl="6" w:tplc="4DD2DC86">
      <w:start w:val="1"/>
      <w:numFmt w:val="bullet"/>
      <w:lvlText w:val=""/>
      <w:lvlJc w:val="left"/>
      <w:pPr>
        <w:ind w:left="1080" w:hanging="360"/>
      </w:pPr>
      <w:rPr>
        <w:rFonts w:ascii="Symbol" w:hAnsi="Symbol"/>
      </w:rPr>
    </w:lvl>
    <w:lvl w:ilvl="7" w:tplc="81646126">
      <w:start w:val="1"/>
      <w:numFmt w:val="bullet"/>
      <w:lvlText w:val=""/>
      <w:lvlJc w:val="left"/>
      <w:pPr>
        <w:ind w:left="1080" w:hanging="360"/>
      </w:pPr>
      <w:rPr>
        <w:rFonts w:ascii="Symbol" w:hAnsi="Symbol"/>
      </w:rPr>
    </w:lvl>
    <w:lvl w:ilvl="8" w:tplc="864C8216">
      <w:start w:val="1"/>
      <w:numFmt w:val="bullet"/>
      <w:lvlText w:val=""/>
      <w:lvlJc w:val="left"/>
      <w:pPr>
        <w:ind w:left="1080" w:hanging="360"/>
      </w:pPr>
      <w:rPr>
        <w:rFonts w:ascii="Symbol" w:hAnsi="Symbol"/>
      </w:rPr>
    </w:lvl>
  </w:abstractNum>
  <w:abstractNum w:abstractNumId="3" w15:restartNumberingAfterBreak="0">
    <w:nsid w:val="0C37598C"/>
    <w:multiLevelType w:val="hybridMultilevel"/>
    <w:tmpl w:val="4F2489F8"/>
    <w:lvl w:ilvl="0" w:tplc="917A95A8">
      <w:start w:val="1"/>
      <w:numFmt w:val="bullet"/>
      <w:lvlText w:val=""/>
      <w:lvlJc w:val="left"/>
      <w:pPr>
        <w:ind w:left="1080" w:hanging="360"/>
      </w:pPr>
      <w:rPr>
        <w:rFonts w:ascii="Symbol" w:hAnsi="Symbol"/>
      </w:rPr>
    </w:lvl>
    <w:lvl w:ilvl="1" w:tplc="C1BA8A58">
      <w:start w:val="1"/>
      <w:numFmt w:val="bullet"/>
      <w:lvlText w:val=""/>
      <w:lvlJc w:val="left"/>
      <w:pPr>
        <w:ind w:left="1080" w:hanging="360"/>
      </w:pPr>
      <w:rPr>
        <w:rFonts w:ascii="Symbol" w:hAnsi="Symbol"/>
      </w:rPr>
    </w:lvl>
    <w:lvl w:ilvl="2" w:tplc="FC8E8632">
      <w:start w:val="1"/>
      <w:numFmt w:val="bullet"/>
      <w:lvlText w:val=""/>
      <w:lvlJc w:val="left"/>
      <w:pPr>
        <w:ind w:left="1080" w:hanging="360"/>
      </w:pPr>
      <w:rPr>
        <w:rFonts w:ascii="Symbol" w:hAnsi="Symbol"/>
      </w:rPr>
    </w:lvl>
    <w:lvl w:ilvl="3" w:tplc="900C9730">
      <w:start w:val="1"/>
      <w:numFmt w:val="bullet"/>
      <w:lvlText w:val=""/>
      <w:lvlJc w:val="left"/>
      <w:pPr>
        <w:ind w:left="1080" w:hanging="360"/>
      </w:pPr>
      <w:rPr>
        <w:rFonts w:ascii="Symbol" w:hAnsi="Symbol"/>
      </w:rPr>
    </w:lvl>
    <w:lvl w:ilvl="4" w:tplc="7ADCEAA8">
      <w:start w:val="1"/>
      <w:numFmt w:val="bullet"/>
      <w:lvlText w:val=""/>
      <w:lvlJc w:val="left"/>
      <w:pPr>
        <w:ind w:left="1080" w:hanging="360"/>
      </w:pPr>
      <w:rPr>
        <w:rFonts w:ascii="Symbol" w:hAnsi="Symbol"/>
      </w:rPr>
    </w:lvl>
    <w:lvl w:ilvl="5" w:tplc="C614A58A">
      <w:start w:val="1"/>
      <w:numFmt w:val="bullet"/>
      <w:lvlText w:val=""/>
      <w:lvlJc w:val="left"/>
      <w:pPr>
        <w:ind w:left="1080" w:hanging="360"/>
      </w:pPr>
      <w:rPr>
        <w:rFonts w:ascii="Symbol" w:hAnsi="Symbol"/>
      </w:rPr>
    </w:lvl>
    <w:lvl w:ilvl="6" w:tplc="39A60A50">
      <w:start w:val="1"/>
      <w:numFmt w:val="bullet"/>
      <w:lvlText w:val=""/>
      <w:lvlJc w:val="left"/>
      <w:pPr>
        <w:ind w:left="1080" w:hanging="360"/>
      </w:pPr>
      <w:rPr>
        <w:rFonts w:ascii="Symbol" w:hAnsi="Symbol"/>
      </w:rPr>
    </w:lvl>
    <w:lvl w:ilvl="7" w:tplc="03925C86">
      <w:start w:val="1"/>
      <w:numFmt w:val="bullet"/>
      <w:lvlText w:val=""/>
      <w:lvlJc w:val="left"/>
      <w:pPr>
        <w:ind w:left="1080" w:hanging="360"/>
      </w:pPr>
      <w:rPr>
        <w:rFonts w:ascii="Symbol" w:hAnsi="Symbol"/>
      </w:rPr>
    </w:lvl>
    <w:lvl w:ilvl="8" w:tplc="DF9CE36E">
      <w:start w:val="1"/>
      <w:numFmt w:val="bullet"/>
      <w:lvlText w:val=""/>
      <w:lvlJc w:val="left"/>
      <w:pPr>
        <w:ind w:left="1080" w:hanging="360"/>
      </w:pPr>
      <w:rPr>
        <w:rFonts w:ascii="Symbol" w:hAnsi="Symbol"/>
      </w:rPr>
    </w:lvl>
  </w:abstractNum>
  <w:abstractNum w:abstractNumId="4" w15:restartNumberingAfterBreak="0">
    <w:nsid w:val="0C6D550E"/>
    <w:multiLevelType w:val="hybridMultilevel"/>
    <w:tmpl w:val="97AC0C22"/>
    <w:lvl w:ilvl="0" w:tplc="C2DE72E0">
      <w:numFmt w:val="bullet"/>
      <w:lvlText w:val="-"/>
      <w:lvlJc w:val="left"/>
      <w:pPr>
        <w:ind w:left="146" w:hanging="147"/>
      </w:pPr>
      <w:rPr>
        <w:rFonts w:ascii="Arial" w:eastAsia="Arial" w:hAnsi="Arial" w:cs="Arial" w:hint="default"/>
        <w:b w:val="0"/>
        <w:bCs w:val="0"/>
        <w:i w:val="0"/>
        <w:iCs w:val="0"/>
        <w:spacing w:val="0"/>
        <w:w w:val="100"/>
        <w:sz w:val="24"/>
        <w:szCs w:val="24"/>
        <w:lang w:val="en-US" w:eastAsia="en-US" w:bidi="ar-SA"/>
      </w:rPr>
    </w:lvl>
    <w:lvl w:ilvl="1" w:tplc="6E181D7E">
      <w:numFmt w:val="bullet"/>
      <w:lvlText w:val="•"/>
      <w:lvlJc w:val="left"/>
      <w:pPr>
        <w:ind w:left="1026" w:hanging="147"/>
      </w:pPr>
      <w:rPr>
        <w:rFonts w:hint="default"/>
        <w:lang w:val="en-US" w:eastAsia="en-US" w:bidi="ar-SA"/>
      </w:rPr>
    </w:lvl>
    <w:lvl w:ilvl="2" w:tplc="AA1C9C0E">
      <w:numFmt w:val="bullet"/>
      <w:lvlText w:val="•"/>
      <w:lvlJc w:val="left"/>
      <w:pPr>
        <w:ind w:left="1912" w:hanging="147"/>
      </w:pPr>
      <w:rPr>
        <w:rFonts w:hint="default"/>
        <w:lang w:val="en-US" w:eastAsia="en-US" w:bidi="ar-SA"/>
      </w:rPr>
    </w:lvl>
    <w:lvl w:ilvl="3" w:tplc="55761762">
      <w:numFmt w:val="bullet"/>
      <w:lvlText w:val="•"/>
      <w:lvlJc w:val="left"/>
      <w:pPr>
        <w:ind w:left="2798" w:hanging="147"/>
      </w:pPr>
      <w:rPr>
        <w:rFonts w:hint="default"/>
        <w:lang w:val="en-US" w:eastAsia="en-US" w:bidi="ar-SA"/>
      </w:rPr>
    </w:lvl>
    <w:lvl w:ilvl="4" w:tplc="862A8210">
      <w:numFmt w:val="bullet"/>
      <w:lvlText w:val="•"/>
      <w:lvlJc w:val="left"/>
      <w:pPr>
        <w:ind w:left="3684" w:hanging="147"/>
      </w:pPr>
      <w:rPr>
        <w:rFonts w:hint="default"/>
        <w:lang w:val="en-US" w:eastAsia="en-US" w:bidi="ar-SA"/>
      </w:rPr>
    </w:lvl>
    <w:lvl w:ilvl="5" w:tplc="09EE46A6">
      <w:numFmt w:val="bullet"/>
      <w:lvlText w:val="•"/>
      <w:lvlJc w:val="left"/>
      <w:pPr>
        <w:ind w:left="4570" w:hanging="147"/>
      </w:pPr>
      <w:rPr>
        <w:rFonts w:hint="default"/>
        <w:lang w:val="en-US" w:eastAsia="en-US" w:bidi="ar-SA"/>
      </w:rPr>
    </w:lvl>
    <w:lvl w:ilvl="6" w:tplc="B978AFE0">
      <w:numFmt w:val="bullet"/>
      <w:lvlText w:val="•"/>
      <w:lvlJc w:val="left"/>
      <w:pPr>
        <w:ind w:left="5456" w:hanging="147"/>
      </w:pPr>
      <w:rPr>
        <w:rFonts w:hint="default"/>
        <w:lang w:val="en-US" w:eastAsia="en-US" w:bidi="ar-SA"/>
      </w:rPr>
    </w:lvl>
    <w:lvl w:ilvl="7" w:tplc="BADC06B8">
      <w:numFmt w:val="bullet"/>
      <w:lvlText w:val="•"/>
      <w:lvlJc w:val="left"/>
      <w:pPr>
        <w:ind w:left="6342" w:hanging="147"/>
      </w:pPr>
      <w:rPr>
        <w:rFonts w:hint="default"/>
        <w:lang w:val="en-US" w:eastAsia="en-US" w:bidi="ar-SA"/>
      </w:rPr>
    </w:lvl>
    <w:lvl w:ilvl="8" w:tplc="17080F86">
      <w:numFmt w:val="bullet"/>
      <w:lvlText w:val="•"/>
      <w:lvlJc w:val="left"/>
      <w:pPr>
        <w:ind w:left="7228" w:hanging="147"/>
      </w:pPr>
      <w:rPr>
        <w:rFonts w:hint="default"/>
        <w:lang w:val="en-US" w:eastAsia="en-US" w:bidi="ar-SA"/>
      </w:rPr>
    </w:lvl>
  </w:abstractNum>
  <w:abstractNum w:abstractNumId="5" w15:restartNumberingAfterBreak="0">
    <w:nsid w:val="0DDE26B2"/>
    <w:multiLevelType w:val="hybridMultilevel"/>
    <w:tmpl w:val="462A0DAE"/>
    <w:lvl w:ilvl="0" w:tplc="1B3AF692">
      <w:start w:val="1"/>
      <w:numFmt w:val="bullet"/>
      <w:lvlText w:val=""/>
      <w:lvlJc w:val="left"/>
      <w:pPr>
        <w:ind w:left="1080" w:hanging="360"/>
      </w:pPr>
      <w:rPr>
        <w:rFonts w:ascii="Symbol" w:hAnsi="Symbol"/>
      </w:rPr>
    </w:lvl>
    <w:lvl w:ilvl="1" w:tplc="E5860832">
      <w:start w:val="1"/>
      <w:numFmt w:val="bullet"/>
      <w:lvlText w:val=""/>
      <w:lvlJc w:val="left"/>
      <w:pPr>
        <w:ind w:left="1080" w:hanging="360"/>
      </w:pPr>
      <w:rPr>
        <w:rFonts w:ascii="Symbol" w:hAnsi="Symbol"/>
      </w:rPr>
    </w:lvl>
    <w:lvl w:ilvl="2" w:tplc="B058D0A0">
      <w:start w:val="1"/>
      <w:numFmt w:val="bullet"/>
      <w:lvlText w:val=""/>
      <w:lvlJc w:val="left"/>
      <w:pPr>
        <w:ind w:left="1080" w:hanging="360"/>
      </w:pPr>
      <w:rPr>
        <w:rFonts w:ascii="Symbol" w:hAnsi="Symbol"/>
      </w:rPr>
    </w:lvl>
    <w:lvl w:ilvl="3" w:tplc="23CCAA20">
      <w:start w:val="1"/>
      <w:numFmt w:val="bullet"/>
      <w:lvlText w:val=""/>
      <w:lvlJc w:val="left"/>
      <w:pPr>
        <w:ind w:left="1080" w:hanging="360"/>
      </w:pPr>
      <w:rPr>
        <w:rFonts w:ascii="Symbol" w:hAnsi="Symbol"/>
      </w:rPr>
    </w:lvl>
    <w:lvl w:ilvl="4" w:tplc="03F2D620">
      <w:start w:val="1"/>
      <w:numFmt w:val="bullet"/>
      <w:lvlText w:val=""/>
      <w:lvlJc w:val="left"/>
      <w:pPr>
        <w:ind w:left="1080" w:hanging="360"/>
      </w:pPr>
      <w:rPr>
        <w:rFonts w:ascii="Symbol" w:hAnsi="Symbol"/>
      </w:rPr>
    </w:lvl>
    <w:lvl w:ilvl="5" w:tplc="162876D4">
      <w:start w:val="1"/>
      <w:numFmt w:val="bullet"/>
      <w:lvlText w:val=""/>
      <w:lvlJc w:val="left"/>
      <w:pPr>
        <w:ind w:left="1080" w:hanging="360"/>
      </w:pPr>
      <w:rPr>
        <w:rFonts w:ascii="Symbol" w:hAnsi="Symbol"/>
      </w:rPr>
    </w:lvl>
    <w:lvl w:ilvl="6" w:tplc="247C0200">
      <w:start w:val="1"/>
      <w:numFmt w:val="bullet"/>
      <w:lvlText w:val=""/>
      <w:lvlJc w:val="left"/>
      <w:pPr>
        <w:ind w:left="1080" w:hanging="360"/>
      </w:pPr>
      <w:rPr>
        <w:rFonts w:ascii="Symbol" w:hAnsi="Symbol"/>
      </w:rPr>
    </w:lvl>
    <w:lvl w:ilvl="7" w:tplc="188878CC">
      <w:start w:val="1"/>
      <w:numFmt w:val="bullet"/>
      <w:lvlText w:val=""/>
      <w:lvlJc w:val="left"/>
      <w:pPr>
        <w:ind w:left="1080" w:hanging="360"/>
      </w:pPr>
      <w:rPr>
        <w:rFonts w:ascii="Symbol" w:hAnsi="Symbol"/>
      </w:rPr>
    </w:lvl>
    <w:lvl w:ilvl="8" w:tplc="9C4C792C">
      <w:start w:val="1"/>
      <w:numFmt w:val="bullet"/>
      <w:lvlText w:val=""/>
      <w:lvlJc w:val="left"/>
      <w:pPr>
        <w:ind w:left="1080" w:hanging="360"/>
      </w:pPr>
      <w:rPr>
        <w:rFonts w:ascii="Symbol" w:hAnsi="Symbol"/>
      </w:rPr>
    </w:lvl>
  </w:abstractNum>
  <w:abstractNum w:abstractNumId="6" w15:restartNumberingAfterBreak="0">
    <w:nsid w:val="0F3E6B00"/>
    <w:multiLevelType w:val="multilevel"/>
    <w:tmpl w:val="672809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245C23"/>
    <w:multiLevelType w:val="multilevel"/>
    <w:tmpl w:val="F2564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AD04C5"/>
    <w:multiLevelType w:val="multilevel"/>
    <w:tmpl w:val="4726E9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202076"/>
    <w:multiLevelType w:val="multilevel"/>
    <w:tmpl w:val="2048F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3E2382"/>
    <w:multiLevelType w:val="multilevel"/>
    <w:tmpl w:val="D61818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E734B1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5491A50"/>
    <w:multiLevelType w:val="multilevel"/>
    <w:tmpl w:val="619E8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5E6ACD"/>
    <w:multiLevelType w:val="multilevel"/>
    <w:tmpl w:val="05922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0704C9"/>
    <w:multiLevelType w:val="hybridMultilevel"/>
    <w:tmpl w:val="8DFA127A"/>
    <w:lvl w:ilvl="0" w:tplc="10F86F0A">
      <w:start w:val="1"/>
      <w:numFmt w:val="bullet"/>
      <w:lvlText w:val=""/>
      <w:lvlJc w:val="left"/>
      <w:pPr>
        <w:ind w:left="1080" w:hanging="360"/>
      </w:pPr>
      <w:rPr>
        <w:rFonts w:ascii="Symbol" w:hAnsi="Symbol"/>
      </w:rPr>
    </w:lvl>
    <w:lvl w:ilvl="1" w:tplc="6F2A1994">
      <w:start w:val="1"/>
      <w:numFmt w:val="bullet"/>
      <w:lvlText w:val=""/>
      <w:lvlJc w:val="left"/>
      <w:pPr>
        <w:ind w:left="1080" w:hanging="360"/>
      </w:pPr>
      <w:rPr>
        <w:rFonts w:ascii="Symbol" w:hAnsi="Symbol"/>
      </w:rPr>
    </w:lvl>
    <w:lvl w:ilvl="2" w:tplc="AB323F98">
      <w:start w:val="1"/>
      <w:numFmt w:val="bullet"/>
      <w:lvlText w:val=""/>
      <w:lvlJc w:val="left"/>
      <w:pPr>
        <w:ind w:left="1080" w:hanging="360"/>
      </w:pPr>
      <w:rPr>
        <w:rFonts w:ascii="Symbol" w:hAnsi="Symbol"/>
      </w:rPr>
    </w:lvl>
    <w:lvl w:ilvl="3" w:tplc="3B8A9906">
      <w:start w:val="1"/>
      <w:numFmt w:val="bullet"/>
      <w:lvlText w:val=""/>
      <w:lvlJc w:val="left"/>
      <w:pPr>
        <w:ind w:left="1080" w:hanging="360"/>
      </w:pPr>
      <w:rPr>
        <w:rFonts w:ascii="Symbol" w:hAnsi="Symbol"/>
      </w:rPr>
    </w:lvl>
    <w:lvl w:ilvl="4" w:tplc="F9E44258">
      <w:start w:val="1"/>
      <w:numFmt w:val="bullet"/>
      <w:lvlText w:val=""/>
      <w:lvlJc w:val="left"/>
      <w:pPr>
        <w:ind w:left="1080" w:hanging="360"/>
      </w:pPr>
      <w:rPr>
        <w:rFonts w:ascii="Symbol" w:hAnsi="Symbol"/>
      </w:rPr>
    </w:lvl>
    <w:lvl w:ilvl="5" w:tplc="B82C18B6">
      <w:start w:val="1"/>
      <w:numFmt w:val="bullet"/>
      <w:lvlText w:val=""/>
      <w:lvlJc w:val="left"/>
      <w:pPr>
        <w:ind w:left="1080" w:hanging="360"/>
      </w:pPr>
      <w:rPr>
        <w:rFonts w:ascii="Symbol" w:hAnsi="Symbol"/>
      </w:rPr>
    </w:lvl>
    <w:lvl w:ilvl="6" w:tplc="7FCAD6D4">
      <w:start w:val="1"/>
      <w:numFmt w:val="bullet"/>
      <w:lvlText w:val=""/>
      <w:lvlJc w:val="left"/>
      <w:pPr>
        <w:ind w:left="1080" w:hanging="360"/>
      </w:pPr>
      <w:rPr>
        <w:rFonts w:ascii="Symbol" w:hAnsi="Symbol"/>
      </w:rPr>
    </w:lvl>
    <w:lvl w:ilvl="7" w:tplc="2F761A4A">
      <w:start w:val="1"/>
      <w:numFmt w:val="bullet"/>
      <w:lvlText w:val=""/>
      <w:lvlJc w:val="left"/>
      <w:pPr>
        <w:ind w:left="1080" w:hanging="360"/>
      </w:pPr>
      <w:rPr>
        <w:rFonts w:ascii="Symbol" w:hAnsi="Symbol"/>
      </w:rPr>
    </w:lvl>
    <w:lvl w:ilvl="8" w:tplc="08F0474A">
      <w:start w:val="1"/>
      <w:numFmt w:val="bullet"/>
      <w:lvlText w:val=""/>
      <w:lvlJc w:val="left"/>
      <w:pPr>
        <w:ind w:left="1080" w:hanging="360"/>
      </w:pPr>
      <w:rPr>
        <w:rFonts w:ascii="Symbol" w:hAnsi="Symbol"/>
      </w:rPr>
    </w:lvl>
  </w:abstractNum>
  <w:abstractNum w:abstractNumId="15" w15:restartNumberingAfterBreak="0">
    <w:nsid w:val="312D537E"/>
    <w:multiLevelType w:val="hybridMultilevel"/>
    <w:tmpl w:val="BBA2DE28"/>
    <w:lvl w:ilvl="0" w:tplc="475CFFA2">
      <w:start w:val="1"/>
      <w:numFmt w:val="bullet"/>
      <w:lvlText w:val=""/>
      <w:lvlJc w:val="left"/>
      <w:pPr>
        <w:ind w:left="1080" w:hanging="360"/>
      </w:pPr>
      <w:rPr>
        <w:rFonts w:ascii="Symbol" w:hAnsi="Symbol"/>
      </w:rPr>
    </w:lvl>
    <w:lvl w:ilvl="1" w:tplc="B8BA692C">
      <w:start w:val="1"/>
      <w:numFmt w:val="bullet"/>
      <w:lvlText w:val=""/>
      <w:lvlJc w:val="left"/>
      <w:pPr>
        <w:ind w:left="1080" w:hanging="360"/>
      </w:pPr>
      <w:rPr>
        <w:rFonts w:ascii="Symbol" w:hAnsi="Symbol"/>
      </w:rPr>
    </w:lvl>
    <w:lvl w:ilvl="2" w:tplc="5C467C8E">
      <w:start w:val="1"/>
      <w:numFmt w:val="bullet"/>
      <w:lvlText w:val=""/>
      <w:lvlJc w:val="left"/>
      <w:pPr>
        <w:ind w:left="1080" w:hanging="360"/>
      </w:pPr>
      <w:rPr>
        <w:rFonts w:ascii="Symbol" w:hAnsi="Symbol"/>
      </w:rPr>
    </w:lvl>
    <w:lvl w:ilvl="3" w:tplc="CA744566">
      <w:start w:val="1"/>
      <w:numFmt w:val="bullet"/>
      <w:lvlText w:val=""/>
      <w:lvlJc w:val="left"/>
      <w:pPr>
        <w:ind w:left="1080" w:hanging="360"/>
      </w:pPr>
      <w:rPr>
        <w:rFonts w:ascii="Symbol" w:hAnsi="Symbol"/>
      </w:rPr>
    </w:lvl>
    <w:lvl w:ilvl="4" w:tplc="A6DCCAD0">
      <w:start w:val="1"/>
      <w:numFmt w:val="bullet"/>
      <w:lvlText w:val=""/>
      <w:lvlJc w:val="left"/>
      <w:pPr>
        <w:ind w:left="1080" w:hanging="360"/>
      </w:pPr>
      <w:rPr>
        <w:rFonts w:ascii="Symbol" w:hAnsi="Symbol"/>
      </w:rPr>
    </w:lvl>
    <w:lvl w:ilvl="5" w:tplc="47D89750">
      <w:start w:val="1"/>
      <w:numFmt w:val="bullet"/>
      <w:lvlText w:val=""/>
      <w:lvlJc w:val="left"/>
      <w:pPr>
        <w:ind w:left="1080" w:hanging="360"/>
      </w:pPr>
      <w:rPr>
        <w:rFonts w:ascii="Symbol" w:hAnsi="Symbol"/>
      </w:rPr>
    </w:lvl>
    <w:lvl w:ilvl="6" w:tplc="3DA8DE0C">
      <w:start w:val="1"/>
      <w:numFmt w:val="bullet"/>
      <w:lvlText w:val=""/>
      <w:lvlJc w:val="left"/>
      <w:pPr>
        <w:ind w:left="1080" w:hanging="360"/>
      </w:pPr>
      <w:rPr>
        <w:rFonts w:ascii="Symbol" w:hAnsi="Symbol"/>
      </w:rPr>
    </w:lvl>
    <w:lvl w:ilvl="7" w:tplc="20DE6EA0">
      <w:start w:val="1"/>
      <w:numFmt w:val="bullet"/>
      <w:lvlText w:val=""/>
      <w:lvlJc w:val="left"/>
      <w:pPr>
        <w:ind w:left="1080" w:hanging="360"/>
      </w:pPr>
      <w:rPr>
        <w:rFonts w:ascii="Symbol" w:hAnsi="Symbol"/>
      </w:rPr>
    </w:lvl>
    <w:lvl w:ilvl="8" w:tplc="514888C4">
      <w:start w:val="1"/>
      <w:numFmt w:val="bullet"/>
      <w:lvlText w:val=""/>
      <w:lvlJc w:val="left"/>
      <w:pPr>
        <w:ind w:left="1080" w:hanging="360"/>
      </w:pPr>
      <w:rPr>
        <w:rFonts w:ascii="Symbol" w:hAnsi="Symbol"/>
      </w:rPr>
    </w:lvl>
  </w:abstractNum>
  <w:abstractNum w:abstractNumId="16" w15:restartNumberingAfterBreak="0">
    <w:nsid w:val="37D1065B"/>
    <w:multiLevelType w:val="multilevel"/>
    <w:tmpl w:val="03DEA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295C6F"/>
    <w:multiLevelType w:val="hybridMultilevel"/>
    <w:tmpl w:val="AC222FBC"/>
    <w:lvl w:ilvl="0" w:tplc="03B8083E">
      <w:start w:val="1"/>
      <w:numFmt w:val="bullet"/>
      <w:lvlText w:val=""/>
      <w:lvlJc w:val="left"/>
      <w:pPr>
        <w:ind w:left="1080" w:hanging="360"/>
      </w:pPr>
      <w:rPr>
        <w:rFonts w:ascii="Symbol" w:hAnsi="Symbol"/>
      </w:rPr>
    </w:lvl>
    <w:lvl w:ilvl="1" w:tplc="9B8A85D2">
      <w:start w:val="1"/>
      <w:numFmt w:val="bullet"/>
      <w:lvlText w:val=""/>
      <w:lvlJc w:val="left"/>
      <w:pPr>
        <w:ind w:left="1440" w:hanging="360"/>
      </w:pPr>
      <w:rPr>
        <w:rFonts w:ascii="Symbol" w:hAnsi="Symbol"/>
      </w:rPr>
    </w:lvl>
    <w:lvl w:ilvl="2" w:tplc="ABE4DED0">
      <w:start w:val="1"/>
      <w:numFmt w:val="bullet"/>
      <w:lvlText w:val=""/>
      <w:lvlJc w:val="left"/>
      <w:pPr>
        <w:ind w:left="1080" w:hanging="360"/>
      </w:pPr>
      <w:rPr>
        <w:rFonts w:ascii="Symbol" w:hAnsi="Symbol"/>
      </w:rPr>
    </w:lvl>
    <w:lvl w:ilvl="3" w:tplc="9126DC64">
      <w:start w:val="1"/>
      <w:numFmt w:val="bullet"/>
      <w:lvlText w:val=""/>
      <w:lvlJc w:val="left"/>
      <w:pPr>
        <w:ind w:left="1080" w:hanging="360"/>
      </w:pPr>
      <w:rPr>
        <w:rFonts w:ascii="Symbol" w:hAnsi="Symbol"/>
      </w:rPr>
    </w:lvl>
    <w:lvl w:ilvl="4" w:tplc="A008DCA4">
      <w:start w:val="1"/>
      <w:numFmt w:val="bullet"/>
      <w:lvlText w:val=""/>
      <w:lvlJc w:val="left"/>
      <w:pPr>
        <w:ind w:left="1080" w:hanging="360"/>
      </w:pPr>
      <w:rPr>
        <w:rFonts w:ascii="Symbol" w:hAnsi="Symbol"/>
      </w:rPr>
    </w:lvl>
    <w:lvl w:ilvl="5" w:tplc="07C6B8B0">
      <w:start w:val="1"/>
      <w:numFmt w:val="bullet"/>
      <w:lvlText w:val=""/>
      <w:lvlJc w:val="left"/>
      <w:pPr>
        <w:ind w:left="1080" w:hanging="360"/>
      </w:pPr>
      <w:rPr>
        <w:rFonts w:ascii="Symbol" w:hAnsi="Symbol"/>
      </w:rPr>
    </w:lvl>
    <w:lvl w:ilvl="6" w:tplc="A9B2A64A">
      <w:start w:val="1"/>
      <w:numFmt w:val="bullet"/>
      <w:lvlText w:val=""/>
      <w:lvlJc w:val="left"/>
      <w:pPr>
        <w:ind w:left="1080" w:hanging="360"/>
      </w:pPr>
      <w:rPr>
        <w:rFonts w:ascii="Symbol" w:hAnsi="Symbol"/>
      </w:rPr>
    </w:lvl>
    <w:lvl w:ilvl="7" w:tplc="E0E2E534">
      <w:start w:val="1"/>
      <w:numFmt w:val="bullet"/>
      <w:lvlText w:val=""/>
      <w:lvlJc w:val="left"/>
      <w:pPr>
        <w:ind w:left="1080" w:hanging="360"/>
      </w:pPr>
      <w:rPr>
        <w:rFonts w:ascii="Symbol" w:hAnsi="Symbol"/>
      </w:rPr>
    </w:lvl>
    <w:lvl w:ilvl="8" w:tplc="A26EEED4">
      <w:start w:val="1"/>
      <w:numFmt w:val="bullet"/>
      <w:lvlText w:val=""/>
      <w:lvlJc w:val="left"/>
      <w:pPr>
        <w:ind w:left="1080" w:hanging="360"/>
      </w:pPr>
      <w:rPr>
        <w:rFonts w:ascii="Symbol" w:hAnsi="Symbol"/>
      </w:rPr>
    </w:lvl>
  </w:abstractNum>
  <w:abstractNum w:abstractNumId="18" w15:restartNumberingAfterBreak="0">
    <w:nsid w:val="3F7E0192"/>
    <w:multiLevelType w:val="hybridMultilevel"/>
    <w:tmpl w:val="F252BCC4"/>
    <w:lvl w:ilvl="0" w:tplc="2DFEF3B8">
      <w:start w:val="1"/>
      <w:numFmt w:val="bullet"/>
      <w:lvlText w:val=""/>
      <w:lvlJc w:val="left"/>
      <w:pPr>
        <w:ind w:left="1080" w:hanging="360"/>
      </w:pPr>
      <w:rPr>
        <w:rFonts w:ascii="Symbol" w:hAnsi="Symbol"/>
      </w:rPr>
    </w:lvl>
    <w:lvl w:ilvl="1" w:tplc="33F80F20">
      <w:start w:val="1"/>
      <w:numFmt w:val="bullet"/>
      <w:lvlText w:val=""/>
      <w:lvlJc w:val="left"/>
      <w:pPr>
        <w:ind w:left="1440" w:hanging="360"/>
      </w:pPr>
      <w:rPr>
        <w:rFonts w:ascii="Symbol" w:hAnsi="Symbol"/>
      </w:rPr>
    </w:lvl>
    <w:lvl w:ilvl="2" w:tplc="E118082E">
      <w:start w:val="1"/>
      <w:numFmt w:val="bullet"/>
      <w:lvlText w:val=""/>
      <w:lvlJc w:val="left"/>
      <w:pPr>
        <w:ind w:left="1080" w:hanging="360"/>
      </w:pPr>
      <w:rPr>
        <w:rFonts w:ascii="Symbol" w:hAnsi="Symbol"/>
      </w:rPr>
    </w:lvl>
    <w:lvl w:ilvl="3" w:tplc="4A3A0B64">
      <w:start w:val="1"/>
      <w:numFmt w:val="bullet"/>
      <w:lvlText w:val=""/>
      <w:lvlJc w:val="left"/>
      <w:pPr>
        <w:ind w:left="1080" w:hanging="360"/>
      </w:pPr>
      <w:rPr>
        <w:rFonts w:ascii="Symbol" w:hAnsi="Symbol"/>
      </w:rPr>
    </w:lvl>
    <w:lvl w:ilvl="4" w:tplc="5BA065C2">
      <w:start w:val="1"/>
      <w:numFmt w:val="bullet"/>
      <w:lvlText w:val=""/>
      <w:lvlJc w:val="left"/>
      <w:pPr>
        <w:ind w:left="1080" w:hanging="360"/>
      </w:pPr>
      <w:rPr>
        <w:rFonts w:ascii="Symbol" w:hAnsi="Symbol"/>
      </w:rPr>
    </w:lvl>
    <w:lvl w:ilvl="5" w:tplc="5170C432">
      <w:start w:val="1"/>
      <w:numFmt w:val="bullet"/>
      <w:lvlText w:val=""/>
      <w:lvlJc w:val="left"/>
      <w:pPr>
        <w:ind w:left="1080" w:hanging="360"/>
      </w:pPr>
      <w:rPr>
        <w:rFonts w:ascii="Symbol" w:hAnsi="Symbol"/>
      </w:rPr>
    </w:lvl>
    <w:lvl w:ilvl="6" w:tplc="4E5A4858">
      <w:start w:val="1"/>
      <w:numFmt w:val="bullet"/>
      <w:lvlText w:val=""/>
      <w:lvlJc w:val="left"/>
      <w:pPr>
        <w:ind w:left="1080" w:hanging="360"/>
      </w:pPr>
      <w:rPr>
        <w:rFonts w:ascii="Symbol" w:hAnsi="Symbol"/>
      </w:rPr>
    </w:lvl>
    <w:lvl w:ilvl="7" w:tplc="BC4AE206">
      <w:start w:val="1"/>
      <w:numFmt w:val="bullet"/>
      <w:lvlText w:val=""/>
      <w:lvlJc w:val="left"/>
      <w:pPr>
        <w:ind w:left="1080" w:hanging="360"/>
      </w:pPr>
      <w:rPr>
        <w:rFonts w:ascii="Symbol" w:hAnsi="Symbol"/>
      </w:rPr>
    </w:lvl>
    <w:lvl w:ilvl="8" w:tplc="BB1A8AA4">
      <w:start w:val="1"/>
      <w:numFmt w:val="bullet"/>
      <w:lvlText w:val=""/>
      <w:lvlJc w:val="left"/>
      <w:pPr>
        <w:ind w:left="1080" w:hanging="360"/>
      </w:pPr>
      <w:rPr>
        <w:rFonts w:ascii="Symbol" w:hAnsi="Symbol"/>
      </w:rPr>
    </w:lvl>
  </w:abstractNum>
  <w:abstractNum w:abstractNumId="19" w15:restartNumberingAfterBreak="0">
    <w:nsid w:val="42CB1C97"/>
    <w:multiLevelType w:val="multilevel"/>
    <w:tmpl w:val="FFE24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681E57"/>
    <w:multiLevelType w:val="multilevel"/>
    <w:tmpl w:val="3BBE3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B857C4"/>
    <w:multiLevelType w:val="hybridMultilevel"/>
    <w:tmpl w:val="8508F68C"/>
    <w:lvl w:ilvl="0" w:tplc="20329FAC">
      <w:start w:val="1"/>
      <w:numFmt w:val="bullet"/>
      <w:lvlText w:val=""/>
      <w:lvlJc w:val="left"/>
      <w:pPr>
        <w:ind w:left="1080" w:hanging="360"/>
      </w:pPr>
      <w:rPr>
        <w:rFonts w:ascii="Symbol" w:hAnsi="Symbol"/>
      </w:rPr>
    </w:lvl>
    <w:lvl w:ilvl="1" w:tplc="18E0964A">
      <w:start w:val="1"/>
      <w:numFmt w:val="bullet"/>
      <w:lvlText w:val=""/>
      <w:lvlJc w:val="left"/>
      <w:pPr>
        <w:ind w:left="1080" w:hanging="360"/>
      </w:pPr>
      <w:rPr>
        <w:rFonts w:ascii="Symbol" w:hAnsi="Symbol"/>
      </w:rPr>
    </w:lvl>
    <w:lvl w:ilvl="2" w:tplc="30909446">
      <w:start w:val="1"/>
      <w:numFmt w:val="bullet"/>
      <w:lvlText w:val=""/>
      <w:lvlJc w:val="left"/>
      <w:pPr>
        <w:ind w:left="1080" w:hanging="360"/>
      </w:pPr>
      <w:rPr>
        <w:rFonts w:ascii="Symbol" w:hAnsi="Symbol"/>
      </w:rPr>
    </w:lvl>
    <w:lvl w:ilvl="3" w:tplc="F0601568">
      <w:start w:val="1"/>
      <w:numFmt w:val="bullet"/>
      <w:lvlText w:val=""/>
      <w:lvlJc w:val="left"/>
      <w:pPr>
        <w:ind w:left="1080" w:hanging="360"/>
      </w:pPr>
      <w:rPr>
        <w:rFonts w:ascii="Symbol" w:hAnsi="Symbol"/>
      </w:rPr>
    </w:lvl>
    <w:lvl w:ilvl="4" w:tplc="85A8F8AE">
      <w:start w:val="1"/>
      <w:numFmt w:val="bullet"/>
      <w:lvlText w:val=""/>
      <w:lvlJc w:val="left"/>
      <w:pPr>
        <w:ind w:left="1080" w:hanging="360"/>
      </w:pPr>
      <w:rPr>
        <w:rFonts w:ascii="Symbol" w:hAnsi="Symbol"/>
      </w:rPr>
    </w:lvl>
    <w:lvl w:ilvl="5" w:tplc="E2EE55C8">
      <w:start w:val="1"/>
      <w:numFmt w:val="bullet"/>
      <w:lvlText w:val=""/>
      <w:lvlJc w:val="left"/>
      <w:pPr>
        <w:ind w:left="1080" w:hanging="360"/>
      </w:pPr>
      <w:rPr>
        <w:rFonts w:ascii="Symbol" w:hAnsi="Symbol"/>
      </w:rPr>
    </w:lvl>
    <w:lvl w:ilvl="6" w:tplc="620E3902">
      <w:start w:val="1"/>
      <w:numFmt w:val="bullet"/>
      <w:lvlText w:val=""/>
      <w:lvlJc w:val="left"/>
      <w:pPr>
        <w:ind w:left="1080" w:hanging="360"/>
      </w:pPr>
      <w:rPr>
        <w:rFonts w:ascii="Symbol" w:hAnsi="Symbol"/>
      </w:rPr>
    </w:lvl>
    <w:lvl w:ilvl="7" w:tplc="6C30F54C">
      <w:start w:val="1"/>
      <w:numFmt w:val="bullet"/>
      <w:lvlText w:val=""/>
      <w:lvlJc w:val="left"/>
      <w:pPr>
        <w:ind w:left="1080" w:hanging="360"/>
      </w:pPr>
      <w:rPr>
        <w:rFonts w:ascii="Symbol" w:hAnsi="Symbol"/>
      </w:rPr>
    </w:lvl>
    <w:lvl w:ilvl="8" w:tplc="0658BC62">
      <w:start w:val="1"/>
      <w:numFmt w:val="bullet"/>
      <w:lvlText w:val=""/>
      <w:lvlJc w:val="left"/>
      <w:pPr>
        <w:ind w:left="1080" w:hanging="360"/>
      </w:pPr>
      <w:rPr>
        <w:rFonts w:ascii="Symbol" w:hAnsi="Symbol"/>
      </w:rPr>
    </w:lvl>
  </w:abstractNum>
  <w:abstractNum w:abstractNumId="22" w15:restartNumberingAfterBreak="0">
    <w:nsid w:val="4AAD18BA"/>
    <w:multiLevelType w:val="multilevel"/>
    <w:tmpl w:val="A386CCF4"/>
    <w:lvl w:ilvl="0">
      <w:start w:val="2"/>
      <w:numFmt w:val="decimal"/>
      <w:lvlText w:val="%1"/>
      <w:lvlJc w:val="left"/>
      <w:pPr>
        <w:ind w:left="360" w:hanging="360"/>
      </w:pPr>
      <w:rPr>
        <w:rFonts w:hint="default"/>
      </w:rPr>
    </w:lvl>
    <w:lvl w:ilvl="1">
      <w:start w:val="1"/>
      <w:numFmt w:val="decimal"/>
      <w:lvlText w:val="%1.%2"/>
      <w:lvlJc w:val="left"/>
      <w:pPr>
        <w:ind w:left="761" w:hanging="360"/>
      </w:pPr>
      <w:rPr>
        <w:rFonts w:hint="default"/>
      </w:rPr>
    </w:lvl>
    <w:lvl w:ilvl="2">
      <w:start w:val="1"/>
      <w:numFmt w:val="decimal"/>
      <w:lvlText w:val="%1.%2.%3"/>
      <w:lvlJc w:val="left"/>
      <w:pPr>
        <w:ind w:left="1522" w:hanging="720"/>
      </w:pPr>
      <w:rPr>
        <w:rFonts w:hint="default"/>
      </w:rPr>
    </w:lvl>
    <w:lvl w:ilvl="3">
      <w:start w:val="1"/>
      <w:numFmt w:val="decimal"/>
      <w:lvlText w:val="%1.%2.%3.%4"/>
      <w:lvlJc w:val="left"/>
      <w:pPr>
        <w:ind w:left="2283" w:hanging="1080"/>
      </w:pPr>
      <w:rPr>
        <w:rFonts w:hint="default"/>
      </w:rPr>
    </w:lvl>
    <w:lvl w:ilvl="4">
      <w:start w:val="1"/>
      <w:numFmt w:val="decimal"/>
      <w:lvlText w:val="%1.%2.%3.%4.%5"/>
      <w:lvlJc w:val="left"/>
      <w:pPr>
        <w:ind w:left="2684" w:hanging="1080"/>
      </w:pPr>
      <w:rPr>
        <w:rFonts w:hint="default"/>
      </w:rPr>
    </w:lvl>
    <w:lvl w:ilvl="5">
      <w:start w:val="1"/>
      <w:numFmt w:val="decimal"/>
      <w:lvlText w:val="%1.%2.%3.%4.%5.%6"/>
      <w:lvlJc w:val="left"/>
      <w:pPr>
        <w:ind w:left="3445" w:hanging="1440"/>
      </w:pPr>
      <w:rPr>
        <w:rFonts w:hint="default"/>
      </w:rPr>
    </w:lvl>
    <w:lvl w:ilvl="6">
      <w:start w:val="1"/>
      <w:numFmt w:val="decimal"/>
      <w:lvlText w:val="%1.%2.%3.%4.%5.%6.%7"/>
      <w:lvlJc w:val="left"/>
      <w:pPr>
        <w:ind w:left="3846" w:hanging="1440"/>
      </w:pPr>
      <w:rPr>
        <w:rFonts w:hint="default"/>
      </w:rPr>
    </w:lvl>
    <w:lvl w:ilvl="7">
      <w:start w:val="1"/>
      <w:numFmt w:val="decimal"/>
      <w:lvlText w:val="%1.%2.%3.%4.%5.%6.%7.%8"/>
      <w:lvlJc w:val="left"/>
      <w:pPr>
        <w:ind w:left="4607" w:hanging="1800"/>
      </w:pPr>
      <w:rPr>
        <w:rFonts w:hint="default"/>
      </w:rPr>
    </w:lvl>
    <w:lvl w:ilvl="8">
      <w:start w:val="1"/>
      <w:numFmt w:val="decimal"/>
      <w:lvlText w:val="%1.%2.%3.%4.%5.%6.%7.%8.%9"/>
      <w:lvlJc w:val="left"/>
      <w:pPr>
        <w:ind w:left="5008" w:hanging="1800"/>
      </w:pPr>
      <w:rPr>
        <w:rFonts w:hint="default"/>
      </w:rPr>
    </w:lvl>
  </w:abstractNum>
  <w:abstractNum w:abstractNumId="23" w15:restartNumberingAfterBreak="0">
    <w:nsid w:val="4AB971D2"/>
    <w:multiLevelType w:val="hybridMultilevel"/>
    <w:tmpl w:val="9A38EC1A"/>
    <w:lvl w:ilvl="0" w:tplc="50AC5D3E">
      <w:start w:val="1"/>
      <w:numFmt w:val="decimal"/>
      <w:lvlText w:val="%1."/>
      <w:lvlJc w:val="left"/>
      <w:pPr>
        <w:ind w:left="1440" w:hanging="360"/>
      </w:pPr>
    </w:lvl>
    <w:lvl w:ilvl="1" w:tplc="8A3807F0">
      <w:start w:val="1"/>
      <w:numFmt w:val="decimal"/>
      <w:lvlText w:val="%2."/>
      <w:lvlJc w:val="left"/>
      <w:pPr>
        <w:ind w:left="1440" w:hanging="360"/>
      </w:pPr>
    </w:lvl>
    <w:lvl w:ilvl="2" w:tplc="05CCB242">
      <w:start w:val="1"/>
      <w:numFmt w:val="decimal"/>
      <w:lvlText w:val="%3."/>
      <w:lvlJc w:val="left"/>
      <w:pPr>
        <w:ind w:left="1440" w:hanging="360"/>
      </w:pPr>
    </w:lvl>
    <w:lvl w:ilvl="3" w:tplc="035C21E6">
      <w:start w:val="1"/>
      <w:numFmt w:val="decimal"/>
      <w:lvlText w:val="%4."/>
      <w:lvlJc w:val="left"/>
      <w:pPr>
        <w:ind w:left="1440" w:hanging="360"/>
      </w:pPr>
    </w:lvl>
    <w:lvl w:ilvl="4" w:tplc="F81C0268">
      <w:start w:val="1"/>
      <w:numFmt w:val="decimal"/>
      <w:lvlText w:val="%5."/>
      <w:lvlJc w:val="left"/>
      <w:pPr>
        <w:ind w:left="1440" w:hanging="360"/>
      </w:pPr>
    </w:lvl>
    <w:lvl w:ilvl="5" w:tplc="99A61F96">
      <w:start w:val="1"/>
      <w:numFmt w:val="decimal"/>
      <w:lvlText w:val="%6."/>
      <w:lvlJc w:val="left"/>
      <w:pPr>
        <w:ind w:left="1440" w:hanging="360"/>
      </w:pPr>
    </w:lvl>
    <w:lvl w:ilvl="6" w:tplc="3EDC0594">
      <w:start w:val="1"/>
      <w:numFmt w:val="decimal"/>
      <w:lvlText w:val="%7."/>
      <w:lvlJc w:val="left"/>
      <w:pPr>
        <w:ind w:left="1440" w:hanging="360"/>
      </w:pPr>
    </w:lvl>
    <w:lvl w:ilvl="7" w:tplc="7B02748E">
      <w:start w:val="1"/>
      <w:numFmt w:val="decimal"/>
      <w:lvlText w:val="%8."/>
      <w:lvlJc w:val="left"/>
      <w:pPr>
        <w:ind w:left="1440" w:hanging="360"/>
      </w:pPr>
    </w:lvl>
    <w:lvl w:ilvl="8" w:tplc="01A678A0">
      <w:start w:val="1"/>
      <w:numFmt w:val="decimal"/>
      <w:lvlText w:val="%9."/>
      <w:lvlJc w:val="left"/>
      <w:pPr>
        <w:ind w:left="1440" w:hanging="360"/>
      </w:pPr>
    </w:lvl>
  </w:abstractNum>
  <w:abstractNum w:abstractNumId="24" w15:restartNumberingAfterBreak="0">
    <w:nsid w:val="4BCB7398"/>
    <w:multiLevelType w:val="multilevel"/>
    <w:tmpl w:val="CEA87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8E1A36"/>
    <w:multiLevelType w:val="hybridMultilevel"/>
    <w:tmpl w:val="978EC598"/>
    <w:lvl w:ilvl="0" w:tplc="EE0A9BBA">
      <w:start w:val="1"/>
      <w:numFmt w:val="bullet"/>
      <w:lvlText w:val=""/>
      <w:lvlJc w:val="left"/>
      <w:pPr>
        <w:ind w:left="1080" w:hanging="360"/>
      </w:pPr>
      <w:rPr>
        <w:rFonts w:ascii="Symbol" w:hAnsi="Symbol"/>
      </w:rPr>
    </w:lvl>
    <w:lvl w:ilvl="1" w:tplc="9A485CDC">
      <w:start w:val="1"/>
      <w:numFmt w:val="bullet"/>
      <w:lvlText w:val=""/>
      <w:lvlJc w:val="left"/>
      <w:pPr>
        <w:ind w:left="1080" w:hanging="360"/>
      </w:pPr>
      <w:rPr>
        <w:rFonts w:ascii="Symbol" w:hAnsi="Symbol"/>
      </w:rPr>
    </w:lvl>
    <w:lvl w:ilvl="2" w:tplc="BB6236FE">
      <w:start w:val="1"/>
      <w:numFmt w:val="bullet"/>
      <w:lvlText w:val=""/>
      <w:lvlJc w:val="left"/>
      <w:pPr>
        <w:ind w:left="1080" w:hanging="360"/>
      </w:pPr>
      <w:rPr>
        <w:rFonts w:ascii="Symbol" w:hAnsi="Symbol"/>
      </w:rPr>
    </w:lvl>
    <w:lvl w:ilvl="3" w:tplc="3CBC41D0">
      <w:start w:val="1"/>
      <w:numFmt w:val="bullet"/>
      <w:lvlText w:val=""/>
      <w:lvlJc w:val="left"/>
      <w:pPr>
        <w:ind w:left="1080" w:hanging="360"/>
      </w:pPr>
      <w:rPr>
        <w:rFonts w:ascii="Symbol" w:hAnsi="Symbol"/>
      </w:rPr>
    </w:lvl>
    <w:lvl w:ilvl="4" w:tplc="31FE3892">
      <w:start w:val="1"/>
      <w:numFmt w:val="bullet"/>
      <w:lvlText w:val=""/>
      <w:lvlJc w:val="left"/>
      <w:pPr>
        <w:ind w:left="1080" w:hanging="360"/>
      </w:pPr>
      <w:rPr>
        <w:rFonts w:ascii="Symbol" w:hAnsi="Symbol"/>
      </w:rPr>
    </w:lvl>
    <w:lvl w:ilvl="5" w:tplc="81503F5E">
      <w:start w:val="1"/>
      <w:numFmt w:val="bullet"/>
      <w:lvlText w:val=""/>
      <w:lvlJc w:val="left"/>
      <w:pPr>
        <w:ind w:left="1080" w:hanging="360"/>
      </w:pPr>
      <w:rPr>
        <w:rFonts w:ascii="Symbol" w:hAnsi="Symbol"/>
      </w:rPr>
    </w:lvl>
    <w:lvl w:ilvl="6" w:tplc="7334278A">
      <w:start w:val="1"/>
      <w:numFmt w:val="bullet"/>
      <w:lvlText w:val=""/>
      <w:lvlJc w:val="left"/>
      <w:pPr>
        <w:ind w:left="1080" w:hanging="360"/>
      </w:pPr>
      <w:rPr>
        <w:rFonts w:ascii="Symbol" w:hAnsi="Symbol"/>
      </w:rPr>
    </w:lvl>
    <w:lvl w:ilvl="7" w:tplc="36109554">
      <w:start w:val="1"/>
      <w:numFmt w:val="bullet"/>
      <w:lvlText w:val=""/>
      <w:lvlJc w:val="left"/>
      <w:pPr>
        <w:ind w:left="1080" w:hanging="360"/>
      </w:pPr>
      <w:rPr>
        <w:rFonts w:ascii="Symbol" w:hAnsi="Symbol"/>
      </w:rPr>
    </w:lvl>
    <w:lvl w:ilvl="8" w:tplc="2F924786">
      <w:start w:val="1"/>
      <w:numFmt w:val="bullet"/>
      <w:lvlText w:val=""/>
      <w:lvlJc w:val="left"/>
      <w:pPr>
        <w:ind w:left="1080" w:hanging="360"/>
      </w:pPr>
      <w:rPr>
        <w:rFonts w:ascii="Symbol" w:hAnsi="Symbol"/>
      </w:rPr>
    </w:lvl>
  </w:abstractNum>
  <w:abstractNum w:abstractNumId="26" w15:restartNumberingAfterBreak="0">
    <w:nsid w:val="52677ACF"/>
    <w:multiLevelType w:val="multilevel"/>
    <w:tmpl w:val="34A05A8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1520" w:hanging="720"/>
      </w:pPr>
      <w:rPr>
        <w:rFonts w:hint="default"/>
      </w:rPr>
    </w:lvl>
    <w:lvl w:ilvl="3">
      <w:start w:val="1"/>
      <w:numFmt w:val="decimal"/>
      <w:lvlText w:val="%1.%2.%3.%4"/>
      <w:lvlJc w:val="left"/>
      <w:pPr>
        <w:ind w:left="2280" w:hanging="1080"/>
      </w:pPr>
      <w:rPr>
        <w:rFonts w:hint="default"/>
      </w:rPr>
    </w:lvl>
    <w:lvl w:ilvl="4">
      <w:start w:val="1"/>
      <w:numFmt w:val="decimal"/>
      <w:lvlText w:val="%1.%2.%3.%4.%5"/>
      <w:lvlJc w:val="left"/>
      <w:pPr>
        <w:ind w:left="2680" w:hanging="1080"/>
      </w:pPr>
      <w:rPr>
        <w:rFonts w:hint="default"/>
      </w:rPr>
    </w:lvl>
    <w:lvl w:ilvl="5">
      <w:start w:val="1"/>
      <w:numFmt w:val="decimal"/>
      <w:lvlText w:val="%1.%2.%3.%4.%5.%6"/>
      <w:lvlJc w:val="left"/>
      <w:pPr>
        <w:ind w:left="3440" w:hanging="1440"/>
      </w:pPr>
      <w:rPr>
        <w:rFonts w:hint="default"/>
      </w:rPr>
    </w:lvl>
    <w:lvl w:ilvl="6">
      <w:start w:val="1"/>
      <w:numFmt w:val="decimal"/>
      <w:lvlText w:val="%1.%2.%3.%4.%5.%6.%7"/>
      <w:lvlJc w:val="left"/>
      <w:pPr>
        <w:ind w:left="3840" w:hanging="1440"/>
      </w:pPr>
      <w:rPr>
        <w:rFonts w:hint="default"/>
      </w:rPr>
    </w:lvl>
    <w:lvl w:ilvl="7">
      <w:start w:val="1"/>
      <w:numFmt w:val="decimal"/>
      <w:lvlText w:val="%1.%2.%3.%4.%5.%6.%7.%8"/>
      <w:lvlJc w:val="left"/>
      <w:pPr>
        <w:ind w:left="4600" w:hanging="1800"/>
      </w:pPr>
      <w:rPr>
        <w:rFonts w:hint="default"/>
      </w:rPr>
    </w:lvl>
    <w:lvl w:ilvl="8">
      <w:start w:val="1"/>
      <w:numFmt w:val="decimal"/>
      <w:lvlText w:val="%1.%2.%3.%4.%5.%6.%7.%8.%9"/>
      <w:lvlJc w:val="left"/>
      <w:pPr>
        <w:ind w:left="5000" w:hanging="1800"/>
      </w:pPr>
      <w:rPr>
        <w:rFonts w:hint="default"/>
      </w:rPr>
    </w:lvl>
  </w:abstractNum>
  <w:abstractNum w:abstractNumId="27" w15:restartNumberingAfterBreak="0">
    <w:nsid w:val="5E3B491C"/>
    <w:multiLevelType w:val="hybridMultilevel"/>
    <w:tmpl w:val="F1A2533A"/>
    <w:lvl w:ilvl="0" w:tplc="A4E0AEC6">
      <w:start w:val="1"/>
      <w:numFmt w:val="bullet"/>
      <w:lvlText w:val=""/>
      <w:lvlJc w:val="left"/>
      <w:pPr>
        <w:ind w:left="1080" w:hanging="360"/>
      </w:pPr>
      <w:rPr>
        <w:rFonts w:ascii="Symbol" w:hAnsi="Symbol"/>
      </w:rPr>
    </w:lvl>
    <w:lvl w:ilvl="1" w:tplc="2BBE84C8">
      <w:start w:val="1"/>
      <w:numFmt w:val="bullet"/>
      <w:lvlText w:val=""/>
      <w:lvlJc w:val="left"/>
      <w:pPr>
        <w:ind w:left="1440" w:hanging="360"/>
      </w:pPr>
      <w:rPr>
        <w:rFonts w:ascii="Symbol" w:hAnsi="Symbol"/>
      </w:rPr>
    </w:lvl>
    <w:lvl w:ilvl="2" w:tplc="20A4B73A">
      <w:start w:val="1"/>
      <w:numFmt w:val="bullet"/>
      <w:lvlText w:val=""/>
      <w:lvlJc w:val="left"/>
      <w:pPr>
        <w:ind w:left="1080" w:hanging="360"/>
      </w:pPr>
      <w:rPr>
        <w:rFonts w:ascii="Symbol" w:hAnsi="Symbol"/>
      </w:rPr>
    </w:lvl>
    <w:lvl w:ilvl="3" w:tplc="C36A54EE">
      <w:start w:val="1"/>
      <w:numFmt w:val="bullet"/>
      <w:lvlText w:val=""/>
      <w:lvlJc w:val="left"/>
      <w:pPr>
        <w:ind w:left="1080" w:hanging="360"/>
      </w:pPr>
      <w:rPr>
        <w:rFonts w:ascii="Symbol" w:hAnsi="Symbol"/>
      </w:rPr>
    </w:lvl>
    <w:lvl w:ilvl="4" w:tplc="BA7819C6">
      <w:start w:val="1"/>
      <w:numFmt w:val="bullet"/>
      <w:lvlText w:val=""/>
      <w:lvlJc w:val="left"/>
      <w:pPr>
        <w:ind w:left="1080" w:hanging="360"/>
      </w:pPr>
      <w:rPr>
        <w:rFonts w:ascii="Symbol" w:hAnsi="Symbol"/>
      </w:rPr>
    </w:lvl>
    <w:lvl w:ilvl="5" w:tplc="27823316">
      <w:start w:val="1"/>
      <w:numFmt w:val="bullet"/>
      <w:lvlText w:val=""/>
      <w:lvlJc w:val="left"/>
      <w:pPr>
        <w:ind w:left="1080" w:hanging="360"/>
      </w:pPr>
      <w:rPr>
        <w:rFonts w:ascii="Symbol" w:hAnsi="Symbol"/>
      </w:rPr>
    </w:lvl>
    <w:lvl w:ilvl="6" w:tplc="37E82F70">
      <w:start w:val="1"/>
      <w:numFmt w:val="bullet"/>
      <w:lvlText w:val=""/>
      <w:lvlJc w:val="left"/>
      <w:pPr>
        <w:ind w:left="1080" w:hanging="360"/>
      </w:pPr>
      <w:rPr>
        <w:rFonts w:ascii="Symbol" w:hAnsi="Symbol"/>
      </w:rPr>
    </w:lvl>
    <w:lvl w:ilvl="7" w:tplc="431CF95A">
      <w:start w:val="1"/>
      <w:numFmt w:val="bullet"/>
      <w:lvlText w:val=""/>
      <w:lvlJc w:val="left"/>
      <w:pPr>
        <w:ind w:left="1080" w:hanging="360"/>
      </w:pPr>
      <w:rPr>
        <w:rFonts w:ascii="Symbol" w:hAnsi="Symbol"/>
      </w:rPr>
    </w:lvl>
    <w:lvl w:ilvl="8" w:tplc="8F32FC9E">
      <w:start w:val="1"/>
      <w:numFmt w:val="bullet"/>
      <w:lvlText w:val=""/>
      <w:lvlJc w:val="left"/>
      <w:pPr>
        <w:ind w:left="1080" w:hanging="360"/>
      </w:pPr>
      <w:rPr>
        <w:rFonts w:ascii="Symbol" w:hAnsi="Symbol"/>
      </w:rPr>
    </w:lvl>
  </w:abstractNum>
  <w:abstractNum w:abstractNumId="28" w15:restartNumberingAfterBreak="0">
    <w:nsid w:val="68734F1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E7E3189"/>
    <w:multiLevelType w:val="hybridMultilevel"/>
    <w:tmpl w:val="03CA9600"/>
    <w:lvl w:ilvl="0" w:tplc="F59043A6">
      <w:start w:val="1"/>
      <w:numFmt w:val="bullet"/>
      <w:lvlText w:val=""/>
      <w:lvlJc w:val="left"/>
      <w:pPr>
        <w:ind w:left="1080" w:hanging="360"/>
      </w:pPr>
      <w:rPr>
        <w:rFonts w:ascii="Symbol" w:hAnsi="Symbol"/>
      </w:rPr>
    </w:lvl>
    <w:lvl w:ilvl="1" w:tplc="C456A0EE">
      <w:start w:val="1"/>
      <w:numFmt w:val="bullet"/>
      <w:lvlText w:val=""/>
      <w:lvlJc w:val="left"/>
      <w:pPr>
        <w:ind w:left="1080" w:hanging="360"/>
      </w:pPr>
      <w:rPr>
        <w:rFonts w:ascii="Symbol" w:hAnsi="Symbol"/>
      </w:rPr>
    </w:lvl>
    <w:lvl w:ilvl="2" w:tplc="79F8A842">
      <w:start w:val="1"/>
      <w:numFmt w:val="bullet"/>
      <w:lvlText w:val=""/>
      <w:lvlJc w:val="left"/>
      <w:pPr>
        <w:ind w:left="1080" w:hanging="360"/>
      </w:pPr>
      <w:rPr>
        <w:rFonts w:ascii="Symbol" w:hAnsi="Symbol"/>
      </w:rPr>
    </w:lvl>
    <w:lvl w:ilvl="3" w:tplc="9738EDEA">
      <w:start w:val="1"/>
      <w:numFmt w:val="bullet"/>
      <w:lvlText w:val=""/>
      <w:lvlJc w:val="left"/>
      <w:pPr>
        <w:ind w:left="1080" w:hanging="360"/>
      </w:pPr>
      <w:rPr>
        <w:rFonts w:ascii="Symbol" w:hAnsi="Symbol"/>
      </w:rPr>
    </w:lvl>
    <w:lvl w:ilvl="4" w:tplc="EC6A599E">
      <w:start w:val="1"/>
      <w:numFmt w:val="bullet"/>
      <w:lvlText w:val=""/>
      <w:lvlJc w:val="left"/>
      <w:pPr>
        <w:ind w:left="1080" w:hanging="360"/>
      </w:pPr>
      <w:rPr>
        <w:rFonts w:ascii="Symbol" w:hAnsi="Symbol"/>
      </w:rPr>
    </w:lvl>
    <w:lvl w:ilvl="5" w:tplc="6FD251D0">
      <w:start w:val="1"/>
      <w:numFmt w:val="bullet"/>
      <w:lvlText w:val=""/>
      <w:lvlJc w:val="left"/>
      <w:pPr>
        <w:ind w:left="1080" w:hanging="360"/>
      </w:pPr>
      <w:rPr>
        <w:rFonts w:ascii="Symbol" w:hAnsi="Symbol"/>
      </w:rPr>
    </w:lvl>
    <w:lvl w:ilvl="6" w:tplc="30EC4778">
      <w:start w:val="1"/>
      <w:numFmt w:val="bullet"/>
      <w:lvlText w:val=""/>
      <w:lvlJc w:val="left"/>
      <w:pPr>
        <w:ind w:left="1080" w:hanging="360"/>
      </w:pPr>
      <w:rPr>
        <w:rFonts w:ascii="Symbol" w:hAnsi="Symbol"/>
      </w:rPr>
    </w:lvl>
    <w:lvl w:ilvl="7" w:tplc="5C745BDE">
      <w:start w:val="1"/>
      <w:numFmt w:val="bullet"/>
      <w:lvlText w:val=""/>
      <w:lvlJc w:val="left"/>
      <w:pPr>
        <w:ind w:left="1080" w:hanging="360"/>
      </w:pPr>
      <w:rPr>
        <w:rFonts w:ascii="Symbol" w:hAnsi="Symbol"/>
      </w:rPr>
    </w:lvl>
    <w:lvl w:ilvl="8" w:tplc="CC42BAA8">
      <w:start w:val="1"/>
      <w:numFmt w:val="bullet"/>
      <w:lvlText w:val=""/>
      <w:lvlJc w:val="left"/>
      <w:pPr>
        <w:ind w:left="1080" w:hanging="360"/>
      </w:pPr>
      <w:rPr>
        <w:rFonts w:ascii="Symbol" w:hAnsi="Symbol"/>
      </w:rPr>
    </w:lvl>
  </w:abstractNum>
  <w:abstractNum w:abstractNumId="30" w15:restartNumberingAfterBreak="0">
    <w:nsid w:val="79D371CB"/>
    <w:multiLevelType w:val="hybridMultilevel"/>
    <w:tmpl w:val="842CF6BA"/>
    <w:lvl w:ilvl="0" w:tplc="DDE05AAE">
      <w:start w:val="1"/>
      <w:numFmt w:val="bullet"/>
      <w:lvlText w:val=""/>
      <w:lvlJc w:val="left"/>
      <w:pPr>
        <w:ind w:left="1080" w:hanging="360"/>
      </w:pPr>
      <w:rPr>
        <w:rFonts w:ascii="Symbol" w:hAnsi="Symbol"/>
      </w:rPr>
    </w:lvl>
    <w:lvl w:ilvl="1" w:tplc="3F8073C4">
      <w:start w:val="1"/>
      <w:numFmt w:val="bullet"/>
      <w:lvlText w:val=""/>
      <w:lvlJc w:val="left"/>
      <w:pPr>
        <w:ind w:left="1080" w:hanging="360"/>
      </w:pPr>
      <w:rPr>
        <w:rFonts w:ascii="Symbol" w:hAnsi="Symbol"/>
      </w:rPr>
    </w:lvl>
    <w:lvl w:ilvl="2" w:tplc="8CCE1E9A">
      <w:start w:val="1"/>
      <w:numFmt w:val="bullet"/>
      <w:lvlText w:val=""/>
      <w:lvlJc w:val="left"/>
      <w:pPr>
        <w:ind w:left="1080" w:hanging="360"/>
      </w:pPr>
      <w:rPr>
        <w:rFonts w:ascii="Symbol" w:hAnsi="Symbol"/>
      </w:rPr>
    </w:lvl>
    <w:lvl w:ilvl="3" w:tplc="71C4CDC8">
      <w:start w:val="1"/>
      <w:numFmt w:val="bullet"/>
      <w:lvlText w:val=""/>
      <w:lvlJc w:val="left"/>
      <w:pPr>
        <w:ind w:left="1080" w:hanging="360"/>
      </w:pPr>
      <w:rPr>
        <w:rFonts w:ascii="Symbol" w:hAnsi="Symbol"/>
      </w:rPr>
    </w:lvl>
    <w:lvl w:ilvl="4" w:tplc="1F9AAA0A">
      <w:start w:val="1"/>
      <w:numFmt w:val="bullet"/>
      <w:lvlText w:val=""/>
      <w:lvlJc w:val="left"/>
      <w:pPr>
        <w:ind w:left="1080" w:hanging="360"/>
      </w:pPr>
      <w:rPr>
        <w:rFonts w:ascii="Symbol" w:hAnsi="Symbol"/>
      </w:rPr>
    </w:lvl>
    <w:lvl w:ilvl="5" w:tplc="C0088484">
      <w:start w:val="1"/>
      <w:numFmt w:val="bullet"/>
      <w:lvlText w:val=""/>
      <w:lvlJc w:val="left"/>
      <w:pPr>
        <w:ind w:left="1080" w:hanging="360"/>
      </w:pPr>
      <w:rPr>
        <w:rFonts w:ascii="Symbol" w:hAnsi="Symbol"/>
      </w:rPr>
    </w:lvl>
    <w:lvl w:ilvl="6" w:tplc="2744DB44">
      <w:start w:val="1"/>
      <w:numFmt w:val="bullet"/>
      <w:lvlText w:val=""/>
      <w:lvlJc w:val="left"/>
      <w:pPr>
        <w:ind w:left="1080" w:hanging="360"/>
      </w:pPr>
      <w:rPr>
        <w:rFonts w:ascii="Symbol" w:hAnsi="Symbol"/>
      </w:rPr>
    </w:lvl>
    <w:lvl w:ilvl="7" w:tplc="6584D0E0">
      <w:start w:val="1"/>
      <w:numFmt w:val="bullet"/>
      <w:lvlText w:val=""/>
      <w:lvlJc w:val="left"/>
      <w:pPr>
        <w:ind w:left="1080" w:hanging="360"/>
      </w:pPr>
      <w:rPr>
        <w:rFonts w:ascii="Symbol" w:hAnsi="Symbol"/>
      </w:rPr>
    </w:lvl>
    <w:lvl w:ilvl="8" w:tplc="9852F6D2">
      <w:start w:val="1"/>
      <w:numFmt w:val="bullet"/>
      <w:lvlText w:val=""/>
      <w:lvlJc w:val="left"/>
      <w:pPr>
        <w:ind w:left="1080" w:hanging="360"/>
      </w:pPr>
      <w:rPr>
        <w:rFonts w:ascii="Symbol" w:hAnsi="Symbol"/>
      </w:rPr>
    </w:lvl>
  </w:abstractNum>
  <w:abstractNum w:abstractNumId="31" w15:restartNumberingAfterBreak="0">
    <w:nsid w:val="7BDA35B0"/>
    <w:multiLevelType w:val="multilevel"/>
    <w:tmpl w:val="E38CF748"/>
    <w:lvl w:ilvl="0">
      <w:start w:val="1"/>
      <w:numFmt w:val="decimal"/>
      <w:lvlText w:val="%1."/>
      <w:lvlJc w:val="left"/>
      <w:pPr>
        <w:ind w:left="2962" w:hanging="269"/>
      </w:pPr>
      <w:rPr>
        <w:rFonts w:hint="default"/>
        <w:spacing w:val="0"/>
        <w:w w:val="100"/>
        <w:lang w:val="en-US" w:eastAsia="en-US" w:bidi="ar-SA"/>
      </w:rPr>
    </w:lvl>
    <w:lvl w:ilvl="1">
      <w:start w:val="1"/>
      <w:numFmt w:val="decimal"/>
      <w:lvlText w:val="%1.%2"/>
      <w:lvlJc w:val="left"/>
      <w:pPr>
        <w:ind w:left="403" w:hanging="403"/>
      </w:pPr>
      <w:rPr>
        <w:rFonts w:ascii="Arial" w:eastAsia="Arial" w:hAnsi="Arial" w:cs="Arial" w:hint="default"/>
        <w:b/>
        <w:bCs/>
        <w:i w:val="0"/>
        <w:iCs w:val="0"/>
        <w:color w:val="4F81BC"/>
        <w:spacing w:val="-1"/>
        <w:w w:val="100"/>
        <w:sz w:val="24"/>
        <w:szCs w:val="24"/>
        <w:lang w:val="en-US" w:eastAsia="en-US" w:bidi="ar-SA"/>
      </w:rPr>
    </w:lvl>
    <w:lvl w:ilvl="2">
      <w:numFmt w:val="bullet"/>
      <w:lvlText w:val=""/>
      <w:lvlJc w:val="left"/>
      <w:pPr>
        <w:ind w:left="360" w:hanging="360"/>
      </w:pPr>
      <w:rPr>
        <w:rFonts w:ascii="Symbol" w:eastAsia="Symbol" w:hAnsi="Symbol" w:cs="Symbol" w:hint="default"/>
        <w:b w:val="0"/>
        <w:bCs w:val="0"/>
        <w:i w:val="0"/>
        <w:iCs w:val="0"/>
        <w:spacing w:val="0"/>
        <w:w w:val="100"/>
        <w:sz w:val="24"/>
        <w:szCs w:val="24"/>
        <w:lang w:val="en-US" w:eastAsia="en-US" w:bidi="ar-SA"/>
      </w:rPr>
    </w:lvl>
    <w:lvl w:ilvl="3">
      <w:numFmt w:val="bullet"/>
      <w:lvlText w:val="•"/>
      <w:lvlJc w:val="left"/>
      <w:pPr>
        <w:ind w:left="1475" w:hanging="360"/>
      </w:pPr>
      <w:rPr>
        <w:rFonts w:hint="default"/>
        <w:lang w:val="en-US" w:eastAsia="en-US" w:bidi="ar-SA"/>
      </w:rPr>
    </w:lvl>
    <w:lvl w:ilvl="4">
      <w:numFmt w:val="bullet"/>
      <w:lvlText w:val="•"/>
      <w:lvlJc w:val="left"/>
      <w:pPr>
        <w:ind w:left="2550" w:hanging="360"/>
      </w:pPr>
      <w:rPr>
        <w:rFonts w:hint="default"/>
        <w:lang w:val="en-US" w:eastAsia="en-US" w:bidi="ar-SA"/>
      </w:rPr>
    </w:lvl>
    <w:lvl w:ilvl="5">
      <w:numFmt w:val="bullet"/>
      <w:lvlText w:val="•"/>
      <w:lvlJc w:val="left"/>
      <w:pPr>
        <w:ind w:left="3625" w:hanging="360"/>
      </w:pPr>
      <w:rPr>
        <w:rFonts w:hint="default"/>
        <w:lang w:val="en-US" w:eastAsia="en-US" w:bidi="ar-SA"/>
      </w:rPr>
    </w:lvl>
    <w:lvl w:ilvl="6">
      <w:numFmt w:val="bullet"/>
      <w:lvlText w:val="•"/>
      <w:lvlJc w:val="left"/>
      <w:pPr>
        <w:ind w:left="4700" w:hanging="360"/>
      </w:pPr>
      <w:rPr>
        <w:rFonts w:hint="default"/>
        <w:lang w:val="en-US" w:eastAsia="en-US" w:bidi="ar-SA"/>
      </w:rPr>
    </w:lvl>
    <w:lvl w:ilvl="7">
      <w:numFmt w:val="bullet"/>
      <w:lvlText w:val="•"/>
      <w:lvlJc w:val="left"/>
      <w:pPr>
        <w:ind w:left="5775" w:hanging="360"/>
      </w:pPr>
      <w:rPr>
        <w:rFonts w:hint="default"/>
        <w:lang w:val="en-US" w:eastAsia="en-US" w:bidi="ar-SA"/>
      </w:rPr>
    </w:lvl>
    <w:lvl w:ilvl="8">
      <w:numFmt w:val="bullet"/>
      <w:lvlText w:val="•"/>
      <w:lvlJc w:val="left"/>
      <w:pPr>
        <w:ind w:left="6850" w:hanging="360"/>
      </w:pPr>
      <w:rPr>
        <w:rFonts w:hint="default"/>
        <w:lang w:val="en-US" w:eastAsia="en-US" w:bidi="ar-SA"/>
      </w:rPr>
    </w:lvl>
  </w:abstractNum>
  <w:abstractNum w:abstractNumId="32" w15:restartNumberingAfterBreak="0">
    <w:nsid w:val="7D847BAA"/>
    <w:multiLevelType w:val="hybridMultilevel"/>
    <w:tmpl w:val="28C6C25C"/>
    <w:lvl w:ilvl="0" w:tplc="AA76151C">
      <w:start w:val="1"/>
      <w:numFmt w:val="bullet"/>
      <w:lvlText w:val=""/>
      <w:lvlJc w:val="left"/>
      <w:pPr>
        <w:ind w:left="1080" w:hanging="360"/>
      </w:pPr>
      <w:rPr>
        <w:rFonts w:ascii="Symbol" w:hAnsi="Symbol"/>
      </w:rPr>
    </w:lvl>
    <w:lvl w:ilvl="1" w:tplc="C1DA5530">
      <w:start w:val="1"/>
      <w:numFmt w:val="bullet"/>
      <w:lvlText w:val=""/>
      <w:lvlJc w:val="left"/>
      <w:pPr>
        <w:ind w:left="1440" w:hanging="360"/>
      </w:pPr>
      <w:rPr>
        <w:rFonts w:ascii="Symbol" w:hAnsi="Symbol"/>
      </w:rPr>
    </w:lvl>
    <w:lvl w:ilvl="2" w:tplc="A1A836A4">
      <w:start w:val="1"/>
      <w:numFmt w:val="bullet"/>
      <w:lvlText w:val=""/>
      <w:lvlJc w:val="left"/>
      <w:pPr>
        <w:ind w:left="1080" w:hanging="360"/>
      </w:pPr>
      <w:rPr>
        <w:rFonts w:ascii="Symbol" w:hAnsi="Symbol"/>
      </w:rPr>
    </w:lvl>
    <w:lvl w:ilvl="3" w:tplc="BAB8A1CE">
      <w:start w:val="1"/>
      <w:numFmt w:val="bullet"/>
      <w:lvlText w:val=""/>
      <w:lvlJc w:val="left"/>
      <w:pPr>
        <w:ind w:left="1080" w:hanging="360"/>
      </w:pPr>
      <w:rPr>
        <w:rFonts w:ascii="Symbol" w:hAnsi="Symbol"/>
      </w:rPr>
    </w:lvl>
    <w:lvl w:ilvl="4" w:tplc="C4EAF30C">
      <w:start w:val="1"/>
      <w:numFmt w:val="bullet"/>
      <w:lvlText w:val=""/>
      <w:lvlJc w:val="left"/>
      <w:pPr>
        <w:ind w:left="1080" w:hanging="360"/>
      </w:pPr>
      <w:rPr>
        <w:rFonts w:ascii="Symbol" w:hAnsi="Symbol"/>
      </w:rPr>
    </w:lvl>
    <w:lvl w:ilvl="5" w:tplc="D32E4122">
      <w:start w:val="1"/>
      <w:numFmt w:val="bullet"/>
      <w:lvlText w:val=""/>
      <w:lvlJc w:val="left"/>
      <w:pPr>
        <w:ind w:left="1080" w:hanging="360"/>
      </w:pPr>
      <w:rPr>
        <w:rFonts w:ascii="Symbol" w:hAnsi="Symbol"/>
      </w:rPr>
    </w:lvl>
    <w:lvl w:ilvl="6" w:tplc="1D9894D6">
      <w:start w:val="1"/>
      <w:numFmt w:val="bullet"/>
      <w:lvlText w:val=""/>
      <w:lvlJc w:val="left"/>
      <w:pPr>
        <w:ind w:left="1080" w:hanging="360"/>
      </w:pPr>
      <w:rPr>
        <w:rFonts w:ascii="Symbol" w:hAnsi="Symbol"/>
      </w:rPr>
    </w:lvl>
    <w:lvl w:ilvl="7" w:tplc="43569408">
      <w:start w:val="1"/>
      <w:numFmt w:val="bullet"/>
      <w:lvlText w:val=""/>
      <w:lvlJc w:val="left"/>
      <w:pPr>
        <w:ind w:left="1080" w:hanging="360"/>
      </w:pPr>
      <w:rPr>
        <w:rFonts w:ascii="Symbol" w:hAnsi="Symbol"/>
      </w:rPr>
    </w:lvl>
    <w:lvl w:ilvl="8" w:tplc="61F68FC2">
      <w:start w:val="1"/>
      <w:numFmt w:val="bullet"/>
      <w:lvlText w:val=""/>
      <w:lvlJc w:val="left"/>
      <w:pPr>
        <w:ind w:left="1080" w:hanging="360"/>
      </w:pPr>
      <w:rPr>
        <w:rFonts w:ascii="Symbol" w:hAnsi="Symbol"/>
      </w:rPr>
    </w:lvl>
  </w:abstractNum>
  <w:abstractNum w:abstractNumId="33" w15:restartNumberingAfterBreak="0">
    <w:nsid w:val="7EB254FD"/>
    <w:multiLevelType w:val="hybridMultilevel"/>
    <w:tmpl w:val="A81CCE22"/>
    <w:lvl w:ilvl="0" w:tplc="73A8580A">
      <w:numFmt w:val="bullet"/>
      <w:lvlText w:val="-"/>
      <w:lvlJc w:val="left"/>
      <w:pPr>
        <w:ind w:left="0" w:hanging="147"/>
      </w:pPr>
      <w:rPr>
        <w:rFonts w:ascii="Arial" w:eastAsia="Arial" w:hAnsi="Arial" w:cs="Arial" w:hint="default"/>
        <w:b w:val="0"/>
        <w:bCs w:val="0"/>
        <w:i w:val="0"/>
        <w:iCs w:val="0"/>
        <w:spacing w:val="0"/>
        <w:w w:val="100"/>
        <w:sz w:val="24"/>
        <w:szCs w:val="24"/>
        <w:lang w:val="en-US" w:eastAsia="en-US" w:bidi="ar-SA"/>
      </w:rPr>
    </w:lvl>
    <w:lvl w:ilvl="1" w:tplc="CF7440AE">
      <w:numFmt w:val="bullet"/>
      <w:lvlText w:val="•"/>
      <w:lvlJc w:val="left"/>
      <w:pPr>
        <w:ind w:left="900" w:hanging="147"/>
      </w:pPr>
      <w:rPr>
        <w:rFonts w:hint="default"/>
        <w:lang w:val="en-US" w:eastAsia="en-US" w:bidi="ar-SA"/>
      </w:rPr>
    </w:lvl>
    <w:lvl w:ilvl="2" w:tplc="A2425520">
      <w:numFmt w:val="bullet"/>
      <w:lvlText w:val="•"/>
      <w:lvlJc w:val="left"/>
      <w:pPr>
        <w:ind w:left="1800" w:hanging="147"/>
      </w:pPr>
      <w:rPr>
        <w:rFonts w:hint="default"/>
        <w:lang w:val="en-US" w:eastAsia="en-US" w:bidi="ar-SA"/>
      </w:rPr>
    </w:lvl>
    <w:lvl w:ilvl="3" w:tplc="222441B2">
      <w:numFmt w:val="bullet"/>
      <w:lvlText w:val="•"/>
      <w:lvlJc w:val="left"/>
      <w:pPr>
        <w:ind w:left="2700" w:hanging="147"/>
      </w:pPr>
      <w:rPr>
        <w:rFonts w:hint="default"/>
        <w:lang w:val="en-US" w:eastAsia="en-US" w:bidi="ar-SA"/>
      </w:rPr>
    </w:lvl>
    <w:lvl w:ilvl="4" w:tplc="DEB41EAE">
      <w:numFmt w:val="bullet"/>
      <w:lvlText w:val="•"/>
      <w:lvlJc w:val="left"/>
      <w:pPr>
        <w:ind w:left="3600" w:hanging="147"/>
      </w:pPr>
      <w:rPr>
        <w:rFonts w:hint="default"/>
        <w:lang w:val="en-US" w:eastAsia="en-US" w:bidi="ar-SA"/>
      </w:rPr>
    </w:lvl>
    <w:lvl w:ilvl="5" w:tplc="62D044FC">
      <w:numFmt w:val="bullet"/>
      <w:lvlText w:val="•"/>
      <w:lvlJc w:val="left"/>
      <w:pPr>
        <w:ind w:left="4500" w:hanging="147"/>
      </w:pPr>
      <w:rPr>
        <w:rFonts w:hint="default"/>
        <w:lang w:val="en-US" w:eastAsia="en-US" w:bidi="ar-SA"/>
      </w:rPr>
    </w:lvl>
    <w:lvl w:ilvl="6" w:tplc="E3861316">
      <w:numFmt w:val="bullet"/>
      <w:lvlText w:val="•"/>
      <w:lvlJc w:val="left"/>
      <w:pPr>
        <w:ind w:left="5400" w:hanging="147"/>
      </w:pPr>
      <w:rPr>
        <w:rFonts w:hint="default"/>
        <w:lang w:val="en-US" w:eastAsia="en-US" w:bidi="ar-SA"/>
      </w:rPr>
    </w:lvl>
    <w:lvl w:ilvl="7" w:tplc="94D41142">
      <w:numFmt w:val="bullet"/>
      <w:lvlText w:val="•"/>
      <w:lvlJc w:val="left"/>
      <w:pPr>
        <w:ind w:left="6300" w:hanging="147"/>
      </w:pPr>
      <w:rPr>
        <w:rFonts w:hint="default"/>
        <w:lang w:val="en-US" w:eastAsia="en-US" w:bidi="ar-SA"/>
      </w:rPr>
    </w:lvl>
    <w:lvl w:ilvl="8" w:tplc="786C4B0C">
      <w:numFmt w:val="bullet"/>
      <w:lvlText w:val="•"/>
      <w:lvlJc w:val="left"/>
      <w:pPr>
        <w:ind w:left="7200" w:hanging="147"/>
      </w:pPr>
      <w:rPr>
        <w:rFonts w:hint="default"/>
        <w:lang w:val="en-US" w:eastAsia="en-US" w:bidi="ar-SA"/>
      </w:rPr>
    </w:lvl>
  </w:abstractNum>
  <w:num w:numId="1" w16cid:durableId="930965484">
    <w:abstractNumId w:val="33"/>
  </w:num>
  <w:num w:numId="2" w16cid:durableId="1710449238">
    <w:abstractNumId w:val="4"/>
  </w:num>
  <w:num w:numId="3" w16cid:durableId="1492214927">
    <w:abstractNumId w:val="31"/>
  </w:num>
  <w:num w:numId="4" w16cid:durableId="1205214212">
    <w:abstractNumId w:val="20"/>
  </w:num>
  <w:num w:numId="5" w16cid:durableId="1960452741">
    <w:abstractNumId w:val="6"/>
  </w:num>
  <w:num w:numId="6" w16cid:durableId="1064717922">
    <w:abstractNumId w:val="3"/>
  </w:num>
  <w:num w:numId="7" w16cid:durableId="206181626">
    <w:abstractNumId w:val="18"/>
  </w:num>
  <w:num w:numId="8" w16cid:durableId="401373696">
    <w:abstractNumId w:val="15"/>
  </w:num>
  <w:num w:numId="9" w16cid:durableId="742677631">
    <w:abstractNumId w:val="14"/>
  </w:num>
  <w:num w:numId="10" w16cid:durableId="993945533">
    <w:abstractNumId w:val="32"/>
  </w:num>
  <w:num w:numId="11" w16cid:durableId="42297255">
    <w:abstractNumId w:val="0"/>
  </w:num>
  <w:num w:numId="12" w16cid:durableId="380130016">
    <w:abstractNumId w:val="29"/>
  </w:num>
  <w:num w:numId="13" w16cid:durableId="1490826511">
    <w:abstractNumId w:val="21"/>
  </w:num>
  <w:num w:numId="14" w16cid:durableId="2062441087">
    <w:abstractNumId w:val="23"/>
  </w:num>
  <w:num w:numId="15" w16cid:durableId="140656750">
    <w:abstractNumId w:val="5"/>
  </w:num>
  <w:num w:numId="16" w16cid:durableId="407576645">
    <w:abstractNumId w:val="25"/>
  </w:num>
  <w:num w:numId="17" w16cid:durableId="1672179968">
    <w:abstractNumId w:val="27"/>
  </w:num>
  <w:num w:numId="18" w16cid:durableId="934822914">
    <w:abstractNumId w:val="1"/>
  </w:num>
  <w:num w:numId="19" w16cid:durableId="499586644">
    <w:abstractNumId w:val="24"/>
  </w:num>
  <w:num w:numId="20" w16cid:durableId="2068794827">
    <w:abstractNumId w:val="16"/>
  </w:num>
  <w:num w:numId="21" w16cid:durableId="20517335">
    <w:abstractNumId w:val="2"/>
  </w:num>
  <w:num w:numId="22" w16cid:durableId="1108506767">
    <w:abstractNumId w:val="30"/>
  </w:num>
  <w:num w:numId="23" w16cid:durableId="1828397846">
    <w:abstractNumId w:val="17"/>
  </w:num>
  <w:num w:numId="24" w16cid:durableId="662857927">
    <w:abstractNumId w:val="8"/>
  </w:num>
  <w:num w:numId="25" w16cid:durableId="170218875">
    <w:abstractNumId w:val="10"/>
  </w:num>
  <w:num w:numId="26" w16cid:durableId="1249923083">
    <w:abstractNumId w:val="9"/>
  </w:num>
  <w:num w:numId="27" w16cid:durableId="839003523">
    <w:abstractNumId w:val="7"/>
  </w:num>
  <w:num w:numId="28" w16cid:durableId="1094864381">
    <w:abstractNumId w:val="13"/>
  </w:num>
  <w:num w:numId="29" w16cid:durableId="2106458125">
    <w:abstractNumId w:val="19"/>
  </w:num>
  <w:num w:numId="30" w16cid:durableId="710886416">
    <w:abstractNumId w:val="12"/>
  </w:num>
  <w:num w:numId="31" w16cid:durableId="936446741">
    <w:abstractNumId w:val="28"/>
  </w:num>
  <w:num w:numId="32" w16cid:durableId="1314675511">
    <w:abstractNumId w:val="11"/>
  </w:num>
  <w:num w:numId="33" w16cid:durableId="358164583">
    <w:abstractNumId w:val="26"/>
  </w:num>
  <w:num w:numId="34" w16cid:durableId="341586563">
    <w:abstractNumId w:val="2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Ebad Banissi">
    <w15:presenceInfo w15:providerId="Windows Live" w15:userId="46ce2bb48972449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savePreviewPicture/>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A9E"/>
    <w:rsid w:val="00024A9E"/>
    <w:rsid w:val="000B004D"/>
    <w:rsid w:val="001303B2"/>
    <w:rsid w:val="00172D0C"/>
    <w:rsid w:val="001738B2"/>
    <w:rsid w:val="001C7D4F"/>
    <w:rsid w:val="001D4685"/>
    <w:rsid w:val="00217DCC"/>
    <w:rsid w:val="002419E9"/>
    <w:rsid w:val="002A1084"/>
    <w:rsid w:val="002F17F1"/>
    <w:rsid w:val="00342F90"/>
    <w:rsid w:val="003467BF"/>
    <w:rsid w:val="00444E2A"/>
    <w:rsid w:val="005D6234"/>
    <w:rsid w:val="00691401"/>
    <w:rsid w:val="006D394B"/>
    <w:rsid w:val="0080163C"/>
    <w:rsid w:val="00806A64"/>
    <w:rsid w:val="00893104"/>
    <w:rsid w:val="008F304B"/>
    <w:rsid w:val="00927E7D"/>
    <w:rsid w:val="00AA51E0"/>
    <w:rsid w:val="00AE60E0"/>
    <w:rsid w:val="00C37661"/>
    <w:rsid w:val="00C67EB1"/>
    <w:rsid w:val="00D220EA"/>
    <w:rsid w:val="00DD5429"/>
    <w:rsid w:val="00DE6980"/>
    <w:rsid w:val="00DF5BE9"/>
    <w:rsid w:val="00FA657D"/>
    <w:rsid w:val="00FD6A4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E4EF0F"/>
  <w15:docId w15:val="{9DE32A62-4942-49A7-8C04-CB94F87E8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102"/>
      <w:outlineLvl w:val="0"/>
    </w:pPr>
    <w:rPr>
      <w:rFonts w:ascii="Calibri" w:eastAsia="Calibri" w:hAnsi="Calibri" w:cs="Calibri"/>
      <w:b/>
      <w:bCs/>
      <w:sz w:val="28"/>
      <w:szCs w:val="28"/>
    </w:rPr>
  </w:style>
  <w:style w:type="paragraph" w:styleId="Heading2">
    <w:name w:val="heading 2"/>
    <w:basedOn w:val="Normal"/>
    <w:uiPriority w:val="9"/>
    <w:unhideWhenUsed/>
    <w:qFormat/>
    <w:pPr>
      <w:ind w:left="400" w:hanging="400"/>
      <w:outlineLvl w:val="1"/>
    </w:pPr>
    <w:rPr>
      <w:b/>
      <w:bCs/>
      <w:sz w:val="24"/>
      <w:szCs w:val="24"/>
    </w:rPr>
  </w:style>
  <w:style w:type="paragraph" w:styleId="Heading3">
    <w:name w:val="heading 3"/>
    <w:basedOn w:val="Normal"/>
    <w:next w:val="Normal"/>
    <w:link w:val="Heading3Char"/>
    <w:uiPriority w:val="9"/>
    <w:semiHidden/>
    <w:unhideWhenUsed/>
    <w:qFormat/>
    <w:rsid w:val="008F304B"/>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41"/>
    </w:pPr>
    <w:rPr>
      <w:sz w:val="24"/>
      <w:szCs w:val="24"/>
    </w:rPr>
  </w:style>
  <w:style w:type="paragraph" w:styleId="ListParagraph">
    <w:name w:val="List Paragraph"/>
    <w:basedOn w:val="Normal"/>
    <w:uiPriority w:val="1"/>
    <w:qFormat/>
    <w:pPr>
      <w:spacing w:before="41"/>
      <w:ind w:left="400" w:hanging="400"/>
    </w:pPr>
  </w:style>
  <w:style w:type="paragraph" w:customStyle="1" w:styleId="TableParagraph">
    <w:name w:val="Table Paragraph"/>
    <w:basedOn w:val="Normal"/>
    <w:uiPriority w:val="1"/>
    <w:qFormat/>
    <w:pPr>
      <w:ind w:left="107"/>
    </w:pPr>
  </w:style>
  <w:style w:type="character" w:customStyle="1" w:styleId="Heading3Char">
    <w:name w:val="Heading 3 Char"/>
    <w:basedOn w:val="DefaultParagraphFont"/>
    <w:link w:val="Heading3"/>
    <w:uiPriority w:val="9"/>
    <w:semiHidden/>
    <w:rsid w:val="008F304B"/>
    <w:rPr>
      <w:rFonts w:asciiTheme="majorHAnsi" w:eastAsiaTheme="majorEastAsia" w:hAnsiTheme="majorHAnsi" w:cstheme="majorBidi"/>
      <w:color w:val="243F60" w:themeColor="accent1" w:themeShade="7F"/>
      <w:sz w:val="24"/>
      <w:szCs w:val="24"/>
    </w:rPr>
  </w:style>
  <w:style w:type="character" w:styleId="CommentReference">
    <w:name w:val="annotation reference"/>
    <w:basedOn w:val="DefaultParagraphFont"/>
    <w:uiPriority w:val="99"/>
    <w:semiHidden/>
    <w:unhideWhenUsed/>
    <w:rsid w:val="00806A64"/>
    <w:rPr>
      <w:sz w:val="16"/>
      <w:szCs w:val="16"/>
    </w:rPr>
  </w:style>
  <w:style w:type="paragraph" w:styleId="CommentText">
    <w:name w:val="annotation text"/>
    <w:basedOn w:val="Normal"/>
    <w:link w:val="CommentTextChar"/>
    <w:uiPriority w:val="99"/>
    <w:unhideWhenUsed/>
    <w:rsid w:val="00806A64"/>
    <w:rPr>
      <w:sz w:val="20"/>
      <w:szCs w:val="20"/>
    </w:rPr>
  </w:style>
  <w:style w:type="character" w:customStyle="1" w:styleId="CommentTextChar">
    <w:name w:val="Comment Text Char"/>
    <w:basedOn w:val="DefaultParagraphFont"/>
    <w:link w:val="CommentText"/>
    <w:uiPriority w:val="99"/>
    <w:rsid w:val="00806A64"/>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806A64"/>
    <w:rPr>
      <w:b/>
      <w:bCs/>
    </w:rPr>
  </w:style>
  <w:style w:type="character" w:customStyle="1" w:styleId="CommentSubjectChar">
    <w:name w:val="Comment Subject Char"/>
    <w:basedOn w:val="CommentTextChar"/>
    <w:link w:val="CommentSubject"/>
    <w:uiPriority w:val="99"/>
    <w:semiHidden/>
    <w:rsid w:val="00806A64"/>
    <w:rPr>
      <w:rFonts w:ascii="Arial" w:eastAsia="Arial" w:hAnsi="Arial" w:cs="Arial"/>
      <w:b/>
      <w:bCs/>
      <w:sz w:val="20"/>
      <w:szCs w:val="20"/>
    </w:rPr>
  </w:style>
  <w:style w:type="paragraph" w:styleId="NormalWeb">
    <w:name w:val="Normal (Web)"/>
    <w:basedOn w:val="Normal"/>
    <w:uiPriority w:val="99"/>
    <w:semiHidden/>
    <w:unhideWhenUsed/>
    <w:rsid w:val="00DE6980"/>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DE6980"/>
    <w:rPr>
      <w:b/>
      <w:bCs/>
    </w:rPr>
  </w:style>
  <w:style w:type="character" w:styleId="Emphasis">
    <w:name w:val="Emphasis"/>
    <w:basedOn w:val="DefaultParagraphFont"/>
    <w:uiPriority w:val="20"/>
    <w:qFormat/>
    <w:rsid w:val="00C67EB1"/>
    <w:rPr>
      <w:i/>
      <w:iCs/>
    </w:rPr>
  </w:style>
  <w:style w:type="character" w:styleId="Hyperlink">
    <w:name w:val="Hyperlink"/>
    <w:basedOn w:val="DefaultParagraphFont"/>
    <w:uiPriority w:val="99"/>
    <w:unhideWhenUsed/>
    <w:rsid w:val="00342F90"/>
    <w:rPr>
      <w:color w:val="0000FF" w:themeColor="hyperlink"/>
      <w:u w:val="single"/>
    </w:rPr>
  </w:style>
  <w:style w:type="character" w:styleId="UnresolvedMention">
    <w:name w:val="Unresolved Mention"/>
    <w:basedOn w:val="DefaultParagraphFont"/>
    <w:uiPriority w:val="99"/>
    <w:semiHidden/>
    <w:unhideWhenUsed/>
    <w:rsid w:val="00342F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openxmlformats.org/officeDocument/2006/relationships/hyperlink" Target="https://www.bmwgroup.com" TargetMode="External"/><Relationship Id="rId18" Type="http://schemas.openxmlformats.org/officeDocument/2006/relationships/theme" Target="theme/theme1.xml"/><Relationship Id="rId3" Type="http://schemas.openxmlformats.org/officeDocument/2006/relationships/settings" Target="settings.xml"/><Relationship Id="rId7" Type="http://schemas.microsoft.com/office/2011/relationships/commentsExtended" Target="commentsExtended.xml"/><Relationship Id="rId12" Type="http://schemas.openxmlformats.org/officeDocument/2006/relationships/hyperlink" Target="https://www.unilever.com" TargetMode="External"/><Relationship Id="rId17" Type="http://schemas.microsoft.com/office/2011/relationships/people" Target="people.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comments" Target="comments.xml"/><Relationship Id="rId11" Type="http://schemas.openxmlformats.org/officeDocument/2006/relationships/hyperlink" Target="https://www.vodafone.com" TargetMode="External"/><Relationship Id="rId5" Type="http://schemas.openxmlformats.org/officeDocument/2006/relationships/hyperlink" Target="mailto:2428116@student.uwtsd.ac.uk" TargetMode="External"/><Relationship Id="rId15" Type="http://schemas.openxmlformats.org/officeDocument/2006/relationships/hyperlink" Target="https://www.allianz.com" TargetMode="External"/><Relationship Id="rId10" Type="http://schemas.openxmlformats.org/officeDocument/2006/relationships/hyperlink" Target="https://www.siemens.com" TargetMode="External"/><Relationship Id="rId4" Type="http://schemas.openxmlformats.org/officeDocument/2006/relationships/webSettings" Target="webSettings.xml"/><Relationship Id="rId9" Type="http://schemas.microsoft.com/office/2018/08/relationships/commentsExtensible" Target="commentsExtensible.xml"/><Relationship Id="rId14" Type="http://schemas.openxmlformats.org/officeDocument/2006/relationships/hyperlink" Target="https://www.hsbc.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2406</Words>
  <Characters>13720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cp:lastModifiedBy>Heman Bhadwal</cp:lastModifiedBy>
  <cp:revision>2</cp:revision>
  <dcterms:created xsi:type="dcterms:W3CDTF">2025-11-09T16:10:00Z</dcterms:created>
  <dcterms:modified xsi:type="dcterms:W3CDTF">2025-11-09T16:10:00Z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2025-10-26T00:00:00Z</vt:filetime>
  </property>
  <property fmtid="{D5CDD505-2E9C-101B-9397-08002B2CF9AE}" pid="3" name="Creator">
    <vt:lpwstr>Microsoft® Word 2021</vt:lpwstr>
  </property>
  <property fmtid="{D5CDD505-2E9C-101B-9397-08002B2CF9AE}" pid="4" name="LastSaved">
    <vt:filetime>2025-10-28T00:00:00Z</vt:filetime>
  </property>
  <property fmtid="{D5CDD505-2E9C-101B-9397-08002B2CF9AE}" pid="5" name="Producer">
    <vt:lpwstr>Microsoft® Word 2021</vt:lpwstr>
  </property>
  <property fmtid="{D5CDD505-2E9C-101B-9397-08002B2CF9AE}" pid="6" name="GrammarlyDocumentId">
    <vt:lpwstr>53707605-1d1a-4e89-8fcd-390c3871e98a</vt:lpwstr>
  </property>
</Properties>
</file>