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C1C1A" w:rsidRDefault="008C1C1A">
      <w:bookmarkStart w:id="0" w:name="_Hlk214461187"/>
    </w:p>
    <w:sdt>
      <w:sdtPr>
        <w:id w:val="-1910754429"/>
        <w:docPartObj>
          <w:docPartGallery w:val="AutoText"/>
        </w:docPartObj>
      </w:sdtPr>
      <w:sdtContent>
        <w:p w:rsidR="008C1C1A" w:rsidRDefault="00000000">
          <w:r>
            <w:rPr>
              <w:noProof/>
            </w:rPr>
            <mc:AlternateContent>
              <mc:Choice Requires="wps">
                <w:drawing>
                  <wp:anchor distT="0" distB="0" distL="114300" distR="114300" simplePos="0" relativeHeight="251667456" behindDoc="0" locked="0" layoutInCell="1" allowOverlap="1">
                    <wp:simplePos x="0" y="0"/>
                    <wp:positionH relativeFrom="margin">
                      <wp:align>center</wp:align>
                    </wp:positionH>
                    <wp:positionV relativeFrom="page">
                      <wp:posOffset>320040</wp:posOffset>
                    </wp:positionV>
                    <wp:extent cx="7205345" cy="4709160"/>
                    <wp:effectExtent l="0" t="0" r="14605" b="15240"/>
                    <wp:wrapNone/>
                    <wp:docPr id="468" name="Rectangle 261"/>
                    <wp:cNvGraphicFramePr/>
                    <a:graphic xmlns:a="http://schemas.openxmlformats.org/drawingml/2006/main">
                      <a:graphicData uri="http://schemas.microsoft.com/office/word/2010/wordprocessingShape">
                        <wps:wsp>
                          <wps:cNvSpPr/>
                          <wps:spPr>
                            <a:xfrm>
                              <a:off x="0" y="0"/>
                              <a:ext cx="7205345" cy="470916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Rectangle 261" o:spid="_x0000_s1026" o:spt="1" style="position:absolute;left:0pt;margin-top:25.2pt;height:370.8pt;width:567.35pt;mso-position-horizontal:center;mso-position-horizontal-relative:margin;mso-position-vertical-relative:page;z-index:251667456;v-text-anchor:middle;mso-width-relative:page;mso-height-relative:page;" fillcolor="#FFFFFF [3212]" filled="t" stroked="t" coordsize="21600,21600" o:gfxdata="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jYqNyNUAAAAIAQAADwAAAAAAAAABACAAAAAiAAAAZHJzL2Rvd25yZXYu&#10;eG1sUEsBAhQAFAAAAAgAh07iQDwFfplwAgAABwUAAA4AAAAAAAAAAQAgAAAAJAEAAGRycy9lMm9E&#10;b2MueG1sUEsFBgAAAAAGAAYAWQEAAAYGAAAAAA==&#10;">
                    <v:fill on="t" focussize="0,0"/>
                    <v:stroke weight="1.25pt" color="#2191C9 [1614]" joinstyle="round"/>
                    <v:imagedata o:title=""/>
                    <o:lock v:ext="edit" aspectratio="f"/>
                  </v:rect>
                </w:pict>
              </mc:Fallback>
            </mc:AlternateContent>
          </w:r>
          <w:r>
            <w:rPr>
              <w:noProof/>
            </w:rPr>
            <mc:AlternateContent>
              <mc:Choice Requires="wps">
                <w:drawing>
                  <wp:anchor distT="0" distB="0" distL="114300" distR="114300" simplePos="0" relativeHeight="251668480" behindDoc="0" locked="0" layoutInCell="1" allowOverlap="1">
                    <wp:simplePos x="0" y="0"/>
                    <wp:positionH relativeFrom="rightMargin">
                      <wp:align>left</wp:align>
                    </wp:positionH>
                    <wp:positionV relativeFrom="page">
                      <wp:posOffset>289560</wp:posOffset>
                    </wp:positionV>
                    <wp:extent cx="737870" cy="1082040"/>
                    <wp:effectExtent l="0" t="0" r="5080" b="3810"/>
                    <wp:wrapNone/>
                    <wp:docPr id="467" name="Rectangle 259"/>
                    <wp:cNvGraphicFramePr/>
                    <a:graphic xmlns:a="http://schemas.openxmlformats.org/drawingml/2006/main">
                      <a:graphicData uri="http://schemas.microsoft.com/office/word/2010/wordprocessingShape">
                        <wps:wsp>
                          <wps:cNvSpPr/>
                          <wps:spPr>
                            <a:xfrm>
                              <a:off x="0" y="0"/>
                              <a:ext cx="737870" cy="10820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C1C1A" w:rsidRDefault="00000000">
                                <w:pPr>
                                  <w:spacing w:before="240"/>
                                  <w:jc w:val="center"/>
                                  <w:rPr>
                                    <w:color w:val="FFFFFF" w:themeColor="background1"/>
                                    <w:lang w:val="en-IN"/>
                                  </w:rPr>
                                </w:pPr>
                                <w:r>
                                  <w:rPr>
                                    <w:color w:val="FFFFFF" w:themeColor="background1"/>
                                    <w:lang w:val="en-IN"/>
                                  </w:rPr>
                                  <w:t>2025</w:t>
                                </w:r>
                              </w:p>
                            </w:txbxContent>
                          </wps:txbx>
                          <wps:bodyPr rot="0" spcFirstLastPara="0" vertOverflow="overflow" horzOverflow="overflow" vert="horz" wrap="square" lIns="182880" tIns="182880" rIns="182880" bIns="365760" numCol="1" spcCol="0" rtlCol="0" fromWordArt="0" anchor="b" anchorCtr="0" forceAA="0" compatLnSpc="1">
                            <a:noAutofit/>
                          </wps:bodyPr>
                        </wps:wsp>
                      </a:graphicData>
                    </a:graphic>
                  </wp:anchor>
                </w:drawing>
              </mc:Choice>
              <mc:Fallback>
                <w:pict>
                  <v:rect id="Rectangle 259" o:spid="_x0000_s1026" style="position:absolute;margin-left:0;margin-top:22.8pt;width:58.1pt;height:85.2pt;z-index:251668480;visibility:visible;mso-wrap-style:square;mso-wrap-distance-left:9pt;mso-wrap-distance-top:0;mso-wrap-distance-right:9pt;mso-wrap-distance-bottom:0;mso-position-horizontal:left;mso-position-horizontal-relative:right-margin-area;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" fillcolor="#17406d [3215]" stroked="f" strokeweight="2pt">
                    <v:textbox inset="14.4pt,14.4pt,14.4pt,28.8pt">
                      <w:txbxContent>
                        <w:p w:rsidR="008C1C1A" w:rsidRDefault="00000000">
                          <w:pPr>
                            <w:spacing w:before="240"/>
                            <w:jc w:val="center"/>
                            <w:rPr>
                              <w:color w:val="FFFFFF" w:themeColor="background1"/>
                              <w:lang w:val="en-IN"/>
                            </w:rPr>
                          </w:pPr>
                          <w:r>
                            <w:rPr>
                              <w:color w:val="FFFFFF" w:themeColor="background1"/>
                              <w:lang w:val="en-IN"/>
                            </w:rPr>
                            <w:t>2025</w:t>
                          </w:r>
                        </w:p>
                      </w:txbxContent>
                    </v:textbox>
                    <w10:wrap anchorx="margin" anchory="page"/>
                  </v:rect>
                </w:pict>
              </mc:Fallback>
            </mc:AlternateContent>
          </w:r>
          <w:r>
            <w:rPr>
              <w:noProof/>
            </w:rPr>
            <mc:AlternateContent>
              <mc:Choice Requires="wps">
                <w:drawing>
                  <wp:anchor distT="0" distB="0" distL="114300" distR="114300" simplePos="0" relativeHeight="251670528"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257"/>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C1C1A" w:rsidRPr="006833C2" w:rsidRDefault="008C1C1A" w:rsidP="003C6E4B">
                                <w:pPr>
                                  <w:jc w:val="both"/>
                                </w:pPr>
                              </w:p>
                            </w:txbxContent>
                          </wps:txbx>
                          <wps:bodyPr rot="0" spcFirstLastPara="0" vertOverflow="overflow" horzOverflow="overflow" vert="horz" wrap="square" lIns="274320" tIns="45720" rIns="274320" bIns="45720" numCol="1" spcCol="0" rtlCol="0" fromWordArt="0" anchor="ctr" anchorCtr="0" forceAA="0" compatLnSpc="1">
                            <a:noAutofit/>
                          </wps:bodyPr>
                        </wps:wsp>
                      </a:graphicData>
                    </a:graphic>
                    <wp14:sizeRelH relativeFrom="page">
                      <wp14:pctWidth>95000</wp14:pctWidth>
                    </wp14:sizeRelH>
                    <wp14:sizeRelV relativeFrom="page">
                      <wp14:pctHeight>95000</wp14:pctHeight>
                    </wp14:sizeRelV>
                  </wp:anchor>
                </w:drawing>
              </mc:Choice>
              <mc:Fallback>
                <w:pict>
                  <v:rect id="Rectangle 257" o:spid="_x0000_s1027" style="position:absolute;margin-left:0;margin-top:0;width:581.4pt;height:752.4pt;z-index:-25164595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" fillcolor="#c7e2fa [660]" stroked="f" strokeweight="2pt">
                    <v:fill color2="#59a9f2 [1940]" rotate="t" focusposition=".5,.5" focussize="" focus="100%" type="gradientRadial"/>
                    <v:textbox inset="21.6pt,,21.6pt">
                      <w:txbxContent>
                        <w:p w:rsidR="008C1C1A" w:rsidRPr="006833C2" w:rsidRDefault="008C1C1A" w:rsidP="003C6E4B">
                          <w:pPr>
                            <w:jc w:val="both"/>
                          </w:pPr>
                        </w:p>
                      </w:txbxContent>
                    </v:textbox>
                    <w10:wrap anchorx="page" anchory="page"/>
                  </v:rect>
                </w:pict>
              </mc:Fallback>
            </mc:AlternateContent>
          </w:r>
        </w:p>
        <w:p w:rsidR="008C1C1A" w:rsidRDefault="001B54F3">
          <w:r>
            <w:rPr>
              <w:noProof/>
            </w:rPr>
            <mc:AlternateContent>
              <mc:Choice Requires="wps">
                <w:drawing>
                  <wp:anchor distT="0" distB="0" distL="114300" distR="114300" simplePos="0" relativeHeight="251671552" behindDoc="0" locked="0" layoutInCell="1" allowOverlap="1">
                    <wp:simplePos x="0" y="0"/>
                    <wp:positionH relativeFrom="column">
                      <wp:posOffset>-714375</wp:posOffset>
                    </wp:positionH>
                    <wp:positionV relativeFrom="paragraph">
                      <wp:posOffset>4852035</wp:posOffset>
                    </wp:positionV>
                    <wp:extent cx="7155180" cy="1333500"/>
                    <wp:effectExtent l="0" t="0" r="26670" b="19050"/>
                    <wp:wrapThrough wrapText="bothSides">
                      <wp:wrapPolygon edited="0">
                        <wp:start x="0" y="0"/>
                        <wp:lineTo x="0" y="21600"/>
                        <wp:lineTo x="21623" y="21600"/>
                        <wp:lineTo x="21623" y="0"/>
                        <wp:lineTo x="0" y="0"/>
                      </wp:wrapPolygon>
                    </wp:wrapThrough>
                    <wp:docPr id="718381863" name="Text Box 13"/>
                    <wp:cNvGraphicFramePr/>
                    <a:graphic xmlns:a="http://schemas.openxmlformats.org/drawingml/2006/main">
                      <a:graphicData uri="http://schemas.microsoft.com/office/word/2010/wordprocessingShape">
                        <wps:wsp>
                          <wps:cNvSpPr txBox="1"/>
                          <wps:spPr>
                            <a:xfrm>
                              <a:off x="0" y="0"/>
                              <a:ext cx="7155180" cy="1333500"/>
                            </a:xfrm>
                            <a:prstGeom prst="rect">
                              <a:avLst/>
                            </a:prstGeom>
                            <a:ln/>
                          </wps:spPr>
                          <wps:style>
                            <a:lnRef idx="2">
                              <a:schemeClr val="accent2"/>
                            </a:lnRef>
                            <a:fillRef idx="1">
                              <a:schemeClr val="lt1"/>
                            </a:fillRef>
                            <a:effectRef idx="0">
                              <a:schemeClr val="accent2"/>
                            </a:effectRef>
                            <a:fontRef idx="minor">
                              <a:schemeClr val="dk1"/>
                            </a:fontRef>
                          </wps:style>
                          <wps:txbx>
                            <w:txbxContent>
                              <w:p w:rsidR="001B54F3" w:rsidRPr="0065036D" w:rsidRDefault="0065036D" w:rsidP="0065036D">
                                <w:pPr>
                                  <w:jc w:val="both"/>
                                  <w:rPr>
                                    <w:rStyle w:val="IntenseReference"/>
                                    <w:rFonts w:ascii="Times New Roman" w:hAnsi="Times New Roman" w:cs="Times New Roman"/>
                                    <w:sz w:val="32"/>
                                    <w:szCs w:val="32"/>
                                  </w:rPr>
                                </w:pPr>
                                <w:r w:rsidRPr="0065036D">
                                  <w:rPr>
                                    <w:rFonts w:ascii="Times New Roman" w:hAnsi="Times New Roman" w:cs="Times New Roman"/>
                                    <w:b/>
                                    <w:bCs/>
                                    <w:sz w:val="32"/>
                                    <w:szCs w:val="32"/>
                                    <w:lang w:val="en-IN"/>
                                  </w:rPr>
                                  <w:t>Topic</w:t>
                                </w:r>
                                <w:r w:rsidRPr="0065036D">
                                  <w:rPr>
                                    <w:rFonts w:ascii="Times New Roman" w:hAnsi="Times New Roman" w:cs="Times New Roman"/>
                                    <w:sz w:val="32"/>
                                    <w:szCs w:val="32"/>
                                    <w:lang w:val="en-IN"/>
                                  </w:rPr>
                                  <w:t xml:space="preserve">: </w:t>
                                </w:r>
                                <w:r w:rsidRPr="0065036D">
                                  <w:rPr>
                                    <w:rStyle w:val="IntenseReference"/>
                                    <w:rFonts w:ascii="Times New Roman" w:hAnsi="Times New Roman" w:cs="Times New Roman"/>
                                    <w:sz w:val="32"/>
                                    <w:szCs w:val="32"/>
                                  </w:rPr>
                                  <w:t>IMPROVING</w:t>
                                </w:r>
                                <w:r w:rsidR="005C77D0" w:rsidRPr="0065036D">
                                  <w:rPr>
                                    <w:rStyle w:val="IntenseReference"/>
                                    <w:rFonts w:ascii="Times New Roman" w:hAnsi="Times New Roman" w:cs="Times New Roman"/>
                                    <w:sz w:val="32"/>
                                    <w:szCs w:val="32"/>
                                  </w:rPr>
                                  <w:t xml:space="preserve"> </w:t>
                                </w:r>
                                <w:r w:rsidR="001B54F3" w:rsidRPr="0065036D">
                                  <w:rPr>
                                    <w:rStyle w:val="IntenseReference"/>
                                    <w:rFonts w:ascii="Times New Roman" w:hAnsi="Times New Roman" w:cs="Times New Roman"/>
                                    <w:sz w:val="32"/>
                                    <w:szCs w:val="32"/>
                                  </w:rPr>
                                  <w:t xml:space="preserve">SUPPLY CHAIN </w:t>
                                </w:r>
                                <w:r w:rsidRPr="0065036D">
                                  <w:rPr>
                                    <w:rStyle w:val="IntenseReference"/>
                                    <w:rFonts w:ascii="Times New Roman" w:hAnsi="Times New Roman" w:cs="Times New Roman"/>
                                    <w:sz w:val="32"/>
                                    <w:szCs w:val="32"/>
                                  </w:rPr>
                                  <w:t>PERFORMANCE AND</w:t>
                                </w:r>
                                <w:r w:rsidR="003C6E4B" w:rsidRPr="0065036D">
                                  <w:rPr>
                                    <w:rStyle w:val="IntenseReference"/>
                                    <w:rFonts w:ascii="Times New Roman" w:hAnsi="Times New Roman" w:cs="Times New Roman"/>
                                    <w:sz w:val="32"/>
                                    <w:szCs w:val="32"/>
                                  </w:rPr>
                                  <w:t xml:space="preserve"> RESILIENCE MEASURE FOR IMPORTED SOFTWOOD TIMBER IN THE UK</w:t>
                                </w:r>
                                <w:r w:rsidR="005C77D0" w:rsidRPr="0065036D">
                                  <w:rPr>
                                    <w:rStyle w:val="IntenseReference"/>
                                    <w:rFonts w:ascii="Times New Roman" w:hAnsi="Times New Roman" w:cs="Times New Roman"/>
                                    <w:sz w:val="32"/>
                                    <w:szCs w:val="32"/>
                                  </w:rPr>
                                  <w:t>.</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MODULE CODE: ACHA 7024</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STUDENT ID: 2505418</w:t>
                                </w:r>
                              </w:p>
                              <w:p w:rsidR="0065036D" w:rsidRPr="0065036D" w:rsidRDefault="0065036D" w:rsidP="0065036D">
                                <w:pPr>
                                  <w:rPr>
                                    <w:rFonts w:ascii="Times New Roman" w:hAnsi="Times New Roman" w:cs="Times New Roman"/>
                                    <w:sz w:val="32"/>
                                    <w:szCs w:val="32"/>
                                    <w:lang w:val="en-IN"/>
                                  </w:rPr>
                                </w:pPr>
                              </w:p>
                              <w:p w:rsidR="0065036D" w:rsidRPr="0065036D" w:rsidRDefault="0065036D" w:rsidP="0065036D">
                                <w:pPr>
                                  <w:rPr>
                                    <w:lang w:val="en-I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3" o:spid="_x0000_s1028" type="#_x0000_t202" style="position:absolute;margin-left:-56.25pt;margin-top:382.05pt;width:563.4pt;height:1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" fillcolor="white [3201]" strokecolor="#009dd9 [3205]" strokeweight="2pt">
                    <v:textbox>
                      <w:txbxContent>
                        <w:p w:rsidR="001B54F3" w:rsidRPr="0065036D" w:rsidRDefault="0065036D" w:rsidP="0065036D">
                          <w:pPr>
                            <w:jc w:val="both"/>
                            <w:rPr>
                              <w:rStyle w:val="IntenseReference"/>
                              <w:rFonts w:ascii="Times New Roman" w:hAnsi="Times New Roman" w:cs="Times New Roman"/>
                              <w:sz w:val="32"/>
                              <w:szCs w:val="32"/>
                            </w:rPr>
                          </w:pPr>
                          <w:r w:rsidRPr="0065036D">
                            <w:rPr>
                              <w:rFonts w:ascii="Times New Roman" w:hAnsi="Times New Roman" w:cs="Times New Roman"/>
                              <w:b/>
                              <w:bCs/>
                              <w:sz w:val="32"/>
                              <w:szCs w:val="32"/>
                              <w:lang w:val="en-IN"/>
                            </w:rPr>
                            <w:t>Topic</w:t>
                          </w:r>
                          <w:r w:rsidRPr="0065036D">
                            <w:rPr>
                              <w:rFonts w:ascii="Times New Roman" w:hAnsi="Times New Roman" w:cs="Times New Roman"/>
                              <w:sz w:val="32"/>
                              <w:szCs w:val="32"/>
                              <w:lang w:val="en-IN"/>
                            </w:rPr>
                            <w:t xml:space="preserve">: </w:t>
                          </w:r>
                          <w:r w:rsidRPr="0065036D">
                            <w:rPr>
                              <w:rStyle w:val="IntenseReference"/>
                              <w:rFonts w:ascii="Times New Roman" w:hAnsi="Times New Roman" w:cs="Times New Roman"/>
                              <w:sz w:val="32"/>
                              <w:szCs w:val="32"/>
                            </w:rPr>
                            <w:t>IMPROVING</w:t>
                          </w:r>
                          <w:r w:rsidR="005C77D0" w:rsidRPr="0065036D">
                            <w:rPr>
                              <w:rStyle w:val="IntenseReference"/>
                              <w:rFonts w:ascii="Times New Roman" w:hAnsi="Times New Roman" w:cs="Times New Roman"/>
                              <w:sz w:val="32"/>
                              <w:szCs w:val="32"/>
                            </w:rPr>
                            <w:t xml:space="preserve"> </w:t>
                          </w:r>
                          <w:r w:rsidR="001B54F3" w:rsidRPr="0065036D">
                            <w:rPr>
                              <w:rStyle w:val="IntenseReference"/>
                              <w:rFonts w:ascii="Times New Roman" w:hAnsi="Times New Roman" w:cs="Times New Roman"/>
                              <w:sz w:val="32"/>
                              <w:szCs w:val="32"/>
                            </w:rPr>
                            <w:t xml:space="preserve">SUPPLY CHAIN </w:t>
                          </w:r>
                          <w:r w:rsidRPr="0065036D">
                            <w:rPr>
                              <w:rStyle w:val="IntenseReference"/>
                              <w:rFonts w:ascii="Times New Roman" w:hAnsi="Times New Roman" w:cs="Times New Roman"/>
                              <w:sz w:val="32"/>
                              <w:szCs w:val="32"/>
                            </w:rPr>
                            <w:t>PERFORMANCE AND</w:t>
                          </w:r>
                          <w:r w:rsidR="003C6E4B" w:rsidRPr="0065036D">
                            <w:rPr>
                              <w:rStyle w:val="IntenseReference"/>
                              <w:rFonts w:ascii="Times New Roman" w:hAnsi="Times New Roman" w:cs="Times New Roman"/>
                              <w:sz w:val="32"/>
                              <w:szCs w:val="32"/>
                            </w:rPr>
                            <w:t xml:space="preserve"> RESILIENCE MEASURE FOR IMPORTED SOFTWOOD TIMBER IN THE UK</w:t>
                          </w:r>
                          <w:r w:rsidR="005C77D0" w:rsidRPr="0065036D">
                            <w:rPr>
                              <w:rStyle w:val="IntenseReference"/>
                              <w:rFonts w:ascii="Times New Roman" w:hAnsi="Times New Roman" w:cs="Times New Roman"/>
                              <w:sz w:val="32"/>
                              <w:szCs w:val="32"/>
                            </w:rPr>
                            <w:t>.</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MODULE CODE: ACHA 7024</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STUDENT ID: 2505418</w:t>
                          </w:r>
                        </w:p>
                        <w:p w:rsidR="0065036D" w:rsidRPr="0065036D" w:rsidRDefault="0065036D" w:rsidP="0065036D">
                          <w:pPr>
                            <w:rPr>
                              <w:rFonts w:ascii="Times New Roman" w:hAnsi="Times New Roman" w:cs="Times New Roman"/>
                              <w:sz w:val="32"/>
                              <w:szCs w:val="32"/>
                              <w:lang w:val="en-IN"/>
                            </w:rPr>
                          </w:pPr>
                        </w:p>
                        <w:p w:rsidR="0065036D" w:rsidRPr="0065036D" w:rsidRDefault="0065036D" w:rsidP="0065036D">
                          <w:pPr>
                            <w:rPr>
                              <w:lang w:val="en-IN"/>
                            </w:rPr>
                          </w:pPr>
                        </w:p>
                      </w:txbxContent>
                    </v:textbox>
                    <w10:wrap type="through"/>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margin">
                      <wp:align>center</wp:align>
                    </wp:positionH>
                    <wp:positionV relativeFrom="page">
                      <wp:posOffset>3423920</wp:posOffset>
                    </wp:positionV>
                    <wp:extent cx="7164070" cy="160020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7164070" cy="1600200"/>
                            </a:xfrm>
                            <a:prstGeom prst="rect">
                              <a:avLst/>
                            </a:prstGeom>
                            <a:noFill/>
                            <a:ln w="6350">
                              <a:noFill/>
                            </a:ln>
                            <a:effectLst/>
                          </wps:spPr>
                          <wps:txbx>
                            <w:txbxContent>
                              <w:sdt>
                                <w:sdtPr>
                                  <w:rPr>
                                    <w:rFonts w:ascii="Times New Roman" w:eastAsiaTheme="majorEastAsia" w:hAnsi="Times New Roman" w:cs="Times New Roman"/>
                                    <w:color w:val="0F6FC6" w:themeColor="accent1"/>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C1C1A" w:rsidRDefault="00000000">
                                    <w:pPr>
                                      <w:spacing w:line="240" w:lineRule="auto"/>
                                      <w:rPr>
                                        <w:rFonts w:asciiTheme="majorHAnsi" w:eastAsiaTheme="majorEastAsia" w:hAnsiTheme="majorHAnsi" w:cstheme="majorBidi"/>
                                        <w:color w:val="0F6FC6" w:themeColor="accent1"/>
                                        <w:sz w:val="72"/>
                                        <w:szCs w:val="144"/>
                                      </w:rPr>
                                    </w:pPr>
                                    <w:r w:rsidRPr="0065036D">
                                      <w:rPr>
                                        <w:rFonts w:ascii="Times New Roman" w:eastAsiaTheme="majorEastAsia" w:hAnsi="Times New Roman" w:cs="Times New Roman"/>
                                        <w:color w:val="0F6FC6" w:themeColor="accent1"/>
                                        <w:sz w:val="72"/>
                                        <w:szCs w:val="72"/>
                                        <w:u w:val="single"/>
                                        <w:lang w:val="en-IN"/>
                                      </w:rPr>
                                      <w:t>PROCUREMENT AND SUPPLY CHAIN MANAGEMENT</w:t>
                                    </w:r>
                                  </w:p>
                                </w:sdtContent>
                              </w:sdt>
                              <w:p w:rsidR="008C1C1A" w:rsidRDefault="008C1C1A">
                                <w:pPr>
                                  <w:rPr>
                                    <w:rFonts w:asciiTheme="majorHAnsi" w:eastAsiaTheme="majorEastAsia" w:hAnsiTheme="majorHAnsi" w:cstheme="majorBidi"/>
                                    <w:color w:val="17406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265" o:spid="_x0000_s1029" type="#_x0000_t202" style="position:absolute;margin-left:0;margin-top:269.6pt;width:564.1pt;height:126pt;z-index:251669504;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" filled="f" stroked="f" strokeweight=".5pt">
                    <v:textbox>
                      <w:txbxContent>
                        <w:sdt>
                          <w:sdtPr>
                            <w:rPr>
                              <w:rFonts w:ascii="Times New Roman" w:eastAsiaTheme="majorEastAsia" w:hAnsi="Times New Roman" w:cs="Times New Roman"/>
                              <w:color w:val="0F6FC6" w:themeColor="accent1"/>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C1C1A" w:rsidRDefault="00000000">
                              <w:pPr>
                                <w:spacing w:line="240" w:lineRule="auto"/>
                                <w:rPr>
                                  <w:rFonts w:asciiTheme="majorHAnsi" w:eastAsiaTheme="majorEastAsia" w:hAnsiTheme="majorHAnsi" w:cstheme="majorBidi"/>
                                  <w:color w:val="0F6FC6" w:themeColor="accent1"/>
                                  <w:sz w:val="72"/>
                                  <w:szCs w:val="144"/>
                                </w:rPr>
                              </w:pPr>
                              <w:r w:rsidRPr="0065036D">
                                <w:rPr>
                                  <w:rFonts w:ascii="Times New Roman" w:eastAsiaTheme="majorEastAsia" w:hAnsi="Times New Roman" w:cs="Times New Roman"/>
                                  <w:color w:val="0F6FC6" w:themeColor="accent1"/>
                                  <w:sz w:val="72"/>
                                  <w:szCs w:val="72"/>
                                  <w:u w:val="single"/>
                                  <w:lang w:val="en-IN"/>
                                </w:rPr>
                                <w:t>PROCUREMENT AND SUPPLY CHAIN MANAGEMENT</w:t>
                              </w:r>
                            </w:p>
                          </w:sdtContent>
                        </w:sdt>
                        <w:p w:rsidR="008C1C1A" w:rsidRDefault="008C1C1A">
                          <w:pPr>
                            <w:rPr>
                              <w:rFonts w:asciiTheme="majorHAnsi" w:eastAsiaTheme="majorEastAsia" w:hAnsiTheme="majorHAnsi" w:cstheme="majorBidi"/>
                              <w:color w:val="17406D" w:themeColor="text2"/>
                              <w:sz w:val="32"/>
                              <w:szCs w:val="40"/>
                            </w:rPr>
                          </w:pPr>
                        </w:p>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1"/>
          <w:szCs w:val="21"/>
        </w:rPr>
        <w:id w:val="-1499956247"/>
        <w:docPartObj>
          <w:docPartGallery w:val="Table of Contents"/>
          <w:docPartUnique/>
        </w:docPartObj>
      </w:sdtPr>
      <w:sdtEndPr>
        <w:rPr>
          <w:b/>
          <w:bCs/>
        </w:rPr>
      </w:sdtEndPr>
      <w:sdtContent>
        <w:p w:rsidR="008C1C1A" w:rsidRDefault="00000000">
          <w:pPr>
            <w:pStyle w:val="TOCHeading1"/>
            <w:rPr>
              <w:rFonts w:ascii="Times New Roman" w:hAnsi="Times New Roman" w:cs="Times New Roman"/>
              <w:b/>
              <w:bCs/>
              <w:sz w:val="24"/>
              <w:szCs w:val="24"/>
            </w:rPr>
          </w:pPr>
          <w:r>
            <w:rPr>
              <w:b/>
              <w:bCs/>
            </w:rPr>
            <w:t xml:space="preserve"> </w:t>
          </w:r>
          <w:r>
            <w:rPr>
              <w:rFonts w:ascii="Times New Roman" w:hAnsi="Times New Roman" w:cs="Times New Roman"/>
              <w:b/>
              <w:bCs/>
              <w:sz w:val="32"/>
              <w:szCs w:val="32"/>
            </w:rPr>
            <w:t>Table Of Content</w:t>
          </w:r>
        </w:p>
        <w:p w:rsidR="009012B7" w:rsidRDefault="00000000">
          <w:pPr>
            <w:pStyle w:val="TOC1"/>
            <w:rPr>
              <w:rFonts w:asciiTheme="minorHAnsi" w:hAnsiTheme="minorHAnsi" w:cstheme="minorBidi"/>
              <w:b w:val="0"/>
              <w:bCs w:val="0"/>
              <w:noProof/>
              <w:color w:val="auto"/>
              <w:kern w:val="2"/>
              <w:szCs w:val="24"/>
              <w:lang w:val="en-IN" w:eastAsia="en-IN"/>
              <w14:ligatures w14:val="standardContextual"/>
            </w:rPr>
          </w:pPr>
          <w:r>
            <w:rPr>
              <w:szCs w:val="24"/>
            </w:rPr>
            <w:fldChar w:fldCharType="begin"/>
          </w:r>
          <w:r>
            <w:rPr>
              <w:szCs w:val="24"/>
            </w:rPr>
            <w:instrText xml:space="preserve"> TOC \o "1-3" \h \z \u </w:instrText>
          </w:r>
          <w:r>
            <w:rPr>
              <w:szCs w:val="24"/>
            </w:rPr>
            <w:fldChar w:fldCharType="separate"/>
          </w:r>
          <w:hyperlink w:anchor="_Toc214490708" w:history="1">
            <w:r w:rsidR="009012B7" w:rsidRPr="003A412A">
              <w:rPr>
                <w:rStyle w:val="Hyperlink"/>
                <w:noProof/>
              </w:rPr>
              <w:t>1. INTRODUCTION</w:t>
            </w:r>
            <w:r w:rsidR="009012B7">
              <w:rPr>
                <w:noProof/>
                <w:webHidden/>
              </w:rPr>
              <w:tab/>
            </w:r>
            <w:r w:rsidR="009012B7">
              <w:rPr>
                <w:noProof/>
                <w:webHidden/>
              </w:rPr>
              <w:fldChar w:fldCharType="begin"/>
            </w:r>
            <w:r w:rsidR="009012B7">
              <w:rPr>
                <w:noProof/>
                <w:webHidden/>
              </w:rPr>
              <w:instrText xml:space="preserve"> PAGEREF _Toc214490708 \h </w:instrText>
            </w:r>
            <w:r w:rsidR="009012B7">
              <w:rPr>
                <w:noProof/>
                <w:webHidden/>
              </w:rPr>
            </w:r>
            <w:r w:rsidR="009012B7">
              <w:rPr>
                <w:noProof/>
                <w:webHidden/>
              </w:rPr>
              <w:fldChar w:fldCharType="separate"/>
            </w:r>
            <w:r w:rsidR="009012B7">
              <w:rPr>
                <w:noProof/>
                <w:webHidden/>
              </w:rPr>
              <w:t>2</w:t>
            </w:r>
            <w:r w:rsidR="009012B7">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09" w:history="1">
            <w:r w:rsidRPr="003A412A">
              <w:rPr>
                <w:rStyle w:val="Hyperlink"/>
                <w:noProof/>
              </w:rPr>
              <w:t>1.2 METHODOLOGY OUTLINE</w:t>
            </w:r>
            <w:r>
              <w:rPr>
                <w:noProof/>
                <w:webHidden/>
              </w:rPr>
              <w:tab/>
            </w:r>
            <w:r>
              <w:rPr>
                <w:noProof/>
                <w:webHidden/>
              </w:rPr>
              <w:fldChar w:fldCharType="begin"/>
            </w:r>
            <w:r>
              <w:rPr>
                <w:noProof/>
                <w:webHidden/>
              </w:rPr>
              <w:instrText xml:space="preserve"> PAGEREF _Toc214490709 \h </w:instrText>
            </w:r>
            <w:r>
              <w:rPr>
                <w:noProof/>
                <w:webHidden/>
              </w:rPr>
            </w:r>
            <w:r>
              <w:rPr>
                <w:noProof/>
                <w:webHidden/>
              </w:rPr>
              <w:fldChar w:fldCharType="separate"/>
            </w:r>
            <w:r>
              <w:rPr>
                <w:noProof/>
                <w:webHidden/>
              </w:rPr>
              <w:t>3</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0" w:history="1">
            <w:r w:rsidRPr="003A412A">
              <w:rPr>
                <w:rStyle w:val="Hyperlink"/>
                <w:noProof/>
              </w:rPr>
              <w:t>2. FAILURE MODES AND EFFECTS ANALYSIS</w:t>
            </w:r>
            <w:r>
              <w:rPr>
                <w:noProof/>
                <w:webHidden/>
              </w:rPr>
              <w:tab/>
            </w:r>
            <w:r>
              <w:rPr>
                <w:noProof/>
                <w:webHidden/>
              </w:rPr>
              <w:fldChar w:fldCharType="begin"/>
            </w:r>
            <w:r>
              <w:rPr>
                <w:noProof/>
                <w:webHidden/>
              </w:rPr>
              <w:instrText xml:space="preserve"> PAGEREF _Toc214490710 \h </w:instrText>
            </w:r>
            <w:r>
              <w:rPr>
                <w:noProof/>
                <w:webHidden/>
              </w:rPr>
            </w:r>
            <w:r>
              <w:rPr>
                <w:noProof/>
                <w:webHidden/>
              </w:rPr>
              <w:fldChar w:fldCharType="separate"/>
            </w:r>
            <w:r>
              <w:rPr>
                <w:noProof/>
                <w:webHidden/>
              </w:rPr>
              <w:t>4</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1" w:history="1">
            <w:r w:rsidRPr="003A412A">
              <w:rPr>
                <w:rStyle w:val="Hyperlink"/>
                <w:noProof/>
              </w:rPr>
              <w:t>2.1 MODES AND EFFECTS ANALYSIS RESULT</w:t>
            </w:r>
            <w:r>
              <w:rPr>
                <w:noProof/>
                <w:webHidden/>
              </w:rPr>
              <w:tab/>
            </w:r>
            <w:r>
              <w:rPr>
                <w:noProof/>
                <w:webHidden/>
              </w:rPr>
              <w:fldChar w:fldCharType="begin"/>
            </w:r>
            <w:r>
              <w:rPr>
                <w:noProof/>
                <w:webHidden/>
              </w:rPr>
              <w:instrText xml:space="preserve"> PAGEREF _Toc214490711 \h </w:instrText>
            </w:r>
            <w:r>
              <w:rPr>
                <w:noProof/>
                <w:webHidden/>
              </w:rPr>
            </w:r>
            <w:r>
              <w:rPr>
                <w:noProof/>
                <w:webHidden/>
              </w:rPr>
              <w:fldChar w:fldCharType="separate"/>
            </w:r>
            <w:r>
              <w:rPr>
                <w:noProof/>
                <w:webHidden/>
              </w:rPr>
              <w:t>6</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2" w:history="1">
            <w:r w:rsidRPr="003A412A">
              <w:rPr>
                <w:rStyle w:val="Hyperlink"/>
                <w:noProof/>
              </w:rPr>
              <w:t xml:space="preserve">3.  </w:t>
            </w:r>
            <w:r w:rsidRPr="003A412A">
              <w:rPr>
                <w:rStyle w:val="Hyperlink"/>
                <w:noProof/>
                <w:lang w:val="en-IN"/>
              </w:rPr>
              <w:t>SIX STEPS TO ENHANCE SUPPLY CHAIN RESILIENCE</w:t>
            </w:r>
            <w:r>
              <w:rPr>
                <w:noProof/>
                <w:webHidden/>
              </w:rPr>
              <w:tab/>
            </w:r>
            <w:r>
              <w:rPr>
                <w:noProof/>
                <w:webHidden/>
              </w:rPr>
              <w:fldChar w:fldCharType="begin"/>
            </w:r>
            <w:r>
              <w:rPr>
                <w:noProof/>
                <w:webHidden/>
              </w:rPr>
              <w:instrText xml:space="preserve"> PAGEREF _Toc214490712 \h </w:instrText>
            </w:r>
            <w:r>
              <w:rPr>
                <w:noProof/>
                <w:webHidden/>
              </w:rPr>
            </w:r>
            <w:r>
              <w:rPr>
                <w:noProof/>
                <w:webHidden/>
              </w:rPr>
              <w:fldChar w:fldCharType="separate"/>
            </w:r>
            <w:r>
              <w:rPr>
                <w:noProof/>
                <w:webHidden/>
              </w:rPr>
              <w:t>7</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3" w:history="1">
            <w:r w:rsidRPr="003A412A">
              <w:rPr>
                <w:rStyle w:val="Hyperlink"/>
                <w:noProof/>
              </w:rPr>
              <w:t>3.1 ENSURING ORIGIN TIMBER &amp; VERIFICATION IMPORTED SOFTWOOD TIMBER IN UK</w:t>
            </w:r>
            <w:r>
              <w:rPr>
                <w:noProof/>
                <w:webHidden/>
              </w:rPr>
              <w:tab/>
            </w:r>
            <w:r>
              <w:rPr>
                <w:noProof/>
                <w:webHidden/>
              </w:rPr>
              <w:fldChar w:fldCharType="begin"/>
            </w:r>
            <w:r>
              <w:rPr>
                <w:noProof/>
                <w:webHidden/>
              </w:rPr>
              <w:instrText xml:space="preserve"> PAGEREF _Toc214490713 \h </w:instrText>
            </w:r>
            <w:r>
              <w:rPr>
                <w:noProof/>
                <w:webHidden/>
              </w:rPr>
            </w:r>
            <w:r>
              <w:rPr>
                <w:noProof/>
                <w:webHidden/>
              </w:rPr>
              <w:fldChar w:fldCharType="separate"/>
            </w:r>
            <w:r>
              <w:rPr>
                <w:noProof/>
                <w:webHidden/>
              </w:rPr>
              <w:t>7</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4" w:history="1">
            <w:r w:rsidRPr="003A412A">
              <w:rPr>
                <w:rStyle w:val="Hyperlink"/>
                <w:noProof/>
              </w:rPr>
              <w:t>3.2 IMPROVING PORT EFFICIENCY AND SHIPPING FOR SOFTWOOD TIMBER</w:t>
            </w:r>
            <w:r>
              <w:rPr>
                <w:noProof/>
                <w:webHidden/>
              </w:rPr>
              <w:tab/>
            </w:r>
            <w:r>
              <w:rPr>
                <w:noProof/>
                <w:webHidden/>
              </w:rPr>
              <w:fldChar w:fldCharType="begin"/>
            </w:r>
            <w:r>
              <w:rPr>
                <w:noProof/>
                <w:webHidden/>
              </w:rPr>
              <w:instrText xml:space="preserve"> PAGEREF _Toc214490714 \h </w:instrText>
            </w:r>
            <w:r>
              <w:rPr>
                <w:noProof/>
                <w:webHidden/>
              </w:rPr>
            </w:r>
            <w:r>
              <w:rPr>
                <w:noProof/>
                <w:webHidden/>
              </w:rPr>
              <w:fldChar w:fldCharType="separate"/>
            </w:r>
            <w:r>
              <w:rPr>
                <w:noProof/>
                <w:webHidden/>
              </w:rPr>
              <w:t>8</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5" w:history="1">
            <w:r w:rsidRPr="003A412A">
              <w:rPr>
                <w:rStyle w:val="Hyperlink"/>
                <w:noProof/>
              </w:rPr>
              <w:t>3.3 IMPROVING BIOSECURITY FOR SOFTWOOD TIMBER IMPORTS IN THE UK</w:t>
            </w:r>
            <w:r>
              <w:rPr>
                <w:noProof/>
                <w:webHidden/>
              </w:rPr>
              <w:tab/>
            </w:r>
            <w:r>
              <w:rPr>
                <w:noProof/>
                <w:webHidden/>
              </w:rPr>
              <w:fldChar w:fldCharType="begin"/>
            </w:r>
            <w:r>
              <w:rPr>
                <w:noProof/>
                <w:webHidden/>
              </w:rPr>
              <w:instrText xml:space="preserve"> PAGEREF _Toc214490715 \h </w:instrText>
            </w:r>
            <w:r>
              <w:rPr>
                <w:noProof/>
                <w:webHidden/>
              </w:rPr>
            </w:r>
            <w:r>
              <w:rPr>
                <w:noProof/>
                <w:webHidden/>
              </w:rPr>
              <w:fldChar w:fldCharType="separate"/>
            </w:r>
            <w:r>
              <w:rPr>
                <w:noProof/>
                <w:webHidden/>
              </w:rPr>
              <w:t>8</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6" w:history="1">
            <w:r w:rsidRPr="003A412A">
              <w:rPr>
                <w:rStyle w:val="Hyperlink"/>
                <w:noProof/>
              </w:rPr>
              <w:t>3.4 IMPROVING CUSTOMS CONTROLS FOR SOFTWOOD TIMBER IMPORTS IN THE UK</w:t>
            </w:r>
            <w:r>
              <w:rPr>
                <w:noProof/>
                <w:webHidden/>
              </w:rPr>
              <w:tab/>
            </w:r>
            <w:r>
              <w:rPr>
                <w:noProof/>
                <w:webHidden/>
              </w:rPr>
              <w:fldChar w:fldCharType="begin"/>
            </w:r>
            <w:r>
              <w:rPr>
                <w:noProof/>
                <w:webHidden/>
              </w:rPr>
              <w:instrText xml:space="preserve"> PAGEREF _Toc214490716 \h </w:instrText>
            </w:r>
            <w:r>
              <w:rPr>
                <w:noProof/>
                <w:webHidden/>
              </w:rPr>
            </w:r>
            <w:r>
              <w:rPr>
                <w:noProof/>
                <w:webHidden/>
              </w:rPr>
              <w:fldChar w:fldCharType="separate"/>
            </w:r>
            <w:r>
              <w:rPr>
                <w:noProof/>
                <w:webHidden/>
              </w:rPr>
              <w:t>9</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7" w:history="1">
            <w:r w:rsidRPr="003A412A">
              <w:rPr>
                <w:rStyle w:val="Hyperlink"/>
                <w:noProof/>
              </w:rPr>
              <w:t>3.5 IMPROVING GLOBAL PRICE FLUCTUATION FOR SOFTWOOD TIMBER IMPORTED IN THE UK</w:t>
            </w:r>
            <w:r>
              <w:rPr>
                <w:noProof/>
                <w:webHidden/>
              </w:rPr>
              <w:tab/>
            </w:r>
            <w:r>
              <w:rPr>
                <w:noProof/>
                <w:webHidden/>
              </w:rPr>
              <w:fldChar w:fldCharType="begin"/>
            </w:r>
            <w:r>
              <w:rPr>
                <w:noProof/>
                <w:webHidden/>
              </w:rPr>
              <w:instrText xml:space="preserve"> PAGEREF _Toc214490717 \h </w:instrText>
            </w:r>
            <w:r>
              <w:rPr>
                <w:noProof/>
                <w:webHidden/>
              </w:rPr>
            </w:r>
            <w:r>
              <w:rPr>
                <w:noProof/>
                <w:webHidden/>
              </w:rPr>
              <w:fldChar w:fldCharType="separate"/>
            </w:r>
            <w:r>
              <w:rPr>
                <w:noProof/>
                <w:webHidden/>
              </w:rPr>
              <w:t>10</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8" w:history="1">
            <w:r w:rsidRPr="003A412A">
              <w:rPr>
                <w:rStyle w:val="Hyperlink"/>
                <w:noProof/>
              </w:rPr>
              <w:t>3.6 IMPROVING DISTRIBUTION FOR IMPORTED SOFTWOOD TIMBER IN THE UK</w:t>
            </w:r>
            <w:r>
              <w:rPr>
                <w:noProof/>
                <w:webHidden/>
              </w:rPr>
              <w:tab/>
            </w:r>
            <w:r>
              <w:rPr>
                <w:noProof/>
                <w:webHidden/>
              </w:rPr>
              <w:fldChar w:fldCharType="begin"/>
            </w:r>
            <w:r>
              <w:rPr>
                <w:noProof/>
                <w:webHidden/>
              </w:rPr>
              <w:instrText xml:space="preserve"> PAGEREF _Toc214490718 \h </w:instrText>
            </w:r>
            <w:r>
              <w:rPr>
                <w:noProof/>
                <w:webHidden/>
              </w:rPr>
            </w:r>
            <w:r>
              <w:rPr>
                <w:noProof/>
                <w:webHidden/>
              </w:rPr>
              <w:fldChar w:fldCharType="separate"/>
            </w:r>
            <w:r>
              <w:rPr>
                <w:noProof/>
                <w:webHidden/>
              </w:rPr>
              <w:t>11</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9" w:history="1">
            <w:r w:rsidRPr="003A412A">
              <w:rPr>
                <w:rStyle w:val="Hyperlink"/>
                <w:noProof/>
              </w:rPr>
              <w:t>4. CONCLUSION</w:t>
            </w:r>
            <w:r>
              <w:rPr>
                <w:noProof/>
                <w:webHidden/>
              </w:rPr>
              <w:tab/>
            </w:r>
            <w:r>
              <w:rPr>
                <w:noProof/>
                <w:webHidden/>
              </w:rPr>
              <w:fldChar w:fldCharType="begin"/>
            </w:r>
            <w:r>
              <w:rPr>
                <w:noProof/>
                <w:webHidden/>
              </w:rPr>
              <w:instrText xml:space="preserve"> PAGEREF _Toc214490719 \h </w:instrText>
            </w:r>
            <w:r>
              <w:rPr>
                <w:noProof/>
                <w:webHidden/>
              </w:rPr>
            </w:r>
            <w:r>
              <w:rPr>
                <w:noProof/>
                <w:webHidden/>
              </w:rPr>
              <w:fldChar w:fldCharType="separate"/>
            </w:r>
            <w:r>
              <w:rPr>
                <w:noProof/>
                <w:webHidden/>
              </w:rPr>
              <w:t>12</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20" w:history="1">
            <w:r w:rsidRPr="003A412A">
              <w:rPr>
                <w:rStyle w:val="Hyperlink"/>
                <w:noProof/>
              </w:rPr>
              <w:t>4.1 SUGGESTIONS FOR FURTHER WORK/RESEARCH</w:t>
            </w:r>
            <w:r>
              <w:rPr>
                <w:noProof/>
                <w:webHidden/>
              </w:rPr>
              <w:tab/>
            </w:r>
            <w:r>
              <w:rPr>
                <w:noProof/>
                <w:webHidden/>
              </w:rPr>
              <w:fldChar w:fldCharType="begin"/>
            </w:r>
            <w:r>
              <w:rPr>
                <w:noProof/>
                <w:webHidden/>
              </w:rPr>
              <w:instrText xml:space="preserve"> PAGEREF _Toc214490720 \h </w:instrText>
            </w:r>
            <w:r>
              <w:rPr>
                <w:noProof/>
                <w:webHidden/>
              </w:rPr>
            </w:r>
            <w:r>
              <w:rPr>
                <w:noProof/>
                <w:webHidden/>
              </w:rPr>
              <w:fldChar w:fldCharType="separate"/>
            </w:r>
            <w:r>
              <w:rPr>
                <w:noProof/>
                <w:webHidden/>
              </w:rPr>
              <w:t>12</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21" w:history="1">
            <w:r w:rsidRPr="003A412A">
              <w:rPr>
                <w:rStyle w:val="Hyperlink"/>
                <w:noProof/>
              </w:rPr>
              <w:t>5. REFERENCES</w:t>
            </w:r>
            <w:r>
              <w:rPr>
                <w:noProof/>
                <w:webHidden/>
              </w:rPr>
              <w:tab/>
            </w:r>
            <w:r>
              <w:rPr>
                <w:noProof/>
                <w:webHidden/>
              </w:rPr>
              <w:fldChar w:fldCharType="begin"/>
            </w:r>
            <w:r>
              <w:rPr>
                <w:noProof/>
                <w:webHidden/>
              </w:rPr>
              <w:instrText xml:space="preserve"> PAGEREF _Toc214490721 \h </w:instrText>
            </w:r>
            <w:r>
              <w:rPr>
                <w:noProof/>
                <w:webHidden/>
              </w:rPr>
            </w:r>
            <w:r>
              <w:rPr>
                <w:noProof/>
                <w:webHidden/>
              </w:rPr>
              <w:fldChar w:fldCharType="separate"/>
            </w:r>
            <w:r>
              <w:rPr>
                <w:noProof/>
                <w:webHidden/>
              </w:rPr>
              <w:t>14</w:t>
            </w:r>
            <w:r>
              <w:rPr>
                <w:noProof/>
                <w:webHidden/>
              </w:rPr>
              <w:fldChar w:fldCharType="end"/>
            </w:r>
          </w:hyperlink>
        </w:p>
        <w:p w:rsidR="008C1C1A" w:rsidRDefault="00000000">
          <w:r>
            <w:rPr>
              <w:rFonts w:ascii="Times New Roman" w:hAnsi="Times New Roman" w:cs="Times New Roman"/>
              <w:b/>
              <w:bCs/>
              <w:sz w:val="24"/>
              <w:szCs w:val="24"/>
            </w:rPr>
            <w:fldChar w:fldCharType="end"/>
          </w:r>
        </w:p>
      </w:sdtContent>
    </w:sdt>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000000">
      <w:r>
        <w:br w:type="page"/>
      </w:r>
    </w:p>
    <w:p w:rsidR="008C1C1A" w:rsidRDefault="00000000">
      <w:pPr>
        <w:pStyle w:val="Heading1"/>
        <w:rPr>
          <w:rFonts w:ascii="Times New Roman" w:hAnsi="Times New Roman" w:cs="Times New Roman"/>
          <w:b/>
          <w:bCs/>
          <w:sz w:val="32"/>
          <w:szCs w:val="32"/>
        </w:rPr>
      </w:pPr>
      <w:bookmarkStart w:id="1" w:name="_Toc214490708"/>
      <w:r>
        <w:rPr>
          <w:rFonts w:ascii="Times New Roman" w:hAnsi="Times New Roman" w:cs="Times New Roman"/>
          <w:b/>
          <w:bCs/>
          <w:sz w:val="32"/>
          <w:szCs w:val="32"/>
        </w:rPr>
        <w:lastRenderedPageBreak/>
        <w:t>1. INTRODUCTION</w:t>
      </w:r>
      <w:bookmarkEnd w:id="1"/>
    </w:p>
    <w:p w:rsidR="008C1C1A" w:rsidRDefault="008C1C1A">
      <w:pPr>
        <w:pStyle w:val="ListParagraph"/>
        <w:rPr>
          <w:rFonts w:ascii="Times New Roman" w:hAnsi="Times New Roman" w:cs="Times New Roman"/>
          <w:sz w:val="24"/>
          <w:szCs w:val="24"/>
        </w:rPr>
      </w:pP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The purpose of this report is to examine the UK building sector reliance on imported structural sawn softwood timber, because domestic forests cannot meet national demand for structural products. This growing dependency has made the supply chain more sensitive to global disruption and risks.</w:t>
      </w: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recent years, the construction sector has faced a number of issues with materials due to the covid-19 situation and other factors such as natural disasters and bad weather condition. Overall, these factors can significantly impact local and global supply chain management. Such issues caused vulnerabilities, price fluctuations, risks include shipping and logistics disruption. This study applies failure mode and effects analysis to critically assess these risks and proposes six targeted steps to enhance the resilience of the international supply chain for UK timber imports. </w:t>
      </w: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The trade report show that imported sawn softwood continues to supply a major share of the UK construction need, especially for housing, joinery and infrastructure projects. however, the reliability of this supply is challenges by those issues. The projects are totally dependent on supply chain management and quality of raw materials. Maintaining budget and good quality standards are key of the projects. According (Forest research (2024) shows that UK imports of sawn wood stayed high with several million cubic meters brought in). Timber and panel imports have slightly increased mainly due to the more sawn softwood, plywood and other engineered wood product. (There is also a lot of mislabeling and laundering of sanctioned Russian and Belarusian timber entering Europe.) Other risks include biosecurity threats, pests, and supply changes caused by climate. These issues can make the supply chain less reliable and affect sustainability goals.</w:t>
      </w:r>
    </w:p>
    <w:p w:rsidR="008C1C1A" w:rsidRDefault="008C1C1A" w:rsidP="006833C2">
      <w:pPr>
        <w:spacing w:line="360" w:lineRule="auto"/>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Pr="0065036D" w:rsidRDefault="0065036D" w:rsidP="0065036D">
      <w:pPr>
        <w:pStyle w:val="Heading1"/>
        <w:rPr>
          <w:rFonts w:ascii="Times New Roman" w:hAnsi="Times New Roman" w:cs="Times New Roman"/>
          <w:b/>
          <w:bCs/>
          <w:sz w:val="32"/>
          <w:szCs w:val="32"/>
        </w:rPr>
      </w:pPr>
      <w:r>
        <w:lastRenderedPageBreak/>
        <w:t xml:space="preserve"> </w:t>
      </w:r>
      <w:bookmarkStart w:id="2" w:name="_Toc214490709"/>
      <w:r w:rsidRPr="0065036D">
        <w:rPr>
          <w:rFonts w:ascii="Times New Roman" w:hAnsi="Times New Roman" w:cs="Times New Roman"/>
          <w:b/>
          <w:bCs/>
          <w:sz w:val="32"/>
          <w:szCs w:val="32"/>
        </w:rPr>
        <w:t>1.2 METHODOLOGY OUTLINE</w:t>
      </w:r>
      <w:bookmarkEnd w:id="2"/>
    </w:p>
    <w:p w:rsidR="008C1C1A" w:rsidRPr="0065036D" w:rsidRDefault="008C1C1A">
      <w:pPr>
        <w:rPr>
          <w:b/>
          <w:bCs/>
          <w:sz w:val="24"/>
          <w:szCs w:val="24"/>
        </w:rPr>
      </w:pPr>
    </w:p>
    <w:p w:rsidR="008C1C1A" w:rsidRDefault="008C1C1A">
      <w:pPr>
        <w:spacing w:before="120" w:after="200" w:line="264" w:lineRule="auto"/>
      </w:pPr>
    </w:p>
    <w:p w:rsidR="008C1C1A" w:rsidRDefault="00000000">
      <w:pPr>
        <w:spacing w:before="120" w:after="200" w:line="264" w:lineRule="auto"/>
      </w:pPr>
      <w:r>
        <w:rPr>
          <w:noProof/>
        </w:rPr>
        <mc:AlternateContent>
          <mc:Choice Requires="wps">
            <w:drawing>
              <wp:anchor distT="0" distB="0" distL="114300" distR="114300" simplePos="0" relativeHeight="251666432" behindDoc="0" locked="0" layoutInCell="1" allowOverlap="1">
                <wp:simplePos x="0" y="0"/>
                <wp:positionH relativeFrom="margin">
                  <wp:posOffset>208915</wp:posOffset>
                </wp:positionH>
                <wp:positionV relativeFrom="paragraph">
                  <wp:posOffset>297815</wp:posOffset>
                </wp:positionV>
                <wp:extent cx="5248275" cy="487680"/>
                <wp:effectExtent l="0" t="0" r="28575" b="26670"/>
                <wp:wrapNone/>
                <wp:docPr id="1804711395" name="Rectangle 8"/>
                <wp:cNvGraphicFramePr/>
                <a:graphic xmlns:a="http://schemas.openxmlformats.org/drawingml/2006/main">
                  <a:graphicData uri="http://schemas.microsoft.com/office/word/2010/wordprocessingShape">
                    <wps:wsp>
                      <wps:cNvSpPr/>
                      <wps:spPr>
                        <a:xfrm>
                          <a:off x="0" y="0"/>
                          <a:ext cx="5248275" cy="48768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FAILURE MODE AND EFFECTS ANALYSIS (F.M.E.A)</w:t>
                            </w:r>
                          </w:p>
                          <w:p w:rsidR="008C1C1A" w:rsidRDefault="008C1C1A">
                            <w:pPr>
                              <w:rPr>
                                <w:lang w:val="en-IN"/>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8" o:spid="_x0000_s1030" style="position:absolute;margin-left:16.45pt;margin-top:23.45pt;width:413.25pt;height:38.4pt;z-index:2516664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FAILURE MODE AND EFFECTS ANALYSIS (F.M.E.A)</w:t>
                      </w:r>
                    </w:p>
                    <w:p w:rsidR="008C1C1A" w:rsidRDefault="008C1C1A">
                      <w:pPr>
                        <w:rPr>
                          <w:lang w:val="en-IN"/>
                        </w:rPr>
                      </w:pPr>
                    </w:p>
                  </w:txbxContent>
                </v:textbox>
                <w10:wrap anchorx="margin"/>
              </v:rect>
            </w:pict>
          </mc:Fallback>
        </mc:AlternateContent>
      </w:r>
    </w:p>
    <w:p w:rsidR="008C1C1A" w:rsidRDefault="008C1C1A">
      <w:pPr>
        <w:spacing w:before="120" w:after="200" w:line="264" w:lineRule="auto"/>
      </w:pPr>
    </w:p>
    <w:p w:rsidR="008C1C1A" w:rsidRDefault="008C1C1A"/>
    <w:p w:rsidR="008C1C1A" w:rsidRDefault="00000000">
      <w:r>
        <w:rPr>
          <w:noProof/>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22860</wp:posOffset>
                </wp:positionV>
                <wp:extent cx="188595" cy="260985"/>
                <wp:effectExtent l="19050" t="0" r="20955" b="43815"/>
                <wp:wrapNone/>
                <wp:docPr id="1338378754" name="Arrow: Down 9"/>
                <wp:cNvGraphicFramePr/>
                <a:graphic xmlns:a="http://schemas.openxmlformats.org/drawingml/2006/main">
                  <a:graphicData uri="http://schemas.microsoft.com/office/word/2010/wordprocessingShape">
                    <wps:wsp>
                      <wps:cNvSpPr/>
                      <wps:spPr>
                        <a:xfrm>
                          <a:off x="0" y="0"/>
                          <a:ext cx="188776" cy="26125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Arrow: Down 9" o:spid="_x0000_s1026" o:spt="67" type="#_x0000_t67" style="position:absolute;left:0pt;margin-top:1.8pt;height:20.55pt;width:14.85pt;mso-position-horizontal:center;mso-position-horizontal-relative:margin;z-index:251662336;v-text-anchor:middle;mso-width-relative:page;mso-height-relative:page;" fillcolor="#0F6FC6 [3204]" filled="t" stroked="t" coordsize="21600,21600" o:gfxdata="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T4GCnNYAAAAEAQAADwAAAAAAAAABACAAAAAiAAAAZHJzL2Rv&#10;d25yZXYueG1sUEsBAhQAFAAAAAgAh07iQPsuQGF1AgAAEAUAAA4AAAAAAAAAAQAgAAAAJQEAAGRy&#10;cy9lMm9Eb2MueG1sUEsFBgAAAAAGAAYAWQEAAAwGAAAAAA==&#10;" adj="13797,5400">
                <v:fill on="t" focussize="0,0"/>
                <v:stroke weight="2pt" color="#022B52 [3204]" joinstyle="round"/>
                <v:imagedata o:title=""/>
                <o:lock v:ext="edit" aspectratio="f"/>
              </v:shape>
            </w:pict>
          </mc:Fallback>
        </mc:AlternateContent>
      </w:r>
    </w:p>
    <w:p w:rsidR="008C1C1A" w:rsidRDefault="00000000">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245745</wp:posOffset>
                </wp:positionV>
                <wp:extent cx="5191125" cy="563880"/>
                <wp:effectExtent l="0" t="0" r="28575" b="26670"/>
                <wp:wrapNone/>
                <wp:docPr id="1803579187" name="Rectangle 8"/>
                <wp:cNvGraphicFramePr/>
                <a:graphic xmlns:a="http://schemas.openxmlformats.org/drawingml/2006/main">
                  <a:graphicData uri="http://schemas.microsoft.com/office/word/2010/wordprocessingShape">
                    <wps:wsp>
                      <wps:cNvSpPr/>
                      <wps:spPr>
                        <a:xfrm>
                          <a:off x="0" y="0"/>
                          <a:ext cx="5191125" cy="56388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SIX STEPS TO ENHANCE SUPPLY CHAIN RESILIENCE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31" style="position:absolute;margin-left:0;margin-top:19.35pt;width:408.75pt;height:44.4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SIX STEPS TO ENHANCE SUPPLY CHAIN RESILIENCE</w:t>
                      </w:r>
                    </w:p>
                  </w:txbxContent>
                </v:textbox>
                <w10:wrap anchorx="margin"/>
              </v:rect>
            </w:pict>
          </mc:Fallback>
        </mc:AlternateContent>
      </w:r>
    </w:p>
    <w:p w:rsidR="008C1C1A" w:rsidRDefault="008C1C1A"/>
    <w:p w:rsidR="008C1C1A" w:rsidRDefault="00000000">
      <w:r>
        <w:rPr>
          <w:noProof/>
        </w:rPr>
        <mc:AlternateContent>
          <mc:Choice Requires="wps">
            <w:drawing>
              <wp:anchor distT="0" distB="0" distL="114300" distR="114300" simplePos="0" relativeHeight="251663360" behindDoc="0" locked="0" layoutInCell="1" allowOverlap="1">
                <wp:simplePos x="0" y="0"/>
                <wp:positionH relativeFrom="margin">
                  <wp:posOffset>2778760</wp:posOffset>
                </wp:positionH>
                <wp:positionV relativeFrom="paragraph">
                  <wp:posOffset>243840</wp:posOffset>
                </wp:positionV>
                <wp:extent cx="188595" cy="260985"/>
                <wp:effectExtent l="19050" t="0" r="20955" b="43815"/>
                <wp:wrapNone/>
                <wp:docPr id="1234771597" name="Arrow: Down 9"/>
                <wp:cNvGraphicFramePr/>
                <a:graphic xmlns:a="http://schemas.openxmlformats.org/drawingml/2006/main">
                  <a:graphicData uri="http://schemas.microsoft.com/office/word/2010/wordprocessingShape">
                    <wps:wsp>
                      <wps:cNvSpPr/>
                      <wps:spPr>
                        <a:xfrm>
                          <a:off x="0" y="0"/>
                          <a:ext cx="188776" cy="26125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Arrow: Down 9" o:spid="_x0000_s1026" o:spt="67" type="#_x0000_t67" style="position:absolute;left:0pt;margin-left:218.8pt;margin-top:19.2pt;height:20.55pt;width:14.85pt;mso-position-horizontal-relative:margin;z-index:251663360;v-text-anchor:middle;mso-width-relative:page;mso-height-relative:page;" fillcolor="#0F6FC6 [3204]" filled="t" stroked="t" coordsize="21600,21600" o:gfxdata="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" adj="13797,5400">
                <v:fill on="t" focussize="0,0"/>
                <v:stroke weight="2pt" color="#022B52 [3204]" joinstyle="round"/>
                <v:imagedata o:title=""/>
                <o:lock v:ext="edit" aspectratio="f"/>
              </v:shape>
            </w:pict>
          </mc:Fallback>
        </mc:AlternateContent>
      </w:r>
    </w:p>
    <w:p w:rsidR="008C1C1A" w:rsidRDefault="008C1C1A"/>
    <w:p w:rsidR="008C1C1A" w:rsidRDefault="00000000">
      <w:r>
        <w:rPr>
          <w:noProof/>
        </w:rPr>
        <mc:AlternateContent>
          <mc:Choice Requires="wps">
            <w:drawing>
              <wp:anchor distT="0" distB="0" distL="114300" distR="114300" simplePos="0" relativeHeight="251660288" behindDoc="0" locked="0" layoutInCell="1" allowOverlap="1">
                <wp:simplePos x="0" y="0"/>
                <wp:positionH relativeFrom="margin">
                  <wp:posOffset>285115</wp:posOffset>
                </wp:positionH>
                <wp:positionV relativeFrom="paragraph">
                  <wp:posOffset>106045</wp:posOffset>
                </wp:positionV>
                <wp:extent cx="5172075" cy="472440"/>
                <wp:effectExtent l="0" t="0" r="28575" b="22860"/>
                <wp:wrapNone/>
                <wp:docPr id="341462672" name="Rectangle 8"/>
                <wp:cNvGraphicFramePr/>
                <a:graphic xmlns:a="http://schemas.openxmlformats.org/drawingml/2006/main">
                  <a:graphicData uri="http://schemas.microsoft.com/office/word/2010/wordprocessingShape">
                    <wps:wsp>
                      <wps:cNvSpPr/>
                      <wps:spPr>
                        <a:xfrm>
                          <a:off x="0" y="0"/>
                          <a:ext cx="5172075" cy="47244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CONCLUSION AND SUGGESTIONS FOR FURTHER WORK/RESEARCH</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32" style="position:absolute;margin-left:22.45pt;margin-top:8.35pt;width:407.25pt;height:37.2pt;z-index:2516602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CONCLUSION AND SUGGESTIONS FOR FURTHER WORK/RESEARCH</w:t>
                      </w:r>
                    </w:p>
                  </w:txbxContent>
                </v:textbox>
                <w10:wrap anchorx="margin"/>
              </v:rect>
            </w:pict>
          </mc:Fallback>
        </mc:AlternateContent>
      </w:r>
    </w:p>
    <w:p w:rsidR="008C1C1A" w:rsidRDefault="008C1C1A"/>
    <w:p w:rsidR="008C1C1A" w:rsidRDefault="00000000">
      <w:r>
        <w:rPr>
          <w:noProof/>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149225</wp:posOffset>
                </wp:positionV>
                <wp:extent cx="188595" cy="260985"/>
                <wp:effectExtent l="19050" t="0" r="20955" b="43815"/>
                <wp:wrapNone/>
                <wp:docPr id="925112021" name="Arrow: Down 9"/>
                <wp:cNvGraphicFramePr/>
                <a:graphic xmlns:a="http://schemas.openxmlformats.org/drawingml/2006/main">
                  <a:graphicData uri="http://schemas.microsoft.com/office/word/2010/wordprocessingShape">
                    <wps:wsp>
                      <wps:cNvSpPr/>
                      <wps:spPr>
                        <a:xfrm>
                          <a:off x="0" y="0"/>
                          <a:ext cx="188776" cy="26125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Arrow: Down 9" o:spid="_x0000_s1026" o:spt="67" type="#_x0000_t67" style="position:absolute;left:0pt;margin-top:11.75pt;height:20.55pt;width:14.85pt;mso-position-horizontal:center;mso-position-horizontal-relative:margin;z-index:251664384;v-text-anchor:middle;mso-width-relative:page;mso-height-relative:page;" fillcolor="#0F6FC6 [3204]" filled="t" stroked="t" coordsize="21600,21600" o:gfxdata="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" adj="13797,5400">
                <v:fill on="t" focussize="0,0"/>
                <v:stroke weight="2pt" color="#022B52 [3204]" joinstyle="round"/>
                <v:imagedata o:title=""/>
                <o:lock v:ext="edit" aspectratio="f"/>
              </v:shape>
            </w:pict>
          </mc:Fallback>
        </mc:AlternateContent>
      </w:r>
    </w:p>
    <w:p w:rsidR="008C1C1A" w:rsidRDefault="00000000">
      <w:r>
        <w:rPr>
          <w:noProof/>
        </w:rPr>
        <mc:AlternateContent>
          <mc:Choice Requires="wps">
            <w:drawing>
              <wp:anchor distT="0" distB="0" distL="114300" distR="114300" simplePos="0" relativeHeight="251661312" behindDoc="0" locked="0" layoutInCell="1" allowOverlap="1">
                <wp:simplePos x="0" y="0"/>
                <wp:positionH relativeFrom="margin">
                  <wp:posOffset>275590</wp:posOffset>
                </wp:positionH>
                <wp:positionV relativeFrom="paragraph">
                  <wp:posOffset>259715</wp:posOffset>
                </wp:positionV>
                <wp:extent cx="5191125" cy="426720"/>
                <wp:effectExtent l="0" t="0" r="28575" b="11430"/>
                <wp:wrapNone/>
                <wp:docPr id="25034928" name="Rectangle 8"/>
                <wp:cNvGraphicFramePr/>
                <a:graphic xmlns:a="http://schemas.openxmlformats.org/drawingml/2006/main">
                  <a:graphicData uri="http://schemas.microsoft.com/office/word/2010/wordprocessingShape">
                    <wps:wsp>
                      <wps:cNvSpPr/>
                      <wps:spPr>
                        <a:xfrm>
                          <a:off x="0" y="0"/>
                          <a:ext cx="5191125" cy="42672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REFERENCES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33" style="position:absolute;margin-left:21.7pt;margin-top:20.45pt;width:408.75pt;height:33.6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REFERENCES</w:t>
                      </w:r>
                    </w:p>
                  </w:txbxContent>
                </v:textbox>
                <w10:wrap anchorx="margin"/>
              </v:rect>
            </w:pict>
          </mc:Fallback>
        </mc:AlternateContent>
      </w:r>
    </w:p>
    <w:p w:rsidR="008C1C1A" w:rsidRDefault="008C1C1A"/>
    <w:p w:rsidR="008C1C1A" w:rsidRDefault="008C1C1A"/>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spacing w:line="480" w:lineRule="auto"/>
        <w:rPr>
          <w:rFonts w:asciiTheme="majorHAnsi" w:hAnsiTheme="majorHAnsi" w:cstheme="majorHAnsi"/>
          <w:b/>
          <w:bCs/>
          <w:sz w:val="28"/>
          <w:szCs w:val="28"/>
        </w:rPr>
      </w:pPr>
    </w:p>
    <w:p w:rsidR="008C1C1A" w:rsidRDefault="00000000">
      <w:pPr>
        <w:pStyle w:val="Heading1"/>
        <w:rPr>
          <w:rFonts w:ascii="Times New Roman" w:hAnsi="Times New Roman" w:cs="Times New Roman"/>
          <w:b/>
          <w:bCs/>
          <w:sz w:val="32"/>
          <w:szCs w:val="32"/>
        </w:rPr>
      </w:pPr>
      <w:bookmarkStart w:id="3" w:name="_Toc214490710"/>
      <w:r>
        <w:rPr>
          <w:rFonts w:ascii="Times New Roman" w:hAnsi="Times New Roman" w:cs="Times New Roman"/>
          <w:b/>
          <w:bCs/>
          <w:sz w:val="32"/>
          <w:szCs w:val="32"/>
        </w:rPr>
        <w:lastRenderedPageBreak/>
        <w:t>2. FAILURE MODES AND EFFECTS ANALYSIS</w:t>
      </w:r>
      <w:bookmarkEnd w:id="3"/>
    </w:p>
    <w:tbl>
      <w:tblPr>
        <w:tblStyle w:val="TableGridLight1"/>
        <w:tblpPr w:leftFromText="180" w:rightFromText="180" w:horzAnchor="margin" w:tblpXSpec="center" w:tblpY="1890"/>
        <w:tblW w:w="11457" w:type="dxa"/>
        <w:tblLayout w:type="fixed"/>
        <w:tblLook w:val="04A0" w:firstRow="1" w:lastRow="0" w:firstColumn="1" w:lastColumn="0" w:noHBand="0" w:noVBand="1"/>
      </w:tblPr>
      <w:tblGrid>
        <w:gridCol w:w="1148"/>
        <w:gridCol w:w="1009"/>
        <w:gridCol w:w="1009"/>
        <w:gridCol w:w="289"/>
        <w:gridCol w:w="289"/>
        <w:gridCol w:w="911"/>
        <w:gridCol w:w="243"/>
        <w:gridCol w:w="865"/>
        <w:gridCol w:w="289"/>
        <w:gridCol w:w="284"/>
        <w:gridCol w:w="7"/>
        <w:gridCol w:w="1582"/>
        <w:gridCol w:w="1296"/>
        <w:gridCol w:w="1013"/>
        <w:gridCol w:w="312"/>
        <w:gridCol w:w="312"/>
        <w:gridCol w:w="312"/>
        <w:gridCol w:w="272"/>
        <w:gridCol w:w="15"/>
      </w:tblGrid>
      <w:tr w:rsidR="008C1C1A" w:rsidTr="00965C17">
        <w:trPr>
          <w:trHeight w:val="656"/>
        </w:trPr>
        <w:tc>
          <w:tcPr>
            <w:tcW w:w="10234" w:type="dxa"/>
            <w:gridSpan w:val="14"/>
            <w:tcBorders>
              <w:top w:val="single" w:sz="4" w:space="0" w:color="auto"/>
              <w:left w:val="single" w:sz="4" w:space="0" w:color="auto"/>
              <w:right w:val="single" w:sz="4" w:space="0" w:color="auto"/>
            </w:tcBorders>
          </w:tcPr>
          <w:p w:rsidR="008C1C1A" w:rsidRDefault="00000000" w:rsidP="00965C17">
            <w:pPr>
              <w:spacing w:before="120" w:after="200" w:line="264" w:lineRule="auto"/>
              <w:jc w:val="center"/>
              <w:rPr>
                <w:rFonts w:cstheme="minorHAnsi"/>
                <w:b/>
                <w:bCs/>
              </w:rPr>
            </w:pPr>
            <w:r>
              <w:rPr>
                <w:rFonts w:cstheme="minorHAnsi"/>
                <w:b/>
                <w:bCs/>
              </w:rPr>
              <w:t>POTENTIAL FAILURE MODES &amp; EFFECTS ANALYSIS (PROCESS F.M.E.A)</w:t>
            </w:r>
          </w:p>
        </w:tc>
        <w:tc>
          <w:tcPr>
            <w:tcW w:w="1223" w:type="dxa"/>
            <w:gridSpan w:val="5"/>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FMEA REF:</w:t>
            </w:r>
          </w:p>
        </w:tc>
      </w:tr>
      <w:tr w:rsidR="008C1C1A" w:rsidTr="00965C17">
        <w:trPr>
          <w:trHeight w:val="641"/>
        </w:trPr>
        <w:tc>
          <w:tcPr>
            <w:tcW w:w="6343" w:type="dxa"/>
            <w:gridSpan w:val="11"/>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 xml:space="preserve">TITLE: Risk assessment through FMEA for softwood timber imported in the UK  </w:t>
            </w:r>
          </w:p>
        </w:tc>
        <w:tc>
          <w:tcPr>
            <w:tcW w:w="3891" w:type="dxa"/>
            <w:gridSpan w:val="3"/>
            <w:vMerge w:val="restart"/>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TEAM:</w:t>
            </w:r>
          </w:p>
        </w:tc>
        <w:tc>
          <w:tcPr>
            <w:tcW w:w="1223" w:type="dxa"/>
            <w:gridSpan w:val="5"/>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PAGE:</w:t>
            </w:r>
            <w:r w:rsidR="00255AD2">
              <w:rPr>
                <w:rFonts w:cstheme="minorHAnsi"/>
                <w:sz w:val="16"/>
                <w:szCs w:val="16"/>
              </w:rPr>
              <w:t>02</w:t>
            </w:r>
          </w:p>
        </w:tc>
      </w:tr>
      <w:tr w:rsidR="008C1C1A" w:rsidTr="00965C17">
        <w:trPr>
          <w:trHeight w:val="348"/>
        </w:trPr>
        <w:tc>
          <w:tcPr>
            <w:tcW w:w="1148" w:type="dxa"/>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PROCESS:</w:t>
            </w:r>
          </w:p>
        </w:tc>
        <w:tc>
          <w:tcPr>
            <w:tcW w:w="5195" w:type="dxa"/>
            <w:gridSpan w:val="10"/>
            <w:tcBorders>
              <w:top w:val="single" w:sz="4" w:space="0" w:color="auto"/>
              <w:left w:val="single" w:sz="4" w:space="0" w:color="auto"/>
              <w:bottom w:val="single" w:sz="4" w:space="0" w:color="auto"/>
              <w:right w:val="single" w:sz="4" w:space="0" w:color="auto"/>
            </w:tcBorders>
          </w:tcPr>
          <w:p w:rsidR="008C1C1A" w:rsidRDefault="00251FEC" w:rsidP="00965C17">
            <w:pPr>
              <w:spacing w:before="120" w:after="200" w:line="264" w:lineRule="auto"/>
              <w:rPr>
                <w:rFonts w:cstheme="minorHAnsi"/>
                <w:sz w:val="16"/>
                <w:szCs w:val="16"/>
              </w:rPr>
            </w:pPr>
            <w:r>
              <w:rPr>
                <w:rFonts w:cstheme="minorHAnsi"/>
                <w:sz w:val="16"/>
                <w:szCs w:val="16"/>
              </w:rPr>
              <w:t xml:space="preserve">Identify key of Imported softwood timber in the UK </w:t>
            </w:r>
          </w:p>
        </w:tc>
        <w:tc>
          <w:tcPr>
            <w:tcW w:w="3891" w:type="dxa"/>
            <w:gridSpan w:val="3"/>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1223" w:type="dxa"/>
            <w:gridSpan w:val="5"/>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DATE:</w:t>
            </w:r>
            <w:r w:rsidR="00255AD2">
              <w:rPr>
                <w:rFonts w:cstheme="minorHAnsi"/>
                <w:sz w:val="16"/>
                <w:szCs w:val="16"/>
              </w:rPr>
              <w:t>29-10-25</w:t>
            </w:r>
          </w:p>
        </w:tc>
      </w:tr>
      <w:tr w:rsidR="008C1C1A" w:rsidTr="00965C17">
        <w:trPr>
          <w:trHeight w:val="1129"/>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cstheme="minorHAnsi"/>
                <w:sz w:val="16"/>
                <w:szCs w:val="16"/>
              </w:rPr>
            </w:pPr>
            <w:r>
              <w:rPr>
                <w:rFonts w:cstheme="minorHAnsi"/>
                <w:sz w:val="16"/>
                <w:szCs w:val="16"/>
              </w:rPr>
              <w:t>SUB</w:t>
            </w:r>
          </w:p>
          <w:p w:rsidR="008C1C1A" w:rsidRDefault="00000000" w:rsidP="00965C17">
            <w:pPr>
              <w:spacing w:before="120" w:after="200" w:line="264" w:lineRule="auto"/>
              <w:jc w:val="center"/>
              <w:rPr>
                <w:rFonts w:cstheme="minorHAnsi"/>
                <w:sz w:val="12"/>
                <w:szCs w:val="12"/>
              </w:rPr>
            </w:pPr>
            <w:r>
              <w:rPr>
                <w:rFonts w:cstheme="minorHAnsi"/>
                <w:sz w:val="16"/>
                <w:szCs w:val="16"/>
              </w:rPr>
              <w:t>SYSTEM:</w:t>
            </w:r>
          </w:p>
        </w:tc>
        <w:tc>
          <w:tcPr>
            <w:tcW w:w="5195" w:type="dxa"/>
            <w:gridSpan w:val="10"/>
            <w:tcBorders>
              <w:top w:val="single" w:sz="4" w:space="0" w:color="auto"/>
              <w:left w:val="single" w:sz="4" w:space="0" w:color="auto"/>
              <w:bottom w:val="single" w:sz="4" w:space="0" w:color="auto"/>
              <w:right w:val="single" w:sz="4" w:space="0" w:color="auto"/>
            </w:tcBorders>
          </w:tcPr>
          <w:p w:rsidR="008C1C1A" w:rsidRDefault="00251FEC" w:rsidP="00965C17">
            <w:pPr>
              <w:spacing w:before="120" w:after="200" w:line="264" w:lineRule="auto"/>
              <w:rPr>
                <w:rFonts w:cstheme="minorHAnsi"/>
                <w:sz w:val="16"/>
                <w:szCs w:val="16"/>
              </w:rPr>
            </w:pPr>
            <w:r>
              <w:rPr>
                <w:rFonts w:cstheme="minorHAnsi"/>
                <w:sz w:val="16"/>
                <w:szCs w:val="16"/>
              </w:rPr>
              <w:t xml:space="preserve">Legal logging certification, port congestion, biosecurity, custom </w:t>
            </w:r>
            <w:r w:rsidR="00255AD2">
              <w:rPr>
                <w:rFonts w:cstheme="minorHAnsi"/>
                <w:sz w:val="16"/>
                <w:szCs w:val="16"/>
              </w:rPr>
              <w:t>control, global</w:t>
            </w:r>
            <w:r>
              <w:rPr>
                <w:rFonts w:cstheme="minorHAnsi"/>
                <w:sz w:val="16"/>
                <w:szCs w:val="16"/>
              </w:rPr>
              <w:t xml:space="preserve"> price and distribution.</w:t>
            </w:r>
          </w:p>
        </w:tc>
        <w:tc>
          <w:tcPr>
            <w:tcW w:w="3891" w:type="dxa"/>
            <w:gridSpan w:val="3"/>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1223" w:type="dxa"/>
            <w:gridSpan w:val="5"/>
            <w:tcBorders>
              <w:top w:val="single" w:sz="4" w:space="0" w:color="auto"/>
              <w:left w:val="single" w:sz="4" w:space="0" w:color="auto"/>
              <w:bottom w:val="nil"/>
              <w:right w:val="single" w:sz="4" w:space="0" w:color="auto"/>
            </w:tcBorders>
          </w:tcPr>
          <w:p w:rsidR="008C1C1A" w:rsidRDefault="00000000" w:rsidP="00965C17">
            <w:pPr>
              <w:spacing w:before="120" w:after="200" w:line="264" w:lineRule="auto"/>
              <w:jc w:val="center"/>
              <w:rPr>
                <w:rFonts w:cstheme="minorHAnsi"/>
                <w:sz w:val="16"/>
                <w:szCs w:val="16"/>
              </w:rPr>
            </w:pPr>
            <w:r>
              <w:rPr>
                <w:rFonts w:cstheme="minorHAnsi"/>
                <w:sz w:val="16"/>
                <w:szCs w:val="16"/>
              </w:rPr>
              <w:t>ACTION RESULTS</w:t>
            </w:r>
          </w:p>
        </w:tc>
      </w:tr>
      <w:tr w:rsidR="008C1C1A" w:rsidTr="00965C17">
        <w:trPr>
          <w:gridAfter w:val="1"/>
          <w:wAfter w:w="15" w:type="dxa"/>
          <w:trHeight w:val="375"/>
        </w:trPr>
        <w:tc>
          <w:tcPr>
            <w:tcW w:w="1148" w:type="dxa"/>
            <w:vMerge w:val="restart"/>
            <w:tcBorders>
              <w:top w:val="single" w:sz="4" w:space="0" w:color="auto"/>
              <w:left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Function</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Description</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(REF)</w:t>
            </w:r>
          </w:p>
        </w:tc>
        <w:tc>
          <w:tcPr>
            <w:tcW w:w="2307" w:type="dxa"/>
            <w:gridSpan w:val="3"/>
            <w:tcBorders>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Potential</w:t>
            </w:r>
          </w:p>
        </w:tc>
        <w:tc>
          <w:tcPr>
            <w:tcW w:w="289" w:type="dxa"/>
            <w:vMerge w:val="restart"/>
            <w:tcBorders>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noProof/>
                <w:sz w:val="16"/>
                <w:szCs w:val="16"/>
              </w:rPr>
              <mc:AlternateContent>
                <mc:Choice Requires="wps">
                  <w:drawing>
                    <wp:anchor distT="0" distB="0" distL="114300" distR="114300" simplePos="0" relativeHeight="251665408" behindDoc="0" locked="0" layoutInCell="1" allowOverlap="1">
                      <wp:simplePos x="0" y="0"/>
                      <wp:positionH relativeFrom="column">
                        <wp:posOffset>-40640</wp:posOffset>
                      </wp:positionH>
                      <wp:positionV relativeFrom="paragraph">
                        <wp:posOffset>204470</wp:posOffset>
                      </wp:positionV>
                      <wp:extent cx="137160" cy="144780"/>
                      <wp:effectExtent l="0" t="0" r="15240" b="26670"/>
                      <wp:wrapNone/>
                      <wp:docPr id="1701082311" name="Isosceles Triangle 10"/>
                      <wp:cNvGraphicFramePr/>
                      <a:graphic xmlns:a="http://schemas.openxmlformats.org/drawingml/2006/main">
                        <a:graphicData uri="http://schemas.microsoft.com/office/word/2010/wordprocessingShape">
                          <wps:wsp>
                            <wps:cNvSpPr/>
                            <wps:spPr>
                              <a:xfrm rot="10800000">
                                <a:off x="0" y="0"/>
                                <a:ext cx="137160" cy="144780"/>
                              </a:xfrm>
                              <a:prstGeom prst="triangle">
                                <a:avLst/>
                              </a:prstGeom>
                              <a:solidFill>
                                <a:schemeClr val="bg1"/>
                              </a:solidFill>
                              <a:ln>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Isosceles Triangle 10" o:spid="_x0000_s1026" o:spt="5" type="#_x0000_t5" style="position:absolute;left:0pt;margin-left:-3.2pt;margin-top:16.1pt;height:11.4pt;width:10.8pt;rotation:11796480f;z-index:251665408;v-text-anchor:middle;mso-width-relative:page;mso-height-relative:page;" fillcolor="#FFFFFF [3212]" filled="t" stroked="t" coordsize="21600,21600" o:gfxdata="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" adj="10800">
                      <v:fill on="t" focussize="0,0"/>
                      <v:stroke weight="2pt" color="#C00000 [3209]" joinstyle="round"/>
                      <v:imagedata o:title=""/>
                      <o:lock v:ext="edit" aspectratio="f"/>
                    </v:shape>
                  </w:pict>
                </mc:Fallback>
              </mc:AlternateContent>
            </w:r>
          </w:p>
          <w:p w:rsidR="008C1C1A" w:rsidRDefault="008C1C1A" w:rsidP="00965C17">
            <w:pPr>
              <w:spacing w:before="120" w:after="200" w:line="264" w:lineRule="auto"/>
              <w:rPr>
                <w:rFonts w:ascii="Times New Roman" w:hAnsi="Times New Roman" w:cs="Times New Roman"/>
                <w:sz w:val="16"/>
                <w:szCs w:val="16"/>
              </w:rPr>
            </w:pPr>
          </w:p>
        </w:tc>
        <w:tc>
          <w:tcPr>
            <w:tcW w:w="911" w:type="dxa"/>
            <w:vMerge w:val="restart"/>
            <w:tcBorders>
              <w:left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Potential</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Cause of</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Failure</w:t>
            </w:r>
          </w:p>
        </w:tc>
        <w:tc>
          <w:tcPr>
            <w:tcW w:w="243" w:type="dxa"/>
            <w:vMerge w:val="restart"/>
            <w:tcBorders>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O</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C</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C</w:t>
            </w:r>
          </w:p>
        </w:tc>
        <w:tc>
          <w:tcPr>
            <w:tcW w:w="865" w:type="dxa"/>
            <w:vMerge w:val="restart"/>
            <w:tcBorders>
              <w:left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Current</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Control</w:t>
            </w:r>
          </w:p>
        </w:tc>
        <w:tc>
          <w:tcPr>
            <w:tcW w:w="289" w:type="dxa"/>
            <w:vMerge w:val="restart"/>
            <w:tcBorders>
              <w:left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D</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E</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T</w:t>
            </w:r>
          </w:p>
        </w:tc>
        <w:tc>
          <w:tcPr>
            <w:tcW w:w="284" w:type="dxa"/>
            <w:vMerge w:val="restart"/>
            <w:tcBorders>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R</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P</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N</w:t>
            </w:r>
          </w:p>
        </w:tc>
        <w:tc>
          <w:tcPr>
            <w:tcW w:w="1589" w:type="dxa"/>
            <w:gridSpan w:val="2"/>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Recommended</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Action</w:t>
            </w:r>
          </w:p>
        </w:tc>
        <w:tc>
          <w:tcPr>
            <w:tcW w:w="1296"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Responsibility/</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Target Date</w:t>
            </w:r>
          </w:p>
        </w:tc>
        <w:tc>
          <w:tcPr>
            <w:tcW w:w="1013"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Action taken</w:t>
            </w:r>
          </w:p>
        </w:tc>
        <w:tc>
          <w:tcPr>
            <w:tcW w:w="31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S</w:t>
            </w:r>
          </w:p>
          <w:p w:rsidR="008C1C1A" w:rsidRDefault="00000000" w:rsidP="00965C17">
            <w:pPr>
              <w:spacing w:before="120" w:after="200" w:line="264" w:lineRule="auto"/>
              <w:rPr>
                <w:rFonts w:cstheme="minorHAnsi"/>
                <w:sz w:val="16"/>
                <w:szCs w:val="16"/>
              </w:rPr>
            </w:pPr>
            <w:r>
              <w:rPr>
                <w:rFonts w:cstheme="minorHAnsi"/>
                <w:sz w:val="16"/>
                <w:szCs w:val="16"/>
              </w:rPr>
              <w:t>E</w:t>
            </w:r>
          </w:p>
          <w:p w:rsidR="008C1C1A" w:rsidRDefault="00000000" w:rsidP="00965C17">
            <w:pPr>
              <w:spacing w:before="120" w:after="200" w:line="264" w:lineRule="auto"/>
              <w:rPr>
                <w:rFonts w:cstheme="minorHAnsi"/>
                <w:sz w:val="16"/>
                <w:szCs w:val="16"/>
              </w:rPr>
            </w:pPr>
            <w:r>
              <w:rPr>
                <w:rFonts w:cstheme="minorHAnsi"/>
                <w:sz w:val="16"/>
                <w:szCs w:val="16"/>
              </w:rPr>
              <w:t>V</w:t>
            </w:r>
          </w:p>
        </w:tc>
        <w:tc>
          <w:tcPr>
            <w:tcW w:w="31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O</w:t>
            </w:r>
          </w:p>
          <w:p w:rsidR="008C1C1A" w:rsidRDefault="00000000" w:rsidP="00965C17">
            <w:pPr>
              <w:spacing w:before="120" w:after="200" w:line="264" w:lineRule="auto"/>
              <w:rPr>
                <w:rFonts w:cstheme="minorHAnsi"/>
                <w:sz w:val="16"/>
                <w:szCs w:val="16"/>
              </w:rPr>
            </w:pPr>
            <w:r>
              <w:rPr>
                <w:rFonts w:cstheme="minorHAnsi"/>
                <w:sz w:val="16"/>
                <w:szCs w:val="16"/>
              </w:rPr>
              <w:t>C</w:t>
            </w:r>
          </w:p>
          <w:p w:rsidR="008C1C1A" w:rsidRDefault="00000000" w:rsidP="00965C17">
            <w:pPr>
              <w:spacing w:before="120" w:after="200" w:line="264" w:lineRule="auto"/>
              <w:rPr>
                <w:rFonts w:cstheme="minorHAnsi"/>
                <w:sz w:val="16"/>
                <w:szCs w:val="16"/>
              </w:rPr>
            </w:pPr>
            <w:r>
              <w:rPr>
                <w:rFonts w:cstheme="minorHAnsi"/>
                <w:sz w:val="16"/>
                <w:szCs w:val="16"/>
              </w:rPr>
              <w:t>C</w:t>
            </w:r>
          </w:p>
        </w:tc>
        <w:tc>
          <w:tcPr>
            <w:tcW w:w="31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D</w:t>
            </w:r>
          </w:p>
          <w:p w:rsidR="008C1C1A" w:rsidRDefault="00000000" w:rsidP="00965C17">
            <w:pPr>
              <w:spacing w:before="120" w:after="200" w:line="264" w:lineRule="auto"/>
              <w:rPr>
                <w:rFonts w:cstheme="minorHAnsi"/>
                <w:sz w:val="16"/>
                <w:szCs w:val="16"/>
              </w:rPr>
            </w:pPr>
            <w:r>
              <w:rPr>
                <w:rFonts w:cstheme="minorHAnsi"/>
                <w:sz w:val="16"/>
                <w:szCs w:val="16"/>
              </w:rPr>
              <w:t>E</w:t>
            </w:r>
          </w:p>
          <w:p w:rsidR="008C1C1A" w:rsidRDefault="00000000" w:rsidP="00965C17">
            <w:pPr>
              <w:spacing w:before="120" w:after="200" w:line="264" w:lineRule="auto"/>
              <w:rPr>
                <w:rFonts w:cstheme="minorHAnsi"/>
                <w:sz w:val="16"/>
                <w:szCs w:val="16"/>
              </w:rPr>
            </w:pPr>
            <w:r>
              <w:rPr>
                <w:rFonts w:cstheme="minorHAnsi"/>
                <w:sz w:val="16"/>
                <w:szCs w:val="16"/>
              </w:rPr>
              <w:t>T</w:t>
            </w:r>
          </w:p>
        </w:tc>
        <w:tc>
          <w:tcPr>
            <w:tcW w:w="27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R</w:t>
            </w:r>
          </w:p>
          <w:p w:rsidR="008C1C1A" w:rsidRDefault="00000000" w:rsidP="00965C17">
            <w:pPr>
              <w:spacing w:before="120" w:after="200" w:line="264" w:lineRule="auto"/>
              <w:rPr>
                <w:rFonts w:cstheme="minorHAnsi"/>
                <w:sz w:val="16"/>
                <w:szCs w:val="16"/>
              </w:rPr>
            </w:pPr>
            <w:r>
              <w:rPr>
                <w:rFonts w:cstheme="minorHAnsi"/>
                <w:sz w:val="16"/>
                <w:szCs w:val="16"/>
              </w:rPr>
              <w:t>P</w:t>
            </w:r>
          </w:p>
          <w:p w:rsidR="008C1C1A" w:rsidRDefault="00000000" w:rsidP="00965C17">
            <w:pPr>
              <w:spacing w:before="120" w:after="200" w:line="264" w:lineRule="auto"/>
              <w:rPr>
                <w:rFonts w:cstheme="minorHAnsi"/>
                <w:sz w:val="16"/>
                <w:szCs w:val="16"/>
              </w:rPr>
            </w:pPr>
            <w:r>
              <w:rPr>
                <w:rFonts w:cstheme="minorHAnsi"/>
                <w:sz w:val="16"/>
                <w:szCs w:val="16"/>
              </w:rPr>
              <w:t>N</w:t>
            </w:r>
          </w:p>
        </w:tc>
      </w:tr>
      <w:tr w:rsidR="008C1C1A" w:rsidTr="00965C17">
        <w:trPr>
          <w:gridAfter w:val="1"/>
          <w:wAfter w:w="15" w:type="dxa"/>
          <w:trHeight w:val="1012"/>
        </w:trPr>
        <w:tc>
          <w:tcPr>
            <w:tcW w:w="1148"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Failure Mode</w:t>
            </w: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Effect   of Failure</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S</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E</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V</w:t>
            </w:r>
          </w:p>
        </w:tc>
        <w:tc>
          <w:tcPr>
            <w:tcW w:w="289"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911"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243"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865"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289"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284"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1589" w:type="dxa"/>
            <w:gridSpan w:val="2"/>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1296"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1013"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31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1582"/>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legal logging certification</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66454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Illegal or mis declared </w:t>
            </w:r>
            <w:r w:rsidR="0050645C">
              <w:rPr>
                <w:rFonts w:ascii="Times New Roman" w:hAnsi="Times New Roman" w:cs="Times New Roman"/>
                <w:sz w:val="16"/>
                <w:szCs w:val="16"/>
              </w:rPr>
              <w:t>timber origin</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Legal </w:t>
            </w:r>
            <w:r w:rsidR="00DD1BC4">
              <w:rPr>
                <w:rFonts w:ascii="Times New Roman" w:hAnsi="Times New Roman" w:cs="Times New Roman"/>
                <w:sz w:val="16"/>
                <w:szCs w:val="16"/>
              </w:rPr>
              <w:t>penalties,</w:t>
            </w:r>
          </w:p>
          <w:p w:rsidR="00DD1BC4" w:rsidRDefault="00DD1BC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Shipment seizure, reputational damage.</w:t>
            </w:r>
          </w:p>
          <w:p w:rsidR="00DD1BC4" w:rsidRDefault="00DD1BC4"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Duplicate certificate, weak due diligence, laundering of sanctioned timber</w:t>
            </w:r>
          </w:p>
        </w:tc>
        <w:tc>
          <w:tcPr>
            <w:tcW w:w="24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8</w:t>
            </w:r>
          </w:p>
        </w:tc>
        <w:tc>
          <w:tcPr>
            <w:tcW w:w="865" w:type="dxa"/>
            <w:tcBorders>
              <w:top w:val="single" w:sz="4" w:space="0" w:color="auto"/>
              <w:left w:val="single" w:sz="4" w:space="0" w:color="auto"/>
              <w:bottom w:val="single" w:sz="4" w:space="0" w:color="auto"/>
              <w:right w:val="single" w:sz="4" w:space="0" w:color="auto"/>
            </w:tcBorders>
          </w:tcPr>
          <w:p w:rsidR="008C1C1A" w:rsidRDefault="00AA3D6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Authorized submission or declaration</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tc>
        <w:tc>
          <w:tcPr>
            <w:tcW w:w="284"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4</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Implement blockchain or tracking supplier audits, two-way verification with forest authorities.</w:t>
            </w:r>
          </w:p>
        </w:tc>
        <w:tc>
          <w:tcPr>
            <w:tcW w:w="1296" w:type="dxa"/>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Procurement team and agreement officer </w:t>
            </w:r>
          </w:p>
          <w:p w:rsidR="00544C0F" w:rsidRDefault="00544C0F"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Notices, criminal action and unlimited fines</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2553"/>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Por</w:t>
            </w:r>
            <w:r w:rsidR="00544C0F">
              <w:rPr>
                <w:rFonts w:ascii="Times New Roman" w:hAnsi="Times New Roman" w:cs="Times New Roman"/>
                <w:sz w:val="16"/>
                <w:szCs w:val="16"/>
              </w:rPr>
              <w:t>t handling/ shipping</w:t>
            </w:r>
          </w:p>
        </w:tc>
        <w:tc>
          <w:tcPr>
            <w:tcW w:w="1009" w:type="dxa"/>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Inefficient unloading, port congestion</w:t>
            </w: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Late delivery, increased cost, delay in </w:t>
            </w:r>
            <w:r w:rsidR="00BD5C22">
              <w:rPr>
                <w:rFonts w:ascii="Times New Roman" w:hAnsi="Times New Roman" w:cs="Times New Roman"/>
                <w:sz w:val="16"/>
                <w:szCs w:val="16"/>
              </w:rPr>
              <w:t>project, storage</w:t>
            </w:r>
            <w:r w:rsidR="00544C0F">
              <w:rPr>
                <w:rFonts w:ascii="Times New Roman" w:hAnsi="Times New Roman" w:cs="Times New Roman"/>
                <w:sz w:val="16"/>
                <w:szCs w:val="16"/>
              </w:rPr>
              <w:t xml:space="preserve"> cost increased.</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8</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Global volatility, </w:t>
            </w:r>
            <w:r w:rsidR="00BD5C22">
              <w:rPr>
                <w:rFonts w:ascii="Times New Roman" w:hAnsi="Times New Roman" w:cs="Times New Roman"/>
                <w:sz w:val="16"/>
                <w:szCs w:val="16"/>
              </w:rPr>
              <w:t>peak season surges, labour shortages</w:t>
            </w:r>
          </w:p>
        </w:tc>
        <w:tc>
          <w:tcPr>
            <w:tcW w:w="24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Carrier </w:t>
            </w:r>
            <w:r w:rsidR="00BD5C22">
              <w:rPr>
                <w:rFonts w:ascii="Times New Roman" w:hAnsi="Times New Roman" w:cs="Times New Roman"/>
                <w:sz w:val="16"/>
                <w:szCs w:val="16"/>
              </w:rPr>
              <w:t>schedules</w:t>
            </w:r>
            <w:r>
              <w:rPr>
                <w:rFonts w:ascii="Times New Roman" w:hAnsi="Times New Roman" w:cs="Times New Roman"/>
                <w:sz w:val="16"/>
                <w:szCs w:val="16"/>
              </w:rPr>
              <w:t>,</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Digital Pre-book </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Digital pre-booking systems berth scheduling and strong bonded buffer hubs, robotics for handling</w:t>
            </w:r>
          </w:p>
        </w:tc>
        <w:tc>
          <w:tcPr>
            <w:tcW w:w="1296"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Work in Shifts, experienced leaders and managers.</w:t>
            </w:r>
          </w:p>
          <w:p w:rsidR="00BD5C22" w:rsidRDefault="00BD5C22"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Pre-slot booking, with time</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Dynamic space management</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Artificial helps automation work</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1906"/>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lastRenderedPageBreak/>
              <w:t>Biosecurity</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Pest or disease contamination </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Quarantine, shipment rejection, treatment costs risk to domestic forests.</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8</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Inadequate fumigation</w:t>
            </w:r>
            <w:r w:rsidR="00965C17">
              <w:rPr>
                <w:rFonts w:ascii="Times New Roman" w:hAnsi="Times New Roman" w:cs="Times New Roman"/>
                <w:sz w:val="16"/>
                <w:szCs w:val="16"/>
              </w:rPr>
              <w:t>, poor packaging wet storage.</w:t>
            </w:r>
          </w:p>
          <w:p w:rsidR="008C1C1A" w:rsidRDefault="008C1C1A" w:rsidP="00965C17">
            <w:pPr>
              <w:spacing w:before="120" w:after="200" w:line="264" w:lineRule="auto"/>
              <w:jc w:val="both"/>
              <w:rPr>
                <w:rFonts w:ascii="Times New Roman" w:hAnsi="Times New Roman" w:cs="Times New Roman"/>
                <w:sz w:val="16"/>
                <w:szCs w:val="16"/>
              </w:rPr>
            </w:pPr>
          </w:p>
        </w:tc>
        <w:tc>
          <w:tcPr>
            <w:tcW w:w="243"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Phytosanitary certificates, occasional inspections.</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Mandatory heat treatment and verified treatment logs, pre shipment lab test, pest free declaration, target inspections on high-risk origins. </w:t>
            </w:r>
          </w:p>
        </w:tc>
        <w:tc>
          <w:tcPr>
            <w:tcW w:w="1296"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Quality and compliance, forestry commission liaison</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Scientific testing, validation with marking, pre-treated pest free area</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965C17" w:rsidTr="00965C17">
        <w:trPr>
          <w:gridAfter w:val="1"/>
          <w:wAfter w:w="15" w:type="dxa"/>
          <w:trHeight w:val="3043"/>
        </w:trPr>
        <w:tc>
          <w:tcPr>
            <w:tcW w:w="1148"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Customs clearance </w:t>
            </w:r>
          </w:p>
          <w:p w:rsidR="00965C17" w:rsidRDefault="00965C17"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Quality failure,</w:t>
            </w: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documentation failure,</w:t>
            </w:r>
          </w:p>
          <w:p w:rsidR="00965C17" w:rsidRDefault="00965C17"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Storage charges, moisture exposure, delayed handover to buyers.</w:t>
            </w:r>
          </w:p>
        </w:tc>
        <w:tc>
          <w:tcPr>
            <w:tcW w:w="28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Human error, outdated </w:t>
            </w:r>
            <w:r w:rsidR="00F24E2D">
              <w:rPr>
                <w:rFonts w:ascii="Times New Roman" w:hAnsi="Times New Roman" w:cs="Times New Roman"/>
                <w:sz w:val="16"/>
                <w:szCs w:val="16"/>
              </w:rPr>
              <w:t>paperwork, inconsistent</w:t>
            </w:r>
            <w:r>
              <w:rPr>
                <w:rFonts w:ascii="Times New Roman" w:hAnsi="Times New Roman" w:cs="Times New Roman"/>
                <w:sz w:val="16"/>
                <w:szCs w:val="16"/>
              </w:rPr>
              <w:t xml:space="preserve"> </w:t>
            </w:r>
            <w:r w:rsidR="00F24E2D">
              <w:rPr>
                <w:rFonts w:ascii="Times New Roman" w:hAnsi="Times New Roman" w:cs="Times New Roman"/>
                <w:sz w:val="16"/>
                <w:szCs w:val="16"/>
              </w:rPr>
              <w:t>licenses</w:t>
            </w:r>
          </w:p>
        </w:tc>
        <w:tc>
          <w:tcPr>
            <w:tcW w:w="243"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Use of</w:t>
            </w:r>
            <w:r w:rsidR="00965C17">
              <w:rPr>
                <w:rFonts w:ascii="Times New Roman" w:hAnsi="Times New Roman" w:cs="Times New Roman"/>
                <w:sz w:val="16"/>
                <w:szCs w:val="16"/>
              </w:rPr>
              <w:t xml:space="preserve"> customs brokers</w:t>
            </w:r>
            <w:r>
              <w:rPr>
                <w:rFonts w:ascii="Times New Roman" w:hAnsi="Times New Roman" w:cs="Times New Roman"/>
                <w:sz w:val="16"/>
                <w:szCs w:val="16"/>
              </w:rPr>
              <w:t>, manual document checks</w:t>
            </w:r>
          </w:p>
        </w:tc>
        <w:tc>
          <w:tcPr>
            <w:tcW w:w="28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F24E2D"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4</w:t>
            </w:r>
          </w:p>
          <w:p w:rsidR="00965C17" w:rsidRDefault="00965C17"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Adopt digital customs</w:t>
            </w:r>
            <w:r w:rsidR="00965C17">
              <w:rPr>
                <w:rFonts w:ascii="Times New Roman" w:hAnsi="Times New Roman" w:cs="Times New Roman"/>
                <w:sz w:val="16"/>
                <w:szCs w:val="16"/>
              </w:rPr>
              <w:t xml:space="preserve"> </w:t>
            </w:r>
            <w:r>
              <w:rPr>
                <w:rFonts w:ascii="Times New Roman" w:hAnsi="Times New Roman" w:cs="Times New Roman"/>
                <w:sz w:val="16"/>
                <w:szCs w:val="16"/>
              </w:rPr>
              <w:t>clearance, automated validation, trusted trader scheme, pre-clearance workflows and training for brokers</w:t>
            </w:r>
          </w:p>
          <w:p w:rsidR="00965C17" w:rsidRDefault="00965C17" w:rsidP="00965C17">
            <w:pPr>
              <w:spacing w:before="120" w:after="200" w:line="264" w:lineRule="auto"/>
              <w:jc w:val="both"/>
              <w:rPr>
                <w:rFonts w:ascii="Times New Roman" w:hAnsi="Times New Roman" w:cs="Times New Roman"/>
                <w:sz w:val="16"/>
                <w:szCs w:val="16"/>
              </w:rPr>
            </w:pPr>
          </w:p>
        </w:tc>
        <w:tc>
          <w:tcPr>
            <w:tcW w:w="1296"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Maintain records for without license </w:t>
            </w:r>
            <w:r w:rsidR="00F24E2D">
              <w:rPr>
                <w:rFonts w:ascii="Times New Roman" w:hAnsi="Times New Roman" w:cs="Times New Roman"/>
                <w:sz w:val="16"/>
                <w:szCs w:val="16"/>
              </w:rPr>
              <w:t>agreements, customs agent, import manager</w:t>
            </w:r>
          </w:p>
          <w:p w:rsidR="00965C17" w:rsidRDefault="00965C17"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illegal timber declined to accept, seized or penalties</w:t>
            </w:r>
          </w:p>
        </w:tc>
        <w:tc>
          <w:tcPr>
            <w:tcW w:w="31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rPr>
                <w:rFonts w:cstheme="minorHAnsi"/>
                <w:sz w:val="16"/>
                <w:szCs w:val="16"/>
              </w:rPr>
            </w:pPr>
          </w:p>
        </w:tc>
      </w:tr>
      <w:tr w:rsidR="008C1C1A" w:rsidTr="00965C17">
        <w:trPr>
          <w:gridAfter w:val="1"/>
          <w:wAfter w:w="15" w:type="dxa"/>
          <w:trHeight w:val="2243"/>
        </w:trPr>
        <w:tc>
          <w:tcPr>
            <w:tcW w:w="1148"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915B0C" w:rsidRDefault="00915B0C"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Market price </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767A74" w:rsidRDefault="00767A74" w:rsidP="00965C17">
            <w:pPr>
              <w:spacing w:before="120" w:after="200" w:line="264" w:lineRule="auto"/>
              <w:jc w:val="both"/>
              <w:rPr>
                <w:rFonts w:ascii="Times New Roman" w:hAnsi="Times New Roman" w:cs="Times New Roman"/>
                <w:sz w:val="16"/>
                <w:szCs w:val="16"/>
              </w:rPr>
            </w:pPr>
          </w:p>
          <w:p w:rsidR="00767A74" w:rsidRDefault="00767A74" w:rsidP="00965C17">
            <w:pPr>
              <w:spacing w:before="120" w:after="200" w:line="264" w:lineRule="auto"/>
              <w:jc w:val="both"/>
              <w:rPr>
                <w:rFonts w:ascii="Times New Roman" w:hAnsi="Times New Roman" w:cs="Times New Roman"/>
                <w:sz w:val="16"/>
                <w:szCs w:val="16"/>
              </w:rPr>
            </w:pPr>
          </w:p>
          <w:p w:rsidR="008C1C1A"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Global price volatility/ currency exposure</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767A74" w:rsidRDefault="00767A74"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Contract disputes, cost overruns, inventory shortages</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w:t>
            </w:r>
          </w:p>
        </w:tc>
        <w:tc>
          <w:tcPr>
            <w:tcW w:w="911"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Materials Collect and holding in yard, </w:t>
            </w:r>
            <w:r w:rsidR="00767A74">
              <w:rPr>
                <w:rFonts w:ascii="Times New Roman" w:hAnsi="Times New Roman" w:cs="Times New Roman"/>
                <w:sz w:val="16"/>
                <w:szCs w:val="16"/>
              </w:rPr>
              <w:t>Fx swings, tariffs</w:t>
            </w:r>
          </w:p>
          <w:p w:rsidR="008C1C1A" w:rsidRDefault="008C1C1A" w:rsidP="00965C17">
            <w:pPr>
              <w:spacing w:before="120" w:after="200" w:line="264" w:lineRule="auto"/>
              <w:jc w:val="both"/>
              <w:rPr>
                <w:rFonts w:ascii="Times New Roman" w:hAnsi="Times New Roman" w:cs="Times New Roman"/>
                <w:sz w:val="16"/>
                <w:szCs w:val="16"/>
              </w:rPr>
            </w:pPr>
          </w:p>
        </w:tc>
        <w:tc>
          <w:tcPr>
            <w:tcW w:w="24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767A74"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Short-term contracts and spot purchases</w:t>
            </w: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767A74" w:rsidRDefault="00767A74"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4</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767A74"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5</w:t>
            </w:r>
          </w:p>
          <w:p w:rsidR="00767A74"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8C1C1A" w:rsidRDefault="008C1C1A"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Long term contract with fixed price, </w:t>
            </w:r>
            <w:r w:rsidR="00767A74">
              <w:rPr>
                <w:rFonts w:ascii="Times New Roman" w:hAnsi="Times New Roman" w:cs="Times New Roman"/>
                <w:sz w:val="16"/>
                <w:szCs w:val="16"/>
              </w:rPr>
              <w:t>currency hedging, diversified sourcing across regions, buffer inventory strategy</w:t>
            </w:r>
          </w:p>
          <w:p w:rsidR="008C1C1A" w:rsidRDefault="008C1C1A" w:rsidP="00965C17">
            <w:pPr>
              <w:spacing w:before="120" w:after="200" w:line="264" w:lineRule="auto"/>
              <w:jc w:val="both"/>
              <w:rPr>
                <w:rFonts w:ascii="Times New Roman" w:hAnsi="Times New Roman" w:cs="Times New Roman"/>
                <w:sz w:val="16"/>
                <w:szCs w:val="16"/>
              </w:rPr>
            </w:pPr>
          </w:p>
        </w:tc>
        <w:tc>
          <w:tcPr>
            <w:tcW w:w="1296"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Finance manager. Procurement lead.</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capital management, risk management</w:t>
            </w:r>
          </w:p>
          <w:p w:rsidR="008C1C1A" w:rsidRDefault="008C1C1A" w:rsidP="00965C17">
            <w:pPr>
              <w:spacing w:before="120" w:after="200" w:line="264" w:lineRule="auto"/>
              <w:jc w:val="both"/>
              <w:rPr>
                <w:rFonts w:ascii="Times New Roman" w:hAnsi="Times New Roman" w:cs="Times New Roman"/>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2991"/>
        </w:trPr>
        <w:tc>
          <w:tcPr>
            <w:tcW w:w="1148"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Logistics </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Driver shortages, capacity constraints, misrouting</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Missed site deliveries, higher transport costs, product damage</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915B0C"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Local congestion, single-carrier relance</w:t>
            </w:r>
          </w:p>
          <w:p w:rsidR="008C1C1A" w:rsidRDefault="008C1C1A" w:rsidP="00965C17">
            <w:pPr>
              <w:spacing w:before="120" w:after="200" w:line="264" w:lineRule="auto"/>
              <w:jc w:val="both"/>
              <w:rPr>
                <w:rFonts w:ascii="Times New Roman" w:hAnsi="Times New Roman" w:cs="Times New Roman"/>
                <w:sz w:val="16"/>
                <w:szCs w:val="16"/>
              </w:rPr>
            </w:pPr>
          </w:p>
        </w:tc>
        <w:tc>
          <w:tcPr>
            <w:tcW w:w="24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915B0C"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Third-party haulers, pre hoc route planning</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5</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tc>
        <w:tc>
          <w:tcPr>
            <w:tcW w:w="1589" w:type="dxa"/>
            <w:gridSpan w:val="2"/>
            <w:tcBorders>
              <w:top w:val="single" w:sz="4" w:space="0" w:color="auto"/>
              <w:left w:val="single" w:sz="4" w:space="0" w:color="auto"/>
              <w:bottom w:val="single" w:sz="4" w:space="0" w:color="auto"/>
              <w:right w:val="single" w:sz="4" w:space="0" w:color="auto"/>
            </w:tcBorders>
          </w:tcPr>
          <w:p w:rsidR="00F16BA0" w:rsidRDefault="00F16BA0" w:rsidP="00965C17">
            <w:pPr>
              <w:spacing w:before="120" w:after="200" w:line="264" w:lineRule="auto"/>
              <w:jc w:val="both"/>
              <w:rPr>
                <w:rFonts w:ascii="Times New Roman" w:hAnsi="Times New Roman" w:cs="Times New Roman"/>
                <w:sz w:val="16"/>
                <w:szCs w:val="16"/>
              </w:rPr>
            </w:pPr>
          </w:p>
          <w:p w:rsidR="008C1C1A" w:rsidRDefault="00915B0C"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Gps fleet monitoring, route optimization, collaborative transport sharing, multimodal (rail) for long haul, scheduled delivery windows </w:t>
            </w:r>
          </w:p>
        </w:tc>
        <w:tc>
          <w:tcPr>
            <w:tcW w:w="1296"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Live tracking</w:t>
            </w:r>
            <w:r w:rsidR="00915B0C">
              <w:rPr>
                <w:rFonts w:ascii="Times New Roman" w:hAnsi="Times New Roman" w:cs="Times New Roman"/>
                <w:sz w:val="16"/>
                <w:szCs w:val="16"/>
              </w:rPr>
              <w:t>, logistics manager, regional distribution leads</w:t>
            </w:r>
          </w:p>
        </w:tc>
        <w:tc>
          <w:tcPr>
            <w:tcW w:w="101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agreed routes, regional transport groups, goods transport guidance</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bl>
    <w:p w:rsidR="008C1C1A" w:rsidRDefault="008C1C1A">
      <w:pPr>
        <w:spacing w:before="120" w:after="200" w:line="264" w:lineRule="auto"/>
        <w:rPr>
          <w:rFonts w:cstheme="minorHAnsi"/>
          <w:b/>
          <w:bCs/>
          <w:sz w:val="16"/>
          <w:szCs w:val="16"/>
        </w:rPr>
      </w:pPr>
    </w:p>
    <w:p w:rsidR="00FC0446" w:rsidRDefault="00FC0446">
      <w:pPr>
        <w:spacing w:after="0" w:line="240" w:lineRule="auto"/>
        <w:rPr>
          <w:rFonts w:asciiTheme="majorHAnsi" w:hAnsiTheme="majorHAnsi" w:cstheme="majorHAnsi"/>
          <w:sz w:val="24"/>
          <w:szCs w:val="24"/>
        </w:rPr>
      </w:pPr>
      <w:r>
        <w:rPr>
          <w:rFonts w:asciiTheme="majorHAnsi" w:hAnsiTheme="majorHAnsi" w:cstheme="majorHAnsi"/>
          <w:sz w:val="24"/>
          <w:szCs w:val="24"/>
        </w:rPr>
        <w:br w:type="page"/>
      </w:r>
    </w:p>
    <w:p w:rsidR="008C1C1A" w:rsidRDefault="008C1C1A">
      <w:pPr>
        <w:spacing w:before="120" w:after="200" w:line="264" w:lineRule="auto"/>
        <w:jc w:val="both"/>
        <w:rPr>
          <w:rFonts w:asciiTheme="majorHAnsi" w:hAnsiTheme="majorHAnsi" w:cstheme="majorHAnsi"/>
          <w:sz w:val="24"/>
          <w:szCs w:val="24"/>
        </w:rPr>
      </w:pPr>
    </w:p>
    <w:p w:rsidR="008C1C1A" w:rsidRPr="00FC0446" w:rsidRDefault="00000000" w:rsidP="00F13993">
      <w:pPr>
        <w:pStyle w:val="Heading1"/>
        <w:rPr>
          <w:rFonts w:ascii="Times New Roman" w:hAnsi="Times New Roman" w:cs="Times New Roman"/>
          <w:b/>
          <w:bCs/>
          <w:sz w:val="24"/>
          <w:szCs w:val="24"/>
        </w:rPr>
      </w:pPr>
      <w:bookmarkStart w:id="4" w:name="_Toc214490711"/>
      <w:r w:rsidRPr="00FC0446">
        <w:rPr>
          <w:rFonts w:ascii="Times New Roman" w:hAnsi="Times New Roman" w:cs="Times New Roman"/>
          <w:b/>
          <w:bCs/>
          <w:sz w:val="24"/>
          <w:szCs w:val="24"/>
        </w:rPr>
        <w:t>2.1 MODES AND EFFECTS ANALYSIS RESULT</w:t>
      </w:r>
      <w:bookmarkEnd w:id="4"/>
    </w:p>
    <w:p w:rsidR="00956322" w:rsidRPr="00FC0446" w:rsidRDefault="00290C6C" w:rsidP="00F3775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FMEA showed that the most serious problem in the UK timber supply chain is the risk of illegal or wrongly declared wood entering the market. If this happens, companies can face legal action, environmental criticism and serious reputational loss. Medium level risks were linked to delays in transport, especially when natural disasters or slow adminis</w:t>
      </w:r>
      <w:r w:rsidR="00F37754">
        <w:rPr>
          <w:rFonts w:ascii="Times New Roman" w:hAnsi="Times New Roman" w:cs="Times New Roman"/>
          <w:sz w:val="24"/>
          <w:szCs w:val="24"/>
        </w:rPr>
        <w:t xml:space="preserve">trative processes affect shipping. Low risks mostly involved small paperwork mistakes or miscommunication between suppliers. Using digital tracking tools like blockchain, barcodes and live certificate checks, can helps reduce this problem. Regular audits and strong supplier relationships also support better compliance and traceability. Overall taking these proactive steps makes the supply chain more reliable and supports responsible sourcing. </w:t>
      </w:r>
      <w:r w:rsidR="00956322" w:rsidRPr="00FC0446">
        <w:rPr>
          <w:rFonts w:ascii="Times New Roman" w:hAnsi="Times New Roman" w:cs="Times New Roman"/>
          <w:sz w:val="24"/>
          <w:szCs w:val="24"/>
        </w:rPr>
        <w:br w:type="page"/>
      </w:r>
    </w:p>
    <w:p w:rsidR="008C1C1A" w:rsidRDefault="00000000">
      <w:pPr>
        <w:pStyle w:val="Heading1"/>
        <w:rPr>
          <w:rFonts w:ascii="Times New Roman" w:hAnsi="Times New Roman" w:cs="Times New Roman"/>
          <w:b/>
          <w:bCs/>
          <w:sz w:val="32"/>
          <w:szCs w:val="32"/>
          <w:lang w:val="en-GB"/>
        </w:rPr>
      </w:pPr>
      <w:bookmarkStart w:id="5" w:name="_Toc214490712"/>
      <w:r>
        <w:rPr>
          <w:rFonts w:ascii="Times New Roman" w:hAnsi="Times New Roman" w:cs="Times New Roman"/>
          <w:b/>
          <w:bCs/>
          <w:sz w:val="32"/>
          <w:szCs w:val="32"/>
        </w:rPr>
        <w:lastRenderedPageBreak/>
        <w:t xml:space="preserve">3.  </w:t>
      </w:r>
      <w:r>
        <w:rPr>
          <w:rFonts w:ascii="Times New Roman" w:hAnsi="Times New Roman" w:cs="Times New Roman"/>
          <w:b/>
          <w:bCs/>
          <w:sz w:val="32"/>
          <w:szCs w:val="32"/>
          <w:lang w:val="en-IN"/>
        </w:rPr>
        <w:t>SIX STEPS TO ENHANCE SUPPLY CHAIN RESILIENCE</w:t>
      </w:r>
      <w:bookmarkEnd w:id="5"/>
    </w:p>
    <w:p w:rsidR="008C1C1A" w:rsidRDefault="008C1C1A">
      <w:pPr>
        <w:spacing w:before="120" w:after="200" w:line="264" w:lineRule="auto"/>
        <w:rPr>
          <w:rFonts w:ascii="Times New Roman" w:hAnsi="Times New Roman" w:cs="Times New Roman"/>
          <w:b/>
          <w:bCs/>
          <w:sz w:val="24"/>
          <w:szCs w:val="24"/>
          <w:u w:val="single"/>
        </w:rPr>
      </w:pPr>
    </w:p>
    <w:p w:rsidR="008C1C1A" w:rsidRDefault="00000000">
      <w:pPr>
        <w:pStyle w:val="Heading1"/>
        <w:rPr>
          <w:rFonts w:ascii="Times New Roman" w:hAnsi="Times New Roman" w:cs="Times New Roman"/>
          <w:b/>
          <w:bCs/>
          <w:sz w:val="24"/>
          <w:szCs w:val="24"/>
        </w:rPr>
      </w:pPr>
      <w:bookmarkStart w:id="6" w:name="_Toc214490713"/>
      <w:r>
        <w:rPr>
          <w:rFonts w:ascii="Times New Roman" w:hAnsi="Times New Roman" w:cs="Times New Roman"/>
          <w:b/>
          <w:bCs/>
          <w:sz w:val="24"/>
          <w:szCs w:val="24"/>
        </w:rPr>
        <w:t>3.1</w:t>
      </w:r>
      <w:r w:rsidR="005E5911">
        <w:rPr>
          <w:rFonts w:ascii="Times New Roman" w:hAnsi="Times New Roman" w:cs="Times New Roman"/>
          <w:b/>
          <w:bCs/>
          <w:sz w:val="24"/>
          <w:szCs w:val="24"/>
        </w:rPr>
        <w:t xml:space="preserve"> </w:t>
      </w:r>
      <w:r w:rsidR="005E5911" w:rsidRPr="005E5911">
        <w:rPr>
          <w:rFonts w:ascii="Times New Roman" w:hAnsi="Times New Roman" w:cs="Times New Roman"/>
          <w:b/>
          <w:bCs/>
          <w:sz w:val="24"/>
          <w:szCs w:val="24"/>
        </w:rPr>
        <w:t>ENSURING ORIGIN TIMBER &amp; VERIFICATION IMPORTED SOFTWOOD TIMBER</w:t>
      </w:r>
      <w:r w:rsidR="009E528B">
        <w:rPr>
          <w:rFonts w:ascii="Times New Roman" w:hAnsi="Times New Roman" w:cs="Times New Roman"/>
          <w:b/>
          <w:bCs/>
          <w:sz w:val="24"/>
          <w:szCs w:val="24"/>
        </w:rPr>
        <w:t xml:space="preserve"> IN UK</w:t>
      </w:r>
      <w:bookmarkEnd w:id="6"/>
    </w:p>
    <w:p w:rsidR="00E95C5C" w:rsidRDefault="00E95C5C" w:rsidP="00E95C5C">
      <w:pPr>
        <w:spacing w:line="360" w:lineRule="auto"/>
        <w:jc w:val="both"/>
        <w:rPr>
          <w:rFonts w:ascii="Times New Roman" w:hAnsi="Times New Roman" w:cs="Times New Roman"/>
          <w:sz w:val="24"/>
          <w:szCs w:val="24"/>
        </w:rPr>
      </w:pPr>
      <w:bookmarkStart w:id="7" w:name="_Hlk213879625"/>
      <w:r>
        <w:rPr>
          <w:rFonts w:ascii="Times New Roman" w:hAnsi="Times New Roman" w:cs="Times New Roman"/>
          <w:sz w:val="24"/>
          <w:szCs w:val="24"/>
        </w:rPr>
        <w:t xml:space="preserve">The Legal verification of timber origin is one the most important steps to strengthen the supply chain. The FMEA show that unverified documents and corruption pose the greatest risk to imported softwood in the UK. The construction industry depends heavily on imported timber any failure to check the source can lead to problems such as mislabeled, laundered or illegally harvested wood. Ignoring these checks can result in serious consequences under UK law including criminal charges, unlimited fines or even suspension of business operation, which can damage a company reputation permanently and for reduce these risks, international supply chain should use advanced digital tracking tools. Methods like blockchain, barcoding and live tracing systems connected to government ids can follow timber from the forest to the UK entry point, so greatly lower the chances of document fraud. This transparent end to end monitoring ensures that all imported softwood meet uk timber regulations. These types of systems companies move from relying on reactive audits to maintaining ongoing verifiable checks, safeguarding both legality and quality throughout the supply chain. </w:t>
      </w:r>
    </w:p>
    <w:p w:rsidR="00E95C5C" w:rsidRDefault="00E95C5C" w:rsidP="00E95C5C">
      <w:pPr>
        <w:spacing w:line="360" w:lineRule="auto"/>
        <w:jc w:val="both"/>
        <w:rPr>
          <w:rFonts w:ascii="Times New Roman" w:hAnsi="Times New Roman" w:cs="Times New Roman"/>
          <w:sz w:val="24"/>
          <w:szCs w:val="24"/>
        </w:rPr>
      </w:pP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International supply chains and procurement must comply with global regulations, While the supply chain remains intact, there have been cases where timber was illegally supplied to the UK, such as {(in November 2024, one yacht company was fined by the </w:t>
      </w:r>
      <w:r w:rsidR="00F37754">
        <w:rPr>
          <w:rFonts w:ascii="Times New Roman" w:hAnsi="Times New Roman" w:cs="Times New Roman"/>
          <w:sz w:val="24"/>
          <w:szCs w:val="24"/>
        </w:rPr>
        <w:t>UK</w:t>
      </w:r>
      <w:r>
        <w:rPr>
          <w:rFonts w:ascii="Times New Roman" w:hAnsi="Times New Roman" w:cs="Times New Roman"/>
          <w:sz w:val="24"/>
          <w:szCs w:val="24"/>
        </w:rPr>
        <w:t xml:space="preserve"> government due to breaching uk timber regulations. The main reason was the company failure to meet its due diligence and obligation regarding timber imported during 2021-22, as well as teak from Myanmar and Africa and oak from Europe. Sunseeker was ordered to pay a fine of 240,000 in addition to prosecution costs(gov.uk</w:t>
      </w:r>
      <w:r>
        <w:rPr>
          <w:rFonts w:ascii="Times New Roman" w:hAnsi="Times New Roman" w:cs="Times New Roman"/>
          <w:b/>
          <w:bCs/>
          <w:sz w:val="24"/>
          <w:szCs w:val="24"/>
        </w:rPr>
        <w:t xml:space="preserve">). </w:t>
      </w:r>
      <w:r>
        <w:rPr>
          <w:rFonts w:ascii="Times New Roman" w:hAnsi="Times New Roman" w:cs="Times New Roman"/>
          <w:sz w:val="24"/>
          <w:szCs w:val="24"/>
        </w:rPr>
        <w:t xml:space="preserve">A similar case recent case emerged this year during the Russia-Ukraine war. Some timber products imported into </w:t>
      </w:r>
      <w:r w:rsidR="00F37754">
        <w:rPr>
          <w:rFonts w:ascii="Times New Roman" w:hAnsi="Times New Roman" w:cs="Times New Roman"/>
          <w:sz w:val="24"/>
          <w:szCs w:val="24"/>
        </w:rPr>
        <w:t>UK</w:t>
      </w:r>
      <w:r>
        <w:rPr>
          <w:rFonts w:ascii="Times New Roman" w:hAnsi="Times New Roman" w:cs="Times New Roman"/>
          <w:sz w:val="24"/>
          <w:szCs w:val="24"/>
        </w:rPr>
        <w:t xml:space="preserve"> were found, after carefully inspection they got half of the shipments that did not match their declared country of origin or the wood certification. (gov.uk)}, also Scandinavia, the Baltic and north America are priority sources regions where, most of the softwood timber imported in to the </w:t>
      </w:r>
      <w:r w:rsidR="00F37754">
        <w:rPr>
          <w:rFonts w:ascii="Times New Roman" w:hAnsi="Times New Roman" w:cs="Times New Roman"/>
          <w:sz w:val="24"/>
          <w:szCs w:val="24"/>
        </w:rPr>
        <w:t>UK</w:t>
      </w:r>
      <w:r>
        <w:rPr>
          <w:rFonts w:ascii="Times New Roman" w:hAnsi="Times New Roman" w:cs="Times New Roman"/>
          <w:sz w:val="24"/>
          <w:szCs w:val="24"/>
        </w:rPr>
        <w:t xml:space="preserve">. </w:t>
      </w:r>
    </w:p>
    <w:bookmarkEnd w:id="7"/>
    <w:p w:rsidR="00E95C5C" w:rsidRDefault="00E95C5C" w:rsidP="00E95C5C">
      <w:pPr>
        <w:spacing w:before="120" w:after="200" w:line="264" w:lineRule="auto"/>
        <w:jc w:val="both"/>
        <w:rPr>
          <w:rFonts w:ascii="Times New Roman" w:hAnsi="Times New Roman" w:cs="Times New Roman"/>
          <w:sz w:val="24"/>
          <w:szCs w:val="24"/>
        </w:rPr>
      </w:pP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sz w:val="24"/>
          <w:szCs w:val="24"/>
        </w:rPr>
      </w:pPr>
      <w:bookmarkStart w:id="8" w:name="_Toc214490714"/>
      <w:r>
        <w:rPr>
          <w:sz w:val="24"/>
          <w:szCs w:val="24"/>
        </w:rPr>
        <w:lastRenderedPageBreak/>
        <w:t xml:space="preserve">3.2 </w:t>
      </w:r>
      <w:r w:rsidR="008158CD">
        <w:rPr>
          <w:rFonts w:ascii="Times New Roman" w:hAnsi="Times New Roman" w:cs="Times New Roman"/>
          <w:b/>
          <w:bCs/>
          <w:sz w:val="24"/>
          <w:szCs w:val="24"/>
        </w:rPr>
        <w:t>IMPROVING PORT EFFICIENCY AND SHIPPING FOR SOFTWOOD TIMBER</w:t>
      </w:r>
      <w:bookmarkEnd w:id="8"/>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Port congestion received high RPN scores in the FMEA because it directly affects delivery times, increased costs and slow down construction projects that depend on timely softwood timber supply. Congestion often occurs during seasonal demand peaks, especially when shipments arrive from Sweden, Latvia and Finland during winter or period of global disruption. When ports such as Felixstowe, tilbury or Southampton struggle with capacity.</w:t>
      </w:r>
    </w:p>
    <w:p w:rsidR="005E5911" w:rsidRP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improve resilience, importers and logistics providers need to adopt more advanced port and shipping management system. One effective method is using digital pre-booking platforms that allocate unloading slots before the vessel arrives. Another useful approach is installing automated equipment, such as robotic forklift and digital scanning to speed up the handling of containerized timber. Regional buffer warehouse is also important strategy. These warehouses   hold key timber sizes close to major construction areas, shipping lines and port operators is essential as well. For instance, companies can set flexible contracts that allow changes in shipment timing based on real-time port </w:t>
      </w:r>
      <w:r w:rsidR="00F37754">
        <w:rPr>
          <w:rFonts w:ascii="Times New Roman" w:hAnsi="Times New Roman" w:cs="Times New Roman"/>
          <w:sz w:val="24"/>
          <w:szCs w:val="24"/>
        </w:rPr>
        <w:t>conditions. Together</w:t>
      </w:r>
      <w:r>
        <w:rPr>
          <w:rFonts w:ascii="Times New Roman" w:hAnsi="Times New Roman" w:cs="Times New Roman"/>
          <w:sz w:val="24"/>
          <w:szCs w:val="24"/>
        </w:rPr>
        <w:t>, these improvements help reduce delays, lower operating costs and support smoother supply chain performance during period of uncertainty. Improved port efficiency also ensures that imported timber reaches distributors and construction sites without unnecessary disruption</w:t>
      </w:r>
    </w:p>
    <w:p w:rsidR="008C1C1A" w:rsidRDefault="00000000">
      <w:pPr>
        <w:pStyle w:val="Heading1"/>
        <w:rPr>
          <w:rFonts w:ascii="Times New Roman" w:hAnsi="Times New Roman" w:cs="Times New Roman"/>
          <w:b/>
          <w:bCs/>
          <w:sz w:val="24"/>
          <w:szCs w:val="24"/>
        </w:rPr>
      </w:pPr>
      <w:bookmarkStart w:id="9" w:name="_Toc214490715"/>
      <w:r>
        <w:rPr>
          <w:rFonts w:ascii="Times New Roman" w:hAnsi="Times New Roman" w:cs="Times New Roman"/>
          <w:b/>
          <w:bCs/>
          <w:sz w:val="24"/>
          <w:szCs w:val="24"/>
        </w:rPr>
        <w:t>3.3 IMPROVING BIOSECURITY FOR SOFTWOOD TIMBER IMPORTS IN THE UK</w:t>
      </w:r>
      <w:bookmarkEnd w:id="9"/>
    </w:p>
    <w:p w:rsidR="008C1C1A" w:rsidRDefault="008C1C1A">
      <w:pPr>
        <w:spacing w:before="120" w:after="200" w:line="264"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Biosecurity risks in the FMEA table show second high Rpn scored because such pest as bark beetle or fungal diseases cause environmental and supply chain threats. The imported softwood timber can carry pests if it is not treated correctly, Biosecurity is a key concern in the uk softwood timber supply chain due to the risk of pests and disease entering through imports. Therefore, Softwood timber imports play a crucial role in the uk construction and manufacturing industries, because the lack of resources. Especially the most of the supplies are   coming from regions   such as Sweden, Latia, Finland, Scandinavia and the Baltic region. Poor fumigation, wet storage condition and incorrect packaging increase the possibility of contamination. When this occurs the UK authorities must quarantine or reject entire shipment, causing delays and financial losses for importers.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Improving resilience and stronger biosecurity control measures are needed at both the exporting and importing stages. Exporters should follow internationally recognized treatment methods like, heat-treatment protocols that reach required temperatures for specific time periods. Pre-shipment testing by accredited laboratories can also confirm that timber meets required phytosanitary standards. The Uk border, inspection officers from the forestry commission and animal and plant health agency check timber for sign of pests. Proper training staff in pest identification, using moisture-controlled storage areas and ensuring clear labeling of timber species also support better biosecurity. Strengthening co-operation between exporters, port authorities and uk regulators helps limit contamination risks and improves the reliability of softwood timber entering the country.</w:t>
      </w: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rFonts w:ascii="Times New Roman" w:hAnsi="Times New Roman" w:cs="Times New Roman"/>
          <w:b/>
          <w:bCs/>
          <w:sz w:val="24"/>
          <w:szCs w:val="24"/>
        </w:rPr>
      </w:pPr>
      <w:bookmarkStart w:id="10" w:name="_Toc214490716"/>
      <w:r>
        <w:rPr>
          <w:rFonts w:ascii="Times New Roman" w:hAnsi="Times New Roman" w:cs="Times New Roman"/>
          <w:b/>
          <w:bCs/>
          <w:sz w:val="24"/>
          <w:szCs w:val="24"/>
        </w:rPr>
        <w:t>3.4 IMPROVING CUSTOMS CONTROLS FOR SOFTWOOD TIMBER IMPORTS IN THE UK</w:t>
      </w:r>
      <w:bookmarkEnd w:id="10"/>
    </w:p>
    <w:p w:rsidR="008C1C1A" w:rsidRDefault="008C1C1A">
      <w:pPr>
        <w:spacing w:before="120" w:after="200" w:line="264" w:lineRule="auto"/>
        <w:rPr>
          <w:rFonts w:ascii="Times New Roman" w:hAnsi="Times New Roman" w:cs="Times New Roman"/>
          <w:b/>
          <w:bCs/>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Customs clearance delays can significantly disrupt the flow of softwood timber into the UK. The FMEA table shows delays occurs due to documentation errors, outdated manual processes and inconsistencies in licenses or certificates, when paperwork is incorrect or incomplete, timber may remain in port storage areas for several days. This not only increases costs but also exposes the timber to moisture damage, which can reduce its structural quality.</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Digitalizing customs control processes is a key step to improving resilience. Importers can reduce delays by submitting digital documents before the shipment arrives at uk ports. This approach, known as pre-clearance, allows customs officers to review the information in advance and flag any issues early. Some importers are already using in electronic submissions an automated validation tool. These tools help check whether pest certificates, origin documents or products codes meet UK regulatory requirements.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The UK government also offers trusted trader schemes, which allow companies to move goods more quickly through ports. The importers must demonstrate strong compliance records, transparent documentation and secure supply chain controls. Timber companies that meet these criteria can benefit from faster clearance, reducing the risk of delays. Regular staff training is another important measure. Customs documentation rules change frequently and errors often come from outdated knowledge rather than intentional mistakes. Investing in training helps </w:t>
      </w:r>
      <w:r>
        <w:rPr>
          <w:rFonts w:ascii="Times New Roman" w:hAnsi="Times New Roman" w:cs="Times New Roman"/>
          <w:sz w:val="24"/>
          <w:szCs w:val="24"/>
        </w:rPr>
        <w:lastRenderedPageBreak/>
        <w:t xml:space="preserve">reduce avoidable delays and supports smoothers supply chain operation. Overall digital customs systems improve visibility, accuracy and efficiency, ensuring that imported softwood timber flows into UK without unnecessary disruptions  </w:t>
      </w: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rFonts w:ascii="Times New Roman" w:hAnsi="Times New Roman" w:cs="Times New Roman"/>
          <w:b/>
          <w:bCs/>
          <w:sz w:val="24"/>
          <w:szCs w:val="24"/>
        </w:rPr>
      </w:pPr>
      <w:bookmarkStart w:id="11" w:name="_Toc214490717"/>
      <w:r>
        <w:rPr>
          <w:rFonts w:ascii="Times New Roman" w:hAnsi="Times New Roman" w:cs="Times New Roman"/>
          <w:b/>
          <w:bCs/>
          <w:sz w:val="24"/>
          <w:szCs w:val="24"/>
        </w:rPr>
        <w:t>3.5 IMPROVING GLOBAL PRICE FLUCTUATION FOR SOFTWOOD TIMBER IMPORTED IN THE UK</w:t>
      </w:r>
      <w:bookmarkEnd w:id="11"/>
    </w:p>
    <w:p w:rsidR="008C1C1A" w:rsidRDefault="008C1C1A">
      <w:pPr>
        <w:spacing w:before="120" w:after="200" w:line="264"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Global softwood timber prices have been highly unstable in recent years, especially during the covid-19 recovery period and the Russia-Ukraine conflict. These fluctuations affect UK importers because most softwood timber is priced in foreign currencies and influenced by global supply and demand. In the FMEA, price volatility was identified as a significant financial risk that can lead to contract disputes, higher project costs and inventory shortages.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One of the most effective ways to reduce this risk is by negotiating long-term supplier contracts. These agreements lock-term supplier contracts. These agreement lock prices for several months or even up to a year, protecting buyers from sudden spikes in global markets. For instance, large uk importers such as BSW Timber and MKM building supplies often use fixed-term agreement with Scandinavian sawmills to stabilize prices. This practice helps maintain predictable costs for construction projects.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Another useful approach is diversifying sourcing regions. Relying on only one country makes the supply chain vulnerable when that region experiences disruption. Importers can reduce risk by purchasing timber from several countries across Europe and north America. Financial tools, such as currency hedging, can also protect companies from exchange-rate changes. Accurate demand forecasting is also essential. Digital planning systems can analyses past consumption patterns and predict future requirements, helping importers maintain appropriate stock levels. This reduces the need for emergency purchasing during high-price periods. Overall, reducing exposure to price volatility strengthens resilience by following companies to mange budgets more effectively and support stable long-term supply.</w:t>
      </w:r>
    </w:p>
    <w:p w:rsidR="008C1C1A" w:rsidRDefault="008C1C1A">
      <w:pPr>
        <w:spacing w:before="120" w:after="200" w:line="264" w:lineRule="auto"/>
        <w:jc w:val="both"/>
        <w:rPr>
          <w:rFonts w:ascii="Times New Roman" w:hAnsi="Times New Roman" w:cs="Times New Roman"/>
          <w:b/>
          <w:bCs/>
          <w:sz w:val="24"/>
          <w:szCs w:val="24"/>
        </w:rPr>
      </w:pPr>
    </w:p>
    <w:p w:rsidR="008C1C1A" w:rsidRDefault="008C1C1A">
      <w:pPr>
        <w:spacing w:before="120" w:after="200" w:line="264" w:lineRule="auto"/>
        <w:jc w:val="both"/>
        <w:rPr>
          <w:rFonts w:ascii="Times New Roman" w:hAnsi="Times New Roman" w:cs="Times New Roman"/>
          <w:b/>
          <w:bCs/>
          <w:sz w:val="24"/>
          <w:szCs w:val="24"/>
        </w:rPr>
      </w:pPr>
    </w:p>
    <w:p w:rsidR="008C1C1A" w:rsidRDefault="00000000">
      <w:pPr>
        <w:pStyle w:val="Heading1"/>
        <w:rPr>
          <w:rFonts w:ascii="Times New Roman" w:hAnsi="Times New Roman" w:cs="Times New Roman"/>
          <w:b/>
          <w:bCs/>
          <w:sz w:val="24"/>
          <w:szCs w:val="24"/>
        </w:rPr>
      </w:pPr>
      <w:bookmarkStart w:id="12" w:name="_Toc214490718"/>
      <w:r>
        <w:rPr>
          <w:rFonts w:ascii="Times New Roman" w:hAnsi="Times New Roman" w:cs="Times New Roman"/>
          <w:b/>
          <w:bCs/>
          <w:sz w:val="24"/>
          <w:szCs w:val="24"/>
        </w:rPr>
        <w:lastRenderedPageBreak/>
        <w:t>3.6 IMPROVING DISTRIBUTION FOR IMPORTED SOFTWOOD TIMBER IN THE UK</w:t>
      </w:r>
      <w:bookmarkEnd w:id="12"/>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Inland distribution was identified as a major risk area in the FMEA, but it remains an important part of the supply chain resilience. Once softwood timber arrives in UK ports, it must be transported to regional warehouses, timber merchants and construction sites. Delays during this stage can disturb project timelines, increase transport costs, other Challenges include driver shortages, high fuel costs, vehicle capacity limits and routing errors.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Improving resilience, importers and logistics partners can invest in modern fleet management system. For example, GPS-based tracking tool allow companies to monitor vehicle location in real time and adjust routes when traffic or road restrictions occurs. Some Uk logistics companies now use smart planning software that automatically selects the fastest or most fuel-efficient route. Collaborating transport schemes also help several timber distributions in Scotland and Northen England share transport resources to reduce empty return journey and maximize vehicle utilization. Using multimodal transport such as combining rail and road is method that can reduce congestion and low environmental impact for long-distance movements.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The Strong communication between drivers, warehouses and construction sites is essential. Scheduled delivery windows help avoid delays on busy building sites. Distributors should also keep better records of product specifications to prevent incorrect deliveries, which often cause rework and additional transport costs. Using technology, improving coordination and flexible transport arrangements companies can significantly reduce inland delivery risks. These improvements support timely timber distribution and strengthen the overall resilience of the UK softwood supply chain.</w:t>
      </w:r>
    </w:p>
    <w:p w:rsidR="008C1C1A" w:rsidRDefault="008C1C1A">
      <w:pPr>
        <w:spacing w:before="120" w:after="200" w:line="264" w:lineRule="auto"/>
        <w:jc w:val="both"/>
        <w:rPr>
          <w:rFonts w:ascii="Times New Roman" w:hAnsi="Times New Roman" w:cs="Times New Roman"/>
          <w:sz w:val="24"/>
          <w:szCs w:val="24"/>
        </w:rPr>
      </w:pPr>
    </w:p>
    <w:p w:rsidR="008C1C1A" w:rsidRDefault="00000000">
      <w:pPr>
        <w:spacing w:before="120" w:after="200" w:line="264" w:lineRule="auto"/>
        <w:rPr>
          <w:rFonts w:ascii="Times New Roman" w:hAnsi="Times New Roman" w:cs="Times New Roman"/>
          <w:sz w:val="24"/>
          <w:szCs w:val="24"/>
        </w:rPr>
      </w:pPr>
      <w:r>
        <w:rPr>
          <w:rFonts w:ascii="Times New Roman" w:hAnsi="Times New Roman" w:cs="Times New Roman"/>
          <w:sz w:val="24"/>
          <w:szCs w:val="24"/>
        </w:rPr>
        <w:br w:type="page"/>
      </w: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rFonts w:ascii="Times New Roman" w:hAnsi="Times New Roman" w:cs="Times New Roman"/>
          <w:sz w:val="32"/>
          <w:szCs w:val="32"/>
        </w:rPr>
      </w:pPr>
      <w:bookmarkStart w:id="13" w:name="_Toc214490719"/>
      <w:r>
        <w:rPr>
          <w:rFonts w:ascii="Times New Roman" w:hAnsi="Times New Roman" w:cs="Times New Roman"/>
          <w:sz w:val="32"/>
          <w:szCs w:val="32"/>
        </w:rPr>
        <w:t>4. CONCLUSION</w:t>
      </w:r>
      <w:bookmarkEnd w:id="13"/>
    </w:p>
    <w:p w:rsidR="008C1C1A" w:rsidRDefault="008C1C1A">
      <w:pPr>
        <w:spacing w:before="120" w:after="200" w:line="264" w:lineRule="auto"/>
        <w:jc w:val="both"/>
        <w:rPr>
          <w:rFonts w:ascii="Times New Roman" w:hAnsi="Times New Roman" w:cs="Times New Roman"/>
          <w:b/>
          <w:bCs/>
          <w:sz w:val="24"/>
          <w:szCs w:val="24"/>
        </w:rPr>
      </w:pPr>
    </w:p>
    <w:p w:rsidR="007B297D" w:rsidRDefault="007B297D"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This report shows at how resilient the UK imported softwood timber supply chain is by using an FMEA approach. The results show that the system is exposed to several connected risks, such as illegal or wrong declared timber, congestion at ports, biosecurity issues, customs delays, global price changes and problems with inland transport. Out of this, legality checks, biosecurity risks and port performance received the highest RPN scores, which means they need the quickest action.</w:t>
      </w:r>
    </w:p>
    <w:p w:rsidR="007B297D" w:rsidRDefault="007B297D"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The report suggests six resilience strategies to deal with these challenges. Strengthening the process of verifying timber origin helps stop illegal wood from entering the UK and supports compliance with national regulations. Improving port operation can reduce long queues</w:t>
      </w:r>
      <w:r w:rsidR="006E3B7B">
        <w:rPr>
          <w:rFonts w:ascii="Times New Roman" w:hAnsi="Times New Roman" w:cs="Times New Roman"/>
          <w:sz w:val="24"/>
          <w:szCs w:val="24"/>
        </w:rPr>
        <w:t xml:space="preserve"> and keep goods moving more smoothly. Good biosecurity controls protect imported shipment and local forests. Digital customs procedures help cut down paperwork mistakes, while financial measures support stability during global price swings. Finally improving inland distribution ensures that timber reaches construction sites on time and without losing quality. </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Overall, improving resilience requires a combination of digital technologies, stronger partnerships with international suppliers and continuous operational improvements. By adopting these strategies, the Uk timber industry can better respond to global uncertainties and maintain a stable for the construction sector</w:t>
      </w:r>
    </w:p>
    <w:p w:rsidR="00E95C5C" w:rsidRDefault="00E95C5C" w:rsidP="00E95C5C">
      <w:pPr>
        <w:spacing w:before="120" w:after="200" w:line="360" w:lineRule="auto"/>
        <w:jc w:val="both"/>
        <w:rPr>
          <w:rFonts w:ascii="Times New Roman" w:hAnsi="Times New Roman" w:cs="Times New Roman"/>
          <w:sz w:val="24"/>
          <w:szCs w:val="24"/>
        </w:rPr>
      </w:pPr>
    </w:p>
    <w:p w:rsidR="00E95C5C" w:rsidRPr="00FC0446" w:rsidRDefault="00E95C5C" w:rsidP="00F13993">
      <w:pPr>
        <w:pStyle w:val="Heading1"/>
        <w:rPr>
          <w:rFonts w:ascii="Times New Roman" w:hAnsi="Times New Roman" w:cs="Times New Roman"/>
          <w:sz w:val="32"/>
          <w:szCs w:val="32"/>
        </w:rPr>
      </w:pPr>
      <w:bookmarkStart w:id="14" w:name="_Toc214490720"/>
      <w:r w:rsidRPr="00FC0446">
        <w:rPr>
          <w:rFonts w:ascii="Times New Roman" w:hAnsi="Times New Roman" w:cs="Times New Roman"/>
          <w:sz w:val="32"/>
          <w:szCs w:val="32"/>
        </w:rPr>
        <w:t>4.1 SUGGESTIONS FOR FURTHER WORK/RESEARCH</w:t>
      </w:r>
      <w:bookmarkEnd w:id="14"/>
    </w:p>
    <w:p w:rsidR="00E95C5C" w:rsidRDefault="00E95C5C" w:rsidP="00E95C5C">
      <w:pPr>
        <w:spacing w:before="120" w:after="200" w:line="360"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The strengthen the resilience framework presented in this report, several areas require deeper quantitative and practical work.</w:t>
      </w:r>
    </w:p>
    <w:p w:rsidR="00E95C5C" w:rsidRPr="00AD607D" w:rsidRDefault="00E95C5C" w:rsidP="00E95C5C">
      <w:pPr>
        <w:pStyle w:val="ListParagraph"/>
        <w:spacing w:before="120" w:after="200" w:line="360" w:lineRule="auto"/>
        <w:jc w:val="both"/>
        <w:rPr>
          <w:rFonts w:ascii="Times New Roman" w:hAnsi="Times New Roman" w:cs="Times New Roman"/>
          <w:b/>
          <w:bCs/>
          <w:sz w:val="24"/>
          <w:szCs w:val="24"/>
        </w:rPr>
      </w:pPr>
    </w:p>
    <w:p w:rsidR="00E95C5C" w:rsidRDefault="00E95C5C" w:rsidP="00E95C5C">
      <w:pPr>
        <w:spacing w:before="120" w:after="200" w:line="360" w:lineRule="auto"/>
        <w:ind w:left="360"/>
        <w:jc w:val="both"/>
        <w:rPr>
          <w:rFonts w:ascii="Times New Roman" w:hAnsi="Times New Roman" w:cs="Times New Roman"/>
          <w:b/>
          <w:bCs/>
          <w:sz w:val="24"/>
          <w:szCs w:val="24"/>
        </w:rPr>
      </w:pPr>
    </w:p>
    <w:p w:rsidR="00E95C5C" w:rsidRDefault="00E95C5C" w:rsidP="00E95C5C">
      <w:pPr>
        <w:spacing w:before="120" w:after="200" w:line="360" w:lineRule="auto"/>
        <w:ind w:left="360"/>
        <w:jc w:val="both"/>
        <w:rPr>
          <w:rFonts w:ascii="Times New Roman" w:hAnsi="Times New Roman" w:cs="Times New Roman"/>
          <w:b/>
          <w:bCs/>
          <w:sz w:val="24"/>
          <w:szCs w:val="24"/>
        </w:rPr>
      </w:pPr>
    </w:p>
    <w:p w:rsidR="00E95C5C" w:rsidRPr="00AD607D" w:rsidRDefault="00E95C5C" w:rsidP="00E95C5C">
      <w:pPr>
        <w:pStyle w:val="ListParagraph"/>
        <w:numPr>
          <w:ilvl w:val="0"/>
          <w:numId w:val="4"/>
        </w:numPr>
        <w:spacing w:before="120" w:after="200" w:line="360" w:lineRule="auto"/>
        <w:jc w:val="both"/>
        <w:rPr>
          <w:rFonts w:ascii="Times New Roman" w:hAnsi="Times New Roman" w:cs="Times New Roman"/>
          <w:b/>
          <w:bCs/>
          <w:sz w:val="24"/>
          <w:szCs w:val="24"/>
        </w:rPr>
      </w:pPr>
      <w:r w:rsidRPr="00AD607D">
        <w:rPr>
          <w:rFonts w:ascii="Times New Roman" w:hAnsi="Times New Roman" w:cs="Times New Roman"/>
          <w:b/>
          <w:bCs/>
          <w:sz w:val="24"/>
          <w:szCs w:val="24"/>
        </w:rPr>
        <w:t>Cost- benefit analysis of digital verification</w:t>
      </w:r>
    </w:p>
    <w:p w:rsidR="00E95C5C" w:rsidRDefault="00E95C5C" w:rsidP="00E95C5C">
      <w:pPr>
        <w:pStyle w:val="ListParagraph"/>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Future studies should calculate the financial return for UK importers adopting blockchain-based origin verification, technology investment costs and saving from avoiding UKTR non-compliance penalties and shipment seizures.</w:t>
      </w:r>
    </w:p>
    <w:p w:rsidR="00E95C5C" w:rsidRDefault="00E95C5C" w:rsidP="00E95C5C">
      <w:pPr>
        <w:pStyle w:val="ListParagraph"/>
        <w:spacing w:before="120" w:after="200" w:line="360" w:lineRule="auto"/>
        <w:jc w:val="both"/>
        <w:rPr>
          <w:rFonts w:ascii="Times New Roman" w:hAnsi="Times New Roman" w:cs="Times New Roman"/>
          <w:sz w:val="24"/>
          <w:szCs w:val="24"/>
        </w:rPr>
      </w:pPr>
    </w:p>
    <w:p w:rsidR="00E95C5C" w:rsidRPr="00AD607D" w:rsidRDefault="00E95C5C" w:rsidP="00E95C5C">
      <w:pPr>
        <w:pStyle w:val="ListParagraph"/>
        <w:numPr>
          <w:ilvl w:val="0"/>
          <w:numId w:val="4"/>
        </w:numPr>
        <w:spacing w:before="120" w:after="200" w:line="360" w:lineRule="auto"/>
        <w:jc w:val="both"/>
        <w:rPr>
          <w:rFonts w:ascii="Times New Roman" w:hAnsi="Times New Roman" w:cs="Times New Roman"/>
          <w:b/>
          <w:bCs/>
          <w:sz w:val="24"/>
          <w:szCs w:val="24"/>
        </w:rPr>
      </w:pPr>
      <w:r w:rsidRPr="00AD607D">
        <w:rPr>
          <w:rFonts w:ascii="Times New Roman" w:hAnsi="Times New Roman" w:cs="Times New Roman"/>
          <w:b/>
          <w:bCs/>
          <w:sz w:val="24"/>
          <w:szCs w:val="24"/>
        </w:rPr>
        <w:t>Modelling financial hedging strategies</w:t>
      </w:r>
    </w:p>
    <w:p w:rsidR="00E95C5C" w:rsidRDefault="00E95C5C" w:rsidP="00E95C5C">
      <w:pPr>
        <w:pStyle w:val="ListParagraph"/>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Developing a predictive model that compares long-term fixed price contracts with short-term spot purchases would help importers manage global price volatility </w:t>
      </w:r>
    </w:p>
    <w:p w:rsidR="00E95C5C" w:rsidRDefault="00E95C5C" w:rsidP="00E95C5C">
      <w:pPr>
        <w:pStyle w:val="ListParagraph"/>
        <w:spacing w:before="120" w:after="200" w:line="360" w:lineRule="auto"/>
        <w:jc w:val="both"/>
        <w:rPr>
          <w:rFonts w:ascii="Times New Roman" w:hAnsi="Times New Roman" w:cs="Times New Roman"/>
          <w:sz w:val="24"/>
          <w:szCs w:val="24"/>
        </w:rPr>
      </w:pPr>
    </w:p>
    <w:p w:rsidR="00E95C5C" w:rsidRPr="00AD607D" w:rsidRDefault="00E95C5C" w:rsidP="00E95C5C">
      <w:pPr>
        <w:pStyle w:val="ListParagraph"/>
        <w:numPr>
          <w:ilvl w:val="0"/>
          <w:numId w:val="4"/>
        </w:numPr>
        <w:spacing w:before="120" w:after="200" w:line="360" w:lineRule="auto"/>
        <w:jc w:val="both"/>
        <w:rPr>
          <w:rFonts w:ascii="Times New Roman" w:hAnsi="Times New Roman" w:cs="Times New Roman"/>
          <w:b/>
          <w:bCs/>
          <w:sz w:val="24"/>
          <w:szCs w:val="24"/>
        </w:rPr>
      </w:pPr>
      <w:r w:rsidRPr="00AD607D">
        <w:rPr>
          <w:rFonts w:ascii="Times New Roman" w:hAnsi="Times New Roman" w:cs="Times New Roman"/>
          <w:b/>
          <w:bCs/>
          <w:sz w:val="24"/>
          <w:szCs w:val="24"/>
        </w:rPr>
        <w:t>Advanced biosecurity pilot testing</w:t>
      </w:r>
    </w:p>
    <w:p w:rsidR="00E95C5C" w:rsidRDefault="00E95C5C" w:rsidP="00E95C5C">
      <w:pPr>
        <w:pStyle w:val="ListParagraph"/>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Pilot study evaluating computerize scanning and rapid detection tools at major ports such as tilbury or Felixstowe could determine their accuracy, speed and potential role in strengthening national biosecurity checks.</w:t>
      </w:r>
    </w:p>
    <w:p w:rsidR="00E95C5C" w:rsidRDefault="00E95C5C" w:rsidP="00E95C5C">
      <w:pPr>
        <w:pStyle w:val="ListParagraph"/>
        <w:spacing w:before="120" w:after="200" w:line="360" w:lineRule="auto"/>
        <w:jc w:val="both"/>
        <w:rPr>
          <w:rFonts w:ascii="Times New Roman" w:hAnsi="Times New Roman" w:cs="Times New Roman"/>
          <w:sz w:val="24"/>
          <w:szCs w:val="24"/>
        </w:rPr>
      </w:pPr>
    </w:p>
    <w:p w:rsidR="00E95C5C" w:rsidRPr="00AD607D" w:rsidRDefault="00E95C5C" w:rsidP="00E95C5C">
      <w:pPr>
        <w:pStyle w:val="ListParagraph"/>
        <w:spacing w:before="120" w:after="200" w:line="360"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936398" w:rsidRDefault="00936398">
      <w:pPr>
        <w:spacing w:after="0" w:line="240" w:lineRule="auto"/>
        <w:rPr>
          <w:rFonts w:asciiTheme="majorHAnsi" w:hAnsiTheme="majorHAnsi" w:cstheme="majorHAnsi"/>
          <w:b/>
          <w:bCs/>
          <w:sz w:val="24"/>
          <w:szCs w:val="24"/>
        </w:rPr>
      </w:pPr>
      <w:r>
        <w:rPr>
          <w:rFonts w:asciiTheme="majorHAnsi" w:hAnsiTheme="majorHAnsi" w:cstheme="majorHAnsi"/>
          <w:b/>
          <w:bCs/>
          <w:sz w:val="24"/>
          <w:szCs w:val="24"/>
        </w:rPr>
        <w:br w:type="page"/>
      </w:r>
    </w:p>
    <w:p w:rsidR="008C1C1A" w:rsidRDefault="00000000">
      <w:pPr>
        <w:pStyle w:val="Heading1"/>
        <w:rPr>
          <w:rFonts w:ascii="Times New Roman" w:hAnsi="Times New Roman" w:cs="Times New Roman"/>
          <w:b/>
          <w:bCs/>
          <w:sz w:val="32"/>
          <w:szCs w:val="32"/>
        </w:rPr>
      </w:pPr>
      <w:bookmarkStart w:id="15" w:name="_Toc214490721"/>
      <w:r>
        <w:rPr>
          <w:rFonts w:ascii="Times New Roman" w:hAnsi="Times New Roman" w:cs="Times New Roman"/>
          <w:b/>
          <w:bCs/>
          <w:sz w:val="32"/>
          <w:szCs w:val="32"/>
        </w:rPr>
        <w:lastRenderedPageBreak/>
        <w:t>5. REFERENCES</w:t>
      </w:r>
      <w:bookmarkEnd w:id="15"/>
    </w:p>
    <w:p w:rsidR="00E95C5C" w:rsidRPr="0099460F" w:rsidRDefault="00E95C5C" w:rsidP="0099460F">
      <w:pPr>
        <w:pStyle w:val="ListParagraph"/>
        <w:numPr>
          <w:ilvl w:val="0"/>
          <w:numId w:val="3"/>
        </w:numPr>
        <w:jc w:val="both"/>
        <w:rPr>
          <w:rFonts w:ascii="Times New Roman" w:hAnsi="Times New Roman" w:cs="Times New Roman"/>
          <w:sz w:val="24"/>
          <w:szCs w:val="24"/>
        </w:rPr>
      </w:pPr>
      <w:r w:rsidRPr="0099460F">
        <w:rPr>
          <w:rFonts w:ascii="Times New Roman" w:hAnsi="Times New Roman" w:cs="Times New Roman"/>
          <w:sz w:val="24"/>
          <w:szCs w:val="24"/>
        </w:rPr>
        <w:t>Choi, Thomas Y., and others, 'Supply Chain Management: Solving the World’s Most Pressing Problems', in Thomas Y. Choi, and others (eds), </w:t>
      </w:r>
      <w:r w:rsidRPr="0099460F">
        <w:rPr>
          <w:rFonts w:ascii="Times New Roman" w:hAnsi="Times New Roman" w:cs="Times New Roman"/>
          <w:i/>
          <w:iCs/>
          <w:sz w:val="24"/>
          <w:szCs w:val="24"/>
        </w:rPr>
        <w:t>The Oxford Handbook of Supply Chain Management</w:t>
      </w:r>
      <w:r w:rsidRPr="0099460F">
        <w:rPr>
          <w:rFonts w:ascii="Times New Roman" w:hAnsi="Times New Roman" w:cs="Times New Roman"/>
          <w:sz w:val="24"/>
          <w:szCs w:val="24"/>
        </w:rPr>
        <w:t> (2021; online edn, Oxford Academic, 6 Aug. 2020), </w:t>
      </w:r>
      <w:hyperlink r:id="rId9" w:history="1">
        <w:r w:rsidRPr="0099460F">
          <w:rPr>
            <w:rStyle w:val="Hyperlink"/>
            <w:rFonts w:ascii="Times New Roman" w:hAnsi="Times New Roman" w:cs="Times New Roman"/>
            <w:color w:val="17406D" w:themeColor="text2"/>
            <w:sz w:val="24"/>
            <w:szCs w:val="24"/>
          </w:rPr>
          <w:t>https://doi.org/10.1093/oxfordhb/9780190066727.013.40</w:t>
        </w:r>
      </w:hyperlink>
      <w:r w:rsidRPr="0099460F">
        <w:rPr>
          <w:rFonts w:ascii="Times New Roman" w:hAnsi="Times New Roman" w:cs="Times New Roman"/>
          <w:sz w:val="24"/>
          <w:szCs w:val="24"/>
        </w:rPr>
        <w:t>, (Accessed 18 October 2025).</w:t>
      </w:r>
    </w:p>
    <w:p w:rsidR="00B30F7E" w:rsidRPr="0099460F" w:rsidRDefault="00B30F7E" w:rsidP="0099460F">
      <w:pPr>
        <w:pStyle w:val="ListParagraph"/>
        <w:ind w:left="360"/>
        <w:jc w:val="both"/>
        <w:rPr>
          <w:rFonts w:ascii="Times New Roman" w:hAnsi="Times New Roman" w:cs="Times New Roman"/>
          <w:sz w:val="24"/>
          <w:szCs w:val="24"/>
        </w:rPr>
      </w:pPr>
    </w:p>
    <w:p w:rsidR="008C1C1A" w:rsidRPr="0099460F" w:rsidRDefault="00397B56" w:rsidP="0099460F">
      <w:pPr>
        <w:pStyle w:val="ListParagraph"/>
        <w:numPr>
          <w:ilvl w:val="0"/>
          <w:numId w:val="3"/>
        </w:numPr>
        <w:spacing w:line="240" w:lineRule="auto"/>
        <w:jc w:val="both"/>
        <w:rPr>
          <w:rFonts w:ascii="Times New Roman" w:hAnsi="Times New Roman" w:cs="Times New Roman"/>
          <w:sz w:val="24"/>
          <w:szCs w:val="24"/>
        </w:rPr>
      </w:pPr>
      <w:r w:rsidRPr="0099460F">
        <w:rPr>
          <w:rFonts w:ascii="Times New Roman" w:hAnsi="Times New Roman" w:cs="Times New Roman"/>
          <w:sz w:val="24"/>
          <w:szCs w:val="24"/>
        </w:rPr>
        <w:t xml:space="preserve">Forest Research (2024) </w:t>
      </w:r>
      <w:r w:rsidRPr="0099460F">
        <w:rPr>
          <w:rFonts w:ascii="Times New Roman" w:hAnsi="Times New Roman" w:cs="Times New Roman"/>
          <w:i/>
          <w:iCs/>
          <w:sz w:val="24"/>
          <w:szCs w:val="24"/>
        </w:rPr>
        <w:t>Timber Statistics: UK Timber Imports and Exports 2023</w:t>
      </w:r>
      <w:r w:rsidRPr="0099460F">
        <w:rPr>
          <w:rFonts w:ascii="Times New Roman" w:hAnsi="Times New Roman" w:cs="Times New Roman"/>
          <w:sz w:val="24"/>
          <w:szCs w:val="24"/>
        </w:rPr>
        <w:t xml:space="preserve">. Available at: </w:t>
      </w:r>
      <w:hyperlink r:id="rId10" w:tgtFrame="_new" w:history="1">
        <w:r w:rsidRPr="0099460F">
          <w:rPr>
            <w:rStyle w:val="Hyperlink"/>
            <w:rFonts w:ascii="Times New Roman" w:hAnsi="Times New Roman" w:cs="Times New Roman"/>
            <w:color w:val="112F51" w:themeColor="text2" w:themeShade="BF"/>
            <w:sz w:val="24"/>
            <w:szCs w:val="24"/>
          </w:rPr>
          <w:t>https://www.forestresearch.gov.uk/tools-and-resources/statistics/</w:t>
        </w:r>
      </w:hyperlink>
      <w:r w:rsidRPr="0099460F">
        <w:rPr>
          <w:rFonts w:ascii="Times New Roman" w:hAnsi="Times New Roman" w:cs="Times New Roman"/>
          <w:sz w:val="24"/>
          <w:szCs w:val="24"/>
        </w:rPr>
        <w:t xml:space="preserve"> (Accessed:</w:t>
      </w:r>
      <w:r w:rsidR="009012B7">
        <w:rPr>
          <w:rFonts w:ascii="Times New Roman" w:hAnsi="Times New Roman" w:cs="Times New Roman"/>
          <w:sz w:val="24"/>
          <w:szCs w:val="24"/>
        </w:rPr>
        <w:t xml:space="preserve"> 20 October </w:t>
      </w:r>
      <w:r w:rsidRPr="0099460F">
        <w:rPr>
          <w:rFonts w:ascii="Times New Roman" w:hAnsi="Times New Roman" w:cs="Times New Roman"/>
          <w:sz w:val="24"/>
          <w:szCs w:val="24"/>
        </w:rPr>
        <w:t>2025).</w:t>
      </w:r>
    </w:p>
    <w:p w:rsidR="00B30F7E" w:rsidRPr="0099460F" w:rsidRDefault="00B30F7E" w:rsidP="0099460F">
      <w:pPr>
        <w:pStyle w:val="ListParagraph"/>
        <w:spacing w:line="240" w:lineRule="auto"/>
        <w:jc w:val="both"/>
        <w:rPr>
          <w:rFonts w:ascii="Times New Roman" w:hAnsi="Times New Roman" w:cs="Times New Roman"/>
          <w:sz w:val="24"/>
          <w:szCs w:val="24"/>
        </w:rPr>
      </w:pPr>
    </w:p>
    <w:p w:rsidR="00936398" w:rsidRPr="0099460F" w:rsidRDefault="00B30F7E" w:rsidP="0099460F">
      <w:pPr>
        <w:pStyle w:val="NormalWeb"/>
        <w:numPr>
          <w:ilvl w:val="0"/>
          <w:numId w:val="3"/>
        </w:numPr>
        <w:spacing w:line="240" w:lineRule="auto"/>
        <w:jc w:val="both"/>
        <w:rPr>
          <w:rFonts w:ascii="Times New Roman" w:hAnsi="Times New Roman" w:cs="Times New Roman"/>
        </w:rPr>
      </w:pPr>
      <w:r w:rsidRPr="0099460F">
        <w:rPr>
          <w:rFonts w:ascii="Times New Roman" w:hAnsi="Times New Roman" w:cs="Times New Roman"/>
        </w:rPr>
        <w:t xml:space="preserve">Chatham House (2023) </w:t>
      </w:r>
      <w:r w:rsidRPr="0099460F">
        <w:rPr>
          <w:rStyle w:val="Emphasis"/>
          <w:rFonts w:ascii="Times New Roman" w:hAnsi="Times New Roman" w:cs="Times New Roman"/>
        </w:rPr>
        <w:t>Illegal timber trade: risk pathways into Europe</w:t>
      </w:r>
      <w:r w:rsidRPr="0099460F">
        <w:rPr>
          <w:rFonts w:ascii="Times New Roman" w:hAnsi="Times New Roman" w:cs="Times New Roman"/>
        </w:rPr>
        <w:t xml:space="preserve">. Available at: </w:t>
      </w:r>
      <w:hyperlink r:id="rId11" w:tgtFrame="_new" w:history="1">
        <w:r w:rsidRPr="0099460F">
          <w:rPr>
            <w:rStyle w:val="Hyperlink"/>
            <w:rFonts w:ascii="Times New Roman" w:hAnsi="Times New Roman" w:cs="Times New Roman"/>
          </w:rPr>
          <w:t>https://www.chathamhouse.org</w:t>
        </w:r>
      </w:hyperlink>
      <w:r w:rsidRPr="0099460F">
        <w:rPr>
          <w:rFonts w:ascii="Times New Roman" w:hAnsi="Times New Roman" w:cs="Times New Roman"/>
        </w:rPr>
        <w:t xml:space="preserve"> (Accessed: </w:t>
      </w:r>
      <w:r w:rsidR="009012B7">
        <w:rPr>
          <w:rFonts w:ascii="Times New Roman" w:hAnsi="Times New Roman" w:cs="Times New Roman"/>
        </w:rPr>
        <w:t>20 October</w:t>
      </w:r>
      <w:r w:rsidRPr="0099460F">
        <w:rPr>
          <w:rFonts w:ascii="Times New Roman" w:hAnsi="Times New Roman" w:cs="Times New Roman"/>
        </w:rPr>
        <w:t xml:space="preserve"> 2025).</w:t>
      </w:r>
    </w:p>
    <w:p w:rsidR="00936398" w:rsidRPr="0099460F" w:rsidRDefault="00936398" w:rsidP="0099460F">
      <w:pPr>
        <w:pStyle w:val="NormalWeb"/>
        <w:spacing w:line="240" w:lineRule="auto"/>
        <w:jc w:val="both"/>
        <w:rPr>
          <w:rFonts w:ascii="Times New Roman" w:hAnsi="Times New Roman" w:cs="Times New Roman"/>
        </w:rPr>
      </w:pPr>
    </w:p>
    <w:p w:rsidR="008C1C1A" w:rsidRPr="0099460F" w:rsidRDefault="00B30F7E" w:rsidP="0099460F">
      <w:pPr>
        <w:pStyle w:val="NormalWeb"/>
        <w:numPr>
          <w:ilvl w:val="0"/>
          <w:numId w:val="3"/>
        </w:numPr>
        <w:spacing w:line="240" w:lineRule="auto"/>
        <w:jc w:val="both"/>
        <w:rPr>
          <w:rFonts w:ascii="Times New Roman" w:hAnsi="Times New Roman" w:cs="Times New Roman"/>
        </w:rPr>
      </w:pPr>
      <w:r w:rsidRPr="0099460F">
        <w:rPr>
          <w:rFonts w:ascii="Times New Roman" w:hAnsi="Times New Roman" w:cs="Times New Roman"/>
        </w:rPr>
        <w:t xml:space="preserve">Port of Felixstowe (2024) </w:t>
      </w:r>
      <w:r w:rsidRPr="0099460F">
        <w:rPr>
          <w:rStyle w:val="Emphasis"/>
          <w:rFonts w:ascii="Times New Roman" w:hAnsi="Times New Roman" w:cs="Times New Roman"/>
        </w:rPr>
        <w:t>Operational capacity and performance update</w:t>
      </w:r>
      <w:r w:rsidRPr="0099460F">
        <w:rPr>
          <w:rFonts w:ascii="Times New Roman" w:hAnsi="Times New Roman" w:cs="Times New Roman"/>
        </w:rPr>
        <w:t xml:space="preserve">. Available at: </w:t>
      </w:r>
      <w:hyperlink r:id="rId12" w:tgtFrame="_new" w:history="1">
        <w:r w:rsidRPr="0099460F">
          <w:rPr>
            <w:rStyle w:val="Hyperlink"/>
            <w:rFonts w:ascii="Times New Roman" w:hAnsi="Times New Roman" w:cs="Times New Roman"/>
          </w:rPr>
          <w:t>https://www.portoffelixstowe.co.uk</w:t>
        </w:r>
      </w:hyperlink>
      <w:r w:rsidRPr="0099460F">
        <w:rPr>
          <w:rFonts w:ascii="Times New Roman" w:hAnsi="Times New Roman" w:cs="Times New Roman"/>
        </w:rPr>
        <w:t xml:space="preserve"> (Accessed: </w:t>
      </w:r>
      <w:r w:rsidR="009012B7">
        <w:rPr>
          <w:rFonts w:ascii="Times New Roman" w:hAnsi="Times New Roman" w:cs="Times New Roman"/>
        </w:rPr>
        <w:t>22 October</w:t>
      </w:r>
      <w:r w:rsidRPr="0099460F">
        <w:rPr>
          <w:rFonts w:ascii="Times New Roman" w:hAnsi="Times New Roman" w:cs="Times New Roman"/>
        </w:rPr>
        <w:t xml:space="preserve"> 2025).</w:t>
      </w:r>
      <w:bookmarkEnd w:id="0"/>
    </w:p>
    <w:p w:rsidR="00936398" w:rsidRPr="0099460F" w:rsidRDefault="00936398" w:rsidP="0099460F">
      <w:pPr>
        <w:pStyle w:val="ListParagraph"/>
        <w:jc w:val="both"/>
        <w:rPr>
          <w:rFonts w:ascii="Times New Roman" w:hAnsi="Times New Roman" w:cs="Times New Roman"/>
        </w:rPr>
      </w:pPr>
    </w:p>
    <w:p w:rsidR="00936398" w:rsidRPr="0099460F" w:rsidRDefault="00936398" w:rsidP="0099460F">
      <w:pPr>
        <w:pStyle w:val="NormalWeb"/>
        <w:numPr>
          <w:ilvl w:val="0"/>
          <w:numId w:val="3"/>
        </w:numPr>
        <w:spacing w:line="240" w:lineRule="auto"/>
        <w:jc w:val="both"/>
        <w:rPr>
          <w:rFonts w:ascii="Times New Roman" w:hAnsi="Times New Roman" w:cs="Times New Roman"/>
        </w:rPr>
      </w:pPr>
      <w:r w:rsidRPr="0099460F">
        <w:rPr>
          <w:rFonts w:ascii="Times New Roman" w:hAnsi="Times New Roman" w:cs="Times New Roman"/>
          <w:lang w:val="en-US"/>
        </w:rPr>
        <w:t xml:space="preserve">Animal and Plant Health Agency (2024) </w:t>
      </w:r>
      <w:r w:rsidRPr="0099460F">
        <w:rPr>
          <w:rFonts w:ascii="Times New Roman" w:hAnsi="Times New Roman" w:cs="Times New Roman"/>
          <w:i/>
          <w:iCs/>
          <w:lang w:val="en-US"/>
        </w:rPr>
        <w:t>Plant health import requirements</w:t>
      </w:r>
      <w:r w:rsidRPr="0099460F">
        <w:rPr>
          <w:rFonts w:ascii="Times New Roman" w:hAnsi="Times New Roman" w:cs="Times New Roman"/>
          <w:lang w:val="en-US"/>
        </w:rPr>
        <w:t xml:space="preserve">. Available at: </w:t>
      </w:r>
      <w:r w:rsidRPr="0099460F">
        <w:rPr>
          <w:rFonts w:ascii="Times New Roman" w:hAnsi="Times New Roman" w:cs="Times New Roman"/>
          <w:color w:val="104864" w:themeColor="background2" w:themeShade="40"/>
          <w:u w:val="single"/>
          <w:lang w:val="en-US"/>
        </w:rPr>
        <w:t>https://www.gov.uk/guidance</w:t>
      </w:r>
      <w:r w:rsidRPr="0099460F">
        <w:rPr>
          <w:rFonts w:ascii="Times New Roman" w:hAnsi="Times New Roman" w:cs="Times New Roman"/>
          <w:color w:val="104864" w:themeColor="background2" w:themeShade="40"/>
          <w:lang w:val="en-US"/>
        </w:rPr>
        <w:t xml:space="preserve"> </w:t>
      </w:r>
      <w:r w:rsidRPr="0099460F">
        <w:rPr>
          <w:rFonts w:ascii="Times New Roman" w:hAnsi="Times New Roman" w:cs="Times New Roman"/>
          <w:lang w:val="en-US"/>
        </w:rPr>
        <w:t xml:space="preserve">(Accessed: </w:t>
      </w:r>
      <w:r w:rsidR="009012B7">
        <w:rPr>
          <w:rFonts w:ascii="Times New Roman" w:hAnsi="Times New Roman" w:cs="Times New Roman"/>
          <w:lang w:val="en-US"/>
        </w:rPr>
        <w:t xml:space="preserve">24 October </w:t>
      </w:r>
      <w:r w:rsidRPr="0099460F">
        <w:rPr>
          <w:rFonts w:ascii="Times New Roman" w:hAnsi="Times New Roman" w:cs="Times New Roman"/>
          <w:lang w:val="en-US"/>
        </w:rPr>
        <w:t xml:space="preserve"> 2025).</w:t>
      </w:r>
    </w:p>
    <w:p w:rsidR="00936398" w:rsidRPr="0099460F" w:rsidRDefault="00936398" w:rsidP="0099460F">
      <w:pPr>
        <w:pStyle w:val="ListParagraph"/>
        <w:jc w:val="both"/>
        <w:rPr>
          <w:rFonts w:ascii="Times New Roman" w:hAnsi="Times New Roman" w:cs="Times New Roman"/>
        </w:rPr>
      </w:pPr>
    </w:p>
    <w:p w:rsidR="00936398" w:rsidRPr="0099460F"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UK Government (2024a) </w:t>
      </w:r>
      <w:r w:rsidRPr="00936398">
        <w:rPr>
          <w:rFonts w:ascii="Times New Roman" w:hAnsi="Times New Roman" w:cs="Times New Roman"/>
          <w:i/>
          <w:iCs/>
        </w:rPr>
        <w:t>Timber regulation enforcement: company fined for due diligence failure</w:t>
      </w:r>
      <w:r w:rsidRPr="00936398">
        <w:rPr>
          <w:rFonts w:ascii="Times New Roman" w:hAnsi="Times New Roman" w:cs="Times New Roman"/>
        </w:rPr>
        <w:t>. Available at</w:t>
      </w:r>
      <w:r w:rsidRPr="00936398">
        <w:rPr>
          <w:rFonts w:ascii="Times New Roman" w:hAnsi="Times New Roman" w:cs="Times New Roman"/>
          <w:color w:val="104864" w:themeColor="background2" w:themeShade="40"/>
          <w:u w:val="single"/>
        </w:rPr>
        <w:t>: https://www.gov.uk/government/news</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25</w:t>
      </w:r>
      <w:r w:rsidRPr="00936398">
        <w:rPr>
          <w:rFonts w:ascii="Times New Roman" w:hAnsi="Times New Roman" w:cs="Times New Roman"/>
        </w:rPr>
        <w:t xml:space="preserve"> </w:t>
      </w:r>
      <w:r w:rsidR="009012B7">
        <w:rPr>
          <w:rFonts w:ascii="Times New Roman" w:hAnsi="Times New Roman" w:cs="Times New Roman"/>
        </w:rPr>
        <w:t>Octo</w:t>
      </w:r>
      <w:r w:rsidRPr="00936398">
        <w:rPr>
          <w:rFonts w:ascii="Times New Roman" w:hAnsi="Times New Roman" w:cs="Times New Roman"/>
        </w:rPr>
        <w:t>ber 2025).</w:t>
      </w:r>
    </w:p>
    <w:p w:rsidR="00936398" w:rsidRPr="00936398" w:rsidRDefault="00936398" w:rsidP="0099460F">
      <w:pPr>
        <w:pStyle w:val="NormalWeb"/>
        <w:jc w:val="both"/>
        <w:rPr>
          <w:rFonts w:ascii="Times New Roman" w:hAnsi="Times New Roman" w:cs="Times New Roman"/>
        </w:rPr>
      </w:pPr>
    </w:p>
    <w:p w:rsidR="00936398" w:rsidRPr="0099460F"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UK Government (2024b) </w:t>
      </w:r>
      <w:r w:rsidRPr="00936398">
        <w:rPr>
          <w:rFonts w:ascii="Times New Roman" w:hAnsi="Times New Roman" w:cs="Times New Roman"/>
          <w:i/>
          <w:iCs/>
        </w:rPr>
        <w:t>Timber import inspections and sanctions update</w:t>
      </w:r>
      <w:r w:rsidRPr="00936398">
        <w:rPr>
          <w:rFonts w:ascii="Times New Roman" w:hAnsi="Times New Roman" w:cs="Times New Roman"/>
        </w:rPr>
        <w:t xml:space="preserve">. Available at: </w:t>
      </w:r>
      <w:r w:rsidRPr="00936398">
        <w:rPr>
          <w:rFonts w:ascii="Times New Roman" w:hAnsi="Times New Roman" w:cs="Times New Roman"/>
          <w:color w:val="104864" w:themeColor="background2" w:themeShade="40"/>
          <w:u w:val="single"/>
        </w:rPr>
        <w:t>https://www.gov.uk/government/publications</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25 Octo</w:t>
      </w:r>
      <w:r w:rsidRPr="00936398">
        <w:rPr>
          <w:rFonts w:ascii="Times New Roman" w:hAnsi="Times New Roman" w:cs="Times New Roman"/>
        </w:rPr>
        <w:t>ber 2025).</w:t>
      </w:r>
    </w:p>
    <w:p w:rsidR="00936398" w:rsidRPr="00936398" w:rsidRDefault="00936398" w:rsidP="0099460F">
      <w:pPr>
        <w:pStyle w:val="NormalWeb"/>
        <w:jc w:val="both"/>
        <w:rPr>
          <w:rFonts w:ascii="Times New Roman" w:hAnsi="Times New Roman" w:cs="Times New Roman"/>
        </w:rPr>
      </w:pPr>
    </w:p>
    <w:p w:rsidR="00936398" w:rsidRPr="0099460F"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Timber Development UK (2024) </w:t>
      </w:r>
      <w:r w:rsidRPr="00936398">
        <w:rPr>
          <w:rFonts w:ascii="Times New Roman" w:hAnsi="Times New Roman" w:cs="Times New Roman"/>
          <w:i/>
          <w:iCs/>
        </w:rPr>
        <w:t>UK Softwood Market Report</w:t>
      </w:r>
      <w:r w:rsidRPr="00936398">
        <w:rPr>
          <w:rFonts w:ascii="Times New Roman" w:hAnsi="Times New Roman" w:cs="Times New Roman"/>
        </w:rPr>
        <w:t xml:space="preserve">. Available at: </w:t>
      </w:r>
      <w:r w:rsidRPr="00936398">
        <w:rPr>
          <w:rFonts w:ascii="Times New Roman" w:hAnsi="Times New Roman" w:cs="Times New Roman"/>
          <w:color w:val="104864" w:themeColor="background2" w:themeShade="40"/>
          <w:u w:val="single"/>
        </w:rPr>
        <w:t>https://www.timberdevelopment.uk</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28 Octo</w:t>
      </w:r>
      <w:r w:rsidRPr="00936398">
        <w:rPr>
          <w:rFonts w:ascii="Times New Roman" w:hAnsi="Times New Roman" w:cs="Times New Roman"/>
        </w:rPr>
        <w:t>ber 2025).</w:t>
      </w:r>
    </w:p>
    <w:p w:rsidR="00936398" w:rsidRPr="00936398" w:rsidRDefault="00936398" w:rsidP="0099460F">
      <w:pPr>
        <w:pStyle w:val="NormalWeb"/>
        <w:jc w:val="both"/>
        <w:rPr>
          <w:rFonts w:ascii="Times New Roman" w:hAnsi="Times New Roman" w:cs="Times New Roman"/>
        </w:rPr>
      </w:pPr>
    </w:p>
    <w:p w:rsidR="00936398" w:rsidRPr="00936398"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European Commission (2023) </w:t>
      </w:r>
      <w:r w:rsidRPr="00936398">
        <w:rPr>
          <w:rFonts w:ascii="Times New Roman" w:hAnsi="Times New Roman" w:cs="Times New Roman"/>
          <w:i/>
          <w:iCs/>
        </w:rPr>
        <w:t>EU timber regulation and due diligence guidance</w:t>
      </w:r>
      <w:r w:rsidRPr="00936398">
        <w:rPr>
          <w:rFonts w:ascii="Times New Roman" w:hAnsi="Times New Roman" w:cs="Times New Roman"/>
        </w:rPr>
        <w:t>. Available at</w:t>
      </w:r>
      <w:r w:rsidRPr="00936398">
        <w:rPr>
          <w:rFonts w:ascii="Times New Roman" w:hAnsi="Times New Roman" w:cs="Times New Roman"/>
          <w:color w:val="104864" w:themeColor="background2" w:themeShade="40"/>
          <w:u w:val="single"/>
        </w:rPr>
        <w:t>: https://environment.ec.europa.eu</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w:t>
      </w:r>
      <w:r w:rsidRPr="00936398">
        <w:rPr>
          <w:rFonts w:ascii="Times New Roman" w:hAnsi="Times New Roman" w:cs="Times New Roman"/>
        </w:rPr>
        <w:t xml:space="preserve">9 </w:t>
      </w:r>
      <w:r w:rsidR="009012B7">
        <w:rPr>
          <w:rFonts w:ascii="Times New Roman" w:hAnsi="Times New Roman" w:cs="Times New Roman"/>
        </w:rPr>
        <w:t>Octo</w:t>
      </w:r>
      <w:r w:rsidRPr="00936398">
        <w:rPr>
          <w:rFonts w:ascii="Times New Roman" w:hAnsi="Times New Roman" w:cs="Times New Roman"/>
        </w:rPr>
        <w:t>ber 2025).</w:t>
      </w:r>
    </w:p>
    <w:p w:rsidR="00A229B3" w:rsidRDefault="0099460F" w:rsidP="0098623B">
      <w:pPr>
        <w:pStyle w:val="NormalWeb"/>
        <w:numPr>
          <w:ilvl w:val="0"/>
          <w:numId w:val="3"/>
        </w:numPr>
        <w:jc w:val="both"/>
        <w:rPr>
          <w:rFonts w:ascii="Times New Roman" w:hAnsi="Times New Roman" w:cs="Times New Roman"/>
        </w:rPr>
      </w:pPr>
      <w:r w:rsidRPr="0099460F">
        <w:rPr>
          <w:rFonts w:ascii="Times New Roman" w:hAnsi="Times New Roman" w:cs="Times New Roman"/>
        </w:rPr>
        <w:lastRenderedPageBreak/>
        <w:t xml:space="preserve">Timber Development UK (2024) </w:t>
      </w:r>
      <w:r w:rsidRPr="0099460F">
        <w:rPr>
          <w:rStyle w:val="Emphasis"/>
          <w:rFonts w:ascii="Times New Roman" w:hAnsi="Times New Roman" w:cs="Times New Roman"/>
        </w:rPr>
        <w:t>Softwood Import Trends and Market Report</w:t>
      </w:r>
      <w:r w:rsidRPr="0099460F">
        <w:rPr>
          <w:rFonts w:ascii="Times New Roman" w:hAnsi="Times New Roman" w:cs="Times New Roman"/>
        </w:rPr>
        <w:t xml:space="preserve">. Available at: </w:t>
      </w:r>
      <w:r w:rsidRPr="0099460F">
        <w:rPr>
          <w:rFonts w:ascii="Times New Roman" w:hAnsi="Times New Roman" w:cs="Times New Roman"/>
          <w:color w:val="104864" w:themeColor="background2" w:themeShade="40"/>
          <w:u w:val="single"/>
        </w:rPr>
        <w:t>https://www.timberdevelopment.uk</w:t>
      </w:r>
      <w:r w:rsidRPr="0099460F">
        <w:rPr>
          <w:rFonts w:ascii="Times New Roman" w:hAnsi="Times New Roman" w:cs="Times New Roman"/>
          <w:color w:val="104864" w:themeColor="background2" w:themeShade="40"/>
        </w:rPr>
        <w:t xml:space="preserve"> </w:t>
      </w:r>
      <w:r w:rsidRPr="0099460F">
        <w:rPr>
          <w:rFonts w:ascii="Times New Roman" w:hAnsi="Times New Roman" w:cs="Times New Roman"/>
        </w:rPr>
        <w:t xml:space="preserve">(Accessed: </w:t>
      </w:r>
      <w:r w:rsidR="009012B7">
        <w:rPr>
          <w:rFonts w:ascii="Times New Roman" w:hAnsi="Times New Roman" w:cs="Times New Roman"/>
        </w:rPr>
        <w:t>29 Octo</w:t>
      </w:r>
      <w:r w:rsidRPr="0099460F">
        <w:rPr>
          <w:rFonts w:ascii="Times New Roman" w:hAnsi="Times New Roman" w:cs="Times New Roman"/>
        </w:rPr>
        <w:t>ber 2025).</w:t>
      </w:r>
    </w:p>
    <w:p w:rsidR="00A229B3" w:rsidRDefault="00A229B3" w:rsidP="0098623B">
      <w:pPr>
        <w:pStyle w:val="NormalWeb"/>
        <w:jc w:val="both"/>
        <w:rPr>
          <w:rFonts w:ascii="Times New Roman" w:hAnsi="Times New Roman" w:cs="Times New Roman"/>
        </w:rPr>
      </w:pPr>
    </w:p>
    <w:p w:rsidR="0098623B" w:rsidRDefault="00A229B3" w:rsidP="0098623B">
      <w:pPr>
        <w:pStyle w:val="NormalWeb"/>
        <w:numPr>
          <w:ilvl w:val="0"/>
          <w:numId w:val="3"/>
        </w:numPr>
        <w:jc w:val="both"/>
        <w:rPr>
          <w:rFonts w:ascii="Times New Roman" w:hAnsi="Times New Roman" w:cs="Times New Roman"/>
        </w:rPr>
      </w:pPr>
      <w:r w:rsidRPr="00A229B3">
        <w:rPr>
          <w:rFonts w:ascii="Times New Roman" w:hAnsi="Times New Roman" w:cs="Times New Roman"/>
          <w:lang w:val="en-US"/>
        </w:rPr>
        <w:t xml:space="preserve">Timber Development UK (2024) </w:t>
      </w:r>
      <w:r w:rsidRPr="00A229B3">
        <w:rPr>
          <w:rFonts w:ascii="Times New Roman" w:hAnsi="Times New Roman" w:cs="Times New Roman"/>
          <w:i/>
          <w:iCs/>
          <w:lang w:val="en-US"/>
        </w:rPr>
        <w:t>UK Timber Market Statistics and Supply Chain Trends</w:t>
      </w:r>
      <w:r w:rsidRPr="00A229B3">
        <w:rPr>
          <w:rFonts w:ascii="Times New Roman" w:hAnsi="Times New Roman" w:cs="Times New Roman"/>
          <w:lang w:val="en-US"/>
        </w:rPr>
        <w:t xml:space="preserve">. </w:t>
      </w:r>
      <w:r w:rsidR="0098623B" w:rsidRPr="00A229B3">
        <w:rPr>
          <w:rFonts w:ascii="Times New Roman" w:hAnsi="Times New Roman" w:cs="Times New Roman"/>
          <w:lang w:val="en-US"/>
        </w:rPr>
        <w:t>Available</w:t>
      </w:r>
      <w:r w:rsidR="0098623B">
        <w:rPr>
          <w:rFonts w:ascii="Times New Roman" w:hAnsi="Times New Roman" w:cs="Times New Roman"/>
          <w:lang w:val="en-US"/>
        </w:rPr>
        <w:t xml:space="preserve">: </w:t>
      </w:r>
      <w:hyperlink r:id="rId13" w:history="1">
        <w:r w:rsidR="0098623B" w:rsidRPr="004A2236">
          <w:rPr>
            <w:rStyle w:val="Hyperlink"/>
            <w:rFonts w:ascii="Times New Roman" w:hAnsi="Times New Roman" w:cs="Times New Roman"/>
            <w:color w:val="023336" w:themeColor="accent3" w:themeShade="40"/>
            <w:lang w:val="en-US"/>
          </w:rPr>
          <w:t>https://timberdevelopment.uk</w:t>
        </w:r>
      </w:hyperlink>
      <w:r w:rsidRPr="00A229B3">
        <w:rPr>
          <w:rFonts w:ascii="Times New Roman" w:hAnsi="Times New Roman" w:cs="Times New Roman"/>
          <w:lang w:val="en-US"/>
        </w:rPr>
        <w:t xml:space="preserve"> (Accessed: </w:t>
      </w:r>
      <w:r w:rsidR="009012B7">
        <w:rPr>
          <w:rFonts w:ascii="Times New Roman" w:hAnsi="Times New Roman" w:cs="Times New Roman"/>
          <w:lang w:val="en-US"/>
        </w:rPr>
        <w:t>03</w:t>
      </w:r>
      <w:r w:rsidRPr="00A229B3">
        <w:rPr>
          <w:rFonts w:ascii="Times New Roman" w:hAnsi="Times New Roman" w:cs="Times New Roman"/>
          <w:lang w:val="en-US"/>
        </w:rPr>
        <w:t xml:space="preserve"> November 2025).</w:t>
      </w:r>
    </w:p>
    <w:p w:rsidR="0098623B" w:rsidRDefault="0098623B" w:rsidP="0098623B">
      <w:pPr>
        <w:pStyle w:val="ListParagraph"/>
        <w:jc w:val="both"/>
        <w:rPr>
          <w:rFonts w:ascii="Times New Roman" w:hAnsi="Times New Roman" w:cs="Times New Roman"/>
        </w:rPr>
      </w:pPr>
    </w:p>
    <w:p w:rsidR="0098623B" w:rsidRPr="0098623B" w:rsidRDefault="0098623B" w:rsidP="0098623B">
      <w:pPr>
        <w:pStyle w:val="NormalWeb"/>
        <w:numPr>
          <w:ilvl w:val="0"/>
          <w:numId w:val="3"/>
        </w:numPr>
        <w:jc w:val="both"/>
        <w:rPr>
          <w:rFonts w:ascii="Times New Roman" w:hAnsi="Times New Roman" w:cs="Times New Roman"/>
        </w:rPr>
      </w:pPr>
      <w:r w:rsidRPr="0098623B">
        <w:rPr>
          <w:rFonts w:ascii="Times New Roman" w:hAnsi="Times New Roman" w:cs="Times New Roman"/>
          <w:lang w:val="en-US"/>
        </w:rPr>
        <w:t xml:space="preserve">Timber Development UK (2024) </w:t>
      </w:r>
      <w:r w:rsidRPr="0098623B">
        <w:rPr>
          <w:rFonts w:ascii="Times New Roman" w:hAnsi="Times New Roman" w:cs="Times New Roman"/>
          <w:i/>
          <w:iCs/>
          <w:lang w:val="en-US"/>
        </w:rPr>
        <w:t>UK Timber Market Statistics and Supply Chain Trends</w:t>
      </w:r>
      <w:r w:rsidRPr="0098623B">
        <w:rPr>
          <w:rFonts w:ascii="Times New Roman" w:hAnsi="Times New Roman" w:cs="Times New Roman"/>
          <w:lang w:val="en-US"/>
        </w:rPr>
        <w:t>. Available at:</w:t>
      </w:r>
      <w:r w:rsidRPr="0098623B">
        <w:rPr>
          <w:rFonts w:ascii="Times New Roman" w:hAnsi="Times New Roman" w:cs="Times New Roman"/>
          <w:lang w:val="en-US"/>
        </w:rPr>
        <w:br/>
      </w:r>
      <w:hyperlink r:id="rId14" w:tgtFrame="_new" w:history="1">
        <w:r w:rsidRPr="0098623B">
          <w:rPr>
            <w:rStyle w:val="Hyperlink"/>
            <w:rFonts w:ascii="Times New Roman" w:hAnsi="Times New Roman" w:cs="Times New Roman"/>
            <w:color w:val="104864" w:themeColor="background2" w:themeShade="40"/>
            <w:lang w:val="en-US"/>
          </w:rPr>
          <w:t>https://timberdevelopment.uk</w:t>
        </w:r>
      </w:hyperlink>
      <w:r w:rsidRPr="0098623B">
        <w:rPr>
          <w:rFonts w:ascii="Times New Roman" w:hAnsi="Times New Roman" w:cs="Times New Roman"/>
          <w:color w:val="104864" w:themeColor="background2" w:themeShade="40"/>
          <w:u w:val="single"/>
          <w:lang w:val="en-US"/>
        </w:rPr>
        <w:t xml:space="preserve"> </w:t>
      </w:r>
      <w:r w:rsidRPr="0098623B">
        <w:rPr>
          <w:rFonts w:ascii="Times New Roman" w:hAnsi="Times New Roman" w:cs="Times New Roman"/>
          <w:lang w:val="en-US"/>
        </w:rPr>
        <w:t xml:space="preserve">(Accessed: </w:t>
      </w:r>
      <w:r w:rsidR="009012B7">
        <w:rPr>
          <w:rFonts w:ascii="Times New Roman" w:hAnsi="Times New Roman" w:cs="Times New Roman"/>
          <w:lang w:val="en-US"/>
        </w:rPr>
        <w:t>03</w:t>
      </w:r>
      <w:r w:rsidRPr="0098623B">
        <w:rPr>
          <w:rFonts w:ascii="Times New Roman" w:hAnsi="Times New Roman" w:cs="Times New Roman"/>
          <w:lang w:val="en-US"/>
        </w:rPr>
        <w:t xml:space="preserve"> November 2025).</w:t>
      </w:r>
    </w:p>
    <w:p w:rsidR="0098623B" w:rsidRPr="0098623B" w:rsidRDefault="0098623B" w:rsidP="0098623B">
      <w:pPr>
        <w:pStyle w:val="NormalWeb"/>
        <w:jc w:val="both"/>
        <w:rPr>
          <w:rFonts w:ascii="Times New Roman" w:hAnsi="Times New Roman" w:cs="Times New Roman"/>
        </w:rPr>
      </w:pPr>
    </w:p>
    <w:p w:rsidR="00A229B3" w:rsidRPr="0098623B" w:rsidRDefault="0098623B" w:rsidP="0098623B">
      <w:pPr>
        <w:pStyle w:val="NormalWeb"/>
        <w:numPr>
          <w:ilvl w:val="0"/>
          <w:numId w:val="3"/>
        </w:numPr>
        <w:jc w:val="both"/>
        <w:rPr>
          <w:rFonts w:ascii="Times New Roman" w:hAnsi="Times New Roman" w:cs="Times New Roman"/>
        </w:rPr>
      </w:pPr>
      <w:r w:rsidRPr="0098623B">
        <w:rPr>
          <w:rFonts w:ascii="Times New Roman" w:hAnsi="Times New Roman" w:cs="Times New Roman"/>
          <w:lang w:val="en-US"/>
        </w:rPr>
        <w:t xml:space="preserve">Department for Business &amp; Trade (2024) </w:t>
      </w:r>
      <w:r w:rsidRPr="0098623B">
        <w:rPr>
          <w:rFonts w:ascii="Times New Roman" w:hAnsi="Times New Roman" w:cs="Times New Roman"/>
          <w:i/>
          <w:iCs/>
          <w:lang w:val="en-US"/>
        </w:rPr>
        <w:t>UK Border Target Operating Model: Import Requirements</w:t>
      </w:r>
      <w:r w:rsidRPr="0098623B">
        <w:rPr>
          <w:rFonts w:ascii="Times New Roman" w:hAnsi="Times New Roman" w:cs="Times New Roman"/>
          <w:lang w:val="en-US"/>
        </w:rPr>
        <w:t>. Available at:</w:t>
      </w:r>
      <w:r w:rsidRPr="0098623B">
        <w:rPr>
          <w:rFonts w:ascii="Times New Roman" w:hAnsi="Times New Roman" w:cs="Times New Roman"/>
          <w:lang w:val="en-US"/>
        </w:rPr>
        <w:br/>
      </w:r>
      <w:hyperlink r:id="rId15" w:tgtFrame="_new" w:history="1">
        <w:r w:rsidRPr="0098623B">
          <w:rPr>
            <w:rStyle w:val="Hyperlink"/>
            <w:rFonts w:ascii="Times New Roman" w:hAnsi="Times New Roman" w:cs="Times New Roman"/>
            <w:color w:val="104864" w:themeColor="background2" w:themeShade="40"/>
            <w:lang w:val="en-US"/>
          </w:rPr>
          <w:t>https://www.gov.uk/government/publications/the-border-target-operating-model-august-2023</w:t>
        </w:r>
      </w:hyperlink>
      <w:r w:rsidRPr="0098623B">
        <w:rPr>
          <w:rFonts w:ascii="Times New Roman" w:hAnsi="Times New Roman" w:cs="Times New Roman"/>
          <w:color w:val="104864" w:themeColor="background2" w:themeShade="40"/>
          <w:lang w:val="en-US"/>
        </w:rPr>
        <w:t xml:space="preserve"> </w:t>
      </w:r>
      <w:r w:rsidRPr="0098623B">
        <w:rPr>
          <w:rFonts w:ascii="Times New Roman" w:hAnsi="Times New Roman" w:cs="Times New Roman"/>
          <w:lang w:val="en-US"/>
        </w:rPr>
        <w:t xml:space="preserve">(Accessed: </w:t>
      </w:r>
      <w:r w:rsidR="009012B7">
        <w:rPr>
          <w:rFonts w:ascii="Times New Roman" w:hAnsi="Times New Roman" w:cs="Times New Roman"/>
          <w:lang w:val="en-US"/>
        </w:rPr>
        <w:t>05</w:t>
      </w:r>
      <w:r w:rsidRPr="0098623B">
        <w:rPr>
          <w:rFonts w:ascii="Times New Roman" w:hAnsi="Times New Roman" w:cs="Times New Roman"/>
          <w:lang w:val="en-US"/>
        </w:rPr>
        <w:t xml:space="preserve"> November 2025).</w:t>
      </w:r>
    </w:p>
    <w:p w:rsidR="0098623B" w:rsidRDefault="0098623B" w:rsidP="0098623B">
      <w:pPr>
        <w:pStyle w:val="ListParagraph"/>
        <w:jc w:val="both"/>
        <w:rPr>
          <w:rFonts w:ascii="Times New Roman" w:hAnsi="Times New Roman" w:cs="Times New Roman"/>
        </w:rPr>
      </w:pPr>
    </w:p>
    <w:p w:rsidR="0098623B" w:rsidRPr="00A229B3" w:rsidRDefault="0098623B" w:rsidP="0098623B">
      <w:pPr>
        <w:pStyle w:val="NormalWeb"/>
        <w:numPr>
          <w:ilvl w:val="0"/>
          <w:numId w:val="3"/>
        </w:numPr>
        <w:jc w:val="both"/>
        <w:rPr>
          <w:rFonts w:ascii="Times New Roman" w:hAnsi="Times New Roman" w:cs="Times New Roman"/>
        </w:rPr>
      </w:pPr>
      <w:r w:rsidRPr="0098623B">
        <w:rPr>
          <w:rFonts w:ascii="Times New Roman" w:hAnsi="Times New Roman" w:cs="Times New Roman"/>
          <w:lang w:val="en-US"/>
        </w:rPr>
        <w:t xml:space="preserve">Department for Transport (2024) </w:t>
      </w:r>
      <w:r w:rsidRPr="0098623B">
        <w:rPr>
          <w:rFonts w:ascii="Times New Roman" w:hAnsi="Times New Roman" w:cs="Times New Roman"/>
          <w:i/>
          <w:iCs/>
          <w:lang w:val="en-US"/>
        </w:rPr>
        <w:t>Future of Freight: Logistics and Transport Efficiency Report</w:t>
      </w:r>
      <w:r w:rsidRPr="0098623B">
        <w:rPr>
          <w:rFonts w:ascii="Times New Roman" w:hAnsi="Times New Roman" w:cs="Times New Roman"/>
          <w:lang w:val="en-US"/>
        </w:rPr>
        <w:t>. Available at:</w:t>
      </w:r>
      <w:r w:rsidRPr="0098623B">
        <w:rPr>
          <w:rFonts w:ascii="Times New Roman" w:hAnsi="Times New Roman" w:cs="Times New Roman"/>
          <w:lang w:val="en-US"/>
        </w:rPr>
        <w:br/>
      </w:r>
      <w:r w:rsidRPr="0098623B">
        <w:rPr>
          <w:rFonts w:ascii="Times New Roman" w:hAnsi="Times New Roman" w:cs="Times New Roman"/>
          <w:color w:val="104864" w:themeColor="background2" w:themeShade="40"/>
          <w:u w:val="single"/>
          <w:lang w:val="en-US"/>
        </w:rPr>
        <w:t>https://www.gov.uk/government/publications/future-of-freight</w:t>
      </w:r>
      <w:r w:rsidRPr="0098623B">
        <w:rPr>
          <w:rFonts w:ascii="Times New Roman" w:hAnsi="Times New Roman" w:cs="Times New Roman"/>
          <w:color w:val="104864" w:themeColor="background2" w:themeShade="40"/>
          <w:lang w:val="en-US"/>
        </w:rPr>
        <w:t xml:space="preserve"> </w:t>
      </w:r>
      <w:r w:rsidRPr="0098623B">
        <w:rPr>
          <w:rFonts w:ascii="Times New Roman" w:hAnsi="Times New Roman" w:cs="Times New Roman"/>
          <w:lang w:val="en-US"/>
        </w:rPr>
        <w:t xml:space="preserve">(Accessed: </w:t>
      </w:r>
      <w:r w:rsidR="009012B7">
        <w:rPr>
          <w:rFonts w:ascii="Times New Roman" w:hAnsi="Times New Roman" w:cs="Times New Roman"/>
          <w:lang w:val="en-US"/>
        </w:rPr>
        <w:t>07</w:t>
      </w:r>
      <w:r w:rsidRPr="0098623B">
        <w:rPr>
          <w:rFonts w:ascii="Times New Roman" w:hAnsi="Times New Roman" w:cs="Times New Roman"/>
          <w:lang w:val="en-US"/>
        </w:rPr>
        <w:t xml:space="preserve"> November 2025).</w:t>
      </w:r>
    </w:p>
    <w:sectPr w:rsidR="0098623B" w:rsidRPr="00A229B3">
      <w:headerReference w:type="default" r:id="rId16"/>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1EA6" w:rsidRDefault="002D1EA6">
      <w:pPr>
        <w:spacing w:line="240" w:lineRule="auto"/>
      </w:pPr>
      <w:r>
        <w:separator/>
      </w:r>
    </w:p>
  </w:endnote>
  <w:endnote w:type="continuationSeparator" w:id="0">
    <w:p w:rsidR="002D1EA6" w:rsidRDefault="002D1E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rsidR="008C1C1A" w:rsidRDefault="00000000">
        <w:pPr>
          <w:pStyle w:val="Footer"/>
        </w:pPr>
        <w:r>
          <w:fldChar w:fldCharType="begin"/>
        </w:r>
        <w:r>
          <w:instrText xml:space="preserve"> PAGE   \* MERGEFORMAT </w:instrText>
        </w:r>
        <w:r>
          <w:fldChar w:fldCharType="separate"/>
        </w:r>
        <w:r>
          <w:t>2</w:t>
        </w:r>
        <w:r>
          <w:fldChar w:fldCharType="end"/>
        </w:r>
      </w:p>
    </w:sdtContent>
  </w:sdt>
  <w:p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1EA6" w:rsidRDefault="002D1EA6">
      <w:pPr>
        <w:spacing w:after="0"/>
      </w:pPr>
      <w:r>
        <w:separator/>
      </w:r>
    </w:p>
  </w:footnote>
  <w:footnote w:type="continuationSeparator" w:id="0">
    <w:p w:rsidR="002D1EA6" w:rsidRDefault="002D1EA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C1C1A" w:rsidRDefault="00000000">
    <w:pPr>
      <w:pStyle w:val="Header"/>
      <w:jc w:val="right"/>
    </w:pPr>
    <w:r>
      <w:t xml:space="preserve">                                                   ACHA 7024 - 2505418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2"/>
  </w:num>
  <w:num w:numId="4" w16cid:durableId="16070326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E23"/>
    <w:rsid w:val="00007984"/>
    <w:rsid w:val="00014357"/>
    <w:rsid w:val="00014F72"/>
    <w:rsid w:val="0001532D"/>
    <w:rsid w:val="00020D77"/>
    <w:rsid w:val="00026F27"/>
    <w:rsid w:val="00043D2D"/>
    <w:rsid w:val="0004657C"/>
    <w:rsid w:val="0005054D"/>
    <w:rsid w:val="00052F5D"/>
    <w:rsid w:val="000621EB"/>
    <w:rsid w:val="0008592B"/>
    <w:rsid w:val="00092484"/>
    <w:rsid w:val="000A20B4"/>
    <w:rsid w:val="000A4704"/>
    <w:rsid w:val="000A7363"/>
    <w:rsid w:val="000B7126"/>
    <w:rsid w:val="000D2E4B"/>
    <w:rsid w:val="000E0DB8"/>
    <w:rsid w:val="000F3066"/>
    <w:rsid w:val="001101BA"/>
    <w:rsid w:val="001156E3"/>
    <w:rsid w:val="0011664A"/>
    <w:rsid w:val="00121A33"/>
    <w:rsid w:val="00144166"/>
    <w:rsid w:val="001460A4"/>
    <w:rsid w:val="00164E8B"/>
    <w:rsid w:val="001847BE"/>
    <w:rsid w:val="00184AD9"/>
    <w:rsid w:val="001B54F3"/>
    <w:rsid w:val="001D04C4"/>
    <w:rsid w:val="001F65E4"/>
    <w:rsid w:val="00202273"/>
    <w:rsid w:val="00202809"/>
    <w:rsid w:val="0021235B"/>
    <w:rsid w:val="00216412"/>
    <w:rsid w:val="00245271"/>
    <w:rsid w:val="00245818"/>
    <w:rsid w:val="00245C95"/>
    <w:rsid w:val="00251FEC"/>
    <w:rsid w:val="002554CD"/>
    <w:rsid w:val="00255AD2"/>
    <w:rsid w:val="00255AFD"/>
    <w:rsid w:val="00255B91"/>
    <w:rsid w:val="00265133"/>
    <w:rsid w:val="00275078"/>
    <w:rsid w:val="0027628E"/>
    <w:rsid w:val="00276509"/>
    <w:rsid w:val="00290C6C"/>
    <w:rsid w:val="00293B83"/>
    <w:rsid w:val="00294D25"/>
    <w:rsid w:val="002B0476"/>
    <w:rsid w:val="002B0DD2"/>
    <w:rsid w:val="002B4294"/>
    <w:rsid w:val="002B49AC"/>
    <w:rsid w:val="002C6335"/>
    <w:rsid w:val="002C6E43"/>
    <w:rsid w:val="002D1EA6"/>
    <w:rsid w:val="002D4AF3"/>
    <w:rsid w:val="002D51C4"/>
    <w:rsid w:val="002D6FAF"/>
    <w:rsid w:val="002E2542"/>
    <w:rsid w:val="002E62CD"/>
    <w:rsid w:val="002F3F16"/>
    <w:rsid w:val="002F5617"/>
    <w:rsid w:val="003148E8"/>
    <w:rsid w:val="00333D0D"/>
    <w:rsid w:val="00346EDE"/>
    <w:rsid w:val="0036385D"/>
    <w:rsid w:val="003831EA"/>
    <w:rsid w:val="003857D3"/>
    <w:rsid w:val="00391818"/>
    <w:rsid w:val="00397B56"/>
    <w:rsid w:val="003A16C4"/>
    <w:rsid w:val="003A3D6F"/>
    <w:rsid w:val="003B688B"/>
    <w:rsid w:val="003C54CF"/>
    <w:rsid w:val="003C6E4B"/>
    <w:rsid w:val="003D3406"/>
    <w:rsid w:val="003D48A4"/>
    <w:rsid w:val="003D5655"/>
    <w:rsid w:val="003E59B9"/>
    <w:rsid w:val="003E6E7D"/>
    <w:rsid w:val="003F667A"/>
    <w:rsid w:val="00401F44"/>
    <w:rsid w:val="00407E92"/>
    <w:rsid w:val="00416F00"/>
    <w:rsid w:val="0042003D"/>
    <w:rsid w:val="00422EBC"/>
    <w:rsid w:val="00442B4B"/>
    <w:rsid w:val="00444527"/>
    <w:rsid w:val="00446171"/>
    <w:rsid w:val="0045693D"/>
    <w:rsid w:val="0046446C"/>
    <w:rsid w:val="00465547"/>
    <w:rsid w:val="0047493A"/>
    <w:rsid w:val="00480077"/>
    <w:rsid w:val="004904DA"/>
    <w:rsid w:val="004A0B3B"/>
    <w:rsid w:val="004B1EE3"/>
    <w:rsid w:val="004B2397"/>
    <w:rsid w:val="004B3A91"/>
    <w:rsid w:val="004B6E9A"/>
    <w:rsid w:val="004C049F"/>
    <w:rsid w:val="004C640A"/>
    <w:rsid w:val="004E167C"/>
    <w:rsid w:val="004F44B2"/>
    <w:rsid w:val="005000E2"/>
    <w:rsid w:val="0050645C"/>
    <w:rsid w:val="00512C96"/>
    <w:rsid w:val="00515A88"/>
    <w:rsid w:val="00536F91"/>
    <w:rsid w:val="00544C0F"/>
    <w:rsid w:val="0055362B"/>
    <w:rsid w:val="00555862"/>
    <w:rsid w:val="00561C7F"/>
    <w:rsid w:val="00571584"/>
    <w:rsid w:val="0057511C"/>
    <w:rsid w:val="005862C9"/>
    <w:rsid w:val="005A3621"/>
    <w:rsid w:val="005C77D0"/>
    <w:rsid w:val="005E5911"/>
    <w:rsid w:val="005E61B1"/>
    <w:rsid w:val="005E6DC0"/>
    <w:rsid w:val="005F5981"/>
    <w:rsid w:val="00605FCF"/>
    <w:rsid w:val="00611511"/>
    <w:rsid w:val="006176B9"/>
    <w:rsid w:val="00626A31"/>
    <w:rsid w:val="00631CBB"/>
    <w:rsid w:val="00634DF4"/>
    <w:rsid w:val="006456CD"/>
    <w:rsid w:val="00646659"/>
    <w:rsid w:val="006472F4"/>
    <w:rsid w:val="0065036D"/>
    <w:rsid w:val="0065037D"/>
    <w:rsid w:val="006539C2"/>
    <w:rsid w:val="0066454F"/>
    <w:rsid w:val="00667384"/>
    <w:rsid w:val="006833C2"/>
    <w:rsid w:val="006963D5"/>
    <w:rsid w:val="006A3CE7"/>
    <w:rsid w:val="006B09D8"/>
    <w:rsid w:val="006B2EDF"/>
    <w:rsid w:val="006B3650"/>
    <w:rsid w:val="006B5373"/>
    <w:rsid w:val="006B78D1"/>
    <w:rsid w:val="006C0FAD"/>
    <w:rsid w:val="006D295D"/>
    <w:rsid w:val="006E0630"/>
    <w:rsid w:val="006E0AB9"/>
    <w:rsid w:val="006E3B7B"/>
    <w:rsid w:val="006E48DF"/>
    <w:rsid w:val="006F0B22"/>
    <w:rsid w:val="006F41EB"/>
    <w:rsid w:val="00702608"/>
    <w:rsid w:val="0070704A"/>
    <w:rsid w:val="007145CF"/>
    <w:rsid w:val="00715909"/>
    <w:rsid w:val="00767A74"/>
    <w:rsid w:val="0077604C"/>
    <w:rsid w:val="0077730D"/>
    <w:rsid w:val="00791F71"/>
    <w:rsid w:val="00796166"/>
    <w:rsid w:val="00796C2B"/>
    <w:rsid w:val="007B0B2F"/>
    <w:rsid w:val="007B20ED"/>
    <w:rsid w:val="007B297D"/>
    <w:rsid w:val="007E560F"/>
    <w:rsid w:val="007E705C"/>
    <w:rsid w:val="008158CD"/>
    <w:rsid w:val="008159D5"/>
    <w:rsid w:val="008275CC"/>
    <w:rsid w:val="00845701"/>
    <w:rsid w:val="00864FB2"/>
    <w:rsid w:val="0087201D"/>
    <w:rsid w:val="008824C7"/>
    <w:rsid w:val="008A709A"/>
    <w:rsid w:val="008C1C1A"/>
    <w:rsid w:val="008D0D78"/>
    <w:rsid w:val="008D766D"/>
    <w:rsid w:val="008E20AE"/>
    <w:rsid w:val="008E46B4"/>
    <w:rsid w:val="009012B7"/>
    <w:rsid w:val="0090285A"/>
    <w:rsid w:val="00915B0C"/>
    <w:rsid w:val="00916690"/>
    <w:rsid w:val="0092042A"/>
    <w:rsid w:val="0093083E"/>
    <w:rsid w:val="00936398"/>
    <w:rsid w:val="00944A97"/>
    <w:rsid w:val="0094609F"/>
    <w:rsid w:val="00955301"/>
    <w:rsid w:val="00956322"/>
    <w:rsid w:val="0096442E"/>
    <w:rsid w:val="0096506C"/>
    <w:rsid w:val="00965C17"/>
    <w:rsid w:val="00980384"/>
    <w:rsid w:val="00983501"/>
    <w:rsid w:val="00984E7B"/>
    <w:rsid w:val="0098623B"/>
    <w:rsid w:val="0098635B"/>
    <w:rsid w:val="00986939"/>
    <w:rsid w:val="00993468"/>
    <w:rsid w:val="0099460F"/>
    <w:rsid w:val="009A23EF"/>
    <w:rsid w:val="009A2607"/>
    <w:rsid w:val="009A2A89"/>
    <w:rsid w:val="009B1294"/>
    <w:rsid w:val="009D0723"/>
    <w:rsid w:val="009D3789"/>
    <w:rsid w:val="009D56F7"/>
    <w:rsid w:val="009E528B"/>
    <w:rsid w:val="009F7FF2"/>
    <w:rsid w:val="00A06140"/>
    <w:rsid w:val="00A229B3"/>
    <w:rsid w:val="00A2692C"/>
    <w:rsid w:val="00A314A6"/>
    <w:rsid w:val="00A45ECD"/>
    <w:rsid w:val="00A46161"/>
    <w:rsid w:val="00A5157B"/>
    <w:rsid w:val="00A64713"/>
    <w:rsid w:val="00A7692F"/>
    <w:rsid w:val="00A77B95"/>
    <w:rsid w:val="00A83708"/>
    <w:rsid w:val="00AA083E"/>
    <w:rsid w:val="00AA3C3C"/>
    <w:rsid w:val="00AA3D60"/>
    <w:rsid w:val="00AB1810"/>
    <w:rsid w:val="00AB5524"/>
    <w:rsid w:val="00AF0D35"/>
    <w:rsid w:val="00B16B81"/>
    <w:rsid w:val="00B16EB6"/>
    <w:rsid w:val="00B200C9"/>
    <w:rsid w:val="00B24767"/>
    <w:rsid w:val="00B24A49"/>
    <w:rsid w:val="00B30F7E"/>
    <w:rsid w:val="00B36D91"/>
    <w:rsid w:val="00B4136F"/>
    <w:rsid w:val="00B421BF"/>
    <w:rsid w:val="00B46B7B"/>
    <w:rsid w:val="00B53E12"/>
    <w:rsid w:val="00B648DB"/>
    <w:rsid w:val="00B66195"/>
    <w:rsid w:val="00B701A7"/>
    <w:rsid w:val="00B734D0"/>
    <w:rsid w:val="00BA08B5"/>
    <w:rsid w:val="00BA20AA"/>
    <w:rsid w:val="00BC555D"/>
    <w:rsid w:val="00BD2EF6"/>
    <w:rsid w:val="00BD5AAD"/>
    <w:rsid w:val="00BD5C22"/>
    <w:rsid w:val="00BF4357"/>
    <w:rsid w:val="00C12853"/>
    <w:rsid w:val="00C12C91"/>
    <w:rsid w:val="00C1422D"/>
    <w:rsid w:val="00C16DDC"/>
    <w:rsid w:val="00C23531"/>
    <w:rsid w:val="00C572EF"/>
    <w:rsid w:val="00C621E0"/>
    <w:rsid w:val="00C6243A"/>
    <w:rsid w:val="00C6554A"/>
    <w:rsid w:val="00C836D3"/>
    <w:rsid w:val="00C84FB1"/>
    <w:rsid w:val="00CA1B42"/>
    <w:rsid w:val="00CA235D"/>
    <w:rsid w:val="00CA7512"/>
    <w:rsid w:val="00CC1A85"/>
    <w:rsid w:val="00CD3D72"/>
    <w:rsid w:val="00CD7B3F"/>
    <w:rsid w:val="00CF2971"/>
    <w:rsid w:val="00CF647B"/>
    <w:rsid w:val="00D1204A"/>
    <w:rsid w:val="00D13778"/>
    <w:rsid w:val="00D44259"/>
    <w:rsid w:val="00D47EE9"/>
    <w:rsid w:val="00D568F3"/>
    <w:rsid w:val="00D60343"/>
    <w:rsid w:val="00D6619D"/>
    <w:rsid w:val="00D6710C"/>
    <w:rsid w:val="00D80FE0"/>
    <w:rsid w:val="00D83215"/>
    <w:rsid w:val="00D903E5"/>
    <w:rsid w:val="00D93EDF"/>
    <w:rsid w:val="00DB016E"/>
    <w:rsid w:val="00DC0B2A"/>
    <w:rsid w:val="00DC6081"/>
    <w:rsid w:val="00DD114B"/>
    <w:rsid w:val="00DD1BC4"/>
    <w:rsid w:val="00DD3D79"/>
    <w:rsid w:val="00E00056"/>
    <w:rsid w:val="00E077D3"/>
    <w:rsid w:val="00E10B6C"/>
    <w:rsid w:val="00E1216D"/>
    <w:rsid w:val="00E1447D"/>
    <w:rsid w:val="00E2376A"/>
    <w:rsid w:val="00E26EC1"/>
    <w:rsid w:val="00E336B7"/>
    <w:rsid w:val="00E36A62"/>
    <w:rsid w:val="00E42C14"/>
    <w:rsid w:val="00E62229"/>
    <w:rsid w:val="00E773C3"/>
    <w:rsid w:val="00E8700F"/>
    <w:rsid w:val="00E95C5C"/>
    <w:rsid w:val="00EA13DE"/>
    <w:rsid w:val="00EC4041"/>
    <w:rsid w:val="00EC5561"/>
    <w:rsid w:val="00ED7C44"/>
    <w:rsid w:val="00EE2503"/>
    <w:rsid w:val="00EE56D0"/>
    <w:rsid w:val="00F03A96"/>
    <w:rsid w:val="00F1288E"/>
    <w:rsid w:val="00F13993"/>
    <w:rsid w:val="00F16BA0"/>
    <w:rsid w:val="00F24E2D"/>
    <w:rsid w:val="00F36775"/>
    <w:rsid w:val="00F37754"/>
    <w:rsid w:val="00F54504"/>
    <w:rsid w:val="00F66BD9"/>
    <w:rsid w:val="00F71CE9"/>
    <w:rsid w:val="00F941A0"/>
    <w:rsid w:val="00FB7149"/>
    <w:rsid w:val="00FC0446"/>
    <w:rsid w:val="00FC1001"/>
    <w:rsid w:val="00FC2164"/>
    <w:rsid w:val="00FC791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2D477144"/>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imberdevelopment.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ortoffelixstowe.co.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hathamhouse.org" TargetMode="External"/><Relationship Id="rId5" Type="http://schemas.openxmlformats.org/officeDocument/2006/relationships/settings" Target="settings.xml"/><Relationship Id="rId15" Type="http://schemas.openxmlformats.org/officeDocument/2006/relationships/hyperlink" Target="https://www.gov.uk/government/publications/the-border-target-operating-model-august-2023" TargetMode="External"/><Relationship Id="rId10" Type="http://schemas.openxmlformats.org/officeDocument/2006/relationships/hyperlink" Target="https://www.forestresearch.gov.uk/tools-and-resources/statistic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doi.org/10.1093/oxfordhb/9780190066727.013.40" TargetMode="External"/><Relationship Id="rId14" Type="http://schemas.openxmlformats.org/officeDocument/2006/relationships/hyperlink" Target="https://timberdevelopment.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3228</TotalTime>
  <Pages>16</Pages>
  <Words>3642</Words>
  <Characters>20763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PROCUREMENT AND SUPPLY CHAIN MANAGEMENT</vt:lpstr>
    </vt:vector>
  </TitlesOfParts>
  <Company/>
  <LinksUpToDate>false</LinksUpToDate>
  <CharactersWithSpaces>24357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AND SUPPLY CHAIN MANAGEMENT</dc:title>
  <dc:creator>smit prajapati</dc:creator>
  <cp:lastModifiedBy>smeet prajapati</cp:lastModifiedBy>
  <cp:revision>52</cp:revision>
  <dcterms:created xsi:type="dcterms:W3CDTF">2025-11-02T13:11:00Z</dcterms:created>
  <dcterms:modified xsi:type="dcterms:W3CDTF">2025-11-19T18:58:00Z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