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E0CB5" w14:textId="1078F803" w:rsidR="0020297D" w:rsidRPr="00971C1A" w:rsidRDefault="00AC4593" w:rsidP="00971C1A">
      <w:pPr>
        <w:spacing w:line="360" w:lineRule="auto"/>
        <w:jc w:val="center"/>
        <w:rPr>
          <w:rFonts w:ascii="Arial" w:hAnsi="Arial" w:cs="Arial"/>
          <w:b/>
          <w:bCs/>
          <w:sz w:val="36"/>
          <w:szCs w:val="36"/>
          <w:shd w:val="clear" w:color="auto" w:fill="FFFFFF"/>
        </w:rPr>
      </w:pPr>
      <w:r w:rsidRPr="00971C1A">
        <w:rPr>
          <w:rFonts w:ascii="Arial" w:hAnsi="Arial" w:cs="Arial"/>
          <w:b/>
          <w:bCs/>
          <w:sz w:val="36"/>
          <w:szCs w:val="36"/>
          <w:shd w:val="clear" w:color="auto" w:fill="FFFFFF"/>
        </w:rPr>
        <w:t xml:space="preserve">The </w:t>
      </w:r>
      <w:r w:rsidR="0020297D" w:rsidRPr="00971C1A">
        <w:rPr>
          <w:rFonts w:ascii="Arial" w:hAnsi="Arial" w:cs="Arial"/>
          <w:b/>
          <w:bCs/>
          <w:sz w:val="36"/>
          <w:szCs w:val="36"/>
          <w:shd w:val="clear" w:color="auto" w:fill="FFFFFF"/>
        </w:rPr>
        <w:t>Legal Process</w:t>
      </w:r>
      <w:r w:rsidRPr="00971C1A">
        <w:rPr>
          <w:rFonts w:ascii="Arial" w:hAnsi="Arial" w:cs="Arial"/>
          <w:b/>
          <w:bCs/>
          <w:sz w:val="36"/>
          <w:szCs w:val="36"/>
          <w:shd w:val="clear" w:color="auto" w:fill="FFFFFF"/>
        </w:rPr>
        <w:t xml:space="preserve"> Essay</w:t>
      </w:r>
    </w:p>
    <w:p w14:paraId="0BCF3C2C" w14:textId="77777777" w:rsidR="00F8293F" w:rsidRPr="00971C1A" w:rsidRDefault="00F8293F" w:rsidP="00971C1A">
      <w:pPr>
        <w:spacing w:line="360" w:lineRule="auto"/>
        <w:jc w:val="center"/>
        <w:rPr>
          <w:rFonts w:ascii="Arial" w:hAnsi="Arial" w:cs="Arial"/>
          <w:b/>
          <w:bCs/>
          <w:sz w:val="36"/>
          <w:szCs w:val="36"/>
          <w:shd w:val="clear" w:color="auto" w:fill="FFFFFF"/>
        </w:rPr>
      </w:pPr>
    </w:p>
    <w:p w14:paraId="26D1E6A6" w14:textId="325534D6" w:rsidR="0020297D" w:rsidRPr="00971C1A" w:rsidRDefault="00F8293F" w:rsidP="00971C1A">
      <w:pPr>
        <w:spacing w:line="360" w:lineRule="auto"/>
        <w:jc w:val="center"/>
        <w:rPr>
          <w:rStyle w:val="eop"/>
          <w:rFonts w:ascii="Arial" w:hAnsi="Arial" w:cs="Arial"/>
          <w:sz w:val="36"/>
          <w:szCs w:val="36"/>
          <w:shd w:val="clear" w:color="auto" w:fill="FFFFFF"/>
        </w:rPr>
      </w:pPr>
      <w:r w:rsidRPr="00971C1A">
        <w:rPr>
          <w:rStyle w:val="normaltextrun"/>
          <w:rFonts w:ascii="Arial" w:hAnsi="Arial" w:cs="Arial"/>
          <w:b/>
          <w:bCs/>
          <w:sz w:val="36"/>
          <w:szCs w:val="36"/>
          <w:shd w:val="clear" w:color="auto" w:fill="FFFFFF"/>
        </w:rPr>
        <w:t>BMPL4005, BMLW4006</w:t>
      </w:r>
    </w:p>
    <w:p w14:paraId="571F7D38" w14:textId="77777777" w:rsidR="00F8293F" w:rsidRPr="00971C1A" w:rsidRDefault="00F8293F" w:rsidP="00971C1A">
      <w:pPr>
        <w:spacing w:line="360" w:lineRule="auto"/>
        <w:jc w:val="center"/>
        <w:rPr>
          <w:rFonts w:ascii="Arial" w:hAnsi="Arial" w:cs="Arial"/>
          <w:b/>
          <w:bCs/>
          <w:sz w:val="36"/>
          <w:szCs w:val="36"/>
          <w:shd w:val="clear" w:color="auto" w:fill="FFFFFF"/>
        </w:rPr>
      </w:pPr>
    </w:p>
    <w:p w14:paraId="318AE78A" w14:textId="77777777" w:rsidR="007025F7" w:rsidRDefault="007025F7" w:rsidP="00971C1A">
      <w:pPr>
        <w:spacing w:line="360" w:lineRule="auto"/>
        <w:jc w:val="center"/>
        <w:rPr>
          <w:rFonts w:ascii="Arial" w:hAnsi="Arial" w:cs="Arial"/>
          <w:b/>
          <w:bCs/>
          <w:sz w:val="36"/>
          <w:szCs w:val="36"/>
          <w:shd w:val="clear" w:color="auto" w:fill="FFFFFF"/>
        </w:rPr>
      </w:pPr>
    </w:p>
    <w:p w14:paraId="3C15CB5A" w14:textId="77777777" w:rsidR="007025F7" w:rsidRDefault="007025F7" w:rsidP="00971C1A">
      <w:pPr>
        <w:spacing w:line="360" w:lineRule="auto"/>
        <w:jc w:val="center"/>
        <w:rPr>
          <w:rFonts w:ascii="Arial" w:hAnsi="Arial" w:cs="Arial"/>
          <w:b/>
          <w:bCs/>
          <w:sz w:val="36"/>
          <w:szCs w:val="36"/>
          <w:shd w:val="clear" w:color="auto" w:fill="FFFFFF"/>
        </w:rPr>
      </w:pPr>
    </w:p>
    <w:p w14:paraId="1BC25357" w14:textId="5020BE13" w:rsidR="0020297D" w:rsidRDefault="00AC4593" w:rsidP="007025F7">
      <w:pPr>
        <w:spacing w:line="360" w:lineRule="auto"/>
        <w:jc w:val="center"/>
        <w:rPr>
          <w:rFonts w:ascii="Arial" w:hAnsi="Arial" w:cs="Arial"/>
          <w:b/>
          <w:bCs/>
          <w:sz w:val="36"/>
          <w:szCs w:val="36"/>
          <w:shd w:val="clear" w:color="auto" w:fill="FFFFFF"/>
        </w:rPr>
      </w:pPr>
      <w:r w:rsidRPr="00971C1A">
        <w:rPr>
          <w:rFonts w:ascii="Arial" w:hAnsi="Arial" w:cs="Arial"/>
          <w:b/>
          <w:bCs/>
          <w:sz w:val="36"/>
          <w:szCs w:val="36"/>
          <w:shd w:val="clear" w:color="auto" w:fill="FFFFFF"/>
        </w:rPr>
        <w:t xml:space="preserve">Student </w:t>
      </w:r>
      <w:r w:rsidR="0020297D" w:rsidRPr="00971C1A">
        <w:rPr>
          <w:rFonts w:ascii="Arial" w:hAnsi="Arial" w:cs="Arial"/>
          <w:b/>
          <w:bCs/>
          <w:sz w:val="36"/>
          <w:szCs w:val="36"/>
          <w:shd w:val="clear" w:color="auto" w:fill="FFFFFF"/>
        </w:rPr>
        <w:t>I</w:t>
      </w:r>
      <w:r w:rsidRPr="00971C1A">
        <w:rPr>
          <w:rFonts w:ascii="Arial" w:hAnsi="Arial" w:cs="Arial"/>
          <w:b/>
          <w:bCs/>
          <w:sz w:val="36"/>
          <w:szCs w:val="36"/>
          <w:shd w:val="clear" w:color="auto" w:fill="FFFFFF"/>
        </w:rPr>
        <w:t>D:</w:t>
      </w:r>
      <w:r w:rsidR="007025F7">
        <w:rPr>
          <w:rFonts w:ascii="Arial" w:hAnsi="Arial" w:cs="Arial"/>
          <w:b/>
          <w:bCs/>
          <w:sz w:val="36"/>
          <w:szCs w:val="36"/>
          <w:shd w:val="clear" w:color="auto" w:fill="FFFFFF"/>
        </w:rPr>
        <w:t>2224513</w:t>
      </w:r>
    </w:p>
    <w:p w14:paraId="3BD6B7C9" w14:textId="0C013BF6" w:rsidR="007025F7" w:rsidRPr="00971C1A" w:rsidRDefault="007025F7" w:rsidP="007025F7">
      <w:pPr>
        <w:spacing w:line="360" w:lineRule="auto"/>
        <w:jc w:val="center"/>
        <w:rPr>
          <w:rFonts w:ascii="Arial" w:hAnsi="Arial" w:cs="Arial"/>
          <w:b/>
          <w:bCs/>
          <w:sz w:val="36"/>
          <w:szCs w:val="36"/>
          <w:shd w:val="clear" w:color="auto" w:fill="FFFFFF"/>
        </w:rPr>
      </w:pPr>
      <w:r>
        <w:rPr>
          <w:rFonts w:ascii="Arial" w:hAnsi="Arial" w:cs="Arial"/>
          <w:b/>
          <w:bCs/>
          <w:sz w:val="36"/>
          <w:szCs w:val="36"/>
          <w:shd w:val="clear" w:color="auto" w:fill="FFFFFF"/>
        </w:rPr>
        <w:t xml:space="preserve">Student </w:t>
      </w:r>
      <w:proofErr w:type="spellStart"/>
      <w:r>
        <w:rPr>
          <w:rFonts w:ascii="Arial" w:hAnsi="Arial" w:cs="Arial"/>
          <w:b/>
          <w:bCs/>
          <w:sz w:val="36"/>
          <w:szCs w:val="36"/>
          <w:shd w:val="clear" w:color="auto" w:fill="FFFFFF"/>
        </w:rPr>
        <w:t>Name:Constantin</w:t>
      </w:r>
      <w:proofErr w:type="spellEnd"/>
      <w:r>
        <w:rPr>
          <w:rFonts w:ascii="Arial" w:hAnsi="Arial" w:cs="Arial"/>
          <w:b/>
          <w:bCs/>
          <w:sz w:val="36"/>
          <w:szCs w:val="36"/>
          <w:shd w:val="clear" w:color="auto" w:fill="FFFFFF"/>
        </w:rPr>
        <w:t xml:space="preserve"> Ionescu</w:t>
      </w:r>
    </w:p>
    <w:p w14:paraId="090402F5" w14:textId="5D98EED6" w:rsidR="0020297D" w:rsidRPr="00971C1A" w:rsidRDefault="0020297D" w:rsidP="00971C1A">
      <w:pPr>
        <w:spacing w:line="360" w:lineRule="auto"/>
        <w:jc w:val="center"/>
        <w:rPr>
          <w:rFonts w:ascii="Arial" w:hAnsi="Arial" w:cs="Arial"/>
          <w:sz w:val="36"/>
          <w:szCs w:val="36"/>
        </w:rPr>
      </w:pPr>
      <w:r w:rsidRPr="00971C1A">
        <w:rPr>
          <w:rFonts w:ascii="Arial" w:hAnsi="Arial" w:cs="Arial"/>
          <w:b/>
          <w:bCs/>
          <w:sz w:val="36"/>
          <w:szCs w:val="36"/>
          <w:shd w:val="clear" w:color="auto" w:fill="FFFFFF"/>
        </w:rPr>
        <w:t>Date of submission</w:t>
      </w:r>
      <w:r w:rsidR="007025F7">
        <w:rPr>
          <w:rFonts w:ascii="Arial" w:hAnsi="Arial" w:cs="Arial"/>
          <w:b/>
          <w:bCs/>
          <w:sz w:val="36"/>
          <w:szCs w:val="36"/>
          <w:shd w:val="clear" w:color="auto" w:fill="FFFFFF"/>
        </w:rPr>
        <w:t>:</w:t>
      </w:r>
      <w:r w:rsidR="00BA076D">
        <w:rPr>
          <w:rFonts w:ascii="Arial" w:hAnsi="Arial" w:cs="Arial"/>
          <w:b/>
          <w:bCs/>
          <w:sz w:val="36"/>
          <w:szCs w:val="36"/>
          <w:shd w:val="clear" w:color="auto" w:fill="FFFFFF"/>
        </w:rPr>
        <w:t>10</w:t>
      </w:r>
      <w:r w:rsidR="007025F7">
        <w:rPr>
          <w:rFonts w:ascii="Arial" w:hAnsi="Arial" w:cs="Arial"/>
          <w:b/>
          <w:bCs/>
          <w:sz w:val="36"/>
          <w:szCs w:val="36"/>
          <w:shd w:val="clear" w:color="auto" w:fill="FFFFFF"/>
        </w:rPr>
        <w:t>.03.2023</w:t>
      </w:r>
    </w:p>
    <w:p w14:paraId="79F21604" w14:textId="77777777" w:rsidR="0020297D" w:rsidRPr="00971C1A" w:rsidRDefault="0020297D" w:rsidP="00971C1A">
      <w:pPr>
        <w:spacing w:line="360" w:lineRule="auto"/>
        <w:jc w:val="both"/>
        <w:rPr>
          <w:rFonts w:ascii="Arial" w:hAnsi="Arial" w:cs="Arial"/>
          <w:sz w:val="24"/>
          <w:szCs w:val="24"/>
        </w:rPr>
      </w:pPr>
    </w:p>
    <w:p w14:paraId="57438D50" w14:textId="77777777" w:rsidR="0020297D" w:rsidRPr="00971C1A" w:rsidRDefault="0020297D" w:rsidP="00971C1A">
      <w:pPr>
        <w:spacing w:line="360" w:lineRule="auto"/>
        <w:rPr>
          <w:rFonts w:ascii="Arial" w:hAnsi="Arial" w:cs="Arial"/>
          <w:sz w:val="24"/>
          <w:szCs w:val="24"/>
        </w:rPr>
      </w:pPr>
      <w:r w:rsidRPr="00971C1A">
        <w:rPr>
          <w:rFonts w:ascii="Arial" w:hAnsi="Arial" w:cs="Arial"/>
          <w:sz w:val="24"/>
          <w:szCs w:val="24"/>
        </w:rPr>
        <w:br w:type="page"/>
      </w:r>
    </w:p>
    <w:p w14:paraId="55912BA0"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lastRenderedPageBreak/>
        <w:t>The origin of the concept of common law can be traced back to medieval England, which was the time when regional norms and practices were acknowledged and upheld by the legal system (Holland, 2018). Over the course of time, these traditions became more standardized, and judges started handing down decisions based on precedent rather than relying purely on regional practice. By the 16th century, the common law system had established itself as the dominant form of legal procedure in England, and it was ultimately exported to other countries in the British Empire, such as Canada, the United States of America, and Australia.</w:t>
      </w:r>
    </w:p>
    <w:p w14:paraId="3D4372BD"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It is up to the justices in common law systems to determine how the law should be interpreted and to reach a verdict based on the circumstances of each individual case. This is accomplished through a process known as reasoning from precedent, in which judges extract the most important details and legal principles from preceding cases and apply them to the one they are currently presiding over (Neuberger, 2010). Using this method helps to prevent arbitrary decisions from being made while also ensuring that the legislation is consistent and easy to predict.</w:t>
      </w:r>
    </w:p>
    <w:p w14:paraId="5F959FCA"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In contrast to common law systems, civil law systems have a tendency to have more centralized decision-making, with judges and legal scholars being responsible for interpreting and implementing written codes and statutes that have been enacted by the legislative branch of government (Friedman, 2015). There is less leeway for courts to exercise their discretion or to deviate from the written law in civil law systems because these systems are more structured and rigid.</w:t>
      </w:r>
    </w:p>
    <w:p w14:paraId="0A1FEE24"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 xml:space="preserve">It is common for civil law systems to have a more centralized decision-making process, with judges primarily applying the law as it is written rather than creating new law through judicial decisions. Civil law systems are founded on written codes of law that are enacted by the legislative branch of government (Van Hoecke, 2014). In contrast, common law systems rely heavily on judicial precedent and interpretation, with judges creating new law through their decisions in individual cases that serve as binding precedent for future cases. Common law systems are characterized by their reliance on judicial precedent and interpretation. This makes it possible for the law to be more malleable and adjustable as </w:t>
      </w:r>
      <w:r w:rsidRPr="00971C1A">
        <w:rPr>
          <w:rFonts w:ascii="Arial" w:hAnsi="Arial" w:cs="Arial"/>
          <w:sz w:val="24"/>
          <w:szCs w:val="24"/>
        </w:rPr>
        <w:lastRenderedPageBreak/>
        <w:t>it develops over the course of time in response to the shifting priorities and expectations of society (</w:t>
      </w:r>
      <w:proofErr w:type="spellStart"/>
      <w:r w:rsidRPr="00971C1A">
        <w:rPr>
          <w:rFonts w:ascii="Arial" w:hAnsi="Arial" w:cs="Arial"/>
          <w:sz w:val="24"/>
          <w:szCs w:val="24"/>
        </w:rPr>
        <w:t>Cotterrell</w:t>
      </w:r>
      <w:proofErr w:type="spellEnd"/>
      <w:r w:rsidRPr="00971C1A">
        <w:rPr>
          <w:rFonts w:ascii="Arial" w:hAnsi="Arial" w:cs="Arial"/>
          <w:sz w:val="24"/>
          <w:szCs w:val="24"/>
        </w:rPr>
        <w:t>, 2017).</w:t>
      </w:r>
    </w:p>
    <w:p w14:paraId="05FF81D2"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The attempts of judges in medieval England to establish uniformity and predictability within the legal system can be directly attributed to the development of common law during that time period (Milsom, 2017). The use of precedent by judges as a method for conflict resolution resulted in those judges' judgments being gradually adopted as legitimate sources of legal authority. The principle of stare decisis, also known as the doctrine of precedential obligation, became an essential part of the common law system over time. This principle ensured that lower courts were required to abide by the judgments of higher courts. This contributed to the development of a more standardized corpus of law that was based on the reasoning and analysis of the law (</w:t>
      </w:r>
      <w:proofErr w:type="spellStart"/>
      <w:r w:rsidRPr="00971C1A">
        <w:rPr>
          <w:rFonts w:ascii="Arial" w:hAnsi="Arial" w:cs="Arial"/>
          <w:sz w:val="24"/>
          <w:szCs w:val="24"/>
        </w:rPr>
        <w:t>Grear</w:t>
      </w:r>
      <w:proofErr w:type="spellEnd"/>
      <w:r w:rsidRPr="00971C1A">
        <w:rPr>
          <w:rFonts w:ascii="Arial" w:hAnsi="Arial" w:cs="Arial"/>
          <w:sz w:val="24"/>
          <w:szCs w:val="24"/>
        </w:rPr>
        <w:t>, 2017).</w:t>
      </w:r>
    </w:p>
    <w:p w14:paraId="3624053E"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As time went on, the common law system developed a concentration on individual rights and liberties, as well as an emphasis on due process and the rule of law. This became the defining characteristic of common law (Holland et al., 2018). This can be seen in seminal cases such as Entick v. Carrington (1765), which established the principle of habeas corpus, and Donoghue v. Stevenson (1932), which led to the development of the contemporary law of negligence. Both of these cases are considered to be landmark cases. The common law system has continued to develop and adapt to changing circumstances, with judges playing a key role in shaping the law in response to new legal issues and social developments. This evolution and adaptation has occurred despite the fact that the common law system has been in place for centuries (Munro, 2016).</w:t>
      </w:r>
    </w:p>
    <w:p w14:paraId="1EE9FEF5"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In actual practice, the common law framework has been utilized in a broad spectrum of legal domains, ranging from criminal law and contract law to tort law and personal injury law. For instance, judges in criminal cases look to previous cases to determine the appropriate punishment for a specific crime. They also take into consideration the gravity of the offense as well as any factors that could be considered aggravating or mitigating the situation (Law Reform Commission of Western Australia, 2016). When it comes to interpreting the provisions of a contract and figuring out the rights and responsibilities of the parties involved, contract law relies on a legal principle known as precedent (Elliott &amp; Quinn, 2017).</w:t>
      </w:r>
    </w:p>
    <w:p w14:paraId="11E6B1E8"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lastRenderedPageBreak/>
        <w:t>In the common law system, which is predicated on previous judiciary decisions and other precedents, one of the most important legal strategies is known as "reasoning from precedent." According to Lord Neuberger (2010), precedent operates by analogy. This means that judges identify the important facts and legal principles from previous cases and apply them to the current case. This helps to ensure that the law is consistent and predictable and prevents arbitrary decisions.</w:t>
      </w:r>
    </w:p>
    <w:p w14:paraId="5A43CDE6"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In the English Legal System, interpreting statutes is another important legal technique that must be utilized. According to Elliott and Quinn (2017), regulations are the most important source of law in the UK, and Parliament is the body responsible for enacting these laws. In spite of this, the language that is used in statutes is frequently vague and open to interpretation, and it is the responsibility of the courts to interpret these statutes in light of the purpose that was expressed by Parliament. This requires a process known as statutory interpretation, which includes determining the meaning of the words used in the statute, in addition to the purpose of the legislation and the environment in which it was enacted.</w:t>
      </w:r>
    </w:p>
    <w:p w14:paraId="763EC85E"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In the common law system, which is founded on the principles of evidence and precedence, the process of finding out the facts is extremely important. Judges are the ones who are tasked with figuring out the details of a case, and decisions that they make on matters of fact are typically not open to further review (Moorhead, 2016). When deciding matters of truth, judges are required to consider the credibility and reliability of the evidence that has been submitted to them, which may include the testimony of witnesses, documents, and physical evidence (</w:t>
      </w:r>
      <w:proofErr w:type="spellStart"/>
      <w:r w:rsidRPr="00971C1A">
        <w:rPr>
          <w:rFonts w:ascii="Arial" w:hAnsi="Arial" w:cs="Arial"/>
          <w:sz w:val="24"/>
          <w:szCs w:val="24"/>
        </w:rPr>
        <w:t>Freckelton</w:t>
      </w:r>
      <w:proofErr w:type="spellEnd"/>
      <w:r w:rsidRPr="00971C1A">
        <w:rPr>
          <w:rFonts w:ascii="Arial" w:hAnsi="Arial" w:cs="Arial"/>
          <w:sz w:val="24"/>
          <w:szCs w:val="24"/>
        </w:rPr>
        <w:t xml:space="preserve"> &amp; Selby, 2013).</w:t>
      </w:r>
    </w:p>
    <w:p w14:paraId="6199B9DA"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It is possible for the process of fact finding to contain intricate matters pertaining to the law and evidence. For instance, judges are responsible for determining whether the evidence presented is reliable and applicable, and they may also be required to render decisions regarding hearsay, confidentiality, and expert testimony (</w:t>
      </w:r>
      <w:proofErr w:type="spellStart"/>
      <w:r w:rsidRPr="00971C1A">
        <w:rPr>
          <w:rFonts w:ascii="Arial" w:hAnsi="Arial" w:cs="Arial"/>
          <w:sz w:val="24"/>
          <w:szCs w:val="24"/>
        </w:rPr>
        <w:t>Simester</w:t>
      </w:r>
      <w:proofErr w:type="spellEnd"/>
      <w:r w:rsidRPr="00971C1A">
        <w:rPr>
          <w:rFonts w:ascii="Arial" w:hAnsi="Arial" w:cs="Arial"/>
          <w:sz w:val="24"/>
          <w:szCs w:val="24"/>
        </w:rPr>
        <w:t xml:space="preserve"> et al., 2017). In addition, judges are required to evaluate the significance of various kinds of evidence, as well as their reliability, and to reconcile evidence that contradicts one another (Moorhead, 2016).</w:t>
      </w:r>
    </w:p>
    <w:p w14:paraId="617BDC33" w14:textId="77777777" w:rsidR="0020297D" w:rsidRPr="00971C1A" w:rsidRDefault="0020297D" w:rsidP="00971C1A">
      <w:pPr>
        <w:spacing w:line="360" w:lineRule="auto"/>
        <w:jc w:val="both"/>
        <w:rPr>
          <w:rFonts w:ascii="Arial" w:hAnsi="Arial" w:cs="Arial"/>
          <w:sz w:val="24"/>
          <w:szCs w:val="24"/>
        </w:rPr>
      </w:pPr>
    </w:p>
    <w:p w14:paraId="67BB81F7" w14:textId="77777777" w:rsidR="0020297D"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 xml:space="preserve">There are numerous cases that demonstrate how the common law operates in actual situations. For instance, the House of Lords established the principle of carelessness in tort law in the case of Donoghue v. Stevenson (1932). This principle has since become an essential component of the common law system. In a similar vein, the House of Lords decided in the case of R v. Brown (1993) that consensual sexual actions that caused harm or injury could still be considered criminal. This decision, which has since become a landmark in the field of criminal law (Foster, 2018). The case of Entick v. Carrington (1765), which established the principle of the right to privacy and the necessity of warrants in searches and confiscation by the state, is another illustration of the common law in action (Greenawalt, 2018). In a similar manner, the United Kingdom Supreme Court overturned the common law doctrine of joint enterprise in the case of R v. </w:t>
      </w:r>
      <w:proofErr w:type="spellStart"/>
      <w:r w:rsidRPr="00971C1A">
        <w:rPr>
          <w:rFonts w:ascii="Arial" w:hAnsi="Arial" w:cs="Arial"/>
          <w:sz w:val="24"/>
          <w:szCs w:val="24"/>
        </w:rPr>
        <w:t>Jogee</w:t>
      </w:r>
      <w:proofErr w:type="spellEnd"/>
      <w:r w:rsidRPr="00971C1A">
        <w:rPr>
          <w:rFonts w:ascii="Arial" w:hAnsi="Arial" w:cs="Arial"/>
          <w:sz w:val="24"/>
          <w:szCs w:val="24"/>
        </w:rPr>
        <w:t xml:space="preserve"> (2016). This doctrine held that a person could be guilty of a crime committed by someone else if they were present at the scene, had foreseen the possibility of the crime, and had participated in it in some way. The doctrine was overturned because it held that a person could be guilty of a crime committed by someone else even if they were not the person who The judgment has been hailed as an important step forward in criminal law and exemplifies the adaptability and versatility of the common law system (Gallagher &amp; </w:t>
      </w:r>
      <w:proofErr w:type="spellStart"/>
      <w:r w:rsidRPr="00971C1A">
        <w:rPr>
          <w:rFonts w:ascii="Arial" w:hAnsi="Arial" w:cs="Arial"/>
          <w:sz w:val="24"/>
          <w:szCs w:val="24"/>
        </w:rPr>
        <w:t>Horder</w:t>
      </w:r>
      <w:proofErr w:type="spellEnd"/>
      <w:r w:rsidRPr="00971C1A">
        <w:rPr>
          <w:rFonts w:ascii="Arial" w:hAnsi="Arial" w:cs="Arial"/>
          <w:sz w:val="24"/>
          <w:szCs w:val="24"/>
        </w:rPr>
        <w:t>, 2017).</w:t>
      </w:r>
    </w:p>
    <w:p w14:paraId="1F75E116" w14:textId="77777777" w:rsidR="00C64061" w:rsidRPr="00971C1A" w:rsidRDefault="0020297D" w:rsidP="00971C1A">
      <w:pPr>
        <w:spacing w:line="360" w:lineRule="auto"/>
        <w:jc w:val="both"/>
        <w:rPr>
          <w:rFonts w:ascii="Arial" w:hAnsi="Arial" w:cs="Arial"/>
          <w:sz w:val="24"/>
          <w:szCs w:val="24"/>
        </w:rPr>
      </w:pPr>
      <w:r w:rsidRPr="00971C1A">
        <w:rPr>
          <w:rFonts w:ascii="Arial" w:hAnsi="Arial" w:cs="Arial"/>
          <w:sz w:val="24"/>
          <w:szCs w:val="24"/>
        </w:rPr>
        <w:t>In conclusion, the common law system has been instrumental in the development of the English Legal System, and it continues to be an essential component of the legal strategy that is utilized by justices in the United Kingdom. The courts ensure that the law is implemented in a manner that is both fair and consistent by drawing reasoning from previous cases, interpreting statutes, and conducting fact-finding procedures. Although there are significant distinctions between the common law system and the civil law system, the adaptability and versatility of the common law system have enabled it to develop and continue to be of use over the course of history. As a result of this, the common law system continues to be an essential component of the legal environment in the UK as well as elsewhere.</w:t>
      </w:r>
    </w:p>
    <w:p w14:paraId="0848C23E" w14:textId="77777777" w:rsidR="0020297D" w:rsidRPr="00971C1A" w:rsidRDefault="0020297D" w:rsidP="00971C1A">
      <w:pPr>
        <w:spacing w:line="360" w:lineRule="auto"/>
        <w:jc w:val="both"/>
        <w:rPr>
          <w:rFonts w:ascii="Arial" w:hAnsi="Arial" w:cs="Arial"/>
          <w:sz w:val="24"/>
          <w:szCs w:val="24"/>
        </w:rPr>
      </w:pPr>
    </w:p>
    <w:p w14:paraId="6A506F4E" w14:textId="77777777" w:rsidR="0020297D" w:rsidRPr="00971C1A" w:rsidRDefault="0020297D" w:rsidP="00971C1A">
      <w:pPr>
        <w:spacing w:line="360" w:lineRule="auto"/>
        <w:jc w:val="both"/>
        <w:rPr>
          <w:rFonts w:ascii="Arial" w:eastAsiaTheme="majorEastAsia" w:hAnsi="Arial" w:cs="Arial"/>
          <w:b/>
          <w:bCs/>
          <w:sz w:val="24"/>
          <w:szCs w:val="24"/>
        </w:rPr>
      </w:pPr>
      <w:r w:rsidRPr="00971C1A">
        <w:rPr>
          <w:rFonts w:ascii="Arial" w:hAnsi="Arial" w:cs="Arial"/>
          <w:sz w:val="24"/>
          <w:szCs w:val="24"/>
        </w:rPr>
        <w:lastRenderedPageBreak/>
        <w:br w:type="page"/>
      </w:r>
    </w:p>
    <w:p w14:paraId="2ACAF8AD" w14:textId="77777777" w:rsidR="0020297D" w:rsidRPr="00971C1A" w:rsidRDefault="0020297D" w:rsidP="00971C1A">
      <w:pPr>
        <w:pStyle w:val="Heading1"/>
        <w:spacing w:line="360" w:lineRule="auto"/>
        <w:jc w:val="both"/>
        <w:rPr>
          <w:rFonts w:ascii="Arial" w:hAnsi="Arial" w:cs="Arial"/>
          <w:color w:val="auto"/>
          <w:sz w:val="24"/>
          <w:szCs w:val="24"/>
        </w:rPr>
      </w:pPr>
      <w:r w:rsidRPr="00971C1A">
        <w:rPr>
          <w:rFonts w:ascii="Arial" w:hAnsi="Arial" w:cs="Arial"/>
          <w:color w:val="auto"/>
          <w:sz w:val="24"/>
          <w:szCs w:val="24"/>
        </w:rPr>
        <w:lastRenderedPageBreak/>
        <w:t xml:space="preserve">REFERENCES </w:t>
      </w:r>
    </w:p>
    <w:p w14:paraId="47B2C98F"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Blackburn, R. (2019). The English legal system. Oxford University Press.</w:t>
      </w:r>
    </w:p>
    <w:p w14:paraId="30EB3C15"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proofErr w:type="spellStart"/>
      <w:r w:rsidRPr="00971C1A">
        <w:rPr>
          <w:rFonts w:ascii="Arial" w:hAnsi="Arial" w:cs="Arial"/>
          <w:sz w:val="24"/>
          <w:szCs w:val="24"/>
        </w:rPr>
        <w:t>Cotterrell</w:t>
      </w:r>
      <w:proofErr w:type="spellEnd"/>
      <w:r w:rsidRPr="00971C1A">
        <w:rPr>
          <w:rFonts w:ascii="Arial" w:hAnsi="Arial" w:cs="Arial"/>
          <w:sz w:val="24"/>
          <w:szCs w:val="24"/>
        </w:rPr>
        <w:t>, R. (2017). The Sociology of Law: An Introduction. Routledge.</w:t>
      </w:r>
    </w:p>
    <w:p w14:paraId="4B6CAFE5"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 xml:space="preserve">Craik, J. (2015). Statutory interpretation: A practical lawyer's guide. </w:t>
      </w:r>
      <w:proofErr w:type="spellStart"/>
      <w:r w:rsidRPr="00971C1A">
        <w:rPr>
          <w:rFonts w:ascii="Arial" w:hAnsi="Arial" w:cs="Arial"/>
          <w:sz w:val="24"/>
          <w:szCs w:val="24"/>
        </w:rPr>
        <w:t>Wildy</w:t>
      </w:r>
      <w:proofErr w:type="spellEnd"/>
      <w:r w:rsidRPr="00971C1A">
        <w:rPr>
          <w:rFonts w:ascii="Arial" w:hAnsi="Arial" w:cs="Arial"/>
          <w:sz w:val="24"/>
          <w:szCs w:val="24"/>
        </w:rPr>
        <w:t>, Simmonds and Hill Publishing.</w:t>
      </w:r>
    </w:p>
    <w:p w14:paraId="23A4BBDC"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Craik, J. (2015). The art of statutory interpretation. Routledge.</w:t>
      </w:r>
    </w:p>
    <w:p w14:paraId="01C7AE55"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Elliott, C., &amp; Quinn, F. (2017). English Legal System. Pearson Education.</w:t>
      </w:r>
    </w:p>
    <w:p w14:paraId="6477AA53"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Foster, N. (2018). Criminal law. Oxford University Press.</w:t>
      </w:r>
    </w:p>
    <w:p w14:paraId="5DCE1BE1"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proofErr w:type="spellStart"/>
      <w:r w:rsidRPr="00971C1A">
        <w:rPr>
          <w:rFonts w:ascii="Arial" w:hAnsi="Arial" w:cs="Arial"/>
          <w:sz w:val="24"/>
          <w:szCs w:val="24"/>
        </w:rPr>
        <w:t>Freckelton</w:t>
      </w:r>
      <w:proofErr w:type="spellEnd"/>
      <w:r w:rsidRPr="00971C1A">
        <w:rPr>
          <w:rFonts w:ascii="Arial" w:hAnsi="Arial" w:cs="Arial"/>
          <w:sz w:val="24"/>
          <w:szCs w:val="24"/>
        </w:rPr>
        <w:t>, I. R., &amp; Selby, H. (2013). Expert evidence: Law, practice, procedure, and advocacy (5th ed.). Federation Press.</w:t>
      </w:r>
    </w:p>
    <w:p w14:paraId="47105C88"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 xml:space="preserve">Gallagher, T., &amp; </w:t>
      </w:r>
      <w:proofErr w:type="spellStart"/>
      <w:r w:rsidRPr="00971C1A">
        <w:rPr>
          <w:rFonts w:ascii="Arial" w:hAnsi="Arial" w:cs="Arial"/>
          <w:sz w:val="24"/>
          <w:szCs w:val="24"/>
        </w:rPr>
        <w:t>Horder</w:t>
      </w:r>
      <w:proofErr w:type="spellEnd"/>
      <w:r w:rsidRPr="00971C1A">
        <w:rPr>
          <w:rFonts w:ascii="Arial" w:hAnsi="Arial" w:cs="Arial"/>
          <w:sz w:val="24"/>
          <w:szCs w:val="24"/>
        </w:rPr>
        <w:t xml:space="preserve">, J. (2017). </w:t>
      </w:r>
      <w:proofErr w:type="spellStart"/>
      <w:r w:rsidRPr="00971C1A">
        <w:rPr>
          <w:rFonts w:ascii="Arial" w:hAnsi="Arial" w:cs="Arial"/>
          <w:sz w:val="24"/>
          <w:szCs w:val="24"/>
        </w:rPr>
        <w:t>Jogee</w:t>
      </w:r>
      <w:proofErr w:type="spellEnd"/>
      <w:r w:rsidRPr="00971C1A">
        <w:rPr>
          <w:rFonts w:ascii="Arial" w:hAnsi="Arial" w:cs="Arial"/>
          <w:sz w:val="24"/>
          <w:szCs w:val="24"/>
        </w:rPr>
        <w:t>: A Criminal Law Revolution? Criminal Law Review, 3, 175-193.</w:t>
      </w:r>
    </w:p>
    <w:p w14:paraId="59BAA66B"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Greenawalt, K. (2018). Entick v. Carrington: The Origins of the Fourth Amendment. Journal of Criminal Law and Criminology, 108(3), 439-474.</w:t>
      </w:r>
    </w:p>
    <w:p w14:paraId="688F4EFB"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Holland, J. (2018). Learning legal rules: A student's guide to legal method and reasoning. Oxford University Press.</w:t>
      </w:r>
    </w:p>
    <w:p w14:paraId="5CD5D38A"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Holland, J., Webb, J., &amp; Radcliffe, P. (2018). Learning Legal Rules. Oxford University Press.</w:t>
      </w:r>
    </w:p>
    <w:p w14:paraId="1221459A"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Lord Neuberger. (2010). Precedent and Law. Retrieved from https://www.supremecourt.uk/docs/speech-101117.pdf</w:t>
      </w:r>
    </w:p>
    <w:p w14:paraId="2177F113"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Milsom, S. F. C. (2017). Historical foundations of the common law. Routledge.</w:t>
      </w:r>
    </w:p>
    <w:p w14:paraId="11682E5C"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Moorhead, R. (2016). Access to justice: From courts to dispute resolution. Routledge.</w:t>
      </w:r>
    </w:p>
    <w:p w14:paraId="64C74BB2"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Munro, V. E. (2016). Introduction to law and the legal system. Nelson Education.</w:t>
      </w:r>
    </w:p>
    <w:p w14:paraId="4CAFE86B"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Murphy, J. (2018). Street on Torts. Oxford University Press.</w:t>
      </w:r>
    </w:p>
    <w:p w14:paraId="13743B46"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Neuberger, D. (2010). The use and abuse of precedent. The Cambridge Law Journal, 69(03), 523-539.</w:t>
      </w:r>
    </w:p>
    <w:p w14:paraId="6D129D35"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proofErr w:type="spellStart"/>
      <w:r w:rsidRPr="00971C1A">
        <w:rPr>
          <w:rFonts w:ascii="Arial" w:hAnsi="Arial" w:cs="Arial"/>
          <w:sz w:val="24"/>
          <w:szCs w:val="24"/>
        </w:rPr>
        <w:t>Simester</w:t>
      </w:r>
      <w:proofErr w:type="spellEnd"/>
      <w:r w:rsidRPr="00971C1A">
        <w:rPr>
          <w:rFonts w:ascii="Arial" w:hAnsi="Arial" w:cs="Arial"/>
          <w:sz w:val="24"/>
          <w:szCs w:val="24"/>
        </w:rPr>
        <w:t xml:space="preserve">, A. P., Spencer, J. R., Stark, E., &amp; Sullivan, G. R. (2017). </w:t>
      </w:r>
      <w:proofErr w:type="spellStart"/>
      <w:r w:rsidRPr="00971C1A">
        <w:rPr>
          <w:rFonts w:ascii="Arial" w:hAnsi="Arial" w:cs="Arial"/>
          <w:sz w:val="24"/>
          <w:szCs w:val="24"/>
        </w:rPr>
        <w:t>Simester</w:t>
      </w:r>
      <w:proofErr w:type="spellEnd"/>
      <w:r w:rsidRPr="00971C1A">
        <w:rPr>
          <w:rFonts w:ascii="Arial" w:hAnsi="Arial" w:cs="Arial"/>
          <w:sz w:val="24"/>
          <w:szCs w:val="24"/>
        </w:rPr>
        <w:t xml:space="preserve"> and Sullivan's criminal law: Theory and doctrine (6th ed.). Hart Publishing.</w:t>
      </w:r>
    </w:p>
    <w:p w14:paraId="7E25DD9B" w14:textId="77777777" w:rsidR="0020297D" w:rsidRPr="00971C1A" w:rsidRDefault="0020297D" w:rsidP="00971C1A">
      <w:pPr>
        <w:pStyle w:val="ListParagraph"/>
        <w:numPr>
          <w:ilvl w:val="0"/>
          <w:numId w:val="2"/>
        </w:numPr>
        <w:spacing w:line="360" w:lineRule="auto"/>
        <w:jc w:val="both"/>
        <w:rPr>
          <w:rFonts w:ascii="Arial" w:hAnsi="Arial" w:cs="Arial"/>
          <w:sz w:val="24"/>
          <w:szCs w:val="24"/>
        </w:rPr>
      </w:pPr>
      <w:r w:rsidRPr="00971C1A">
        <w:rPr>
          <w:rFonts w:ascii="Arial" w:hAnsi="Arial" w:cs="Arial"/>
          <w:sz w:val="24"/>
          <w:szCs w:val="24"/>
        </w:rPr>
        <w:t>Van Hoecke, M. (2014). Comparative Law as Critique. Edward Elgar Publishing.</w:t>
      </w:r>
    </w:p>
    <w:sectPr w:rsidR="0020297D" w:rsidRPr="00971C1A" w:rsidSect="00C6406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97B3D" w14:textId="77777777" w:rsidR="006A3256" w:rsidRDefault="006A3256" w:rsidP="00591C3D">
      <w:pPr>
        <w:spacing w:after="0" w:line="240" w:lineRule="auto"/>
      </w:pPr>
      <w:r>
        <w:separator/>
      </w:r>
    </w:p>
  </w:endnote>
  <w:endnote w:type="continuationSeparator" w:id="0">
    <w:p w14:paraId="5C683463" w14:textId="77777777" w:rsidR="006A3256" w:rsidRDefault="006A3256" w:rsidP="00591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3230209"/>
      <w:docPartObj>
        <w:docPartGallery w:val="Page Numbers (Bottom of Page)"/>
        <w:docPartUnique/>
      </w:docPartObj>
    </w:sdtPr>
    <w:sdtEndPr>
      <w:rPr>
        <w:noProof/>
      </w:rPr>
    </w:sdtEndPr>
    <w:sdtContent>
      <w:p w14:paraId="13AC6F6D" w14:textId="764BC2F5" w:rsidR="00591C3D" w:rsidRDefault="00591C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203987" w14:textId="77777777" w:rsidR="00591C3D" w:rsidRDefault="00591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031DC" w14:textId="77777777" w:rsidR="006A3256" w:rsidRDefault="006A3256" w:rsidP="00591C3D">
      <w:pPr>
        <w:spacing w:after="0" w:line="240" w:lineRule="auto"/>
      </w:pPr>
      <w:r>
        <w:separator/>
      </w:r>
    </w:p>
  </w:footnote>
  <w:footnote w:type="continuationSeparator" w:id="0">
    <w:p w14:paraId="0DA2134A" w14:textId="77777777" w:rsidR="006A3256" w:rsidRDefault="006A3256" w:rsidP="00591C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66724"/>
    <w:multiLevelType w:val="hybridMultilevel"/>
    <w:tmpl w:val="327C3B1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835865"/>
    <w:multiLevelType w:val="hybridMultilevel"/>
    <w:tmpl w:val="CB1A2E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9920927">
    <w:abstractNumId w:val="1"/>
  </w:num>
  <w:num w:numId="2" w16cid:durableId="2028435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97D"/>
    <w:rsid w:val="00012CC2"/>
    <w:rsid w:val="0001414E"/>
    <w:rsid w:val="0020297D"/>
    <w:rsid w:val="00591C3D"/>
    <w:rsid w:val="006324A7"/>
    <w:rsid w:val="006A3256"/>
    <w:rsid w:val="007025F7"/>
    <w:rsid w:val="00767301"/>
    <w:rsid w:val="00971C1A"/>
    <w:rsid w:val="00AC4593"/>
    <w:rsid w:val="00BA076D"/>
    <w:rsid w:val="00C64061"/>
    <w:rsid w:val="00F1426D"/>
    <w:rsid w:val="00F829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A13A6"/>
  <w15:docId w15:val="{3CA65441-B36E-4D09-9A00-16077629D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061"/>
    <w:rPr>
      <w:lang w:val="en-GB"/>
    </w:rPr>
  </w:style>
  <w:style w:type="paragraph" w:styleId="Heading1">
    <w:name w:val="heading 1"/>
    <w:basedOn w:val="Normal"/>
    <w:next w:val="Normal"/>
    <w:link w:val="Heading1Char"/>
    <w:uiPriority w:val="9"/>
    <w:qFormat/>
    <w:rsid w:val="002029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97D"/>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20297D"/>
    <w:pPr>
      <w:ind w:left="720"/>
      <w:contextualSpacing/>
    </w:pPr>
  </w:style>
  <w:style w:type="character" w:customStyle="1" w:styleId="normaltextrun">
    <w:name w:val="normaltextrun"/>
    <w:basedOn w:val="DefaultParagraphFont"/>
    <w:rsid w:val="00F8293F"/>
  </w:style>
  <w:style w:type="character" w:customStyle="1" w:styleId="eop">
    <w:name w:val="eop"/>
    <w:basedOn w:val="DefaultParagraphFont"/>
    <w:rsid w:val="00F8293F"/>
  </w:style>
  <w:style w:type="paragraph" w:styleId="Header">
    <w:name w:val="header"/>
    <w:basedOn w:val="Normal"/>
    <w:link w:val="HeaderChar"/>
    <w:uiPriority w:val="99"/>
    <w:unhideWhenUsed/>
    <w:rsid w:val="00591C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C3D"/>
    <w:rPr>
      <w:lang w:val="en-GB"/>
    </w:rPr>
  </w:style>
  <w:style w:type="paragraph" w:styleId="Footer">
    <w:name w:val="footer"/>
    <w:basedOn w:val="Normal"/>
    <w:link w:val="FooterChar"/>
    <w:uiPriority w:val="99"/>
    <w:unhideWhenUsed/>
    <w:rsid w:val="00591C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1C3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1699</Words>
  <Characters>9688</Characters>
  <DocSecurity>0</DocSecurity>
  <Lines>80</Lines>
  <Paragraphs>22</Paragraphs>
  <ScaleCrop>false</ScaleCrop>
  <Company/>
  <LinksUpToDate>false</LinksUpToDate>
  <CharactersWithSpaces>11365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2023-03-10T20:43:00Z</dcterms:created>
  <dcterms:modified xsi:type="dcterms:W3CDTF">2023-03-10T20:43:00Z</dcterms:modified>
</cp:coreProperties>
</file>