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A9F2A" w14:textId="77777777" w:rsidR="00BE0988" w:rsidRDefault="00147A1F">
      <w:pPr>
        <w:spacing w:before="120" w:after="120" w:line="360" w:lineRule="auto"/>
      </w:pPr>
      <w:r>
        <w:rPr>
          <w:rFonts w:ascii="Arimo" w:eastAsia="Arimo" w:hAnsi="Arimo" w:cs="Arimo"/>
          <w:color w:val="000000"/>
        </w:rPr>
        <w:t xml:space="preserve"> </w:t>
      </w:r>
    </w:p>
    <w:p w14:paraId="6868FC66" w14:textId="77777777" w:rsidR="00BE0988" w:rsidRDefault="00147A1F">
      <w:pPr>
        <w:spacing w:before="120" w:after="120"/>
      </w:pPr>
      <w:r>
        <w:rPr>
          <w:noProof/>
        </w:rPr>
        <w:drawing>
          <wp:inline distT="0" distB="0" distL="0" distR="0" wp14:anchorId="44669B3C" wp14:editId="2F5E169A">
            <wp:extent cx="1810526" cy="724210"/>
            <wp:effectExtent l="0" t="0" r="0" b="0"/>
            <wp:docPr id="523902286" name="Drawing 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e64dd778bbac29b17a04f17054a2c8d.png"/>
                    <pic:cNvPicPr>
                      <a:picLocks noChangeAspect="1"/>
                    </pic:cNvPicPr>
                  </pic:nvPicPr>
                  <pic:blipFill>
                    <a:blip r:embed="rId6"/>
                    <a:srcRect/>
                    <a:stretch>
                      <a:fillRect/>
                    </a:stretch>
                  </pic:blipFill>
                  <pic:spPr>
                    <a:xfrm>
                      <a:off x="0" y="0"/>
                      <a:ext cx="1810526" cy="724210"/>
                    </a:xfrm>
                    <a:prstGeom prst="rect">
                      <a:avLst/>
                    </a:prstGeom>
                  </pic:spPr>
                </pic:pic>
              </a:graphicData>
            </a:graphic>
          </wp:inline>
        </w:drawing>
      </w:r>
    </w:p>
    <w:p w14:paraId="1EA7D5B5" w14:textId="77777777" w:rsidR="00BE0988" w:rsidRDefault="00147A1F">
      <w:pPr>
        <w:spacing w:before="120" w:after="120" w:line="360" w:lineRule="auto"/>
      </w:pPr>
      <w:r>
        <w:rPr>
          <w:rFonts w:ascii="Arimo Bold" w:eastAsia="Arimo Bold" w:hAnsi="Arimo Bold" w:cs="Arimo Bold"/>
          <w:b/>
          <w:bCs/>
          <w:color w:val="000000"/>
          <w:sz w:val="25"/>
          <w:szCs w:val="25"/>
        </w:rPr>
        <w:t xml:space="preserve"> </w:t>
      </w:r>
    </w:p>
    <w:p w14:paraId="27BE55E0" w14:textId="77777777" w:rsidR="00BE0988" w:rsidRDefault="00147A1F">
      <w:pPr>
        <w:spacing w:before="120" w:after="120" w:line="360" w:lineRule="auto"/>
      </w:pPr>
      <w:r>
        <w:rPr>
          <w:rFonts w:ascii="Arial Bold" w:eastAsia="Arial Bold" w:hAnsi="Arial Bold" w:cs="Arial Bold"/>
          <w:b/>
          <w:bCs/>
          <w:color w:val="000000"/>
          <w:sz w:val="22"/>
          <w:szCs w:val="22"/>
        </w:rPr>
        <w:t xml:space="preserve">Student Name: Estela Peralta </w:t>
      </w:r>
    </w:p>
    <w:p w14:paraId="4BF1330A" w14:textId="77777777" w:rsidR="00BE0988" w:rsidRDefault="00147A1F">
      <w:pPr>
        <w:spacing w:before="120" w:after="120" w:line="360" w:lineRule="auto"/>
      </w:pPr>
      <w:r>
        <w:rPr>
          <w:rFonts w:ascii="Arial Bold" w:eastAsia="Arial Bold" w:hAnsi="Arial Bold" w:cs="Arial Bold"/>
          <w:b/>
          <w:bCs/>
          <w:color w:val="000000"/>
          <w:sz w:val="22"/>
          <w:szCs w:val="22"/>
        </w:rPr>
        <w:t xml:space="preserve">Student ID: 2527558 </w:t>
      </w:r>
    </w:p>
    <w:p w14:paraId="7F3FD71A" w14:textId="77777777" w:rsidR="00BE0988" w:rsidRDefault="00147A1F">
      <w:pPr>
        <w:spacing w:before="120" w:after="120" w:line="360" w:lineRule="auto"/>
      </w:pPr>
      <w:r>
        <w:rPr>
          <w:rFonts w:ascii="Arial Bold" w:eastAsia="Arial Bold" w:hAnsi="Arial Bold" w:cs="Arial Bold"/>
          <w:b/>
          <w:bCs/>
          <w:color w:val="000000"/>
          <w:sz w:val="22"/>
          <w:szCs w:val="22"/>
        </w:rPr>
        <w:t xml:space="preserve">Module Name: Introduction to Health and Social Care </w:t>
      </w:r>
    </w:p>
    <w:p w14:paraId="4F2C03CB" w14:textId="77777777" w:rsidR="00BE0988" w:rsidRDefault="00147A1F">
      <w:pPr>
        <w:spacing w:before="120" w:after="120" w:line="360" w:lineRule="auto"/>
      </w:pPr>
      <w:r>
        <w:rPr>
          <w:rFonts w:ascii="Arial Bold" w:eastAsia="Arial Bold" w:hAnsi="Arial Bold" w:cs="Arial Bold"/>
          <w:b/>
          <w:bCs/>
          <w:color w:val="000000"/>
          <w:sz w:val="22"/>
          <w:szCs w:val="22"/>
        </w:rPr>
        <w:t xml:space="preserve">Module Code: LCHS4003 </w:t>
      </w:r>
    </w:p>
    <w:p w14:paraId="669A6C9E" w14:textId="77777777" w:rsidR="00BE0988" w:rsidRDefault="00147A1F">
      <w:pPr>
        <w:spacing w:before="120" w:after="120" w:line="360" w:lineRule="auto"/>
      </w:pPr>
      <w:r>
        <w:rPr>
          <w:rFonts w:ascii="Arial Bold" w:eastAsia="Arial Bold" w:hAnsi="Arial Bold" w:cs="Arial Bold"/>
          <w:b/>
          <w:bCs/>
          <w:color w:val="000000"/>
          <w:sz w:val="22"/>
          <w:szCs w:val="22"/>
        </w:rPr>
        <w:t xml:space="preserve">Lecturer: Umma Suleiman </w:t>
      </w:r>
    </w:p>
    <w:p w14:paraId="4D45DC7D" w14:textId="77777777" w:rsidR="00BE0988" w:rsidRDefault="00147A1F">
      <w:pPr>
        <w:spacing w:before="120" w:after="120" w:line="360" w:lineRule="auto"/>
      </w:pPr>
      <w:r>
        <w:rPr>
          <w:rFonts w:ascii="Arimo" w:eastAsia="Arimo" w:hAnsi="Arimo" w:cs="Arimo"/>
          <w:color w:val="000000"/>
        </w:rPr>
        <w:t xml:space="preserve"> </w:t>
      </w:r>
    </w:p>
    <w:p w14:paraId="0C288141" w14:textId="32DEC00F" w:rsidR="00BE0988" w:rsidRDefault="00147A1F">
      <w:pPr>
        <w:spacing w:before="120" w:after="120"/>
      </w:pPr>
      <w:r>
        <w:br w:type="page"/>
      </w:r>
    </w:p>
    <w:p w14:paraId="08F345ED" w14:textId="68AF559A" w:rsidR="00BE0988" w:rsidRDefault="0F410439">
      <w:pPr>
        <w:spacing w:before="120" w:after="120" w:line="259" w:lineRule="auto"/>
      </w:pPr>
      <w:r w:rsidRPr="017B6D1D">
        <w:rPr>
          <w:rFonts w:ascii="Arial Bold" w:eastAsia="Arial Bold" w:hAnsi="Arial Bold" w:cs="Arial Bold"/>
          <w:b/>
          <w:bCs/>
          <w:color w:val="000000" w:themeColor="text1"/>
          <w:sz w:val="22"/>
          <w:szCs w:val="22"/>
        </w:rPr>
        <w:t xml:space="preserve">Poster </w:t>
      </w:r>
    </w:p>
    <w:p w14:paraId="77CE481F" w14:textId="2FE1BF9D" w:rsidR="00BE0988" w:rsidRDefault="5049E7CA" w:rsidP="2999DE6B">
      <w:pPr>
        <w:spacing w:before="120" w:after="120"/>
        <w:jc w:val="center"/>
      </w:pPr>
      <w:r>
        <w:rPr>
          <w:noProof/>
        </w:rPr>
        <w:drawing>
          <wp:anchor distT="0" distB="0" distL="114300" distR="114300" simplePos="0" relativeHeight="251658240" behindDoc="0" locked="0" layoutInCell="1" allowOverlap="1" wp14:anchorId="218ED87C" wp14:editId="67A2AB10">
            <wp:simplePos x="0" y="0"/>
            <wp:positionH relativeFrom="column">
              <wp:align>left</wp:align>
            </wp:positionH>
            <wp:positionV relativeFrom="paragraph">
              <wp:posOffset>0</wp:posOffset>
            </wp:positionV>
            <wp:extent cx="7562850" cy="10689540"/>
            <wp:effectExtent l="0" t="0" r="0" b="0"/>
            <wp:wrapSquare wrapText="bothSides"/>
            <wp:docPr id="1996479007" name="Drawing 1" descr="3903bea49d79f217ee945e578bb413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903bea49d79f217ee945e578bb4135c.png"/>
                    <pic:cNvPicPr>
                      <a:picLocks noChangeAspect="1"/>
                    </pic:cNvPicPr>
                  </pic:nvPicPr>
                  <pic:blipFill>
                    <a:blip r:embed="rId7"/>
                    <a:stretch>
                      <a:fillRect/>
                    </a:stretch>
                  </pic:blipFill>
                  <pic:spPr>
                    <a:xfrm>
                      <a:off x="0" y="0"/>
                      <a:ext cx="7562850" cy="10689540"/>
                    </a:xfrm>
                    <a:prstGeom prst="rect">
                      <a:avLst/>
                    </a:prstGeom>
                  </pic:spPr>
                </pic:pic>
              </a:graphicData>
            </a:graphic>
            <wp14:sizeRelH relativeFrom="page">
              <wp14:pctWidth>0</wp14:pctWidth>
            </wp14:sizeRelH>
            <wp14:sizeRelV relativeFrom="page">
              <wp14:pctHeight>0</wp14:pctHeight>
            </wp14:sizeRelV>
          </wp:anchor>
        </w:drawing>
      </w:r>
    </w:p>
    <w:p w14:paraId="216693F3" w14:textId="14D5F145" w:rsidR="00BE0988" w:rsidRDefault="00BE0988" w:rsidP="2999DE6B">
      <w:pPr>
        <w:spacing w:before="120" w:after="120" w:line="336" w:lineRule="auto"/>
        <w:rPr>
          <w:rFonts w:ascii="Arial" w:eastAsia="Arial" w:hAnsi="Arial" w:cs="Arial"/>
          <w:color w:val="000000" w:themeColor="text1"/>
          <w:sz w:val="22"/>
          <w:szCs w:val="22"/>
        </w:rPr>
      </w:pPr>
    </w:p>
    <w:p w14:paraId="248BC58B" w14:textId="5A3D524F" w:rsidR="008F7224" w:rsidRDefault="12962346" w:rsidP="2999DE6B">
      <w:pPr>
        <w:spacing w:before="120" w:after="120" w:line="360" w:lineRule="auto"/>
        <w:rPr>
          <w:rFonts w:ascii="Arial Bold" w:eastAsia="Arial Bold" w:hAnsi="Arial Bold" w:cs="Arial Bold"/>
          <w:b/>
          <w:bCs/>
          <w:color w:val="000000"/>
          <w:sz w:val="22"/>
          <w:szCs w:val="22"/>
        </w:rPr>
      </w:pPr>
      <w:r w:rsidRPr="2999DE6B">
        <w:rPr>
          <w:rFonts w:ascii="Arial Bold" w:eastAsia="Arial Bold" w:hAnsi="Arial Bold" w:cs="Arial Bold"/>
          <w:b/>
          <w:bCs/>
          <w:color w:val="000000" w:themeColor="text1"/>
          <w:sz w:val="22"/>
          <w:szCs w:val="22"/>
        </w:rPr>
        <w:t xml:space="preserve">Essay </w:t>
      </w:r>
    </w:p>
    <w:p w14:paraId="6B0BA77E" w14:textId="0E3BBB44" w:rsidR="00BE0988" w:rsidRDefault="00147A1F">
      <w:pPr>
        <w:spacing w:before="120" w:after="120" w:line="360" w:lineRule="auto"/>
      </w:pPr>
      <w:r>
        <w:rPr>
          <w:rFonts w:ascii="Arial Bold" w:eastAsia="Arial Bold" w:hAnsi="Arial Bold" w:cs="Arial Bold"/>
          <w:b/>
          <w:bCs/>
          <w:color w:val="000000"/>
          <w:sz w:val="22"/>
          <w:szCs w:val="22"/>
        </w:rPr>
        <w:t>Introduction</w:t>
      </w:r>
      <w:r>
        <w:rPr>
          <w:rFonts w:ascii="Arimo" w:eastAsia="Arimo" w:hAnsi="Arimo" w:cs="Arimo"/>
          <w:color w:val="000000"/>
          <w:sz w:val="22"/>
          <w:szCs w:val="22"/>
        </w:rPr>
        <w:t xml:space="preserve"> </w:t>
      </w:r>
    </w:p>
    <w:p w14:paraId="392587BB" w14:textId="6E9C87FB" w:rsidR="00BE0988" w:rsidRDefault="00147A1F">
      <w:pPr>
        <w:spacing w:before="120" w:after="120" w:line="360" w:lineRule="auto"/>
      </w:pPr>
      <w:r w:rsidRPr="70BBB7F7">
        <w:rPr>
          <w:rFonts w:ascii="Arial" w:eastAsia="Arial" w:hAnsi="Arial" w:cs="Arial"/>
          <w:color w:val="000000" w:themeColor="text1"/>
          <w:sz w:val="22"/>
          <w:szCs w:val="22"/>
        </w:rPr>
        <w:t xml:space="preserve">Community disability services represent a fundamental shift from institutional segregation towards supporting disabled people to live as equal citizens. This essay investigates the origins of these services, </w:t>
      </w:r>
      <w:bookmarkStart w:id="0" w:name="_Int_gkWEl5ip"/>
      <w:r w:rsidR="2F449F4D" w:rsidRPr="70BBB7F7">
        <w:rPr>
          <w:rFonts w:ascii="Arial" w:eastAsia="Arial" w:hAnsi="Arial" w:cs="Arial"/>
          <w:color w:val="000000" w:themeColor="text1"/>
          <w:sz w:val="22"/>
          <w:szCs w:val="22"/>
        </w:rPr>
        <w:t>explores</w:t>
      </w:r>
      <w:bookmarkEnd w:id="0"/>
      <w:r w:rsidRPr="70BBB7F7">
        <w:rPr>
          <w:rFonts w:ascii="Arial" w:eastAsia="Arial" w:hAnsi="Arial" w:cs="Arial"/>
          <w:color w:val="000000" w:themeColor="text1"/>
          <w:sz w:val="22"/>
          <w:szCs w:val="22"/>
        </w:rPr>
        <w:t xml:space="preserve"> their historical context, critically evaluates current functioning, and discusses their significance in enhancing service users' quality of life. </w:t>
      </w:r>
    </w:p>
    <w:p w14:paraId="6FD4ED9E" w14:textId="77777777" w:rsidR="00BE0988" w:rsidRDefault="00147A1F">
      <w:pPr>
        <w:spacing w:before="120" w:after="120" w:line="360" w:lineRule="auto"/>
      </w:pPr>
      <w:r>
        <w:rPr>
          <w:rFonts w:ascii="Arial Bold" w:eastAsia="Arial Bold" w:hAnsi="Arial Bold" w:cs="Arial Bold"/>
          <w:b/>
          <w:bCs/>
          <w:color w:val="000000"/>
          <w:sz w:val="22"/>
          <w:szCs w:val="22"/>
        </w:rPr>
        <w:t xml:space="preserve">Origins and Historical Context </w:t>
      </w:r>
    </w:p>
    <w:p w14:paraId="56ACBAB0" w14:textId="77777777" w:rsidR="00BE0988" w:rsidRDefault="00147A1F">
      <w:pPr>
        <w:spacing w:before="120" w:after="120" w:line="360" w:lineRule="auto"/>
      </w:pPr>
      <w:r>
        <w:rPr>
          <w:rFonts w:ascii="Arial" w:eastAsia="Arial" w:hAnsi="Arial" w:cs="Arial"/>
          <w:color w:val="000000"/>
          <w:sz w:val="22"/>
          <w:szCs w:val="22"/>
        </w:rPr>
        <w:t> </w:t>
      </w:r>
      <w:r>
        <w:rPr>
          <w:rFonts w:ascii="Arial" w:eastAsia="Arial" w:hAnsi="Arial" w:cs="Arial"/>
          <w:color w:val="000000"/>
          <w:sz w:val="22"/>
          <w:szCs w:val="22"/>
        </w:rPr>
        <w:br/>
        <w:t xml:space="preserve">The roots of community disability services lie in a long tradition of institutionalisation rooted in the Old Poor Law of 1601. This legislation established what disabled people have characterised as the "administrative model," viewing them as a problem requiring officials "to define, classify, register, administer and control". Disability was interpreted through the individual or 'medical model'—as a problem of the body or mind rather than a socially created issue. </w:t>
      </w:r>
    </w:p>
    <w:p w14:paraId="3B82C82E" w14:textId="54623B51" w:rsidR="00BE0988" w:rsidRDefault="00147A1F">
      <w:pPr>
        <w:spacing w:before="120" w:after="120" w:line="360" w:lineRule="auto"/>
      </w:pPr>
      <w:r w:rsidRPr="70BBB7F7">
        <w:rPr>
          <w:rFonts w:ascii="Arial" w:eastAsia="Arial" w:hAnsi="Arial" w:cs="Arial"/>
          <w:color w:val="000000" w:themeColor="text1"/>
          <w:sz w:val="22"/>
          <w:szCs w:val="22"/>
        </w:rPr>
        <w:t> </w:t>
      </w:r>
      <w:r>
        <w:br/>
      </w:r>
      <w:r w:rsidRPr="70BBB7F7">
        <w:rPr>
          <w:rFonts w:ascii="Arial" w:eastAsia="Arial" w:hAnsi="Arial" w:cs="Arial"/>
          <w:color w:val="000000" w:themeColor="text1"/>
          <w:sz w:val="22"/>
          <w:szCs w:val="22"/>
        </w:rPr>
        <w:t xml:space="preserve">The 1960s and 1970s saw the emergence of community service systems based on the "continuum model," offering services ranging from restrictive residential care to supported independent living. However, this approach proved limited; many people became "stuck at the restrictive end of the continuum" and experienced </w:t>
      </w:r>
      <w:bookmarkStart w:id="1" w:name="_Int_5hbDAE6u"/>
      <w:r w:rsidR="02B531AC" w:rsidRPr="70BBB7F7">
        <w:rPr>
          <w:rFonts w:ascii="Arial" w:eastAsia="Arial" w:hAnsi="Arial" w:cs="Arial"/>
          <w:color w:val="000000" w:themeColor="text1"/>
          <w:sz w:val="22"/>
          <w:szCs w:val="22"/>
        </w:rPr>
        <w:t>a "very</w:t>
      </w:r>
      <w:bookmarkEnd w:id="1"/>
      <w:r w:rsidRPr="70BBB7F7">
        <w:rPr>
          <w:rFonts w:ascii="Arial" w:eastAsia="Arial" w:hAnsi="Arial" w:cs="Arial"/>
          <w:color w:val="000000" w:themeColor="text1"/>
          <w:sz w:val="22"/>
          <w:szCs w:val="22"/>
        </w:rPr>
        <w:t xml:space="preserve"> little genuine community". </w:t>
      </w:r>
    </w:p>
    <w:p w14:paraId="2346692D" w14:textId="2D19641F" w:rsidR="00BE0988" w:rsidRDefault="00147A1F">
      <w:pPr>
        <w:spacing w:before="120" w:after="120" w:line="360" w:lineRule="auto"/>
      </w:pPr>
      <w:r w:rsidRPr="017B6D1D">
        <w:rPr>
          <w:rFonts w:ascii="Arial" w:eastAsia="Arial" w:hAnsi="Arial" w:cs="Arial"/>
          <w:color w:val="000000" w:themeColor="text1"/>
          <w:sz w:val="22"/>
          <w:szCs w:val="22"/>
        </w:rPr>
        <w:t> </w:t>
      </w:r>
      <w:r>
        <w:br/>
      </w:r>
      <w:r w:rsidRPr="017B6D1D">
        <w:rPr>
          <w:rFonts w:ascii="Arial" w:eastAsia="Arial" w:hAnsi="Arial" w:cs="Arial"/>
          <w:color w:val="000000" w:themeColor="text1"/>
          <w:sz w:val="22"/>
          <w:szCs w:val="22"/>
        </w:rPr>
        <w:t xml:space="preserve">A transformative shift occurred with the rise of the disabled people's movement. In 1976, the Union of the Physically Impaired against Segregation (UPIAS) redefined disability through the social model: "the disadvantage or restriction of ability caused by a contemporary social organisation which takes little or no account of people who have physical impairments". This paradigm </w:t>
      </w:r>
      <w:r w:rsidR="58737109" w:rsidRPr="017B6D1D">
        <w:rPr>
          <w:rFonts w:ascii="Arial" w:eastAsia="Arial" w:hAnsi="Arial" w:cs="Arial"/>
          <w:color w:val="000000" w:themeColor="text1"/>
          <w:sz w:val="22"/>
          <w:szCs w:val="22"/>
        </w:rPr>
        <w:t>shifts</w:t>
      </w:r>
      <w:r w:rsidRPr="017B6D1D">
        <w:rPr>
          <w:rFonts w:ascii="Arial" w:eastAsia="Arial" w:hAnsi="Arial" w:cs="Arial"/>
          <w:color w:val="000000" w:themeColor="text1"/>
          <w:sz w:val="22"/>
          <w:szCs w:val="22"/>
        </w:rPr>
        <w:t xml:space="preserve"> fundamentally challenged the notion that disabled people's bodies were the source of their problems, paving the way for civil rights campaigns and a new approach to community supports. </w:t>
      </w:r>
    </w:p>
    <w:p w14:paraId="5F3D9C5E" w14:textId="77777777" w:rsidR="00BE0988" w:rsidRDefault="00147A1F">
      <w:pPr>
        <w:spacing w:before="120" w:after="120" w:line="360" w:lineRule="auto"/>
      </w:pPr>
      <w:r>
        <w:rPr>
          <w:rFonts w:ascii="Arial" w:eastAsia="Arial" w:hAnsi="Arial" w:cs="Arial"/>
          <w:color w:val="000000"/>
          <w:sz w:val="22"/>
          <w:szCs w:val="22"/>
        </w:rPr>
        <w:t> </w:t>
      </w:r>
      <w:r>
        <w:rPr>
          <w:rFonts w:ascii="Arial" w:eastAsia="Arial" w:hAnsi="Arial" w:cs="Arial"/>
          <w:color w:val="000000"/>
          <w:sz w:val="22"/>
          <w:szCs w:val="22"/>
        </w:rPr>
        <w:br/>
      </w:r>
      <w:r>
        <w:rPr>
          <w:rFonts w:ascii="Arial Bold" w:eastAsia="Arial Bold" w:hAnsi="Arial Bold" w:cs="Arial Bold"/>
          <w:b/>
          <w:bCs/>
          <w:color w:val="000000"/>
          <w:sz w:val="22"/>
          <w:szCs w:val="22"/>
        </w:rPr>
        <w:t xml:space="preserve">Current Function </w:t>
      </w:r>
    </w:p>
    <w:p w14:paraId="59A4A4C1" w14:textId="3E05013F" w:rsidR="00BE0988" w:rsidRDefault="00147A1F">
      <w:pPr>
        <w:spacing w:before="120" w:after="120" w:line="360" w:lineRule="auto"/>
      </w:pPr>
      <w:r w:rsidRPr="017B6D1D">
        <w:rPr>
          <w:rFonts w:ascii="Arial" w:eastAsia="Arial" w:hAnsi="Arial" w:cs="Arial"/>
          <w:color w:val="000000" w:themeColor="text1"/>
          <w:sz w:val="22"/>
          <w:szCs w:val="22"/>
        </w:rPr>
        <w:t> </w:t>
      </w:r>
      <w:r>
        <w:br/>
      </w:r>
      <w:r w:rsidRPr="017B6D1D">
        <w:rPr>
          <w:rFonts w:ascii="Arial" w:eastAsia="Arial" w:hAnsi="Arial" w:cs="Arial"/>
          <w:color w:val="000000" w:themeColor="text1"/>
          <w:sz w:val="22"/>
          <w:szCs w:val="22"/>
        </w:rPr>
        <w:t>Contemporary community disability services function through a complex framework. In the UK, specialist teams provide multidisciplinary care, and person-</w:t>
      </w:r>
      <w:r w:rsidR="17F3C442" w:rsidRPr="017B6D1D">
        <w:rPr>
          <w:rFonts w:ascii="Arial" w:eastAsia="Arial" w:hAnsi="Arial" w:cs="Arial"/>
          <w:color w:val="000000" w:themeColor="text1"/>
          <w:sz w:val="22"/>
          <w:szCs w:val="22"/>
        </w:rPr>
        <w:t>centered</w:t>
      </w:r>
      <w:r w:rsidRPr="017B6D1D">
        <w:rPr>
          <w:rFonts w:ascii="Arial" w:eastAsia="Arial" w:hAnsi="Arial" w:cs="Arial"/>
          <w:color w:val="000000" w:themeColor="text1"/>
          <w:sz w:val="22"/>
          <w:szCs w:val="22"/>
        </w:rPr>
        <w:t xml:space="preserve"> planning is considered a cornerstone of practice. The integration of health and social care has been identified as a "significant strength," with co-located models enhancing access, reducing delays, and ensuring care is better aligned to needs. </w:t>
      </w:r>
    </w:p>
    <w:p w14:paraId="1C515B74" w14:textId="1F8AA0FC" w:rsidR="00BE0988" w:rsidRDefault="00147A1F">
      <w:pPr>
        <w:spacing w:before="120" w:after="120" w:line="360" w:lineRule="auto"/>
      </w:pPr>
      <w:r w:rsidRPr="70BBB7F7">
        <w:rPr>
          <w:rFonts w:ascii="Arial" w:eastAsia="Arial" w:hAnsi="Arial" w:cs="Arial"/>
          <w:color w:val="000000" w:themeColor="text1"/>
          <w:sz w:val="22"/>
          <w:szCs w:val="22"/>
        </w:rPr>
        <w:t> </w:t>
      </w:r>
      <w:r>
        <w:br/>
      </w:r>
      <w:r w:rsidRPr="70BBB7F7">
        <w:rPr>
          <w:rFonts w:ascii="Arial" w:eastAsia="Arial" w:hAnsi="Arial" w:cs="Arial"/>
          <w:color w:val="000000" w:themeColor="text1"/>
          <w:sz w:val="22"/>
          <w:szCs w:val="22"/>
        </w:rPr>
        <w:t xml:space="preserve">Despite these advances, significant challenges remain. Services now operate within </w:t>
      </w:r>
      <w:bookmarkStart w:id="2" w:name="_Int_dH9RbNfC"/>
      <w:r w:rsidR="43A5DEED" w:rsidRPr="70BBB7F7">
        <w:rPr>
          <w:rFonts w:ascii="Arial" w:eastAsia="Arial" w:hAnsi="Arial" w:cs="Arial"/>
          <w:color w:val="000000" w:themeColor="text1"/>
          <w:sz w:val="22"/>
          <w:szCs w:val="22"/>
        </w:rPr>
        <w:t>the context</w:t>
      </w:r>
      <w:bookmarkEnd w:id="2"/>
      <w:r w:rsidRPr="70BBB7F7">
        <w:rPr>
          <w:rFonts w:ascii="Arial" w:eastAsia="Arial" w:hAnsi="Arial" w:cs="Arial"/>
          <w:color w:val="000000" w:themeColor="text1"/>
          <w:sz w:val="22"/>
          <w:szCs w:val="22"/>
        </w:rPr>
        <w:t xml:space="preserve"> of individualised planning and direct funding. However, quality of life outcomes </w:t>
      </w:r>
      <w:bookmarkStart w:id="3" w:name="_Int_cg41PeNe"/>
      <w:r w:rsidRPr="70BBB7F7">
        <w:rPr>
          <w:rFonts w:ascii="Arial" w:eastAsia="Arial" w:hAnsi="Arial" w:cs="Arial"/>
          <w:color w:val="000000" w:themeColor="text1"/>
          <w:sz w:val="22"/>
          <w:szCs w:val="22"/>
        </w:rPr>
        <w:t>remain</w:t>
      </w:r>
      <w:bookmarkEnd w:id="3"/>
      <w:r w:rsidRPr="70BBB7F7">
        <w:rPr>
          <w:rFonts w:ascii="Arial" w:eastAsia="Arial" w:hAnsi="Arial" w:cs="Arial"/>
          <w:color w:val="000000" w:themeColor="text1"/>
          <w:sz w:val="22"/>
          <w:szCs w:val="22"/>
        </w:rPr>
        <w:t xml:space="preserve"> variable; a recent study of over 5,800 service recipients found participants had only 48.4% of </w:t>
      </w:r>
      <w:r w:rsidR="3FBCF77A" w:rsidRPr="70BBB7F7">
        <w:rPr>
          <w:rFonts w:ascii="Arial" w:eastAsia="Arial" w:hAnsi="Arial" w:cs="Arial"/>
          <w:color w:val="000000" w:themeColor="text1"/>
          <w:sz w:val="22"/>
          <w:szCs w:val="22"/>
        </w:rPr>
        <w:t>quality-of-life</w:t>
      </w:r>
      <w:r w:rsidRPr="70BBB7F7">
        <w:rPr>
          <w:rFonts w:ascii="Arial" w:eastAsia="Arial" w:hAnsi="Arial" w:cs="Arial"/>
          <w:color w:val="000000" w:themeColor="text1"/>
          <w:sz w:val="22"/>
          <w:szCs w:val="22"/>
        </w:rPr>
        <w:t xml:space="preserve"> outcomes present in their lives. Disparities exist based on age, race, disability type, and support needs, with people of colour and those with more complex needs experiencing poorer outcomes. </w:t>
      </w:r>
    </w:p>
    <w:p w14:paraId="782E34B9" w14:textId="77777777" w:rsidR="00BE0988" w:rsidRDefault="00147A1F">
      <w:pPr>
        <w:spacing w:before="120" w:after="120" w:line="360" w:lineRule="auto"/>
      </w:pPr>
      <w:r>
        <w:rPr>
          <w:rFonts w:ascii="Arial" w:eastAsia="Arial" w:hAnsi="Arial" w:cs="Arial"/>
          <w:color w:val="000000"/>
          <w:sz w:val="22"/>
          <w:szCs w:val="22"/>
        </w:rPr>
        <w:t> </w:t>
      </w:r>
      <w:r>
        <w:rPr>
          <w:rFonts w:ascii="Arial" w:eastAsia="Arial" w:hAnsi="Arial" w:cs="Arial"/>
          <w:color w:val="000000"/>
          <w:sz w:val="22"/>
          <w:szCs w:val="22"/>
        </w:rPr>
        <w:br/>
      </w:r>
      <w:r>
        <w:rPr>
          <w:rFonts w:ascii="Arial Bold" w:eastAsia="Arial Bold" w:hAnsi="Arial Bold" w:cs="Arial Bold"/>
          <w:b/>
          <w:bCs/>
          <w:color w:val="000000"/>
          <w:sz w:val="22"/>
          <w:szCs w:val="22"/>
        </w:rPr>
        <w:t xml:space="preserve">Critical Evaluation and Significance </w:t>
      </w:r>
    </w:p>
    <w:p w14:paraId="1FA99744" w14:textId="593E6783" w:rsidR="00BE0988" w:rsidRDefault="00147A1F">
      <w:pPr>
        <w:spacing w:before="120" w:after="120" w:line="360" w:lineRule="auto"/>
      </w:pPr>
      <w:r w:rsidRPr="017B6D1D">
        <w:rPr>
          <w:rFonts w:ascii="Arial" w:eastAsia="Arial" w:hAnsi="Arial" w:cs="Arial"/>
          <w:color w:val="000000" w:themeColor="text1"/>
          <w:sz w:val="22"/>
          <w:szCs w:val="22"/>
        </w:rPr>
        <w:t> </w:t>
      </w:r>
      <w:r>
        <w:br/>
      </w:r>
      <w:r w:rsidRPr="017B6D1D">
        <w:rPr>
          <w:rFonts w:ascii="Arial" w:eastAsia="Arial" w:hAnsi="Arial" w:cs="Arial"/>
          <w:color w:val="000000" w:themeColor="text1"/>
          <w:sz w:val="22"/>
          <w:szCs w:val="22"/>
        </w:rPr>
        <w:t>The significance of community disability services in enhancing quality of life is profound, yet contingent on effective implementation. Research demonstrates that person-</w:t>
      </w:r>
      <w:r w:rsidR="7F9F90C0" w:rsidRPr="017B6D1D">
        <w:rPr>
          <w:rFonts w:ascii="Arial" w:eastAsia="Arial" w:hAnsi="Arial" w:cs="Arial"/>
          <w:color w:val="000000" w:themeColor="text1"/>
          <w:sz w:val="22"/>
          <w:szCs w:val="22"/>
        </w:rPr>
        <w:t>centered</w:t>
      </w:r>
      <w:r w:rsidRPr="017B6D1D">
        <w:rPr>
          <w:rFonts w:ascii="Arial" w:eastAsia="Arial" w:hAnsi="Arial" w:cs="Arial"/>
          <w:color w:val="000000" w:themeColor="text1"/>
          <w:sz w:val="22"/>
          <w:szCs w:val="22"/>
        </w:rPr>
        <w:t xml:space="preserve"> care models produce meaningful improvements: reported outcomes include "greater autonomy, independence and emotional stability, fewer crises, stronger social </w:t>
      </w:r>
      <w:r w:rsidR="6F2B7ADF" w:rsidRPr="017B6D1D">
        <w:rPr>
          <w:rFonts w:ascii="Arial" w:eastAsia="Arial" w:hAnsi="Arial" w:cs="Arial"/>
          <w:color w:val="000000" w:themeColor="text1"/>
          <w:sz w:val="22"/>
          <w:szCs w:val="22"/>
        </w:rPr>
        <w:t>belonging,</w:t>
      </w:r>
      <w:r w:rsidRPr="017B6D1D">
        <w:rPr>
          <w:rFonts w:ascii="Arial" w:eastAsia="Arial" w:hAnsi="Arial" w:cs="Arial"/>
          <w:color w:val="000000" w:themeColor="text1"/>
          <w:sz w:val="22"/>
          <w:szCs w:val="22"/>
        </w:rPr>
        <w:t xml:space="preserve"> and reduced staff burnout</w:t>
      </w:r>
      <w:bookmarkStart w:id="4" w:name="_Int_Z7jhKuwz"/>
      <w:r w:rsidRPr="017B6D1D">
        <w:rPr>
          <w:rFonts w:ascii="Arial" w:eastAsia="Arial" w:hAnsi="Arial" w:cs="Arial"/>
          <w:color w:val="000000" w:themeColor="text1"/>
          <w:sz w:val="22"/>
          <w:szCs w:val="22"/>
        </w:rPr>
        <w:t>".</w:t>
      </w:r>
      <w:bookmarkEnd w:id="4"/>
      <w:r w:rsidRPr="017B6D1D">
        <w:rPr>
          <w:rFonts w:ascii="Arial" w:eastAsia="Arial" w:hAnsi="Arial" w:cs="Arial"/>
          <w:color w:val="000000" w:themeColor="text1"/>
          <w:sz w:val="22"/>
          <w:szCs w:val="22"/>
        </w:rPr>
        <w:t xml:space="preserve"> </w:t>
      </w:r>
    </w:p>
    <w:p w14:paraId="481CE17F" w14:textId="0CAF116B" w:rsidR="00BE0988" w:rsidRDefault="00147A1F">
      <w:pPr>
        <w:spacing w:before="120" w:after="120" w:line="360" w:lineRule="auto"/>
      </w:pPr>
      <w:r w:rsidRPr="017B6D1D">
        <w:rPr>
          <w:rFonts w:ascii="Arial" w:eastAsia="Arial" w:hAnsi="Arial" w:cs="Arial"/>
          <w:color w:val="000000" w:themeColor="text1"/>
          <w:sz w:val="22"/>
          <w:szCs w:val="22"/>
        </w:rPr>
        <w:t> </w:t>
      </w:r>
      <w:r>
        <w:br/>
      </w:r>
      <w:r w:rsidRPr="017B6D1D">
        <w:rPr>
          <w:rFonts w:ascii="Arial" w:eastAsia="Arial" w:hAnsi="Arial" w:cs="Arial"/>
          <w:color w:val="000000" w:themeColor="text1"/>
          <w:sz w:val="22"/>
          <w:szCs w:val="22"/>
        </w:rPr>
        <w:t xml:space="preserve">Quality of life is enhanced through several mechanisms. Community-based services facilitate participation in employment, education, and social activities. People receiving services </w:t>
      </w:r>
      <w:r w:rsidR="1D730FC9" w:rsidRPr="017B6D1D">
        <w:rPr>
          <w:rFonts w:ascii="Arial" w:eastAsia="Arial" w:hAnsi="Arial" w:cs="Arial"/>
          <w:color w:val="000000" w:themeColor="text1"/>
          <w:sz w:val="22"/>
          <w:szCs w:val="22"/>
        </w:rPr>
        <w:t>emphasize</w:t>
      </w:r>
      <w:r w:rsidRPr="017B6D1D">
        <w:rPr>
          <w:rFonts w:ascii="Arial" w:eastAsia="Arial" w:hAnsi="Arial" w:cs="Arial"/>
          <w:color w:val="000000" w:themeColor="text1"/>
          <w:sz w:val="22"/>
          <w:szCs w:val="22"/>
        </w:rPr>
        <w:t xml:space="preserve"> the importance of choice, dignity, and being seen as "someone else living in society</w:t>
      </w:r>
      <w:r w:rsidR="51EADF98" w:rsidRPr="017B6D1D">
        <w:rPr>
          <w:rFonts w:ascii="Arial" w:eastAsia="Arial" w:hAnsi="Arial" w:cs="Arial"/>
          <w:color w:val="000000" w:themeColor="text1"/>
          <w:sz w:val="22"/>
          <w:szCs w:val="22"/>
        </w:rPr>
        <w:t>."</w:t>
      </w:r>
      <w:r w:rsidRPr="017B6D1D">
        <w:rPr>
          <w:rFonts w:ascii="Arial" w:eastAsia="Arial" w:hAnsi="Arial" w:cs="Arial"/>
          <w:color w:val="000000" w:themeColor="text1"/>
          <w:sz w:val="22"/>
          <w:szCs w:val="22"/>
        </w:rPr>
        <w:t xml:space="preserve"> However, the quality of support matters significantly; when services fail, the consequences are severe. </w:t>
      </w:r>
    </w:p>
    <w:p w14:paraId="17039E28" w14:textId="77777777" w:rsidR="00BE0988" w:rsidRDefault="00147A1F">
      <w:pPr>
        <w:spacing w:before="120" w:after="120" w:line="360" w:lineRule="auto"/>
      </w:pPr>
      <w:r>
        <w:rPr>
          <w:rFonts w:ascii="Arial" w:eastAsia="Arial" w:hAnsi="Arial" w:cs="Arial"/>
          <w:color w:val="000000"/>
          <w:sz w:val="22"/>
          <w:szCs w:val="22"/>
        </w:rPr>
        <w:t> </w:t>
      </w:r>
      <w:r>
        <w:rPr>
          <w:rFonts w:ascii="Arial" w:eastAsia="Arial" w:hAnsi="Arial" w:cs="Arial"/>
          <w:color w:val="000000"/>
          <w:sz w:val="22"/>
          <w:szCs w:val="22"/>
        </w:rPr>
        <w:br/>
      </w:r>
      <w:r>
        <w:rPr>
          <w:rFonts w:ascii="Arial Bold" w:eastAsia="Arial Bold" w:hAnsi="Arial Bold" w:cs="Arial Bold"/>
          <w:b/>
          <w:bCs/>
          <w:color w:val="000000"/>
          <w:sz w:val="22"/>
          <w:szCs w:val="22"/>
        </w:rPr>
        <w:t xml:space="preserve">Conclusion </w:t>
      </w:r>
    </w:p>
    <w:p w14:paraId="00D70FEB" w14:textId="21726818" w:rsidR="00BE0988" w:rsidRDefault="00147A1F">
      <w:pPr>
        <w:spacing w:before="120" w:after="120" w:line="360" w:lineRule="auto"/>
      </w:pPr>
      <w:r w:rsidRPr="017B6D1D">
        <w:rPr>
          <w:rFonts w:ascii="Arial" w:eastAsia="Arial" w:hAnsi="Arial" w:cs="Arial"/>
          <w:color w:val="000000" w:themeColor="text1"/>
          <w:sz w:val="22"/>
          <w:szCs w:val="22"/>
        </w:rPr>
        <w:t> </w:t>
      </w:r>
      <w:r>
        <w:br/>
      </w:r>
      <w:r w:rsidRPr="017B6D1D">
        <w:rPr>
          <w:rFonts w:ascii="Arial" w:eastAsia="Arial" w:hAnsi="Arial" w:cs="Arial"/>
          <w:color w:val="000000" w:themeColor="text1"/>
          <w:sz w:val="22"/>
          <w:szCs w:val="22"/>
        </w:rPr>
        <w:t>Community disability services have evolved from a history of institutional control towards a rights-based, person-</w:t>
      </w:r>
      <w:r w:rsidR="7449FF8D" w:rsidRPr="017B6D1D">
        <w:rPr>
          <w:rFonts w:ascii="Arial" w:eastAsia="Arial" w:hAnsi="Arial" w:cs="Arial"/>
          <w:color w:val="000000" w:themeColor="text1"/>
          <w:sz w:val="22"/>
          <w:szCs w:val="22"/>
        </w:rPr>
        <w:t>centered</w:t>
      </w:r>
      <w:r w:rsidRPr="017B6D1D">
        <w:rPr>
          <w:rFonts w:ascii="Arial" w:eastAsia="Arial" w:hAnsi="Arial" w:cs="Arial"/>
          <w:color w:val="000000" w:themeColor="text1"/>
          <w:sz w:val="22"/>
          <w:szCs w:val="22"/>
        </w:rPr>
        <w:t xml:space="preserve"> paradigm. While significant progress has been made in shifting from segregated care to community inclusion, persistent disparities and quality challenges remain. The significance of these services ultimately lies in their capacity to enable citizenship, autonomy, and belonging—but this potential is only </w:t>
      </w:r>
      <w:r w:rsidR="5F13868F" w:rsidRPr="017B6D1D">
        <w:rPr>
          <w:rFonts w:ascii="Arial" w:eastAsia="Arial" w:hAnsi="Arial" w:cs="Arial"/>
          <w:color w:val="000000" w:themeColor="text1"/>
          <w:sz w:val="22"/>
          <w:szCs w:val="22"/>
        </w:rPr>
        <w:t>realized</w:t>
      </w:r>
      <w:r w:rsidRPr="017B6D1D">
        <w:rPr>
          <w:rFonts w:ascii="Arial" w:eastAsia="Arial" w:hAnsi="Arial" w:cs="Arial"/>
          <w:color w:val="000000" w:themeColor="text1"/>
          <w:sz w:val="22"/>
          <w:szCs w:val="22"/>
        </w:rPr>
        <w:t xml:space="preserve"> when services are genuinely person-</w:t>
      </w:r>
      <w:r w:rsidR="1BCDCCE0" w:rsidRPr="017B6D1D">
        <w:rPr>
          <w:rFonts w:ascii="Arial" w:eastAsia="Arial" w:hAnsi="Arial" w:cs="Arial"/>
          <w:color w:val="000000" w:themeColor="text1"/>
          <w:sz w:val="22"/>
          <w:szCs w:val="22"/>
        </w:rPr>
        <w:t>centered</w:t>
      </w:r>
      <w:r w:rsidRPr="017B6D1D">
        <w:rPr>
          <w:rFonts w:ascii="Arial" w:eastAsia="Arial" w:hAnsi="Arial" w:cs="Arial"/>
          <w:color w:val="000000" w:themeColor="text1"/>
          <w:sz w:val="22"/>
          <w:szCs w:val="22"/>
        </w:rPr>
        <w:t xml:space="preserve">, properly resourced, and held accountable to the people they support. </w:t>
      </w:r>
    </w:p>
    <w:p w14:paraId="558A645D" w14:textId="77777777" w:rsidR="00BE0988" w:rsidRDefault="00147A1F">
      <w:pPr>
        <w:spacing w:before="120" w:after="120" w:line="360" w:lineRule="auto"/>
      </w:pPr>
      <w:r>
        <w:rPr>
          <w:rFonts w:ascii="Arial Bold" w:eastAsia="Arial Bold" w:hAnsi="Arial Bold" w:cs="Arial Bold"/>
          <w:b/>
          <w:bCs/>
          <w:color w:val="000000"/>
          <w:sz w:val="22"/>
          <w:szCs w:val="22"/>
        </w:rPr>
        <w:t xml:space="preserve"> </w:t>
      </w:r>
    </w:p>
    <w:p w14:paraId="62967934" w14:textId="2AAEBD1F" w:rsidR="00BE0988" w:rsidRDefault="00147A1F" w:rsidP="70BBB7F7">
      <w:pPr>
        <w:spacing w:before="120" w:after="120" w:line="360" w:lineRule="auto"/>
        <w:rPr>
          <w:rFonts w:ascii="Arial" w:eastAsia="Arial" w:hAnsi="Arial" w:cs="Arial"/>
          <w:color w:val="000000" w:themeColor="text1"/>
          <w:sz w:val="22"/>
          <w:szCs w:val="22"/>
        </w:rPr>
      </w:pPr>
      <w:r w:rsidRPr="70BBB7F7">
        <w:rPr>
          <w:rFonts w:ascii="Arial Bold" w:eastAsia="Arial Bold" w:hAnsi="Arial Bold" w:cs="Arial Bold"/>
          <w:b/>
          <w:bCs/>
          <w:color w:val="000000" w:themeColor="text1"/>
          <w:sz w:val="22"/>
          <w:szCs w:val="22"/>
        </w:rPr>
        <w:t>References</w:t>
      </w:r>
      <w:r w:rsidRPr="70BBB7F7">
        <w:rPr>
          <w:rFonts w:ascii="Arimo" w:eastAsia="Arimo" w:hAnsi="Arimo" w:cs="Arimo"/>
          <w:color w:val="000000" w:themeColor="text1"/>
          <w:sz w:val="22"/>
          <w:szCs w:val="22"/>
        </w:rPr>
        <w:t xml:space="preserve"> </w:t>
      </w:r>
    </w:p>
    <w:p w14:paraId="41B4A6B1" w14:textId="77777777" w:rsidR="00BE0988" w:rsidRDefault="00147A1F">
      <w:pPr>
        <w:spacing w:before="120" w:after="120" w:line="360" w:lineRule="auto"/>
      </w:pPr>
      <w:r>
        <w:rPr>
          <w:rFonts w:ascii="Arimo" w:eastAsia="Arimo" w:hAnsi="Arimo" w:cs="Arimo"/>
          <w:color w:val="000000"/>
          <w:sz w:val="22"/>
          <w:szCs w:val="22"/>
        </w:rPr>
        <w:t xml:space="preserve">Care Inspectorate Wales (2025) Assurance Check of Torfaen Learning Disability Services. Cardiff: CIW. </w:t>
      </w:r>
    </w:p>
    <w:p w14:paraId="4A6BB63B" w14:textId="47C3A9D2" w:rsidR="00BE0988" w:rsidRDefault="00147A1F">
      <w:pPr>
        <w:spacing w:before="120" w:after="120" w:line="360" w:lineRule="auto"/>
      </w:pPr>
      <w:r w:rsidRPr="017B6D1D">
        <w:rPr>
          <w:rFonts w:ascii="Arimo" w:eastAsia="Arimo" w:hAnsi="Arimo" w:cs="Arimo"/>
          <w:color w:val="000000" w:themeColor="text1"/>
          <w:sz w:val="22"/>
          <w:szCs w:val="22"/>
        </w:rPr>
        <w:t> </w:t>
      </w:r>
      <w:r>
        <w:br/>
      </w:r>
      <w:r w:rsidRPr="017B6D1D">
        <w:rPr>
          <w:rFonts w:ascii="Arimo" w:eastAsia="Arimo" w:hAnsi="Arimo" w:cs="Arimo"/>
          <w:color w:val="000000" w:themeColor="text1"/>
          <w:sz w:val="22"/>
          <w:szCs w:val="22"/>
        </w:rPr>
        <w:t>Community Living Algoma (2026) 'Transitioning to a Person-</w:t>
      </w:r>
      <w:r w:rsidR="10784429" w:rsidRPr="017B6D1D">
        <w:rPr>
          <w:rFonts w:ascii="Arimo" w:eastAsia="Arimo" w:hAnsi="Arimo" w:cs="Arimo"/>
          <w:color w:val="000000" w:themeColor="text1"/>
          <w:sz w:val="22"/>
          <w:szCs w:val="22"/>
        </w:rPr>
        <w:t>Centered</w:t>
      </w:r>
      <w:r w:rsidRPr="017B6D1D">
        <w:rPr>
          <w:rFonts w:ascii="Arimo" w:eastAsia="Arimo" w:hAnsi="Arimo" w:cs="Arimo"/>
          <w:color w:val="000000" w:themeColor="text1"/>
          <w:sz w:val="22"/>
          <w:szCs w:val="22"/>
        </w:rPr>
        <w:t xml:space="preserve"> Care Model', </w:t>
      </w:r>
      <w:r w:rsidR="5433CDC4" w:rsidRPr="017B6D1D">
        <w:rPr>
          <w:rFonts w:ascii="Arimo" w:eastAsia="Arimo" w:hAnsi="Arimo" w:cs="Arimo"/>
          <w:color w:val="000000" w:themeColor="text1"/>
          <w:sz w:val="22"/>
          <w:szCs w:val="22"/>
        </w:rPr>
        <w:t>Health Management</w:t>
      </w:r>
      <w:r w:rsidRPr="017B6D1D">
        <w:rPr>
          <w:rFonts w:ascii="Arimo" w:eastAsia="Arimo" w:hAnsi="Arimo" w:cs="Arimo"/>
          <w:color w:val="000000" w:themeColor="text1"/>
          <w:sz w:val="22"/>
          <w:szCs w:val="22"/>
        </w:rPr>
        <w:t xml:space="preserve">, 26(1).  </w:t>
      </w:r>
    </w:p>
    <w:p w14:paraId="213ADEC9" w14:textId="03E9FACA" w:rsidR="00BE0988" w:rsidRDefault="00147A1F">
      <w:pPr>
        <w:spacing w:before="120" w:after="120" w:line="360" w:lineRule="auto"/>
      </w:pPr>
      <w:r w:rsidRPr="70BBB7F7">
        <w:rPr>
          <w:rFonts w:ascii="Arimo" w:eastAsia="Arimo" w:hAnsi="Arimo" w:cs="Arimo"/>
          <w:color w:val="000000" w:themeColor="text1"/>
          <w:sz w:val="22"/>
          <w:szCs w:val="22"/>
        </w:rPr>
        <w:t> </w:t>
      </w:r>
      <w:r>
        <w:br/>
      </w:r>
      <w:r w:rsidRPr="70BBB7F7">
        <w:rPr>
          <w:rFonts w:ascii="Arimo" w:eastAsia="Arimo" w:hAnsi="Arimo" w:cs="Arimo"/>
          <w:color w:val="000000" w:themeColor="text1"/>
          <w:sz w:val="22"/>
          <w:szCs w:val="22"/>
        </w:rPr>
        <w:t xml:space="preserve">Davis, K. (1998) The Disabled People's Movement: Putting the Power in Empowerment. </w:t>
      </w:r>
      <w:bookmarkStart w:id="5" w:name="_Int_j0mdSn1Q"/>
      <w:r w:rsidR="6C240F57" w:rsidRPr="70BBB7F7">
        <w:rPr>
          <w:rFonts w:ascii="Arimo" w:eastAsia="Arimo" w:hAnsi="Arimo" w:cs="Arimo"/>
          <w:color w:val="000000" w:themeColor="text1"/>
          <w:sz w:val="22"/>
          <w:szCs w:val="22"/>
        </w:rPr>
        <w:t>Sheffield University.</w:t>
      </w:r>
      <w:bookmarkEnd w:id="5"/>
      <w:r w:rsidRPr="70BBB7F7">
        <w:rPr>
          <w:rFonts w:ascii="Arimo" w:eastAsia="Arimo" w:hAnsi="Arimo" w:cs="Arimo"/>
          <w:color w:val="000000" w:themeColor="text1"/>
          <w:sz w:val="22"/>
          <w:szCs w:val="22"/>
        </w:rPr>
        <w:t xml:space="preserve"> </w:t>
      </w:r>
    </w:p>
    <w:p w14:paraId="6A818754" w14:textId="383FDD06" w:rsidR="00BE0988" w:rsidRDefault="00147A1F">
      <w:pPr>
        <w:spacing w:before="120" w:after="120" w:line="360" w:lineRule="auto"/>
      </w:pPr>
      <w:r w:rsidRPr="017B6D1D">
        <w:rPr>
          <w:rFonts w:ascii="Arimo" w:eastAsia="Arimo" w:hAnsi="Arimo" w:cs="Arimo"/>
          <w:color w:val="000000" w:themeColor="text1"/>
          <w:sz w:val="22"/>
          <w:szCs w:val="22"/>
        </w:rPr>
        <w:t> </w:t>
      </w:r>
      <w:r>
        <w:br/>
      </w:r>
      <w:r w:rsidRPr="017B6D1D">
        <w:rPr>
          <w:rFonts w:ascii="Arimo" w:eastAsia="Arimo" w:hAnsi="Arimo" w:cs="Arimo"/>
          <w:color w:val="000000" w:themeColor="text1"/>
          <w:sz w:val="22"/>
          <w:szCs w:val="22"/>
        </w:rPr>
        <w:t xml:space="preserve">Friedman, C. and Rizzolo, M.C. (2025) 'Disparities in </w:t>
      </w:r>
      <w:r w:rsidR="59047E3E" w:rsidRPr="017B6D1D">
        <w:rPr>
          <w:rFonts w:ascii="Arimo" w:eastAsia="Arimo" w:hAnsi="Arimo" w:cs="Arimo"/>
          <w:color w:val="000000" w:themeColor="text1"/>
          <w:sz w:val="22"/>
          <w:szCs w:val="22"/>
        </w:rPr>
        <w:t>Quality-of-Life</w:t>
      </w:r>
      <w:r w:rsidRPr="017B6D1D">
        <w:rPr>
          <w:rFonts w:ascii="Arimo" w:eastAsia="Arimo" w:hAnsi="Arimo" w:cs="Arimo"/>
          <w:color w:val="000000" w:themeColor="text1"/>
          <w:sz w:val="22"/>
          <w:szCs w:val="22"/>
        </w:rPr>
        <w:t xml:space="preserve"> Outcomes and Quality of Supports among People with Disabilities Who Receive Home- and Community-Based Services', Journal of Developmental and Physical Disabilities.  </w:t>
      </w:r>
    </w:p>
    <w:p w14:paraId="06319835" w14:textId="77777777" w:rsidR="00BE0988" w:rsidRDefault="00147A1F">
      <w:pPr>
        <w:spacing w:before="120" w:after="120" w:line="360" w:lineRule="auto"/>
      </w:pPr>
      <w:r>
        <w:rPr>
          <w:rFonts w:ascii="Arimo" w:eastAsia="Arimo" w:hAnsi="Arimo" w:cs="Arimo"/>
          <w:color w:val="000000"/>
          <w:sz w:val="22"/>
          <w:szCs w:val="22"/>
        </w:rPr>
        <w:t> </w:t>
      </w:r>
      <w:r>
        <w:rPr>
          <w:rFonts w:ascii="Arimo" w:eastAsia="Arimo" w:hAnsi="Arimo" w:cs="Arimo"/>
          <w:color w:val="000000"/>
          <w:sz w:val="22"/>
          <w:szCs w:val="22"/>
        </w:rPr>
        <w:br/>
        <w:t xml:space="preserve">Shankar, R. et al. (2026) 'Organising care for complexity: a pathways model for adult community intellectual disability services', International Review of Psychiatry.  </w:t>
      </w:r>
    </w:p>
    <w:p w14:paraId="37A8D1F1" w14:textId="77777777" w:rsidR="00BE0988" w:rsidRDefault="00147A1F">
      <w:pPr>
        <w:spacing w:before="120" w:after="120" w:line="360" w:lineRule="auto"/>
      </w:pPr>
      <w:r>
        <w:rPr>
          <w:rFonts w:ascii="Arimo" w:eastAsia="Arimo" w:hAnsi="Arimo" w:cs="Arimo"/>
          <w:color w:val="000000"/>
        </w:rPr>
        <w:t xml:space="preserve"> </w:t>
      </w:r>
    </w:p>
    <w:p w14:paraId="628AD63A" w14:textId="77777777" w:rsidR="00BE0988" w:rsidRDefault="00147A1F">
      <w:pPr>
        <w:spacing w:before="120" w:after="120" w:line="259" w:lineRule="auto"/>
      </w:pPr>
      <w:r>
        <w:rPr>
          <w:rFonts w:ascii="Arimo" w:eastAsia="Arimo" w:hAnsi="Arimo" w:cs="Arimo"/>
          <w:color w:val="000000"/>
        </w:rPr>
        <w:t xml:space="preserve"> </w:t>
      </w:r>
    </w:p>
    <w:p w14:paraId="03495A72" w14:textId="77777777" w:rsidR="00BE0988" w:rsidRDefault="00147A1F">
      <w:pPr>
        <w:spacing w:before="120" w:after="120" w:line="259" w:lineRule="auto"/>
      </w:pPr>
      <w:r>
        <w:rPr>
          <w:rFonts w:ascii="Arimo" w:eastAsia="Arimo" w:hAnsi="Arimo" w:cs="Arimo"/>
          <w:color w:val="000000"/>
        </w:rPr>
        <w:t xml:space="preserve"> </w:t>
      </w:r>
    </w:p>
    <w:p w14:paraId="301F860E" w14:textId="77777777" w:rsidR="00BE0988" w:rsidRDefault="00147A1F">
      <w:pPr>
        <w:spacing w:before="120" w:after="120" w:line="259" w:lineRule="auto"/>
      </w:pPr>
      <w:r>
        <w:rPr>
          <w:rFonts w:ascii="Arimo" w:eastAsia="Arimo" w:hAnsi="Arimo" w:cs="Arimo"/>
          <w:color w:val="000000"/>
        </w:rPr>
        <w:t xml:space="preserve"> </w:t>
      </w:r>
    </w:p>
    <w:sectPr w:rsidR="00BE0988">
      <w:headerReference w:type="default" r:id="rId8"/>
      <w:footerReference w:type="default" r:id="rId9"/>
      <w:pgSz w:w="11910" w:h="16845"/>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421DB" w14:textId="77777777" w:rsidR="0026242E" w:rsidRDefault="0026242E">
      <w:pPr>
        <w:spacing w:after="0" w:line="240" w:lineRule="auto"/>
      </w:pPr>
      <w:r>
        <w:separator/>
      </w:r>
    </w:p>
  </w:endnote>
  <w:endnote w:type="continuationSeparator" w:id="0">
    <w:p w14:paraId="13DF3460" w14:textId="77777777" w:rsidR="0026242E" w:rsidRDefault="00262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embedRegular r:id="rId1" w:fontKey="{EE7DEFA2-D187-4560-AEC6-D5DCED956C55}"/>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mo">
    <w:charset w:val="00"/>
    <w:family w:val="auto"/>
    <w:pitch w:val="default"/>
    <w:embedRegular r:id="rId2" w:fontKey="{A5C698C1-AAAF-4622-89D0-D22F1A4CDC99}"/>
  </w:font>
  <w:font w:name="Arimo Bold">
    <w:charset w:val="00"/>
    <w:family w:val="auto"/>
    <w:pitch w:val="default"/>
    <w:embedBold r:id="rId3" w:fontKey="{BF84A605-BA29-4644-9483-5AB7D98C8111}"/>
  </w:font>
  <w:font w:name="Arial Bold">
    <w:altName w:val="Arial"/>
    <w:panose1 w:val="020B0704020202020204"/>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2999DE6B" w14:paraId="14D2D78C" w14:textId="77777777" w:rsidTr="5049E7CA">
      <w:trPr>
        <w:trHeight w:val="300"/>
      </w:trPr>
      <w:tc>
        <w:tcPr>
          <w:tcW w:w="3010" w:type="dxa"/>
        </w:tcPr>
        <w:p w14:paraId="5D4E3303" w14:textId="7D44356B" w:rsidR="2999DE6B" w:rsidRDefault="2999DE6B" w:rsidP="2999DE6B">
          <w:pPr>
            <w:pStyle w:val="Header"/>
            <w:ind w:left="-115"/>
          </w:pPr>
        </w:p>
      </w:tc>
      <w:tc>
        <w:tcPr>
          <w:tcW w:w="3010" w:type="dxa"/>
        </w:tcPr>
        <w:p w14:paraId="61462471" w14:textId="5DC67D52" w:rsidR="2999DE6B" w:rsidRDefault="2999DE6B" w:rsidP="2999DE6B">
          <w:pPr>
            <w:pStyle w:val="Header"/>
            <w:jc w:val="center"/>
          </w:pPr>
        </w:p>
      </w:tc>
      <w:tc>
        <w:tcPr>
          <w:tcW w:w="3010" w:type="dxa"/>
        </w:tcPr>
        <w:p w14:paraId="3B19C9ED" w14:textId="7F013BD0" w:rsidR="2999DE6B" w:rsidRDefault="2999DE6B" w:rsidP="2999DE6B">
          <w:pPr>
            <w:pStyle w:val="Header"/>
            <w:ind w:right="-115"/>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4FD98" w14:textId="77777777" w:rsidR="0026242E" w:rsidRDefault="0026242E">
      <w:pPr>
        <w:spacing w:after="0" w:line="240" w:lineRule="auto"/>
      </w:pPr>
      <w:r>
        <w:separator/>
      </w:r>
    </w:p>
  </w:footnote>
  <w:footnote w:type="continuationSeparator" w:id="0">
    <w:p w14:paraId="52B3CB7D" w14:textId="77777777" w:rsidR="0026242E" w:rsidRDefault="00262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10"/>
      <w:gridCol w:w="3010"/>
      <w:gridCol w:w="3010"/>
    </w:tblGrid>
    <w:tr w:rsidR="2999DE6B" w14:paraId="6BA668FF" w14:textId="77777777" w:rsidTr="2999DE6B">
      <w:trPr>
        <w:trHeight w:val="300"/>
      </w:trPr>
      <w:tc>
        <w:tcPr>
          <w:tcW w:w="3010" w:type="dxa"/>
        </w:tcPr>
        <w:p w14:paraId="0ED537B3" w14:textId="23F0407B" w:rsidR="2999DE6B" w:rsidRDefault="2999DE6B" w:rsidP="2999DE6B">
          <w:pPr>
            <w:pStyle w:val="Header"/>
            <w:ind w:left="-115"/>
          </w:pPr>
        </w:p>
      </w:tc>
      <w:tc>
        <w:tcPr>
          <w:tcW w:w="3010" w:type="dxa"/>
        </w:tcPr>
        <w:p w14:paraId="0D1E7870" w14:textId="2322A4E8" w:rsidR="2999DE6B" w:rsidRDefault="2999DE6B" w:rsidP="2999DE6B">
          <w:pPr>
            <w:pStyle w:val="Header"/>
            <w:jc w:val="center"/>
          </w:pPr>
        </w:p>
      </w:tc>
      <w:tc>
        <w:tcPr>
          <w:tcW w:w="3010" w:type="dxa"/>
        </w:tcPr>
        <w:p w14:paraId="17C6B523" w14:textId="6026518A" w:rsidR="2999DE6B" w:rsidRDefault="2999DE6B" w:rsidP="2999DE6B">
          <w:pPr>
            <w:pStyle w:val="Header"/>
            <w:ind w:right="-115"/>
            <w:jc w:val="right"/>
          </w:pPr>
        </w:p>
      </w:tc>
    </w:tr>
  </w:tbl>
  <w:p w14:paraId="55AE26B5" w14:textId="006A0C69" w:rsidR="2999DE6B" w:rsidRDefault="2999DE6B" w:rsidP="2999DE6B">
    <w:pPr>
      <w:pStyle w:val="Header"/>
    </w:pPr>
  </w:p>
</w:hdr>
</file>

<file path=word/intelligence2.xml><?xml version="1.0" encoding="utf-8"?>
<int2:intelligence xmlns:int2="http://schemas.microsoft.com/office/intelligence/2020/intelligence" xmlns:oel="http://schemas.microsoft.com/office/2019/extlst">
  <int2:observations>
    <int2:textHash int2:hashCode="493A6TcdMhEwN/" int2:id="ARbhdw1S">
      <int2:state int2:value="Rejected" int2:type="spell"/>
    </int2:textHash>
    <int2:textHash int2:hashCode="FPRZ1yFnCPrzsl" int2:id="KValjsQQ">
      <int2:state int2:value="Rejected" int2:type="spell"/>
    </int2:textHash>
    <int2:textHash int2:hashCode="yLGa3PbIwIauAZ" int2:id="MiLjpI4i">
      <int2:state int2:value="Rejected" int2:type="spell"/>
    </int2:textHash>
    <int2:textHash int2:hashCode="edQaR+j+xVhWpq" int2:id="VjwUwQEH">
      <int2:state int2:value="Rejected" int2:type="spell"/>
    </int2:textHash>
    <int2:textHash int2:hashCode="m/C6mGJeQTWOW1" int2:id="YtpvqIUV">
      <int2:state int2:value="Rejected" int2:type="spell"/>
    </int2:textHash>
    <int2:textHash int2:hashCode="31YMmaecpD39sM" int2:id="zdbjNCGf">
      <int2:state int2:value="Rejected" int2:type="spell"/>
    </int2:textHash>
    <int2:bookmark int2:bookmarkName="_Int_5hbDAE6u" int2:invalidationBookmarkName="" int2:hashCode="a2Yx6CJetuS+9E" int2:id="CXY9s9AB">
      <int2:state int2:value="Rejected" int2:type="gram"/>
    </int2:bookmark>
    <int2:bookmark int2:bookmarkName="_Int_Z7jhKuwz" int2:invalidationBookmarkName="" int2:hashCode="+NF4bPeiPXxekN" int2:id="FzXsNSQN">
      <int2:state int2:value="Rejected" int2:type="gram"/>
    </int2:bookmark>
    <int2:bookmark int2:bookmarkName="_Int_dH9RbNfC" int2:invalidationBookmarkName="" int2:hashCode="x0I5udOl+3kVMk" int2:id="LYKZo13z">
      <int2:state int2:value="Rejected" int2:type="gram"/>
    </int2:bookmark>
    <int2:bookmark int2:bookmarkName="_Int_cg41PeNe" int2:invalidationBookmarkName="" int2:hashCode="dkmkRuVDysnpuX" int2:id="X2eYObFT">
      <int2:state int2:value="Rejected" int2:type="gram"/>
    </int2:bookmark>
    <int2:bookmark int2:bookmarkName="_Int_j0mdSn1Q" int2:invalidationBookmarkName="" int2:hashCode="Zqg+bbfAVXAAiv" int2:id="aUu9c5ai">
      <int2:state int2:value="Rejected" int2:type="gram"/>
    </int2:bookmark>
    <int2:bookmark int2:bookmarkName="_Int_gkWEl5ip" int2:invalidationBookmarkName="" int2:hashCode="QvWveDEJmTcd9i" int2:id="cKBsHlIp">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defaultTabStop w:val="720"/>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988"/>
    <w:rsid w:val="00147A1F"/>
    <w:rsid w:val="00255A94"/>
    <w:rsid w:val="0026242E"/>
    <w:rsid w:val="003E10DB"/>
    <w:rsid w:val="00440ED1"/>
    <w:rsid w:val="004F0824"/>
    <w:rsid w:val="0066527B"/>
    <w:rsid w:val="00670837"/>
    <w:rsid w:val="00691BA2"/>
    <w:rsid w:val="0072713D"/>
    <w:rsid w:val="00880DDE"/>
    <w:rsid w:val="008F7224"/>
    <w:rsid w:val="00AC2497"/>
    <w:rsid w:val="00B8620F"/>
    <w:rsid w:val="00BA26E6"/>
    <w:rsid w:val="00BD2E01"/>
    <w:rsid w:val="00BE0988"/>
    <w:rsid w:val="00C6182B"/>
    <w:rsid w:val="00D34829"/>
    <w:rsid w:val="017B6D1D"/>
    <w:rsid w:val="02B531AC"/>
    <w:rsid w:val="04E063BF"/>
    <w:rsid w:val="087A3DFE"/>
    <w:rsid w:val="0ABC352D"/>
    <w:rsid w:val="0F410439"/>
    <w:rsid w:val="101FE446"/>
    <w:rsid w:val="10784429"/>
    <w:rsid w:val="116BD889"/>
    <w:rsid w:val="12962346"/>
    <w:rsid w:val="16C6EC43"/>
    <w:rsid w:val="17F3C442"/>
    <w:rsid w:val="1BCDCCE0"/>
    <w:rsid w:val="1D730FC9"/>
    <w:rsid w:val="2999DE6B"/>
    <w:rsid w:val="2F449F4D"/>
    <w:rsid w:val="31D6CDE2"/>
    <w:rsid w:val="323141CA"/>
    <w:rsid w:val="33D8E199"/>
    <w:rsid w:val="3B17E98E"/>
    <w:rsid w:val="3FBCF77A"/>
    <w:rsid w:val="40969848"/>
    <w:rsid w:val="43A5DEED"/>
    <w:rsid w:val="5049E7CA"/>
    <w:rsid w:val="51EADF98"/>
    <w:rsid w:val="5433CDC4"/>
    <w:rsid w:val="54DB2D12"/>
    <w:rsid w:val="58737109"/>
    <w:rsid w:val="59047E3E"/>
    <w:rsid w:val="5C6E6B23"/>
    <w:rsid w:val="5F13868F"/>
    <w:rsid w:val="6BF7E576"/>
    <w:rsid w:val="6C240F57"/>
    <w:rsid w:val="6DC3A60F"/>
    <w:rsid w:val="6F2B7ADF"/>
    <w:rsid w:val="70BBB7F7"/>
    <w:rsid w:val="7449FF8D"/>
    <w:rsid w:val="77A6C8C8"/>
    <w:rsid w:val="7F9F90C0"/>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EBF9D1C"/>
  <w15:docId w15:val="{D522FF19-C247-4C65-B3ED-841ED0091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99DE6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semiHidden/>
    <w:unhideWhenUsed/>
    <w:rsid w:val="00C6182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61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751</Words>
  <Characters>4283</Characters>
  <Application>Microsoft Office Word</Application>
  <DocSecurity>4</DocSecurity>
  <Lines>35</Lines>
  <Paragraphs>10</Paragraphs>
  <ScaleCrop>false</ScaleCrop>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Poster-Dentistry Services</dc:title>
  <dc:subject/>
  <dc:creator>Apache POI</dc:creator>
  <cp:keywords/>
  <cp:lastModifiedBy>Estela Lucina Peralta (2527558)</cp:lastModifiedBy>
  <cp:revision>7</cp:revision>
  <dcterms:created xsi:type="dcterms:W3CDTF">2026-07-15T12:54:00Z</dcterms:created>
  <dcterms:modified xsi:type="dcterms:W3CDTF">2026-07-15T15:58:00Z</dcterms:modified>
</cp:coreProperties>
</file>