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927A1" w:rsidRPr="005D3F07" w14:paraId="68CAA39D" w14:textId="77777777" w:rsidTr="00BC0B1C">
        <w:tc>
          <w:tcPr>
            <w:tcW w:w="11058" w:type="dxa"/>
            <w:shd w:val="clear" w:color="auto" w:fill="auto"/>
          </w:tcPr>
          <w:p w14:paraId="02F8EE88" w14:textId="5D497DB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C0B1C">
              <w:rPr>
                <w:rFonts w:ascii="Times New Roman" w:hAnsi="Times New Roman" w:cs="Times New Roman"/>
                <w:b/>
                <w:color w:val="auto"/>
                <w:sz w:val="48"/>
              </w:rPr>
              <w:t xml:space="preserve"> Llinos </w:t>
            </w:r>
            <w:proofErr w:type="spellStart"/>
            <w:r w:rsidR="00BC0B1C">
              <w:rPr>
                <w:rFonts w:ascii="Times New Roman" w:hAnsi="Times New Roman" w:cs="Times New Roman"/>
                <w:b/>
                <w:color w:val="auto"/>
                <w:sz w:val="48"/>
              </w:rPr>
              <w:t>Tegwen</w:t>
            </w:r>
            <w:proofErr w:type="spellEnd"/>
            <w:r w:rsidR="00BC0B1C">
              <w:rPr>
                <w:rFonts w:ascii="Times New Roman" w:hAnsi="Times New Roman" w:cs="Times New Roman"/>
                <w:b/>
                <w:color w:val="auto"/>
                <w:sz w:val="48"/>
              </w:rPr>
              <w:t xml:space="preserv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FE2BA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C0B1C">
              <w:rPr>
                <w:rFonts w:ascii="Times New Roman" w:hAnsi="Times New Roman" w:cs="Times New Roman"/>
                <w:b/>
                <w:color w:val="auto"/>
                <w:sz w:val="48"/>
              </w:rPr>
              <w:t xml:space="preserve"> llinos.jos@gmail.com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8E56E0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C0B1C">
              <w:rPr>
                <w:rFonts w:ascii="Times New Roman" w:hAnsi="Times New Roman" w:cs="Times New Roman"/>
                <w:b/>
                <w:color w:val="auto"/>
                <w:sz w:val="48"/>
              </w:rPr>
              <w:t xml:space="preserve"> </w:t>
            </w:r>
            <w:r w:rsidR="00BC0B1C" w:rsidRPr="00BC0B1C">
              <w:rPr>
                <w:rFonts w:ascii="Times New Roman" w:hAnsi="Times New Roman" w:cs="Times New Roman"/>
                <w:b/>
                <w:color w:val="auto"/>
                <w:sz w:val="48"/>
              </w:rPr>
              <w:t>2329427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DA1CC09" w14:textId="77777777" w:rsidR="00264ED5" w:rsidRPr="00E438B2" w:rsidRDefault="00264ED5" w:rsidP="00FF7EBB">
      <w:pPr>
        <w:jc w:val="both"/>
        <w:rPr>
          <w:sz w:val="24"/>
          <w:szCs w:val="24"/>
        </w:rPr>
      </w:pPr>
    </w:p>
    <w:p w14:paraId="131D1C03" w14:textId="77777777" w:rsidR="00264ED5" w:rsidRDefault="00264ED5" w:rsidP="00686DB2">
      <w:pPr>
        <w:rPr>
          <w:rFonts w:eastAsia="Aptos"/>
          <w:lang w:eastAsia="en-US"/>
        </w:rPr>
      </w:pPr>
      <w:r w:rsidRPr="00CB554E">
        <w:rPr>
          <w:rFonts w:eastAsia="Aptos"/>
          <w:lang w:eastAsia="en-US"/>
        </w:rPr>
        <w:t xml:space="preserve">Ahern, K.R., </w:t>
      </w:r>
      <w:proofErr w:type="spellStart"/>
      <w:r w:rsidRPr="00CB554E">
        <w:rPr>
          <w:rFonts w:eastAsia="Aptos"/>
          <w:lang w:eastAsia="en-US"/>
        </w:rPr>
        <w:t>Daminelli</w:t>
      </w:r>
      <w:proofErr w:type="spellEnd"/>
      <w:r w:rsidRPr="00CB554E">
        <w:rPr>
          <w:rFonts w:eastAsia="Aptos"/>
          <w:lang w:eastAsia="en-US"/>
        </w:rPr>
        <w:t>, D. and Fracassi, C., 2015. Lost in translation? The effect of cultural values on mergers around the world. Journal of Financial Economics, 117(1), pp.165-189.</w:t>
      </w:r>
    </w:p>
    <w:p w14:paraId="207F0CF3" w14:textId="77777777" w:rsidR="00686DB2" w:rsidRPr="00CB554E" w:rsidRDefault="00686DB2" w:rsidP="00686DB2">
      <w:pPr>
        <w:rPr>
          <w:rFonts w:eastAsia="Aptos"/>
          <w:lang w:eastAsia="en-US"/>
        </w:rPr>
      </w:pPr>
    </w:p>
    <w:p w14:paraId="5EC84F0B" w14:textId="77777777" w:rsidR="00264ED5" w:rsidRDefault="00264ED5" w:rsidP="00686DB2">
      <w:pPr>
        <w:rPr>
          <w:rFonts w:eastAsia="Aptos"/>
          <w:lang w:eastAsia="en-US"/>
        </w:rPr>
      </w:pPr>
      <w:r w:rsidRPr="006C00BB">
        <w:rPr>
          <w:rFonts w:eastAsia="Aptos"/>
          <w:lang w:eastAsia="en-US"/>
        </w:rPr>
        <w:t xml:space="preserve">‌Angel, B.Ø. (2016) ‘Client Self-Management: Promoting Self-Help for Parents of Children in Foster-Care’, The British journal of social work, 46(4), pp. 1027–1043. Available at: </w:t>
      </w:r>
      <w:hyperlink r:id="rId11" w:history="1">
        <w:r w:rsidRPr="006C00BB">
          <w:rPr>
            <w:rFonts w:eastAsia="Aptos"/>
            <w:color w:val="467886"/>
            <w:u w:val="single"/>
            <w:lang w:eastAsia="en-US"/>
          </w:rPr>
          <w:t>https://doi.org/10.1093/bjsw/bcv025</w:t>
        </w:r>
      </w:hyperlink>
      <w:r w:rsidRPr="006C00BB">
        <w:rPr>
          <w:rFonts w:eastAsia="Aptos"/>
          <w:lang w:eastAsia="en-US"/>
        </w:rPr>
        <w:t>.</w:t>
      </w:r>
    </w:p>
    <w:p w14:paraId="69E7B5C0" w14:textId="77777777" w:rsidR="00686DB2" w:rsidRPr="006C00BB" w:rsidRDefault="00686DB2" w:rsidP="00686DB2">
      <w:pPr>
        <w:rPr>
          <w:rFonts w:eastAsia="Aptos"/>
          <w:lang w:eastAsia="en-US"/>
        </w:rPr>
      </w:pPr>
    </w:p>
    <w:p w14:paraId="458D3C6D" w14:textId="77777777" w:rsidR="00264ED5" w:rsidRPr="00CB554E" w:rsidRDefault="00264ED5" w:rsidP="00686DB2">
      <w:pPr>
        <w:rPr>
          <w:rFonts w:eastAsia="Aptos"/>
          <w:lang w:eastAsia="en-US"/>
        </w:rPr>
      </w:pPr>
      <w:r w:rsidRPr="00CB554E">
        <w:rPr>
          <w:rFonts w:eastAsia="Aptos"/>
          <w:lang w:eastAsia="en-US"/>
        </w:rPr>
        <w:t xml:space="preserve">Asmundson, Gordon J. G., et al. (2019) Adverse Childhood Experiences : Using Evidence to Advance Research, Practice, Policy, and Prevention, Elsevier Science &amp; Technology, 2019. ProQuest </w:t>
      </w:r>
      <w:proofErr w:type="spellStart"/>
      <w:r w:rsidRPr="00CB554E">
        <w:rPr>
          <w:rFonts w:eastAsia="Aptos"/>
          <w:lang w:eastAsia="en-US"/>
        </w:rPr>
        <w:t>Ebook</w:t>
      </w:r>
      <w:proofErr w:type="spellEnd"/>
      <w:r w:rsidRPr="00CB554E">
        <w:rPr>
          <w:rFonts w:eastAsia="Aptos"/>
          <w:lang w:eastAsia="en-US"/>
        </w:rPr>
        <w:t xml:space="preserve"> Central, https://ebookcentral.proquest.com/lib/trinity/detail.action?docID=5917637.</w:t>
      </w:r>
    </w:p>
    <w:p w14:paraId="6B0DFFA5" w14:textId="77777777" w:rsidR="00686DB2" w:rsidRDefault="00686DB2" w:rsidP="00686DB2">
      <w:pPr>
        <w:rPr>
          <w:rFonts w:eastAsia="Aptos"/>
          <w:lang w:eastAsia="en-US"/>
        </w:rPr>
      </w:pPr>
    </w:p>
    <w:p w14:paraId="5653FCDC" w14:textId="79346B86" w:rsidR="00264ED5" w:rsidRPr="00AD2B9E" w:rsidRDefault="00264ED5" w:rsidP="00686DB2">
      <w:pPr>
        <w:rPr>
          <w:rFonts w:eastAsia="Aptos"/>
          <w:lang w:eastAsia="en-US"/>
        </w:rPr>
      </w:pPr>
      <w:proofErr w:type="spellStart"/>
      <w:r w:rsidRPr="00AD2B9E">
        <w:rPr>
          <w:rFonts w:eastAsia="Aptos"/>
          <w:lang w:eastAsia="en-US"/>
        </w:rPr>
        <w:t>Bagattini</w:t>
      </w:r>
      <w:proofErr w:type="spellEnd"/>
      <w:r w:rsidRPr="00AD2B9E">
        <w:rPr>
          <w:rFonts w:eastAsia="Aptos"/>
          <w:lang w:eastAsia="en-US"/>
        </w:rPr>
        <w:t>, A. (2019). Children’s well-being and vulnerability. Ethics and Social Welfare, 13(3), 211–215. https://doi.org/10.1080/17496535.2019.1647973</w:t>
      </w:r>
    </w:p>
    <w:p w14:paraId="31A3D43B" w14:textId="77777777" w:rsidR="00686DB2" w:rsidRDefault="00686DB2" w:rsidP="00686DB2">
      <w:pPr>
        <w:rPr>
          <w:rFonts w:eastAsia="Aptos"/>
          <w:lang w:eastAsia="en-US"/>
        </w:rPr>
      </w:pPr>
    </w:p>
    <w:p w14:paraId="6F1866E6" w14:textId="13154279" w:rsidR="00264ED5" w:rsidRPr="00CB554E" w:rsidRDefault="00264ED5" w:rsidP="00686DB2">
      <w:pPr>
        <w:rPr>
          <w:rFonts w:eastAsia="Aptos"/>
          <w:lang w:eastAsia="en-US"/>
        </w:rPr>
      </w:pPr>
      <w:r w:rsidRPr="00CB554E">
        <w:rPr>
          <w:rFonts w:eastAsia="Aptos"/>
          <w:lang w:eastAsia="en-US"/>
        </w:rPr>
        <w:t>Bainham, A. (2009) ‘STRIKING THE BALANCE IN CHILD PROTECTION’, Cambridge law journal, 68(1), pp. 42–45. Available at: https://doi.org/10.1017/S0008197309000324.</w:t>
      </w:r>
    </w:p>
    <w:p w14:paraId="4002D707" w14:textId="77777777" w:rsidR="00686DB2" w:rsidRDefault="00686DB2" w:rsidP="00686DB2">
      <w:pPr>
        <w:rPr>
          <w:rFonts w:eastAsia="Aptos"/>
          <w:lang w:eastAsia="en-US"/>
        </w:rPr>
      </w:pPr>
    </w:p>
    <w:p w14:paraId="163083BD" w14:textId="75119EB7" w:rsidR="00264ED5" w:rsidRPr="00CB554E" w:rsidRDefault="00264ED5" w:rsidP="00686DB2">
      <w:pPr>
        <w:rPr>
          <w:rFonts w:eastAsia="Aptos"/>
          <w:lang w:eastAsia="en-US"/>
        </w:rPr>
      </w:pPr>
      <w:proofErr w:type="spellStart"/>
      <w:r w:rsidRPr="00CB554E">
        <w:rPr>
          <w:rFonts w:eastAsia="Aptos"/>
          <w:lang w:eastAsia="en-US"/>
        </w:rPr>
        <w:t>Beddoe</w:t>
      </w:r>
      <w:proofErr w:type="spellEnd"/>
      <w:r w:rsidRPr="00CB554E">
        <w:rPr>
          <w:rFonts w:eastAsia="Aptos"/>
          <w:lang w:eastAsia="en-US"/>
        </w:rPr>
        <w:t>, L. et al. (2022) ‘Supervision in child protection: a space and place for reflection or an excruciating marathon of compliance?’, European journal of social work, 25(3), pp. 525–537. Available at: https://doi.org/10.1080/13691457.2021.1964443.</w:t>
      </w:r>
    </w:p>
    <w:p w14:paraId="451F08CE" w14:textId="77777777" w:rsidR="00686DB2" w:rsidRDefault="00686DB2" w:rsidP="00686DB2"/>
    <w:p w14:paraId="08FEA126" w14:textId="48000DD2" w:rsidR="00264ED5" w:rsidRPr="00E438B2" w:rsidRDefault="00264ED5" w:rsidP="00686DB2">
      <w:proofErr w:type="spellStart"/>
      <w:r w:rsidRPr="00E438B2">
        <w:t>Boud</w:t>
      </w:r>
      <w:proofErr w:type="spellEnd"/>
      <w:r w:rsidRPr="00E438B2">
        <w:t>, D., Keogh, R., Walker, D. (Eds.), (1985). Reflection: Turning Experience into Learning. Kogan Page, London</w:t>
      </w:r>
    </w:p>
    <w:p w14:paraId="1E83D42D" w14:textId="77777777" w:rsidR="00686DB2" w:rsidRDefault="00686DB2" w:rsidP="00686DB2"/>
    <w:p w14:paraId="2B78F2EB" w14:textId="52A1A6AB" w:rsidR="00264ED5" w:rsidRDefault="00264ED5" w:rsidP="00686DB2">
      <w:r w:rsidRPr="00E438B2">
        <w:t>Celestine (2024) Why Collaboration is Key to Successful Health and Social Care . Accessed at: https://blog.lspm.org.uk/2024/09/09/why-collaboration-is-key-to-successful-health-and-social-care-leadership/ [accessed on 15/02/2025]</w:t>
      </w:r>
    </w:p>
    <w:p w14:paraId="0D2AD54F" w14:textId="77777777" w:rsidR="00B40367" w:rsidRPr="00E438B2" w:rsidRDefault="00B40367" w:rsidP="00686DB2"/>
    <w:p w14:paraId="5A0BD91E" w14:textId="77777777" w:rsidR="00264ED5" w:rsidRPr="006C00BB" w:rsidRDefault="00264ED5" w:rsidP="00686DB2">
      <w:pPr>
        <w:rPr>
          <w:rFonts w:eastAsia="Aptos"/>
          <w:lang w:eastAsia="en-US"/>
        </w:rPr>
      </w:pPr>
      <w:r w:rsidRPr="006C00BB">
        <w:rPr>
          <w:rFonts w:eastAsia="Aptos"/>
          <w:lang w:eastAsia="en-US"/>
        </w:rPr>
        <w:t>Children Act (1989) Children Act 1989. Statute Law Database. Available at: https://www.legislation.gov.uk/ukpga/1989/41 (Accessed: 14 November 2024).</w:t>
      </w:r>
    </w:p>
    <w:p w14:paraId="4B4C9733" w14:textId="77777777" w:rsidR="00686DB2" w:rsidRDefault="00686DB2" w:rsidP="00686DB2">
      <w:pPr>
        <w:rPr>
          <w:rFonts w:eastAsia="Aptos"/>
          <w:lang w:eastAsia="en-US"/>
        </w:rPr>
      </w:pPr>
    </w:p>
    <w:p w14:paraId="5DD77405" w14:textId="426F84F6" w:rsidR="00264ED5" w:rsidRPr="006C00BB" w:rsidRDefault="00264ED5" w:rsidP="00686DB2">
      <w:pPr>
        <w:rPr>
          <w:rFonts w:eastAsia="Aptos"/>
          <w:lang w:eastAsia="en-US"/>
        </w:rPr>
      </w:pPr>
      <w:proofErr w:type="spellStart"/>
      <w:r w:rsidRPr="006C00BB">
        <w:rPr>
          <w:rFonts w:eastAsia="Aptos"/>
          <w:lang w:eastAsia="en-US"/>
        </w:rPr>
        <w:t>Coady</w:t>
      </w:r>
      <w:proofErr w:type="spellEnd"/>
      <w:r w:rsidRPr="006C00BB">
        <w:rPr>
          <w:rFonts w:eastAsia="Aptos"/>
          <w:lang w:eastAsia="en-US"/>
        </w:rPr>
        <w:t>, N., &amp; Lehmann, P. (Eds.). (2016). Theoretical perspectives for direct social work practice: A generalist-eclectic approach. Springer Publishing Company.</w:t>
      </w:r>
    </w:p>
    <w:p w14:paraId="7496E658" w14:textId="77777777" w:rsidR="00AB2DF7" w:rsidRDefault="00AB2DF7" w:rsidP="00686DB2">
      <w:pPr>
        <w:rPr>
          <w:rFonts w:eastAsia="Aptos"/>
          <w:lang w:eastAsia="en-US"/>
        </w:rPr>
      </w:pPr>
    </w:p>
    <w:p w14:paraId="2D8AC766" w14:textId="522BC7A5" w:rsidR="00264ED5" w:rsidRPr="00CB554E" w:rsidRDefault="00264ED5" w:rsidP="00686DB2">
      <w:pPr>
        <w:rPr>
          <w:rFonts w:eastAsia="Aptos"/>
          <w:lang w:eastAsia="en-US"/>
        </w:rPr>
      </w:pPr>
      <w:r w:rsidRPr="00CB554E">
        <w:rPr>
          <w:rFonts w:eastAsia="Aptos"/>
          <w:lang w:eastAsia="en-US"/>
        </w:rPr>
        <w:t xml:space="preserve">Croke, L. (2024). Guidance on Working With Adult and </w:t>
      </w:r>
      <w:proofErr w:type="spellStart"/>
      <w:r w:rsidRPr="00CB554E">
        <w:rPr>
          <w:rFonts w:eastAsia="Aptos"/>
          <w:lang w:eastAsia="en-US"/>
        </w:rPr>
        <w:t>Pediatric</w:t>
      </w:r>
      <w:proofErr w:type="spellEnd"/>
      <w:r w:rsidRPr="00CB554E">
        <w:rPr>
          <w:rFonts w:eastAsia="Aptos"/>
          <w:lang w:eastAsia="en-US"/>
        </w:rPr>
        <w:t xml:space="preserve"> Patients With Autism. AORN Journal, 119(1), P7–P9. </w:t>
      </w:r>
      <w:hyperlink r:id="rId12" w:history="1">
        <w:r w:rsidRPr="00CB554E">
          <w:rPr>
            <w:rFonts w:eastAsia="Aptos"/>
            <w:color w:val="467886"/>
            <w:u w:val="single"/>
            <w:lang w:eastAsia="en-US"/>
          </w:rPr>
          <w:t>https://doi.org/10.1002/aorn.14070</w:t>
        </w:r>
      </w:hyperlink>
    </w:p>
    <w:p w14:paraId="63C2E6EF" w14:textId="77777777" w:rsidR="00AB2DF7" w:rsidRDefault="00AB2DF7" w:rsidP="00686DB2">
      <w:pPr>
        <w:rPr>
          <w:rFonts w:eastAsia="Aptos"/>
          <w:lang w:eastAsia="en-US"/>
        </w:rPr>
      </w:pPr>
    </w:p>
    <w:p w14:paraId="401056E4" w14:textId="5C0FC344" w:rsidR="00264ED5" w:rsidRPr="006C00BB" w:rsidRDefault="00264ED5" w:rsidP="00686DB2">
      <w:pPr>
        <w:rPr>
          <w:rFonts w:eastAsia="Aptos"/>
          <w:lang w:eastAsia="en-US"/>
        </w:rPr>
      </w:pPr>
      <w:r w:rsidRPr="006C00BB">
        <w:rPr>
          <w:rFonts w:eastAsia="Aptos"/>
          <w:lang w:eastAsia="en-US"/>
        </w:rPr>
        <w:t xml:space="preserve">Gladstone, J. et al. (2014) ‘Understanding worker–parent engagement in child protection casework’, Children and youth services review, 44, pp. 56–64. Available at: </w:t>
      </w:r>
      <w:hyperlink r:id="rId13" w:history="1">
        <w:r w:rsidRPr="006C00BB">
          <w:rPr>
            <w:rFonts w:eastAsia="Aptos"/>
            <w:color w:val="467886"/>
            <w:u w:val="single"/>
            <w:lang w:eastAsia="en-US"/>
          </w:rPr>
          <w:t>https://doi.org/10.1016/j.childyouth.2014.06.002</w:t>
        </w:r>
      </w:hyperlink>
      <w:r w:rsidRPr="006C00BB">
        <w:rPr>
          <w:rFonts w:eastAsia="Aptos"/>
          <w:lang w:eastAsia="en-US"/>
        </w:rPr>
        <w:t>.</w:t>
      </w:r>
    </w:p>
    <w:p w14:paraId="0BDE0A24" w14:textId="77777777" w:rsidR="00AB2DF7" w:rsidRDefault="00AB2DF7" w:rsidP="00686DB2">
      <w:pPr>
        <w:rPr>
          <w:rFonts w:eastAsia="Aptos"/>
          <w:lang w:eastAsia="en-US"/>
        </w:rPr>
      </w:pPr>
    </w:p>
    <w:p w14:paraId="4DE24391" w14:textId="472259DB" w:rsidR="00264ED5" w:rsidRPr="00CB554E" w:rsidRDefault="00264ED5" w:rsidP="00686DB2">
      <w:pPr>
        <w:rPr>
          <w:rFonts w:eastAsia="Aptos"/>
          <w:lang w:eastAsia="en-US"/>
        </w:rPr>
      </w:pPr>
      <w:r w:rsidRPr="00CB554E">
        <w:rPr>
          <w:rFonts w:eastAsia="Aptos"/>
          <w:lang w:eastAsia="en-US"/>
        </w:rPr>
        <w:t>Horner, N (2004) What is social work? Context and perspectives. Exeter: Learning matters.</w:t>
      </w:r>
    </w:p>
    <w:p w14:paraId="5749F0BF" w14:textId="77777777" w:rsidR="00AB2DF7" w:rsidRDefault="00AB2DF7" w:rsidP="00686DB2">
      <w:pPr>
        <w:rPr>
          <w:rFonts w:eastAsia="Aptos"/>
          <w:lang w:eastAsia="en-US"/>
        </w:rPr>
      </w:pPr>
    </w:p>
    <w:p w14:paraId="7C46EA3D" w14:textId="6037C9EA" w:rsidR="00264ED5" w:rsidRPr="00CB554E" w:rsidRDefault="00264ED5" w:rsidP="00686DB2">
      <w:pPr>
        <w:rPr>
          <w:rFonts w:eastAsia="Aptos"/>
          <w:lang w:eastAsia="en-US"/>
        </w:rPr>
      </w:pPr>
      <w:r w:rsidRPr="00CB554E">
        <w:rPr>
          <w:rFonts w:eastAsia="Aptos"/>
          <w:lang w:eastAsia="en-US"/>
        </w:rPr>
        <w:t>J. D</w:t>
      </w:r>
      <w:proofErr w:type="spellStart"/>
      <w:r w:rsidRPr="00CB554E">
        <w:rPr>
          <w:rFonts w:eastAsia="Aptos"/>
          <w:lang w:eastAsia="en-US"/>
        </w:rPr>
        <w:t>evlieghere</w:t>
      </w:r>
      <w:proofErr w:type="spellEnd"/>
      <w:r w:rsidRPr="00CB554E">
        <w:rPr>
          <w:rFonts w:eastAsia="Aptos"/>
          <w:lang w:eastAsia="en-US"/>
        </w:rPr>
        <w:t xml:space="preserve"> and P. Gillingham, (2021)“Transparency in social work : a critical exploration and reflection,” BRITISH JOURNAL OF SOCIAL WORK, vol. 51, no. 8, pp. 3375–3392.</w:t>
      </w:r>
    </w:p>
    <w:p w14:paraId="502909F1" w14:textId="77777777" w:rsidR="00AB2DF7" w:rsidRDefault="00AB2DF7" w:rsidP="00686DB2"/>
    <w:p w14:paraId="47951AD3" w14:textId="4AA5A7F4" w:rsidR="00264ED5" w:rsidRDefault="00264ED5" w:rsidP="00686DB2">
      <w:r w:rsidRPr="00E438B2">
        <w:t xml:space="preserve">Jackson, M.S. and </w:t>
      </w:r>
      <w:proofErr w:type="spellStart"/>
      <w:r w:rsidRPr="00E438B2">
        <w:t>Feit</w:t>
      </w:r>
      <w:proofErr w:type="spellEnd"/>
      <w:r w:rsidRPr="00E438B2">
        <w:t xml:space="preserve">, M.D. (2011) ‘Connecting Practice and Research: A Social Work Paradigm of Working Collaboratively with Underserved Populations’, Journal of human </w:t>
      </w:r>
      <w:proofErr w:type="spellStart"/>
      <w:r w:rsidRPr="00E438B2">
        <w:t>behavior</w:t>
      </w:r>
      <w:proofErr w:type="spellEnd"/>
      <w:r w:rsidRPr="00E438B2">
        <w:t xml:space="preserve"> in the social environment, 21(7), pp. 711–714. Available at: </w:t>
      </w:r>
      <w:hyperlink r:id="rId14" w:history="1">
        <w:r w:rsidR="001439B9" w:rsidRPr="00F36D17">
          <w:rPr>
            <w:rStyle w:val="Hyperlink"/>
            <w:sz w:val="24"/>
            <w:szCs w:val="24"/>
          </w:rPr>
          <w:t>https://doi.org/10.1080/10911359.2011.614561</w:t>
        </w:r>
      </w:hyperlink>
      <w:r w:rsidRPr="00E438B2">
        <w:t>.</w:t>
      </w:r>
    </w:p>
    <w:p w14:paraId="772D97C2" w14:textId="77777777" w:rsidR="00D46264" w:rsidRDefault="00D46264" w:rsidP="00686DB2">
      <w:pPr>
        <w:rPr>
          <w:rFonts w:eastAsia="Aptos"/>
          <w:lang w:eastAsia="en-US"/>
        </w:rPr>
      </w:pPr>
    </w:p>
    <w:p w14:paraId="3E32E373" w14:textId="2D2ECAFA" w:rsidR="00264ED5" w:rsidRPr="00CB554E" w:rsidRDefault="00264ED5" w:rsidP="00686DB2">
      <w:pPr>
        <w:rPr>
          <w:rFonts w:eastAsia="Aptos"/>
          <w:lang w:eastAsia="en-US"/>
        </w:rPr>
      </w:pPr>
      <w:r w:rsidRPr="00CB554E">
        <w:rPr>
          <w:rFonts w:eastAsia="Aptos"/>
          <w:lang w:eastAsia="en-US"/>
        </w:rPr>
        <w:lastRenderedPageBreak/>
        <w:t>Jasper, M. (2013) Beginning reflective practice. Second edition. Australia: Cengage Learning.</w:t>
      </w:r>
    </w:p>
    <w:p w14:paraId="325B8649" w14:textId="77777777" w:rsidR="00AB2DF7" w:rsidRDefault="00AB2DF7" w:rsidP="00686DB2"/>
    <w:p w14:paraId="414C819A" w14:textId="516F3545" w:rsidR="00264ED5" w:rsidRPr="00E438B2" w:rsidRDefault="00264ED5" w:rsidP="00686DB2">
      <w:proofErr w:type="spellStart"/>
      <w:r w:rsidRPr="00E438B2">
        <w:t>Kadushin</w:t>
      </w:r>
      <w:proofErr w:type="spellEnd"/>
      <w:r w:rsidRPr="00E438B2">
        <w:t>, A., &amp; Harkness, D. (2014). Supervision in Social Work (Fifth edition). Columbia University Press. https://doi.org/10.7312/kadu15176</w:t>
      </w:r>
    </w:p>
    <w:p w14:paraId="11A1C64B" w14:textId="77777777" w:rsidR="00AB2DF7" w:rsidRDefault="00AB2DF7" w:rsidP="00686DB2">
      <w:pPr>
        <w:rPr>
          <w:rFonts w:eastAsia="Aptos"/>
          <w:lang w:eastAsia="en-US"/>
        </w:rPr>
      </w:pPr>
    </w:p>
    <w:p w14:paraId="2F14CE15" w14:textId="7C3B7FC6" w:rsidR="00264ED5" w:rsidRPr="006C00BB" w:rsidRDefault="00264ED5" w:rsidP="00686DB2">
      <w:pPr>
        <w:rPr>
          <w:rFonts w:eastAsia="Aptos"/>
          <w:lang w:eastAsia="en-US"/>
        </w:rPr>
      </w:pPr>
      <w:r w:rsidRPr="006C00BB">
        <w:rPr>
          <w:rFonts w:eastAsia="Aptos"/>
          <w:lang w:eastAsia="en-US"/>
        </w:rPr>
        <w:t>Kindred, L., 2022. Calm Your Anxiety Journal: Take Control of Your Anxiety and Quiet Your Mind. Rock Point Gift &amp; Stationery.</w:t>
      </w:r>
    </w:p>
    <w:p w14:paraId="03B85958" w14:textId="77777777" w:rsidR="00AB2DF7" w:rsidRDefault="00AB2DF7" w:rsidP="00686DB2"/>
    <w:p w14:paraId="4C32CD00" w14:textId="0640EC5D" w:rsidR="00264ED5" w:rsidRDefault="00264ED5" w:rsidP="00686DB2">
      <w:proofErr w:type="spellStart"/>
      <w:r w:rsidRPr="00E438B2">
        <w:t>Koprowska</w:t>
      </w:r>
      <w:proofErr w:type="spellEnd"/>
      <w:r w:rsidRPr="00E438B2">
        <w:t>, J. (2008) Communication and interpersonal skills in social work. 2nd edition. Exeter: Learning Matters.</w:t>
      </w:r>
    </w:p>
    <w:p w14:paraId="410E5C1E" w14:textId="77777777" w:rsidR="00344B5A" w:rsidRDefault="00344B5A" w:rsidP="00686DB2">
      <w:pPr>
        <w:rPr>
          <w:rFonts w:eastAsia="Aptos"/>
          <w:lang w:eastAsia="en-US"/>
        </w:rPr>
      </w:pPr>
    </w:p>
    <w:p w14:paraId="20CB0273" w14:textId="55791B2D" w:rsidR="00264ED5" w:rsidRPr="00CB554E" w:rsidRDefault="00264ED5" w:rsidP="00686DB2">
      <w:pPr>
        <w:rPr>
          <w:rFonts w:eastAsia="Aptos"/>
          <w:lang w:eastAsia="en-US"/>
        </w:rPr>
      </w:pPr>
      <w:r w:rsidRPr="00CB554E">
        <w:rPr>
          <w:rFonts w:eastAsia="Aptos"/>
          <w:lang w:eastAsia="en-US"/>
        </w:rPr>
        <w:t>Lindsay, T. (Ed.). (2013). Social work intervention (Second edition.). SAGE Publications.</w:t>
      </w:r>
    </w:p>
    <w:p w14:paraId="3A2E221E" w14:textId="77777777" w:rsidR="00AB2DF7" w:rsidRDefault="00AB2DF7" w:rsidP="00686DB2">
      <w:pPr>
        <w:rPr>
          <w:rFonts w:eastAsia="Aptos"/>
          <w:lang w:eastAsia="en-US"/>
        </w:rPr>
      </w:pPr>
    </w:p>
    <w:p w14:paraId="2729C008" w14:textId="5248493A" w:rsidR="00264ED5" w:rsidRPr="00CB554E" w:rsidRDefault="00264ED5" w:rsidP="00686DB2">
      <w:pPr>
        <w:rPr>
          <w:rFonts w:eastAsia="Aptos"/>
          <w:lang w:eastAsia="en-US"/>
        </w:rPr>
      </w:pPr>
      <w:r w:rsidRPr="00CB554E">
        <w:rPr>
          <w:rFonts w:eastAsia="Aptos"/>
          <w:lang w:eastAsia="en-US"/>
        </w:rPr>
        <w:t xml:space="preserve">Moffatt, K. (2019). Postmodern social work : reflective practice and education. Columbia University Press. </w:t>
      </w:r>
      <w:hyperlink r:id="rId15" w:history="1">
        <w:r w:rsidRPr="00CB554E">
          <w:rPr>
            <w:rFonts w:eastAsia="Aptos"/>
            <w:color w:val="467886"/>
            <w:u w:val="single"/>
            <w:lang w:eastAsia="en-US"/>
          </w:rPr>
          <w:t>https://doi.org/10.7312/moff12800</w:t>
        </w:r>
      </w:hyperlink>
    </w:p>
    <w:p w14:paraId="1FFCB46D" w14:textId="77777777" w:rsidR="00AB2DF7" w:rsidRDefault="00AB2DF7" w:rsidP="00686DB2">
      <w:pPr>
        <w:rPr>
          <w:rFonts w:eastAsia="Aptos"/>
          <w:lang w:eastAsia="en-US"/>
        </w:rPr>
      </w:pPr>
    </w:p>
    <w:p w14:paraId="07B8CCF9" w14:textId="1E6B9340" w:rsidR="00264ED5" w:rsidRPr="00CB554E" w:rsidRDefault="00264ED5" w:rsidP="00686DB2">
      <w:pPr>
        <w:rPr>
          <w:rFonts w:eastAsia="Aptos"/>
          <w:lang w:eastAsia="en-US"/>
        </w:rPr>
      </w:pPr>
      <w:proofErr w:type="spellStart"/>
      <w:r w:rsidRPr="00CB554E">
        <w:rPr>
          <w:rFonts w:eastAsia="Aptos"/>
          <w:lang w:eastAsia="en-US"/>
        </w:rPr>
        <w:t>Möller</w:t>
      </w:r>
      <w:proofErr w:type="spellEnd"/>
      <w:r w:rsidRPr="00CB554E">
        <w:rPr>
          <w:rFonts w:eastAsia="Aptos"/>
          <w:lang w:eastAsia="en-US"/>
        </w:rPr>
        <w:t xml:space="preserve">, C. et al. (2024) ‘All inside our heads? A critical discursive review of unconscious bias training in the sciences’, Gender, work, and organization, 31(3), pp. 797–820. Available at: </w:t>
      </w:r>
      <w:hyperlink r:id="rId16" w:history="1">
        <w:r w:rsidRPr="00CB554E">
          <w:rPr>
            <w:rFonts w:eastAsia="Aptos"/>
            <w:color w:val="467886"/>
            <w:u w:val="single"/>
            <w:lang w:eastAsia="en-US"/>
          </w:rPr>
          <w:t>https://doi.org/10.1111/gwao.13028</w:t>
        </w:r>
      </w:hyperlink>
      <w:r w:rsidRPr="00CB554E">
        <w:rPr>
          <w:rFonts w:eastAsia="Aptos"/>
          <w:lang w:eastAsia="en-US"/>
        </w:rPr>
        <w:t>.</w:t>
      </w:r>
    </w:p>
    <w:p w14:paraId="5C0186D5" w14:textId="77777777" w:rsidR="00AB2DF7" w:rsidRDefault="00AB2DF7" w:rsidP="00686DB2">
      <w:pPr>
        <w:rPr>
          <w:rFonts w:eastAsia="Aptos"/>
          <w:lang w:eastAsia="en-US"/>
        </w:rPr>
      </w:pPr>
    </w:p>
    <w:p w14:paraId="579C2CAB" w14:textId="0BFF4B89" w:rsidR="00264ED5" w:rsidRDefault="00264ED5" w:rsidP="00686DB2">
      <w:pPr>
        <w:rPr>
          <w:rFonts w:eastAsia="Aptos"/>
          <w:lang w:eastAsia="en-US"/>
        </w:rPr>
      </w:pPr>
      <w:r w:rsidRPr="00CB554E">
        <w:rPr>
          <w:rFonts w:eastAsia="Aptos"/>
          <w:lang w:eastAsia="en-US"/>
        </w:rPr>
        <w:t xml:space="preserve">Murray, J., </w:t>
      </w:r>
      <w:proofErr w:type="spellStart"/>
      <w:r w:rsidRPr="00CB554E">
        <w:rPr>
          <w:rFonts w:eastAsia="Aptos"/>
          <w:lang w:eastAsia="en-US"/>
        </w:rPr>
        <w:t>Swadener</w:t>
      </w:r>
      <w:proofErr w:type="spellEnd"/>
      <w:r w:rsidRPr="00CB554E">
        <w:rPr>
          <w:rFonts w:eastAsia="Aptos"/>
          <w:lang w:eastAsia="en-US"/>
        </w:rPr>
        <w:t>, B.B. and Smith, K. (eds) (2020) The Routledge international handbook of young children’s rights. First edition. Abingdon, Oxon ; Routledge.</w:t>
      </w:r>
    </w:p>
    <w:p w14:paraId="3B40F7EA" w14:textId="77777777" w:rsidR="00E851FA" w:rsidRDefault="00E851FA" w:rsidP="00686DB2">
      <w:pPr>
        <w:rPr>
          <w:rFonts w:eastAsia="Aptos"/>
          <w:lang w:eastAsia="en-US"/>
        </w:rPr>
      </w:pPr>
    </w:p>
    <w:p w14:paraId="5ADCC7F7" w14:textId="2D34FE77" w:rsidR="00E851FA" w:rsidRPr="00CB554E" w:rsidRDefault="00300C30" w:rsidP="00686DB2">
      <w:pPr>
        <w:rPr>
          <w:rFonts w:eastAsia="Aptos"/>
          <w:lang w:eastAsia="en-US"/>
        </w:rPr>
      </w:pPr>
      <w:proofErr w:type="spellStart"/>
      <w:r w:rsidRPr="00300C30">
        <w:rPr>
          <w:rFonts w:eastAsia="Aptos"/>
          <w:lang w:eastAsia="en-US"/>
        </w:rPr>
        <w:t>Noens</w:t>
      </w:r>
      <w:proofErr w:type="spellEnd"/>
      <w:r w:rsidRPr="00300C30">
        <w:rPr>
          <w:rFonts w:eastAsia="Aptos"/>
          <w:lang w:eastAsia="en-US"/>
        </w:rPr>
        <w:t xml:space="preserve">, I., &amp; van </w:t>
      </w:r>
      <w:proofErr w:type="spellStart"/>
      <w:r w:rsidRPr="00300C30">
        <w:rPr>
          <w:rFonts w:eastAsia="Aptos"/>
          <w:lang w:eastAsia="en-US"/>
        </w:rPr>
        <w:t>Berckelaer-Onnes</w:t>
      </w:r>
      <w:proofErr w:type="spellEnd"/>
      <w:r w:rsidRPr="00300C30">
        <w:rPr>
          <w:rFonts w:eastAsia="Aptos"/>
          <w:lang w:eastAsia="en-US"/>
        </w:rPr>
        <w:t>, I. (2004). Making sense in a fragmentary world: communication in people with autism and learning disability. Autism : the international journal of research and practice, 8(2), 197–218. https://doi.org/10.1177/1362361304042723</w:t>
      </w:r>
    </w:p>
    <w:p w14:paraId="787488F8" w14:textId="77777777" w:rsidR="00AB2DF7" w:rsidRDefault="00AB2DF7" w:rsidP="00686DB2">
      <w:pPr>
        <w:rPr>
          <w:rFonts w:eastAsia="Aptos"/>
          <w:lang w:eastAsia="en-US"/>
        </w:rPr>
      </w:pPr>
    </w:p>
    <w:p w14:paraId="1D6A8F83" w14:textId="201A2C54" w:rsidR="00264ED5" w:rsidRPr="00AD2B9E" w:rsidRDefault="00264ED5" w:rsidP="00686DB2">
      <w:pPr>
        <w:rPr>
          <w:rFonts w:eastAsia="Aptos"/>
          <w:lang w:eastAsia="en-US"/>
        </w:rPr>
      </w:pPr>
      <w:r w:rsidRPr="00AD2B9E">
        <w:rPr>
          <w:rFonts w:eastAsia="Aptos"/>
          <w:lang w:eastAsia="en-US"/>
        </w:rPr>
        <w:t xml:space="preserve">NSPCC (2024) Children and the law. Accessed at; </w:t>
      </w:r>
      <w:hyperlink r:id="rId17" w:anchor="skip-to-content" w:history="1">
        <w:r w:rsidRPr="00AD2B9E">
          <w:rPr>
            <w:rFonts w:eastAsia="Aptos"/>
            <w:color w:val="467886"/>
            <w:u w:val="single"/>
            <w:lang w:eastAsia="en-US"/>
          </w:rPr>
          <w:t>https://learning.nspcc.org.uk/child-protection-system/children-the-law#skip-to-content</w:t>
        </w:r>
      </w:hyperlink>
      <w:r w:rsidRPr="00AD2B9E">
        <w:rPr>
          <w:rFonts w:eastAsia="Aptos"/>
          <w:lang w:eastAsia="en-US"/>
        </w:rPr>
        <w:t xml:space="preserve"> [accessed on 03/01/2025)</w:t>
      </w:r>
    </w:p>
    <w:p w14:paraId="0F329398" w14:textId="77777777" w:rsidR="00E851FA" w:rsidRDefault="00E851FA" w:rsidP="00686DB2">
      <w:pPr>
        <w:rPr>
          <w:rFonts w:eastAsia="Aptos"/>
          <w:lang w:eastAsia="en-US"/>
        </w:rPr>
      </w:pPr>
    </w:p>
    <w:p w14:paraId="3BD6D5BD" w14:textId="2254F5DA" w:rsidR="00264ED5" w:rsidRPr="00AD2B9E" w:rsidRDefault="00264ED5" w:rsidP="00686DB2">
      <w:pPr>
        <w:rPr>
          <w:rFonts w:eastAsia="Aptos"/>
          <w:color w:val="467886"/>
          <w:u w:val="single"/>
          <w:lang w:eastAsia="en-US"/>
        </w:rPr>
      </w:pPr>
      <w:r w:rsidRPr="00AD2B9E">
        <w:rPr>
          <w:rFonts w:eastAsia="Aptos"/>
          <w:lang w:eastAsia="en-US"/>
        </w:rPr>
        <w:t xml:space="preserve">NSPCC, (2023) Everyone is responsible for Safeguarding children. Accessed at;  </w:t>
      </w:r>
      <w:hyperlink r:id="rId18" w:history="1">
        <w:r w:rsidRPr="00AD2B9E">
          <w:rPr>
            <w:rFonts w:eastAsia="Aptos"/>
            <w:color w:val="467886"/>
            <w:u w:val="single"/>
            <w:lang w:eastAsia="en-US"/>
          </w:rPr>
          <w:t>https://learning.nspcc.org.uk/safeguarding-child-protection/duty-of-care-and-safeguarding</w:t>
        </w:r>
      </w:hyperlink>
      <w:r w:rsidRPr="00AD2B9E">
        <w:rPr>
          <w:rFonts w:eastAsia="Aptos"/>
          <w:color w:val="467886"/>
          <w:u w:val="single"/>
          <w:lang w:eastAsia="en-US"/>
        </w:rPr>
        <w:t xml:space="preserve"> </w:t>
      </w:r>
      <w:r w:rsidRPr="00AD2B9E">
        <w:rPr>
          <w:rFonts w:eastAsia="Aptos"/>
          <w:lang w:eastAsia="en-US"/>
        </w:rPr>
        <w:t>[accessed on 07/02/2025]</w:t>
      </w:r>
    </w:p>
    <w:p w14:paraId="04B17D48" w14:textId="77777777" w:rsidR="00E851FA" w:rsidRDefault="00E851FA" w:rsidP="00686DB2">
      <w:pPr>
        <w:rPr>
          <w:rFonts w:eastAsia="Aptos"/>
          <w:lang w:eastAsia="en-US"/>
        </w:rPr>
      </w:pPr>
    </w:p>
    <w:p w14:paraId="3BD28E8C" w14:textId="270EFA9F" w:rsidR="00264ED5" w:rsidRPr="00CB554E" w:rsidRDefault="00264ED5" w:rsidP="00686DB2">
      <w:pPr>
        <w:rPr>
          <w:rFonts w:eastAsia="Aptos"/>
          <w:lang w:eastAsia="en-US"/>
        </w:rPr>
      </w:pPr>
      <w:r w:rsidRPr="00CB554E">
        <w:rPr>
          <w:rFonts w:eastAsia="Aptos"/>
          <w:lang w:eastAsia="en-US"/>
        </w:rPr>
        <w:t>Parker, J. (2021). Social work practice – assessment, planning, intervention and review (6th edition). Sage.</w:t>
      </w:r>
    </w:p>
    <w:p w14:paraId="4FEF3C43" w14:textId="77777777" w:rsidR="00300C30" w:rsidRDefault="00300C30" w:rsidP="00686DB2">
      <w:pPr>
        <w:rPr>
          <w:rFonts w:eastAsia="Aptos"/>
          <w:lang w:eastAsia="en-US"/>
        </w:rPr>
      </w:pPr>
    </w:p>
    <w:p w14:paraId="17B3775D" w14:textId="20008B5D" w:rsidR="00264ED5" w:rsidRPr="00CB554E" w:rsidRDefault="00264ED5" w:rsidP="00686DB2">
      <w:pPr>
        <w:rPr>
          <w:rFonts w:eastAsia="Aptos"/>
          <w:lang w:eastAsia="en-US"/>
        </w:rPr>
      </w:pPr>
      <w:r w:rsidRPr="00CB554E">
        <w:rPr>
          <w:rFonts w:eastAsia="Aptos"/>
          <w:lang w:eastAsia="en-US"/>
        </w:rPr>
        <w:t xml:space="preserve">Safeguarding Wales (2025) The Wales Safeguarding Procedures for children and adults at risk of abuse and neglect. Accessed: </w:t>
      </w:r>
      <w:hyperlink r:id="rId19" w:history="1">
        <w:r w:rsidRPr="00CB554E">
          <w:rPr>
            <w:rFonts w:eastAsia="Aptos"/>
            <w:color w:val="467886"/>
            <w:u w:val="single"/>
            <w:lang w:eastAsia="en-US"/>
          </w:rPr>
          <w:t>https://safeguarding.wales/en/int-i/int-i-i1/i1-p1/</w:t>
        </w:r>
      </w:hyperlink>
      <w:r w:rsidRPr="00CB554E">
        <w:rPr>
          <w:rFonts w:eastAsia="Aptos"/>
          <w:lang w:eastAsia="en-US"/>
        </w:rPr>
        <w:t xml:space="preserve">  [Accessed on 09/01/2025]</w:t>
      </w:r>
    </w:p>
    <w:p w14:paraId="7D507289" w14:textId="77777777" w:rsidR="00300C30" w:rsidRDefault="00300C30" w:rsidP="00686DB2">
      <w:pPr>
        <w:rPr>
          <w:rFonts w:eastAsia="Aptos"/>
          <w:lang w:eastAsia="en-US"/>
        </w:rPr>
      </w:pPr>
    </w:p>
    <w:p w14:paraId="4E8261F0" w14:textId="27E7A923" w:rsidR="00264ED5" w:rsidRPr="00CB554E" w:rsidRDefault="00264ED5" w:rsidP="00686DB2">
      <w:pPr>
        <w:rPr>
          <w:rFonts w:eastAsia="Aptos"/>
          <w:lang w:eastAsia="en-US"/>
        </w:rPr>
      </w:pPr>
      <w:r w:rsidRPr="00CB554E">
        <w:rPr>
          <w:rFonts w:eastAsia="Aptos"/>
          <w:lang w:eastAsia="en-US"/>
        </w:rPr>
        <w:t xml:space="preserve">Shonkoff JP. (2016) Capitalizing on Advances in Science to Reduce the Health Consequences of Early Childhood Adversity. JAMA </w:t>
      </w:r>
      <w:proofErr w:type="spellStart"/>
      <w:r w:rsidRPr="00CB554E">
        <w:rPr>
          <w:rFonts w:eastAsia="Aptos"/>
          <w:lang w:eastAsia="en-US"/>
        </w:rPr>
        <w:t>Pediatr</w:t>
      </w:r>
      <w:proofErr w:type="spellEnd"/>
      <w:r w:rsidRPr="00CB554E">
        <w:rPr>
          <w:rFonts w:eastAsia="Aptos"/>
          <w:lang w:eastAsia="en-US"/>
        </w:rPr>
        <w:t>. 2016;170(10):1003–1007. doi:10.1001/jamapediatrics.2016.1559</w:t>
      </w:r>
    </w:p>
    <w:p w14:paraId="473C2983" w14:textId="77777777" w:rsidR="00300C30" w:rsidRDefault="00300C30" w:rsidP="00686DB2"/>
    <w:p w14:paraId="7AF41B5C" w14:textId="1246F546" w:rsidR="00264ED5" w:rsidRDefault="00264ED5" w:rsidP="00686DB2">
      <w:r w:rsidRPr="00E438B2">
        <w:t>Social Care Wales (2022)</w:t>
      </w:r>
      <w:r w:rsidR="00BC7FD0">
        <w:t xml:space="preserve"> The Social Worker. </w:t>
      </w:r>
      <w:r w:rsidR="00581C16">
        <w:t>Accessed:</w:t>
      </w:r>
      <w:r w:rsidRPr="00E438B2">
        <w:t xml:space="preserve"> </w:t>
      </w:r>
      <w:hyperlink r:id="rId20" w:history="1">
        <w:r w:rsidR="00CE2D25" w:rsidRPr="00F36D17">
          <w:rPr>
            <w:rStyle w:val="Hyperlink"/>
            <w:sz w:val="24"/>
            <w:szCs w:val="24"/>
          </w:rPr>
          <w:t>https://socialc</w:t>
        </w:r>
        <w:r w:rsidR="00CE2D25" w:rsidRPr="00F36D17">
          <w:rPr>
            <w:rStyle w:val="Hyperlink"/>
            <w:sz w:val="24"/>
            <w:szCs w:val="24"/>
          </w:rPr>
          <w:t>a</w:t>
        </w:r>
        <w:r w:rsidR="00CE2D25" w:rsidRPr="00F36D17">
          <w:rPr>
            <w:rStyle w:val="Hyperlink"/>
            <w:sz w:val="24"/>
            <w:szCs w:val="24"/>
          </w:rPr>
          <w:t>re.wales/cms-assets/documents/Practice-guidance-social-workers.pdf</w:t>
        </w:r>
      </w:hyperlink>
      <w:r w:rsidR="00581C16">
        <w:t xml:space="preserve"> [accessed on 01/01/2025]</w:t>
      </w:r>
    </w:p>
    <w:p w14:paraId="3D777A2F" w14:textId="77777777" w:rsidR="00CE2D25" w:rsidRPr="00E438B2" w:rsidRDefault="00CE2D25" w:rsidP="00686DB2"/>
    <w:p w14:paraId="01CA9D33" w14:textId="77777777" w:rsidR="00264ED5" w:rsidRPr="00AD2B9E" w:rsidRDefault="00264ED5" w:rsidP="00686DB2">
      <w:pPr>
        <w:rPr>
          <w:rFonts w:eastAsia="Aptos"/>
          <w:lang w:eastAsia="en-US"/>
        </w:rPr>
      </w:pPr>
      <w:r w:rsidRPr="00AD2B9E">
        <w:rPr>
          <w:rFonts w:eastAsia="Aptos"/>
          <w:lang w:eastAsia="en-US"/>
        </w:rPr>
        <w:t xml:space="preserve">Social Care Wales (2022) Safeguarding. Accessed at: </w:t>
      </w:r>
      <w:hyperlink r:id="rId21" w:history="1">
        <w:r w:rsidRPr="00AD2B9E">
          <w:rPr>
            <w:rFonts w:eastAsia="Aptos"/>
            <w:color w:val="467886"/>
            <w:u w:val="single"/>
            <w:lang w:eastAsia="en-US"/>
          </w:rPr>
          <w:t>https://socialcare.wales/resources-guidance/safeguarding-list</w:t>
        </w:r>
      </w:hyperlink>
      <w:r w:rsidRPr="00AD2B9E">
        <w:rPr>
          <w:rFonts w:eastAsia="Aptos"/>
          <w:color w:val="467886"/>
          <w:u w:val="single"/>
          <w:lang w:eastAsia="en-US"/>
        </w:rPr>
        <w:t xml:space="preserve"> </w:t>
      </w:r>
      <w:r w:rsidRPr="00AD2B9E">
        <w:rPr>
          <w:rFonts w:eastAsia="Aptos"/>
          <w:lang w:eastAsia="en-US"/>
        </w:rPr>
        <w:t>[accessed on 03/02/2025]</w:t>
      </w:r>
    </w:p>
    <w:p w14:paraId="3A39B047" w14:textId="77777777" w:rsidR="00300C30" w:rsidRDefault="00300C30" w:rsidP="00686DB2">
      <w:pPr>
        <w:rPr>
          <w:rFonts w:eastAsia="Aptos"/>
          <w:lang w:eastAsia="en-US"/>
        </w:rPr>
      </w:pPr>
    </w:p>
    <w:p w14:paraId="587B95D0" w14:textId="6A11716F" w:rsidR="00C777BD" w:rsidRDefault="00C777BD" w:rsidP="00686DB2">
      <w:pPr>
        <w:rPr>
          <w:rFonts w:eastAsia="Aptos"/>
          <w:lang w:eastAsia="en-US"/>
        </w:rPr>
      </w:pPr>
      <w:r w:rsidRPr="00C777BD">
        <w:rPr>
          <w:rFonts w:eastAsia="Aptos"/>
          <w:lang w:eastAsia="en-US"/>
        </w:rPr>
        <w:t xml:space="preserve">Social Services and Wellbeing (Wales) Act (2014). National Assembly for Wales. Available at: </w:t>
      </w:r>
      <w:hyperlink r:id="rId22" w:history="1">
        <w:r w:rsidRPr="00F36D17">
          <w:rPr>
            <w:rStyle w:val="Hyperlink"/>
            <w:rFonts w:eastAsia="Aptos"/>
            <w:kern w:val="2"/>
            <w:sz w:val="24"/>
            <w:szCs w:val="24"/>
            <w:lang w:eastAsia="en-US"/>
            <w14:ligatures w14:val="standardContextual"/>
          </w:rPr>
          <w:t>http://www.legislation.gov.uk/an</w:t>
        </w:r>
        <w:r w:rsidRPr="00F36D17">
          <w:rPr>
            <w:rStyle w:val="Hyperlink"/>
            <w:rFonts w:eastAsia="Aptos"/>
            <w:kern w:val="2"/>
            <w:sz w:val="24"/>
            <w:szCs w:val="24"/>
            <w:lang w:eastAsia="en-US"/>
            <w14:ligatures w14:val="standardContextual"/>
          </w:rPr>
          <w:t>a</w:t>
        </w:r>
        <w:r w:rsidRPr="00F36D17">
          <w:rPr>
            <w:rStyle w:val="Hyperlink"/>
            <w:rFonts w:eastAsia="Aptos"/>
            <w:kern w:val="2"/>
            <w:sz w:val="24"/>
            <w:szCs w:val="24"/>
            <w:lang w:eastAsia="en-US"/>
            <w14:ligatures w14:val="standardContextual"/>
          </w:rPr>
          <w:t>w/2014/4/pdfs/anaw_20140004_en.pdf</w:t>
        </w:r>
      </w:hyperlink>
      <w:r w:rsidRPr="00C777BD">
        <w:rPr>
          <w:rFonts w:eastAsia="Aptos"/>
          <w:lang w:eastAsia="en-US"/>
        </w:rPr>
        <w:t>.</w:t>
      </w:r>
    </w:p>
    <w:p w14:paraId="0B2F2BC8" w14:textId="77777777" w:rsidR="00300C30" w:rsidRDefault="00300C30" w:rsidP="00686DB2">
      <w:pPr>
        <w:rPr>
          <w:rFonts w:eastAsia="Aptos"/>
          <w:lang w:eastAsia="en-US"/>
        </w:rPr>
      </w:pPr>
    </w:p>
    <w:p w14:paraId="16BBBDD6" w14:textId="522C5E6C" w:rsidR="00264ED5" w:rsidRPr="00CB554E" w:rsidRDefault="00264ED5" w:rsidP="00686DB2">
      <w:pPr>
        <w:rPr>
          <w:rFonts w:eastAsia="Aptos"/>
          <w:lang w:eastAsia="en-US"/>
        </w:rPr>
      </w:pPr>
      <w:r w:rsidRPr="00CB554E">
        <w:rPr>
          <w:rFonts w:eastAsia="Aptos"/>
          <w:lang w:eastAsia="en-US"/>
        </w:rPr>
        <w:t>Sodhi, M. K., &amp; Cohen, H. L. (2012). The manifestation and integration of embodied knowing into social work practice. Adult Education Quarterly, 62(2), 120–137. https://doi.org/10.1177/0741713611400302</w:t>
      </w:r>
    </w:p>
    <w:p w14:paraId="7DB45699" w14:textId="77777777" w:rsidR="00300C30" w:rsidRDefault="00300C30" w:rsidP="00686DB2">
      <w:pPr>
        <w:rPr>
          <w:rFonts w:eastAsia="Aptos"/>
          <w:lang w:eastAsia="en-US"/>
        </w:rPr>
      </w:pPr>
    </w:p>
    <w:p w14:paraId="15E91322" w14:textId="2BAF4344" w:rsidR="00264ED5" w:rsidRPr="00CB554E" w:rsidRDefault="00264ED5" w:rsidP="00686DB2">
      <w:pPr>
        <w:rPr>
          <w:rFonts w:eastAsia="Aptos"/>
          <w:lang w:eastAsia="en-US"/>
        </w:rPr>
      </w:pPr>
      <w:proofErr w:type="spellStart"/>
      <w:r w:rsidRPr="00CB554E">
        <w:rPr>
          <w:rFonts w:eastAsia="Aptos"/>
          <w:lang w:eastAsia="en-US"/>
        </w:rPr>
        <w:t>Teater</w:t>
      </w:r>
      <w:proofErr w:type="spellEnd"/>
      <w:r w:rsidRPr="00CB554E">
        <w:rPr>
          <w:rFonts w:eastAsia="Aptos"/>
          <w:lang w:eastAsia="en-US"/>
        </w:rPr>
        <w:t>, B. (2014) An introduction to applying social work theories and methods. 2nd ed. Maidenhead: Open University Press.</w:t>
      </w:r>
    </w:p>
    <w:p w14:paraId="0833E78C" w14:textId="68B2B767" w:rsidR="00264ED5" w:rsidRDefault="00264ED5" w:rsidP="00686DB2">
      <w:pPr>
        <w:rPr>
          <w:rFonts w:eastAsia="Aptos"/>
          <w:lang w:eastAsia="en-US"/>
        </w:rPr>
      </w:pPr>
      <w:r w:rsidRPr="00CB554E">
        <w:rPr>
          <w:rFonts w:eastAsia="Aptos"/>
          <w:lang w:eastAsia="en-US"/>
        </w:rPr>
        <w:lastRenderedPageBreak/>
        <w:t xml:space="preserve">Turner, S.G. and </w:t>
      </w:r>
      <w:proofErr w:type="spellStart"/>
      <w:r w:rsidRPr="00CB554E">
        <w:rPr>
          <w:rFonts w:eastAsia="Aptos"/>
          <w:lang w:eastAsia="en-US"/>
        </w:rPr>
        <w:t>Maschi</w:t>
      </w:r>
      <w:proofErr w:type="spellEnd"/>
      <w:r w:rsidRPr="00CB554E">
        <w:rPr>
          <w:rFonts w:eastAsia="Aptos"/>
          <w:lang w:eastAsia="en-US"/>
        </w:rPr>
        <w:t xml:space="preserve">, T.M. (2015) ‘Feminist and empowerment theory and social work practice’, Journal of social work practice, 29(2), pp. 151–162. Available at: </w:t>
      </w:r>
      <w:hyperlink r:id="rId23" w:history="1">
        <w:r w:rsidR="006D2F8F" w:rsidRPr="00CB554E">
          <w:rPr>
            <w:rStyle w:val="Hyperlink"/>
            <w:rFonts w:eastAsia="Aptos"/>
            <w:kern w:val="2"/>
            <w:sz w:val="24"/>
            <w:szCs w:val="24"/>
            <w:lang w:eastAsia="en-US"/>
            <w14:ligatures w14:val="standardContextual"/>
          </w:rPr>
          <w:t>https://doi.org/10.1080/02650533.2014.941282</w:t>
        </w:r>
      </w:hyperlink>
      <w:r w:rsidRPr="00CB554E">
        <w:rPr>
          <w:rFonts w:eastAsia="Aptos"/>
          <w:lang w:eastAsia="en-US"/>
        </w:rPr>
        <w:t>.</w:t>
      </w:r>
    </w:p>
    <w:p w14:paraId="4E055DF9" w14:textId="77777777" w:rsidR="00300C30" w:rsidRDefault="00300C30" w:rsidP="00686DB2">
      <w:pPr>
        <w:rPr>
          <w:rFonts w:eastAsia="Aptos"/>
          <w:lang w:eastAsia="en-US"/>
        </w:rPr>
      </w:pPr>
    </w:p>
    <w:p w14:paraId="41031038" w14:textId="0A6B360E" w:rsidR="006D2F8F" w:rsidRPr="00CB554E" w:rsidRDefault="006D2F8F" w:rsidP="00686DB2">
      <w:pPr>
        <w:rPr>
          <w:rFonts w:eastAsia="Aptos"/>
          <w:lang w:eastAsia="en-US"/>
        </w:rPr>
      </w:pPr>
      <w:r w:rsidRPr="006D2F8F">
        <w:rPr>
          <w:rFonts w:eastAsia="Aptos"/>
          <w:lang w:eastAsia="en-US"/>
        </w:rPr>
        <w:t>Wales Safeguarding procedures 2019. Available at Social care Wales (</w:t>
      </w:r>
      <w:proofErr w:type="spellStart"/>
      <w:r w:rsidRPr="006D2F8F">
        <w:rPr>
          <w:rFonts w:eastAsia="Aptos"/>
          <w:lang w:eastAsia="en-US"/>
        </w:rPr>
        <w:t>safeguarding.wales</w:t>
      </w:r>
      <w:proofErr w:type="spellEnd"/>
      <w:r w:rsidRPr="006D2F8F">
        <w:rPr>
          <w:rFonts w:eastAsia="Aptos"/>
          <w:lang w:eastAsia="en-US"/>
        </w:rPr>
        <w:t>)</w:t>
      </w:r>
    </w:p>
    <w:p w14:paraId="0AFC0A4F" w14:textId="77777777" w:rsidR="00300C30" w:rsidRDefault="00300C30" w:rsidP="00686DB2">
      <w:pPr>
        <w:rPr>
          <w:rFonts w:eastAsia="Aptos"/>
          <w:lang w:eastAsia="en-US"/>
        </w:rPr>
      </w:pPr>
    </w:p>
    <w:p w14:paraId="4A468D1F" w14:textId="3EF2FDB6" w:rsidR="00264ED5" w:rsidRPr="00CB554E" w:rsidRDefault="00264ED5" w:rsidP="00686DB2">
      <w:pPr>
        <w:rPr>
          <w:rFonts w:eastAsia="Aptos"/>
          <w:lang w:eastAsia="en-US"/>
        </w:rPr>
      </w:pPr>
      <w:r w:rsidRPr="00CB554E">
        <w:rPr>
          <w:rFonts w:eastAsia="Aptos"/>
          <w:lang w:eastAsia="en-US"/>
        </w:rPr>
        <w:t xml:space="preserve">Welsh Assembly </w:t>
      </w:r>
      <w:r w:rsidR="004529D6">
        <w:rPr>
          <w:rFonts w:eastAsia="Aptos"/>
          <w:lang w:eastAsia="en-US"/>
        </w:rPr>
        <w:t>G</w:t>
      </w:r>
      <w:r w:rsidRPr="00CB554E">
        <w:rPr>
          <w:rFonts w:eastAsia="Aptos"/>
          <w:lang w:eastAsia="en-US"/>
        </w:rPr>
        <w:t>overnment (20</w:t>
      </w:r>
      <w:r w:rsidR="007A11B8">
        <w:rPr>
          <w:rFonts w:eastAsia="Aptos"/>
          <w:lang w:eastAsia="en-US"/>
        </w:rPr>
        <w:t>1</w:t>
      </w:r>
      <w:r w:rsidR="00FA7E68">
        <w:rPr>
          <w:rFonts w:eastAsia="Aptos"/>
          <w:lang w:eastAsia="en-US"/>
        </w:rPr>
        <w:t>9</w:t>
      </w:r>
      <w:r w:rsidRPr="00CB554E">
        <w:rPr>
          <w:rFonts w:eastAsia="Aptos"/>
          <w:lang w:eastAsia="en-US"/>
        </w:rPr>
        <w:t xml:space="preserve">) </w:t>
      </w:r>
      <w:r w:rsidR="00593BEF">
        <w:rPr>
          <w:rFonts w:eastAsia="Aptos"/>
          <w:lang w:eastAsia="en-US"/>
        </w:rPr>
        <w:t>Social Service and Well-being (</w:t>
      </w:r>
      <w:r w:rsidR="004529D6">
        <w:rPr>
          <w:rFonts w:eastAsia="Aptos"/>
          <w:lang w:eastAsia="en-US"/>
        </w:rPr>
        <w:t>Wales</w:t>
      </w:r>
      <w:r w:rsidR="00593BEF">
        <w:rPr>
          <w:rFonts w:eastAsia="Aptos"/>
          <w:lang w:eastAsia="en-US"/>
        </w:rPr>
        <w:t>) Act (2014)</w:t>
      </w:r>
      <w:r w:rsidR="00BF0E08">
        <w:rPr>
          <w:rFonts w:eastAsia="Aptos"/>
          <w:lang w:eastAsia="en-US"/>
        </w:rPr>
        <w:t xml:space="preserve"> Part 3 Code of Practice</w:t>
      </w:r>
      <w:r w:rsidR="00E62A50">
        <w:rPr>
          <w:rFonts w:eastAsia="Aptos"/>
          <w:lang w:eastAsia="en-US"/>
        </w:rPr>
        <w:t xml:space="preserve"> (assessing the needs of individuals) (online). Available at</w:t>
      </w:r>
      <w:r w:rsidR="008D25E7">
        <w:rPr>
          <w:rFonts w:eastAsia="Aptos"/>
          <w:lang w:eastAsia="en-US"/>
        </w:rPr>
        <w:t xml:space="preserve">; </w:t>
      </w:r>
      <w:hyperlink r:id="rId24" w:history="1">
        <w:r w:rsidR="00FD6003" w:rsidRPr="00F36D17">
          <w:rPr>
            <w:rStyle w:val="Hyperlink"/>
            <w:rFonts w:eastAsia="Aptos"/>
            <w:kern w:val="2"/>
            <w:sz w:val="24"/>
            <w:szCs w:val="24"/>
            <w:lang w:eastAsia="en-US"/>
            <w14:ligatures w14:val="standardContextual"/>
          </w:rPr>
          <w:t>https://www.gov.wales/sites/default/files/publications/2019-05/part-3-code-of-practice-assessing-the-needs-of-individuals.pdf</w:t>
        </w:r>
      </w:hyperlink>
      <w:r w:rsidR="00FD6003">
        <w:rPr>
          <w:rFonts w:eastAsia="Aptos"/>
          <w:lang w:eastAsia="en-US"/>
        </w:rPr>
        <w:t xml:space="preserve"> </w:t>
      </w:r>
      <w:r w:rsidR="00A87C1B">
        <w:rPr>
          <w:rFonts w:eastAsia="Aptos"/>
          <w:lang w:eastAsia="en-US"/>
        </w:rPr>
        <w:t xml:space="preserve"> [accessed 3 February 2025</w:t>
      </w:r>
      <w:r w:rsidR="004529D6">
        <w:rPr>
          <w:rFonts w:eastAsia="Aptos"/>
          <w:lang w:eastAsia="en-US"/>
        </w:rPr>
        <w:t>]</w:t>
      </w:r>
    </w:p>
    <w:p w14:paraId="4112E845" w14:textId="77777777" w:rsidR="00300C30" w:rsidRDefault="00300C30" w:rsidP="00686DB2">
      <w:pPr>
        <w:rPr>
          <w:rFonts w:eastAsia="Aptos"/>
          <w:lang w:eastAsia="en-US"/>
        </w:rPr>
      </w:pPr>
    </w:p>
    <w:p w14:paraId="0FA0BEFF" w14:textId="02242E5A" w:rsidR="00264ED5" w:rsidRPr="006C00BB" w:rsidRDefault="00264ED5" w:rsidP="00686DB2">
      <w:pPr>
        <w:rPr>
          <w:rFonts w:eastAsia="Aptos"/>
          <w:lang w:eastAsia="en-US"/>
        </w:rPr>
      </w:pPr>
      <w:r w:rsidRPr="006C00BB">
        <w:rPr>
          <w:rFonts w:eastAsia="Aptos"/>
          <w:lang w:eastAsia="en-US"/>
        </w:rPr>
        <w:t xml:space="preserve">Welsh Government (2016) More than just words: Welsh language plan in health and social care. (n.d.).[online]  GOV.WALES. Available at: </w:t>
      </w:r>
      <w:hyperlink r:id="rId25" w:history="1">
        <w:r w:rsidRPr="006C00BB">
          <w:rPr>
            <w:rFonts w:eastAsia="Aptos"/>
            <w:color w:val="467886"/>
            <w:u w:val="single"/>
            <w:lang w:eastAsia="en-US"/>
          </w:rPr>
          <w:t>https://www.gov.wales/more-just-words-welsh-language-plan-health-and-social-care</w:t>
        </w:r>
      </w:hyperlink>
      <w:r w:rsidRPr="006C00BB">
        <w:rPr>
          <w:rFonts w:eastAsia="Aptos"/>
          <w:lang w:eastAsia="en-US"/>
        </w:rPr>
        <w:t xml:space="preserve"> [accessed 3 February 2025]</w:t>
      </w:r>
    </w:p>
    <w:p w14:paraId="08216D5E" w14:textId="77777777" w:rsidR="00300C30" w:rsidRDefault="00300C30" w:rsidP="00686DB2">
      <w:pPr>
        <w:rPr>
          <w:rFonts w:eastAsia="Aptos"/>
          <w:lang w:eastAsia="en-US"/>
        </w:rPr>
      </w:pPr>
    </w:p>
    <w:p w14:paraId="24CC0339" w14:textId="0D65740A" w:rsidR="00264ED5" w:rsidRPr="00CB554E" w:rsidRDefault="00264ED5" w:rsidP="00686DB2">
      <w:pPr>
        <w:rPr>
          <w:rFonts w:eastAsia="Aptos"/>
          <w:lang w:eastAsia="en-US"/>
        </w:rPr>
      </w:pPr>
      <w:r w:rsidRPr="00CB554E">
        <w:rPr>
          <w:rFonts w:eastAsia="Aptos"/>
          <w:lang w:eastAsia="en-US"/>
        </w:rPr>
        <w:t xml:space="preserve">Welsh government (2020) Social Service and wellbeing act. Working Together to Safeguard People Information sharing to safeguard children. Accessed; </w:t>
      </w:r>
      <w:hyperlink r:id="rId26" w:history="1">
        <w:r w:rsidRPr="00CB554E">
          <w:rPr>
            <w:rFonts w:eastAsia="Aptos"/>
            <w:color w:val="467886"/>
            <w:u w:val="single"/>
            <w:lang w:eastAsia="en-US"/>
          </w:rPr>
          <w:t>https://www.gov.wales/sites/default/files/publications/2019-07/working-together-to-safeguard-people-information-sharing-to-safeguard-children.pdf</w:t>
        </w:r>
      </w:hyperlink>
      <w:r w:rsidRPr="00CB554E">
        <w:rPr>
          <w:rFonts w:eastAsia="Aptos"/>
          <w:lang w:eastAsia="en-US"/>
        </w:rPr>
        <w:t xml:space="preserve">  [Accessed on 07/01/2025]</w:t>
      </w:r>
    </w:p>
    <w:p w14:paraId="4EE67762" w14:textId="77777777" w:rsidR="00300C30" w:rsidRDefault="00300C30" w:rsidP="00686DB2">
      <w:pPr>
        <w:rPr>
          <w:rFonts w:eastAsia="Aptos"/>
          <w:lang w:eastAsia="en-US"/>
        </w:rPr>
      </w:pPr>
    </w:p>
    <w:p w14:paraId="41A4593B" w14:textId="056D5870" w:rsidR="00264ED5" w:rsidRPr="006C00BB" w:rsidRDefault="00264ED5" w:rsidP="00686DB2">
      <w:pPr>
        <w:rPr>
          <w:rFonts w:eastAsia="Aptos"/>
          <w:lang w:eastAsia="en-US"/>
        </w:rPr>
      </w:pPr>
      <w:r w:rsidRPr="006C00BB">
        <w:rPr>
          <w:rFonts w:eastAsia="Aptos"/>
          <w:lang w:eastAsia="en-US"/>
        </w:rPr>
        <w:t xml:space="preserve">Welsh Government (2022). Written Statement: More than just words [Online]. </w:t>
      </w:r>
      <w:hyperlink r:id="rId27" w:history="1">
        <w:r w:rsidRPr="006C00BB">
          <w:rPr>
            <w:rFonts w:eastAsia="Aptos"/>
            <w:color w:val="467886"/>
            <w:u w:val="single"/>
            <w:lang w:eastAsia="en-US"/>
          </w:rPr>
          <w:t>www.gov.wales</w:t>
        </w:r>
      </w:hyperlink>
      <w:r w:rsidRPr="006C00BB">
        <w:rPr>
          <w:rFonts w:eastAsia="Aptos"/>
          <w:lang w:eastAsia="en-US"/>
        </w:rPr>
        <w:t xml:space="preserve">. Last updated:2022. Available at: </w:t>
      </w:r>
      <w:hyperlink r:id="rId28" w:history="1">
        <w:r w:rsidRPr="006C00BB">
          <w:rPr>
            <w:rFonts w:eastAsia="Aptos"/>
            <w:color w:val="467886"/>
            <w:u w:val="single"/>
            <w:lang w:eastAsia="en-US"/>
          </w:rPr>
          <w:t>https://www.gov.wales/written-statement-more-just-words</w:t>
        </w:r>
      </w:hyperlink>
      <w:r w:rsidRPr="006C00BB">
        <w:rPr>
          <w:rFonts w:eastAsia="Aptos"/>
          <w:lang w:eastAsia="en-US"/>
        </w:rPr>
        <w:t xml:space="preserve"> [accessed 12 November 2024].</w:t>
      </w:r>
    </w:p>
    <w:p w14:paraId="6FB28D25" w14:textId="77777777" w:rsidR="00300C30" w:rsidRDefault="00300C30" w:rsidP="00686DB2">
      <w:pPr>
        <w:rPr>
          <w:rFonts w:eastAsia="Aptos"/>
          <w:lang w:eastAsia="en-US"/>
        </w:rPr>
      </w:pPr>
    </w:p>
    <w:p w14:paraId="58FFF6C3" w14:textId="7A7EDB5E" w:rsidR="00264ED5" w:rsidRPr="00E438B2" w:rsidRDefault="00264ED5" w:rsidP="00686DB2">
      <w:pPr>
        <w:rPr>
          <w:rFonts w:eastAsia="Aptos"/>
          <w:lang w:eastAsia="en-US"/>
        </w:rPr>
      </w:pPr>
      <w:r w:rsidRPr="00CB554E">
        <w:rPr>
          <w:rFonts w:eastAsia="Aptos"/>
          <w:lang w:eastAsia="en-US"/>
        </w:rPr>
        <w:t xml:space="preserve">Welsh Government, (2022). Children (Abolition of Defence of Reasonable Punishment) (Wales) Act 2020. Accessed: </w:t>
      </w:r>
      <w:hyperlink r:id="rId29" w:history="1">
        <w:r w:rsidRPr="00CB554E">
          <w:rPr>
            <w:rFonts w:eastAsia="Aptos"/>
            <w:color w:val="467886"/>
            <w:u w:val="single"/>
            <w:lang w:eastAsia="en-US"/>
          </w:rPr>
          <w:t>https://www.gov.wales/sites/default/files/publications/2022-03/children-wales-act-circular.pdf</w:t>
        </w:r>
      </w:hyperlink>
      <w:r w:rsidRPr="00CB554E">
        <w:rPr>
          <w:rFonts w:eastAsia="Aptos"/>
          <w:lang w:eastAsia="en-US"/>
        </w:rPr>
        <w:t xml:space="preserve"> [accessed on 08/02/2025].</w:t>
      </w:r>
    </w:p>
    <w:p w14:paraId="0B4B30E2" w14:textId="77777777" w:rsidR="00300C30" w:rsidRDefault="00300C30" w:rsidP="00686DB2">
      <w:pPr>
        <w:rPr>
          <w:rFonts w:eastAsia="Aptos"/>
          <w:lang w:eastAsia="en-US"/>
        </w:rPr>
      </w:pPr>
      <w:bookmarkStart w:id="0" w:name="_Hlk189917206"/>
    </w:p>
    <w:p w14:paraId="6EAA77DF" w14:textId="6DC074BC" w:rsidR="00264ED5" w:rsidRPr="00CB554E" w:rsidRDefault="00264ED5" w:rsidP="00686DB2">
      <w:pPr>
        <w:rPr>
          <w:rFonts w:eastAsia="Aptos"/>
          <w:lang w:eastAsia="en-US"/>
        </w:rPr>
      </w:pPr>
      <w:r w:rsidRPr="00CB554E">
        <w:rPr>
          <w:rFonts w:eastAsia="Aptos"/>
          <w:lang w:eastAsia="en-US"/>
        </w:rPr>
        <w:t xml:space="preserve">Wilkins, P. (ed.) (2016) </w:t>
      </w:r>
      <w:bookmarkEnd w:id="0"/>
      <w:r w:rsidRPr="00CB554E">
        <w:rPr>
          <w:rFonts w:eastAsia="Aptos"/>
          <w:lang w:eastAsia="en-US"/>
        </w:rPr>
        <w:t>Person-centred and experiential therapies : contemporary approaches and issues in practice. London: SAGE Publications Ltd.</w:t>
      </w:r>
    </w:p>
    <w:p w14:paraId="45657880" w14:textId="77777777" w:rsidR="00CB554E" w:rsidRPr="00CB554E" w:rsidRDefault="00CB554E" w:rsidP="00CB554E">
      <w:pPr>
        <w:overflowPunct/>
        <w:autoSpaceDE/>
        <w:autoSpaceDN/>
        <w:adjustRightInd/>
        <w:spacing w:after="160" w:line="259" w:lineRule="auto"/>
        <w:textAlignment w:val="auto"/>
        <w:rPr>
          <w:rFonts w:ascii="Aptos" w:eastAsia="Aptos" w:hAnsi="Aptos" w:cs="Latha"/>
          <w:color w:val="auto"/>
          <w:kern w:val="2"/>
          <w:sz w:val="22"/>
          <w:szCs w:val="22"/>
          <w:lang w:eastAsia="en-US"/>
          <w14:ligatures w14:val="standardContextual"/>
        </w:rPr>
      </w:pPr>
    </w:p>
    <w:p w14:paraId="6F0DB0EE" w14:textId="77777777" w:rsidR="006C00BB" w:rsidRPr="006C00BB" w:rsidRDefault="006C00BB" w:rsidP="006C00BB">
      <w:pPr>
        <w:overflowPunct/>
        <w:autoSpaceDE/>
        <w:autoSpaceDN/>
        <w:adjustRightInd/>
        <w:spacing w:after="160" w:line="259" w:lineRule="auto"/>
        <w:textAlignment w:val="auto"/>
        <w:rPr>
          <w:rFonts w:ascii="Aptos" w:eastAsia="Aptos" w:hAnsi="Aptos" w:cs="Latha"/>
          <w:color w:val="auto"/>
          <w:kern w:val="2"/>
          <w:sz w:val="22"/>
          <w:szCs w:val="22"/>
          <w:lang w:eastAsia="en-US"/>
          <w14:ligatures w14:val="standardContextual"/>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7908B5A" w:rsidR="00E559CE" w:rsidRPr="006B5F11" w:rsidRDefault="006B5F11" w:rsidP="006B5F11">
            <w:pPr>
              <w:jc w:val="both"/>
              <w:rPr>
                <w:sz w:val="24"/>
                <w:szCs w:val="24"/>
              </w:rPr>
            </w:pPr>
            <w:r>
              <w:rPr>
                <w:sz w:val="24"/>
                <w:szCs w:val="24"/>
              </w:rPr>
              <w:t>1.</w:t>
            </w:r>
            <w:r w:rsidR="00661143" w:rsidRPr="006B5F11">
              <w:rPr>
                <w:sz w:val="24"/>
                <w:szCs w:val="24"/>
              </w:rPr>
              <w:t xml:space="preserve">  14/03/2024 </w:t>
            </w:r>
          </w:p>
        </w:tc>
        <w:tc>
          <w:tcPr>
            <w:tcW w:w="5094" w:type="dxa"/>
          </w:tcPr>
          <w:p w14:paraId="4504991A" w14:textId="5E52063E" w:rsidR="00E559CE" w:rsidRPr="00B17FA0" w:rsidRDefault="00661143" w:rsidP="00B94443">
            <w:pPr>
              <w:jc w:val="both"/>
              <w:rPr>
                <w:sz w:val="24"/>
                <w:szCs w:val="24"/>
              </w:rPr>
            </w:pPr>
            <w:r>
              <w:rPr>
                <w:sz w:val="24"/>
                <w:szCs w:val="24"/>
              </w:rPr>
              <w:t>14/03/2024</w:t>
            </w:r>
          </w:p>
        </w:tc>
      </w:tr>
      <w:tr w:rsidR="00E559CE" w:rsidRPr="00B17FA0" w14:paraId="05C1FAE9" w14:textId="77777777" w:rsidTr="00B94443">
        <w:tc>
          <w:tcPr>
            <w:tcW w:w="5094" w:type="dxa"/>
          </w:tcPr>
          <w:p w14:paraId="2BDB6661" w14:textId="6EFCDA49" w:rsidR="00E559CE" w:rsidRPr="00B17FA0" w:rsidRDefault="00E559CE" w:rsidP="00B94443">
            <w:pPr>
              <w:jc w:val="both"/>
              <w:rPr>
                <w:sz w:val="24"/>
                <w:szCs w:val="24"/>
              </w:rPr>
            </w:pPr>
            <w:r w:rsidRPr="00B17FA0">
              <w:rPr>
                <w:sz w:val="24"/>
                <w:szCs w:val="24"/>
              </w:rPr>
              <w:t>2</w:t>
            </w:r>
            <w:r w:rsidR="00661143">
              <w:rPr>
                <w:sz w:val="24"/>
                <w:szCs w:val="24"/>
              </w:rPr>
              <w:t xml:space="preserve">. </w:t>
            </w:r>
            <w:r w:rsidR="006B5F11">
              <w:rPr>
                <w:sz w:val="24"/>
                <w:szCs w:val="24"/>
              </w:rPr>
              <w:t xml:space="preserve"> 12/06/2024</w:t>
            </w:r>
          </w:p>
        </w:tc>
        <w:tc>
          <w:tcPr>
            <w:tcW w:w="5094" w:type="dxa"/>
          </w:tcPr>
          <w:p w14:paraId="1AF3604C" w14:textId="7B8F58BE" w:rsidR="00E559CE" w:rsidRPr="00B17FA0" w:rsidRDefault="009A552D" w:rsidP="00B94443">
            <w:pPr>
              <w:jc w:val="both"/>
              <w:rPr>
                <w:sz w:val="24"/>
                <w:szCs w:val="24"/>
              </w:rPr>
            </w:pPr>
            <w:r>
              <w:rPr>
                <w:sz w:val="24"/>
                <w:szCs w:val="24"/>
              </w:rPr>
              <w:t>12/06/2024</w:t>
            </w:r>
          </w:p>
        </w:tc>
      </w:tr>
      <w:tr w:rsidR="00E559CE" w:rsidRPr="00B17FA0" w14:paraId="5356395F" w14:textId="77777777" w:rsidTr="00B94443">
        <w:tc>
          <w:tcPr>
            <w:tcW w:w="5094" w:type="dxa"/>
          </w:tcPr>
          <w:p w14:paraId="7DC37211" w14:textId="6718215D" w:rsidR="00E559CE" w:rsidRPr="00B17FA0" w:rsidRDefault="00E559CE" w:rsidP="00B94443">
            <w:pPr>
              <w:jc w:val="both"/>
              <w:rPr>
                <w:sz w:val="24"/>
                <w:szCs w:val="24"/>
              </w:rPr>
            </w:pPr>
            <w:r w:rsidRPr="00B17FA0">
              <w:rPr>
                <w:sz w:val="24"/>
                <w:szCs w:val="24"/>
              </w:rPr>
              <w:t>3</w:t>
            </w:r>
            <w:r w:rsidR="006B5F11">
              <w:rPr>
                <w:sz w:val="24"/>
                <w:szCs w:val="24"/>
              </w:rPr>
              <w:t>. 11/09/2024</w:t>
            </w:r>
          </w:p>
        </w:tc>
        <w:tc>
          <w:tcPr>
            <w:tcW w:w="5094" w:type="dxa"/>
          </w:tcPr>
          <w:p w14:paraId="4DFBE392" w14:textId="722EB940" w:rsidR="00E559CE" w:rsidRPr="00B17FA0" w:rsidRDefault="009A552D" w:rsidP="00B94443">
            <w:pPr>
              <w:jc w:val="both"/>
              <w:rPr>
                <w:sz w:val="24"/>
                <w:szCs w:val="24"/>
              </w:rPr>
            </w:pPr>
            <w:r>
              <w:rPr>
                <w:sz w:val="24"/>
                <w:szCs w:val="24"/>
              </w:rPr>
              <w:t>11/09/2024</w:t>
            </w:r>
          </w:p>
        </w:tc>
      </w:tr>
      <w:tr w:rsidR="00E559CE" w:rsidRPr="008B28E7" w14:paraId="40165146" w14:textId="77777777" w:rsidTr="00B94443">
        <w:tc>
          <w:tcPr>
            <w:tcW w:w="5094" w:type="dxa"/>
          </w:tcPr>
          <w:p w14:paraId="2DE3C97B" w14:textId="73579DDA" w:rsidR="00E559CE" w:rsidRPr="00B17FA0" w:rsidRDefault="00E559CE" w:rsidP="00B94443">
            <w:pPr>
              <w:jc w:val="both"/>
              <w:rPr>
                <w:sz w:val="24"/>
                <w:szCs w:val="24"/>
              </w:rPr>
            </w:pPr>
            <w:r w:rsidRPr="00B17FA0">
              <w:rPr>
                <w:sz w:val="24"/>
                <w:szCs w:val="24"/>
              </w:rPr>
              <w:t>4</w:t>
            </w:r>
            <w:r w:rsidR="006B5F11">
              <w:rPr>
                <w:sz w:val="24"/>
                <w:szCs w:val="24"/>
              </w:rPr>
              <w:t>. 20/11/2024</w:t>
            </w:r>
          </w:p>
        </w:tc>
        <w:tc>
          <w:tcPr>
            <w:tcW w:w="5094" w:type="dxa"/>
          </w:tcPr>
          <w:p w14:paraId="16B5309A" w14:textId="65E0ECE0" w:rsidR="00E559CE" w:rsidRPr="00B17FA0" w:rsidRDefault="009A552D" w:rsidP="00B94443">
            <w:pPr>
              <w:jc w:val="both"/>
              <w:rPr>
                <w:sz w:val="24"/>
                <w:szCs w:val="24"/>
              </w:rPr>
            </w:pPr>
            <w:r>
              <w:rPr>
                <w:sz w:val="24"/>
                <w:szCs w:val="24"/>
              </w:rPr>
              <w:t>20/11/2024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2945A82" w14:textId="77777777" w:rsidR="00172BF3" w:rsidRDefault="00172BF3" w:rsidP="00172BF3">
            <w:pPr>
              <w:jc w:val="both"/>
              <w:rPr>
                <w:color w:val="auto"/>
                <w:sz w:val="24"/>
                <w:szCs w:val="24"/>
              </w:rPr>
            </w:pPr>
            <w:r w:rsidRPr="00172BF3">
              <w:rPr>
                <w:color w:val="auto"/>
                <w:sz w:val="24"/>
                <w:szCs w:val="24"/>
              </w:rPr>
              <w:t xml:space="preserve">Within Task 1 (part a) Llinos has discussed training and supervision as ways that can support her to develop further her knowledge and skills as a practitioner. </w:t>
            </w:r>
          </w:p>
          <w:p w14:paraId="6E262240" w14:textId="77777777" w:rsidR="00172BF3" w:rsidRPr="00172BF3" w:rsidRDefault="00172BF3" w:rsidP="00172BF3">
            <w:pPr>
              <w:jc w:val="both"/>
              <w:rPr>
                <w:color w:val="auto"/>
                <w:sz w:val="24"/>
                <w:szCs w:val="24"/>
              </w:rPr>
            </w:pPr>
          </w:p>
          <w:p w14:paraId="50610C76" w14:textId="77777777" w:rsidR="00172BF3" w:rsidRDefault="00172BF3" w:rsidP="00172BF3">
            <w:pPr>
              <w:jc w:val="both"/>
              <w:rPr>
                <w:color w:val="auto"/>
                <w:sz w:val="24"/>
                <w:szCs w:val="24"/>
              </w:rPr>
            </w:pPr>
            <w:r w:rsidRPr="00172BF3">
              <w:rPr>
                <w:color w:val="auto"/>
                <w:sz w:val="24"/>
                <w:szCs w:val="24"/>
              </w:rPr>
              <w:t xml:space="preserve">Llinos is a reflective practitioner and utilises supervision effectively to critically reflect on her practice and identify any learning needs. Llinos prepares for supervision and will notify me prior to our supervision of items she wants to discuss. Llinos is able to reflect on what has worked well with the families she supports and ways that she thinks things could go better next time. Llinos is also able to identify ways in which she, the Local Authority and/or other agencies need to improve in order to provide better support to families.  Llinos is a great advocate for the families she supports and will professionally challenge agencies if she is of the view that they are not providing enough, or the right support to families. </w:t>
            </w:r>
          </w:p>
          <w:p w14:paraId="48F3B87F" w14:textId="77777777" w:rsidR="00172BF3" w:rsidRPr="00172BF3" w:rsidRDefault="00172BF3" w:rsidP="00172BF3">
            <w:pPr>
              <w:jc w:val="both"/>
              <w:rPr>
                <w:color w:val="auto"/>
                <w:sz w:val="24"/>
                <w:szCs w:val="24"/>
              </w:rPr>
            </w:pPr>
          </w:p>
          <w:p w14:paraId="3627DF89" w14:textId="77777777" w:rsidR="00172BF3" w:rsidRDefault="00172BF3" w:rsidP="00172BF3">
            <w:pPr>
              <w:jc w:val="both"/>
              <w:rPr>
                <w:color w:val="auto"/>
                <w:sz w:val="24"/>
                <w:szCs w:val="24"/>
              </w:rPr>
            </w:pPr>
            <w:r w:rsidRPr="00172BF3">
              <w:rPr>
                <w:color w:val="auto"/>
                <w:sz w:val="24"/>
                <w:szCs w:val="24"/>
              </w:rPr>
              <w:t xml:space="preserve">It is clear that Llinos utilises training to further her professional knowledge and skills. During the direct observation of practice, I observed Llinos utilising ‘collaborative communication’ skills, and it was evidence that she had taken on board what she had learnt on the training and incorporated it into her practice. Llinos was clear from the onset of the purpose of our meeting and had prepared a list of things the mother had identified in previous telephone calls that she wanted to discuss, and she ensured that all these topics were covered in the meeting. Llinos was open and honest with the mother and grandmother, she was clear in explaining why certain decision had been made and why the Local Authority could not agree to some of the requests made. Llinos gave both ample opportunities to ask questions, gave them time and space to vent their frustrations and was empathetic in her responses. Even though some of the information shared was not what the mother wanted to hear Llinos was clear and gave </w:t>
            </w:r>
            <w:r w:rsidRPr="00172BF3">
              <w:rPr>
                <w:color w:val="auto"/>
                <w:sz w:val="24"/>
                <w:szCs w:val="24"/>
              </w:rPr>
              <w:lastRenderedPageBreak/>
              <w:t xml:space="preserve">mother realistic goals that she needed to achieve for us to discuss these requests again at a later time when the relevant changes had been made. Llinos identified strengths in the mother and her extended family and explored barriers with the mother and what support she needed to make the relevant changes. </w:t>
            </w:r>
          </w:p>
          <w:p w14:paraId="1539141B" w14:textId="77777777" w:rsidR="00172BF3" w:rsidRPr="00172BF3" w:rsidRDefault="00172BF3" w:rsidP="00172BF3">
            <w:pPr>
              <w:jc w:val="both"/>
              <w:rPr>
                <w:color w:val="auto"/>
                <w:sz w:val="24"/>
                <w:szCs w:val="24"/>
              </w:rPr>
            </w:pPr>
          </w:p>
          <w:p w14:paraId="32B76E5A" w14:textId="77777777" w:rsidR="00172BF3" w:rsidRPr="00172BF3" w:rsidRDefault="00172BF3" w:rsidP="00172BF3">
            <w:pPr>
              <w:jc w:val="both"/>
              <w:rPr>
                <w:color w:val="auto"/>
                <w:sz w:val="24"/>
                <w:szCs w:val="24"/>
              </w:rPr>
            </w:pPr>
            <w:r w:rsidRPr="00172BF3">
              <w:rPr>
                <w:color w:val="auto"/>
                <w:sz w:val="24"/>
                <w:szCs w:val="24"/>
              </w:rPr>
              <w:t>In addition to the direct observation of practice I have observed Llinos consistently use collaborative communication skills within her role, whether this is in meeting, visits, telephone calls and her written work where she is clear of the desired outcomes and the relevant support needed to enable families to achieve their goals and to improve their wellbeing and reduce the risks to the children. Within her role Llinos has received much positive feedback from professionals and families regarding her work and commitment to the families she supports.</w:t>
            </w:r>
          </w:p>
          <w:p w14:paraId="42113588" w14:textId="280D22D2" w:rsidR="00172BF3" w:rsidRDefault="00172BF3" w:rsidP="00172BF3">
            <w:pPr>
              <w:jc w:val="both"/>
              <w:rPr>
                <w:color w:val="auto"/>
                <w:sz w:val="24"/>
                <w:szCs w:val="24"/>
              </w:rPr>
            </w:pPr>
            <w:r w:rsidRPr="00172BF3">
              <w:rPr>
                <w:color w:val="auto"/>
                <w:sz w:val="24"/>
                <w:szCs w:val="24"/>
              </w:rPr>
              <w:t xml:space="preserve">Llinos has utilised what she had learnt on the ‘Trauma Informed Schools’ in her practice and this is evident in how she supports foster carers and Looked After Children. Llinos has open and honest conversations with foster carers and mentors them to adopt a trauma informed way to respond to the challenges and demands of looking after a child who has experienced trauma in their lives. Llinos also advocates for foster carers to attend this training as she is aware of the benefits this will have to both the children and foster carers and can reduce the risk of placement breakdowns. Llinos has identified that she would benefit from attending ‘Life Journey Work’ training to better able her to support the children and young people she supports and Llinos will be attending 5 training sessions over March and April. </w:t>
            </w:r>
          </w:p>
          <w:p w14:paraId="0D54871C" w14:textId="77777777" w:rsidR="00172BF3" w:rsidRPr="00172BF3" w:rsidRDefault="00172BF3" w:rsidP="00172BF3">
            <w:pPr>
              <w:jc w:val="both"/>
              <w:rPr>
                <w:color w:val="auto"/>
                <w:sz w:val="24"/>
                <w:szCs w:val="24"/>
              </w:rPr>
            </w:pPr>
          </w:p>
          <w:p w14:paraId="293F7D25" w14:textId="00AE852D" w:rsidR="00172BF3" w:rsidRDefault="00172BF3" w:rsidP="00172BF3">
            <w:pPr>
              <w:jc w:val="both"/>
              <w:rPr>
                <w:color w:val="auto"/>
                <w:sz w:val="24"/>
                <w:szCs w:val="24"/>
              </w:rPr>
            </w:pPr>
            <w:r w:rsidRPr="00172BF3">
              <w:rPr>
                <w:color w:val="auto"/>
                <w:sz w:val="24"/>
                <w:szCs w:val="24"/>
              </w:rPr>
              <w:t>Llinos consistently strives to improve her knowledge base and practice and will seek out ways to develop further her practice whether this is from carrying out research, observing/shadowing others or attending training opportunities. In Task 1 (part b) Llinos identified her progress over the course of the Port</w:t>
            </w:r>
            <w:r>
              <w:rPr>
                <w:color w:val="auto"/>
                <w:sz w:val="24"/>
                <w:szCs w:val="24"/>
              </w:rPr>
              <w:t>h</w:t>
            </w:r>
            <w:r w:rsidRPr="00172BF3">
              <w:rPr>
                <w:color w:val="auto"/>
                <w:sz w:val="24"/>
                <w:szCs w:val="24"/>
              </w:rPr>
              <w:t xml:space="preserve"> </w:t>
            </w:r>
            <w:proofErr w:type="spellStart"/>
            <w:r w:rsidRPr="00172BF3">
              <w:rPr>
                <w:color w:val="auto"/>
                <w:sz w:val="24"/>
                <w:szCs w:val="24"/>
              </w:rPr>
              <w:t>Agored</w:t>
            </w:r>
            <w:proofErr w:type="spellEnd"/>
            <w:r w:rsidRPr="00172BF3">
              <w:rPr>
                <w:color w:val="auto"/>
                <w:sz w:val="24"/>
                <w:szCs w:val="24"/>
              </w:rPr>
              <w:t xml:space="preserve"> programme. I agree with the progress Llinos has identified. </w:t>
            </w:r>
          </w:p>
          <w:p w14:paraId="08E2D268" w14:textId="77777777" w:rsidR="00172BF3" w:rsidRPr="00172BF3" w:rsidRDefault="00172BF3" w:rsidP="00172BF3">
            <w:pPr>
              <w:jc w:val="both"/>
              <w:rPr>
                <w:color w:val="auto"/>
                <w:sz w:val="24"/>
                <w:szCs w:val="24"/>
              </w:rPr>
            </w:pPr>
          </w:p>
          <w:p w14:paraId="03B0CD03" w14:textId="77777777" w:rsidR="00172BF3" w:rsidRPr="00172BF3" w:rsidRDefault="00172BF3" w:rsidP="00172BF3">
            <w:pPr>
              <w:jc w:val="both"/>
              <w:rPr>
                <w:color w:val="auto"/>
                <w:sz w:val="24"/>
                <w:szCs w:val="24"/>
              </w:rPr>
            </w:pPr>
            <w:r w:rsidRPr="00172BF3">
              <w:rPr>
                <w:color w:val="auto"/>
                <w:sz w:val="24"/>
                <w:szCs w:val="24"/>
              </w:rPr>
              <w:t xml:space="preserve">Llinos and I have recently had her annual appraisal, and the developmental needs identified within the appraisal are in line with what she has identified within Task 1 (part b). Llinos is attending ‘Life Story Work’ training, and she would benefit from attending training on Parenting Assessment and Risk Assessment training to build on her knowledge, skills and confidence in this area of her work. Whilst awaiting training opportunities as a team we will support each other to increase skills, knowledge and confidence in this area by sharing Parenting Assessment tools and literature and incorporating practice development sessions into our team meetings so we can share good practice, assessment tools etc as a team. </w:t>
            </w: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52EF8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B503D" w:rsidRPr="00545623">
        <w:rPr>
          <w:bCs/>
          <w:sz w:val="24"/>
          <w:szCs w:val="24"/>
        </w:rPr>
        <w:t xml:space="preserve">Llinos </w:t>
      </w:r>
      <w:proofErr w:type="spellStart"/>
      <w:r w:rsidR="004B503D" w:rsidRPr="00545623">
        <w:rPr>
          <w:bCs/>
          <w:sz w:val="24"/>
          <w:szCs w:val="24"/>
        </w:rPr>
        <w:t>Tegwen</w:t>
      </w:r>
      <w:proofErr w:type="spellEnd"/>
      <w:r w:rsidR="004B503D" w:rsidRPr="00545623">
        <w:rPr>
          <w:bCs/>
          <w:sz w:val="24"/>
          <w:szCs w:val="24"/>
        </w:rPr>
        <w:t xml:space="preserve">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E7D207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815F0">
        <w:rPr>
          <w:b/>
          <w:sz w:val="24"/>
          <w:szCs w:val="24"/>
        </w:rPr>
        <w:t xml:space="preserve"> </w:t>
      </w:r>
      <w:r w:rsidR="009815F0" w:rsidRPr="00545623">
        <w:rPr>
          <w:bCs/>
          <w:sz w:val="24"/>
          <w:szCs w:val="24"/>
        </w:rPr>
        <w:t>2329427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8A13C2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B503D">
        <w:rPr>
          <w:b/>
          <w:sz w:val="24"/>
          <w:szCs w:val="24"/>
        </w:rPr>
        <w:t xml:space="preserve"> </w:t>
      </w:r>
      <w:r w:rsidR="004B503D" w:rsidRPr="00545623">
        <w:rPr>
          <w:bCs/>
          <w:sz w:val="24"/>
          <w:szCs w:val="24"/>
        </w:rPr>
        <w:t xml:space="preserve">1 Howell Terrace, Elim, </w:t>
      </w:r>
      <w:proofErr w:type="spellStart"/>
      <w:r w:rsidR="004B503D" w:rsidRPr="00545623">
        <w:rPr>
          <w:bCs/>
          <w:sz w:val="24"/>
          <w:szCs w:val="24"/>
        </w:rPr>
        <w:t>Llanddeusant</w:t>
      </w:r>
      <w:proofErr w:type="spellEnd"/>
      <w:r w:rsidR="004B503D" w:rsidRPr="00545623">
        <w:rPr>
          <w:bCs/>
          <w:sz w:val="24"/>
          <w:szCs w:val="24"/>
        </w:rPr>
        <w:t>, LL65 4AG</w:t>
      </w:r>
      <w:r w:rsidR="004B503D">
        <w:rPr>
          <w:b/>
          <w:sz w:val="24"/>
          <w:szCs w:val="24"/>
        </w:rPr>
        <w:t xml:space="preserve">.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910D8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B503D">
        <w:rPr>
          <w:b/>
          <w:sz w:val="24"/>
          <w:szCs w:val="24"/>
        </w:rPr>
        <w:t xml:space="preserve"> </w:t>
      </w:r>
      <w:r w:rsidR="004B503D" w:rsidRPr="00545623">
        <w:rPr>
          <w:bCs/>
          <w:sz w:val="24"/>
          <w:szCs w:val="24"/>
        </w:rPr>
        <w:t>07973840919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94ABB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B503D">
        <w:rPr>
          <w:b/>
          <w:sz w:val="24"/>
          <w:szCs w:val="24"/>
        </w:rPr>
        <w:t xml:space="preserve"> </w:t>
      </w:r>
      <w:r w:rsidR="004B503D" w:rsidRPr="00545623">
        <w:rPr>
          <w:bCs/>
          <w:sz w:val="24"/>
          <w:szCs w:val="24"/>
        </w:rPr>
        <w:t>llinos.jos@gmail.com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309195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26689" w:rsidRPr="00545623">
        <w:rPr>
          <w:bCs/>
          <w:sz w:val="24"/>
          <w:szCs w:val="24"/>
        </w:rPr>
        <w:t>27/10/2022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141374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579D4">
        <w:rPr>
          <w:b/>
          <w:sz w:val="24"/>
          <w:szCs w:val="24"/>
        </w:rPr>
        <w:t xml:space="preserve"> </w:t>
      </w:r>
      <w:r w:rsidR="00C44368" w:rsidRPr="00545623">
        <w:rPr>
          <w:bCs/>
          <w:sz w:val="24"/>
          <w:szCs w:val="24"/>
        </w:rPr>
        <w:t>27/10/2022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DB9DA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26689">
        <w:rPr>
          <w:b/>
          <w:sz w:val="24"/>
          <w:szCs w:val="24"/>
        </w:rPr>
        <w:t xml:space="preserve"> </w:t>
      </w:r>
      <w:proofErr w:type="spellStart"/>
      <w:r w:rsidR="00D26689" w:rsidRPr="00E348AE">
        <w:rPr>
          <w:bCs/>
          <w:sz w:val="24"/>
          <w:szCs w:val="24"/>
        </w:rPr>
        <w:t>Cyngor</w:t>
      </w:r>
      <w:proofErr w:type="spellEnd"/>
      <w:r w:rsidR="00D26689" w:rsidRPr="00E348AE">
        <w:rPr>
          <w:bCs/>
          <w:sz w:val="24"/>
          <w:szCs w:val="24"/>
        </w:rPr>
        <w:t xml:space="preserve"> Sir Ynys Mon</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84953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348AE">
        <w:rPr>
          <w:b/>
          <w:sz w:val="24"/>
          <w:szCs w:val="24"/>
        </w:rPr>
        <w:t xml:space="preserve"> </w:t>
      </w:r>
      <w:r w:rsidR="00E348AE" w:rsidRPr="00E348AE">
        <w:rPr>
          <w:bCs/>
          <w:sz w:val="24"/>
          <w:szCs w:val="24"/>
        </w:rPr>
        <w:t>Maria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28E0230" w:rsidR="004923DA" w:rsidRPr="0054562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E348AE">
        <w:rPr>
          <w:b/>
          <w:sz w:val="24"/>
          <w:szCs w:val="24"/>
        </w:rPr>
        <w:t xml:space="preserve"> </w:t>
      </w:r>
      <w:r w:rsidR="00545623" w:rsidRPr="00545623">
        <w:rPr>
          <w:bCs/>
          <w:sz w:val="24"/>
          <w:szCs w:val="24"/>
        </w:rPr>
        <w:t>Council Offices, Llangefni, Ynys Mon, LL77 7TW</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EB9B9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45623">
        <w:rPr>
          <w:b/>
          <w:sz w:val="24"/>
          <w:szCs w:val="24"/>
        </w:rPr>
        <w:t xml:space="preserve"> </w:t>
      </w:r>
      <w:r w:rsidR="00545623" w:rsidRPr="00545623">
        <w:rPr>
          <w:bCs/>
          <w:sz w:val="24"/>
          <w:szCs w:val="24"/>
        </w:rPr>
        <w:t>01248752200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37A2F1C" w:rsidR="004923DA" w:rsidRPr="00496F25"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E-Mail address: </w:t>
      </w:r>
      <w:proofErr w:type="spellStart"/>
      <w:r w:rsidR="00496F25" w:rsidRPr="00496F25">
        <w:rPr>
          <w:bCs/>
          <w:sz w:val="24"/>
          <w:szCs w:val="24"/>
        </w:rPr>
        <w:t>Mariajones@ynysmon.llyw.cymru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01FEA0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96F25">
        <w:rPr>
          <w:b/>
          <w:sz w:val="24"/>
          <w:szCs w:val="24"/>
        </w:rPr>
        <w:t>X</w:t>
      </w: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084C9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11E70">
        <w:rPr>
          <w:b/>
          <w:sz w:val="24"/>
          <w:szCs w:val="24"/>
        </w:rPr>
        <w:t xml:space="preserve"> </w:t>
      </w:r>
      <w:r w:rsidR="00311E70" w:rsidRPr="00311E70">
        <w:rPr>
          <w:bCs/>
          <w:sz w:val="24"/>
          <w:szCs w:val="24"/>
        </w:rPr>
        <w:t xml:space="preserve">Angharad </w:t>
      </w:r>
      <w:r w:rsidR="00833BD1">
        <w:rPr>
          <w:bCs/>
          <w:sz w:val="24"/>
          <w:szCs w:val="24"/>
        </w:rPr>
        <w:t>Roberts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BB093EC" w:rsidR="004923DA" w:rsidRPr="00311E70"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311E70">
        <w:rPr>
          <w:b/>
          <w:sz w:val="24"/>
          <w:szCs w:val="24"/>
        </w:rPr>
        <w:t xml:space="preserve"> </w:t>
      </w:r>
      <w:proofErr w:type="spellStart"/>
      <w:r w:rsidR="00311E70" w:rsidRPr="00311E70">
        <w:rPr>
          <w:bCs/>
          <w:sz w:val="24"/>
          <w:szCs w:val="24"/>
        </w:rPr>
        <w:t>Cyngor</w:t>
      </w:r>
      <w:proofErr w:type="spellEnd"/>
      <w:r w:rsidR="00311E70" w:rsidRPr="00311E70">
        <w:rPr>
          <w:bCs/>
          <w:sz w:val="24"/>
          <w:szCs w:val="24"/>
        </w:rPr>
        <w:t xml:space="preserve"> Sir Ynys Mon, Council Offices, Llangefni, LL77 7TW</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42CB9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11E70">
        <w:rPr>
          <w:b/>
          <w:sz w:val="24"/>
          <w:szCs w:val="24"/>
        </w:rPr>
        <w:t xml:space="preserve"> </w:t>
      </w:r>
      <w:r w:rsidR="00771367" w:rsidRPr="00771367">
        <w:rPr>
          <w:bCs/>
          <w:sz w:val="24"/>
          <w:szCs w:val="24"/>
        </w:rPr>
        <w:t>07776226527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5C4116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33BD1">
        <w:rPr>
          <w:b/>
          <w:sz w:val="24"/>
          <w:szCs w:val="24"/>
        </w:rPr>
        <w:t xml:space="preserve"> </w:t>
      </w:r>
      <w:bookmarkStart w:id="2" w:name="_Hlk190622830"/>
      <w:proofErr w:type="spellStart"/>
      <w:r w:rsidR="00833BD1" w:rsidRPr="00833BD1">
        <w:rPr>
          <w:bCs/>
          <w:sz w:val="24"/>
          <w:szCs w:val="24"/>
        </w:rPr>
        <w:t>AngharadRoberts@ynysmon.llyw.cymru</w:t>
      </w:r>
      <w:bookmarkEnd w:id="2"/>
      <w:proofErr w:type="spellEnd"/>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0533DCC9" w14:textId="77777777" w:rsidR="00771367" w:rsidRPr="00771367" w:rsidRDefault="00771367" w:rsidP="00771367">
            <w:pPr>
              <w:jc w:val="both"/>
              <w:rPr>
                <w:b/>
                <w:sz w:val="24"/>
                <w:szCs w:val="24"/>
              </w:rPr>
            </w:pPr>
            <w:r w:rsidRPr="00771367">
              <w:rPr>
                <w:b/>
                <w:sz w:val="24"/>
                <w:szCs w:val="24"/>
              </w:rPr>
              <w:t xml:space="preserve">Name: </w:t>
            </w:r>
            <w:r w:rsidRPr="00771367">
              <w:rPr>
                <w:sz w:val="24"/>
                <w:szCs w:val="24"/>
              </w:rPr>
              <w:t>Angharad Roberts</w:t>
            </w:r>
          </w:p>
          <w:p w14:paraId="31A9C4E7" w14:textId="77777777" w:rsidR="00771367" w:rsidRPr="00771367" w:rsidRDefault="00771367" w:rsidP="00771367">
            <w:pPr>
              <w:jc w:val="both"/>
              <w:rPr>
                <w:b/>
                <w:sz w:val="24"/>
                <w:szCs w:val="24"/>
              </w:rPr>
            </w:pPr>
          </w:p>
          <w:p w14:paraId="58F3A4C0" w14:textId="77777777" w:rsidR="00771367" w:rsidRPr="00771367" w:rsidRDefault="00771367" w:rsidP="00771367">
            <w:pPr>
              <w:jc w:val="both"/>
              <w:rPr>
                <w:sz w:val="24"/>
                <w:szCs w:val="24"/>
              </w:rPr>
            </w:pPr>
            <w:r w:rsidRPr="00771367">
              <w:rPr>
                <w:b/>
                <w:sz w:val="24"/>
                <w:szCs w:val="24"/>
              </w:rPr>
              <w:t xml:space="preserve">Address: </w:t>
            </w:r>
            <w:proofErr w:type="spellStart"/>
            <w:r w:rsidRPr="00771367">
              <w:rPr>
                <w:sz w:val="24"/>
                <w:szCs w:val="24"/>
              </w:rPr>
              <w:t>Cyngor</w:t>
            </w:r>
            <w:proofErr w:type="spellEnd"/>
            <w:r w:rsidRPr="00771367">
              <w:rPr>
                <w:sz w:val="24"/>
                <w:szCs w:val="24"/>
              </w:rPr>
              <w:t xml:space="preserve"> Sir Ynys Mon, Council Offices, Llangefni, LL77 7TW</w:t>
            </w:r>
          </w:p>
          <w:p w14:paraId="42BF3097" w14:textId="251E12CC" w:rsidR="009D59C2" w:rsidRDefault="009D59C2" w:rsidP="00FF7EBB">
            <w:pPr>
              <w:jc w:val="both"/>
              <w:rPr>
                <w:b/>
                <w:sz w:val="24"/>
                <w:szCs w:val="24"/>
              </w:rPr>
            </w:pPr>
          </w:p>
          <w:p w14:paraId="69655C11" w14:textId="77777777" w:rsidR="00BF770C" w:rsidRDefault="004923DA" w:rsidP="00FF7EBB">
            <w:pPr>
              <w:jc w:val="both"/>
              <w:rPr>
                <w:b/>
                <w:sz w:val="24"/>
                <w:szCs w:val="24"/>
              </w:rPr>
            </w:pPr>
            <w:r w:rsidRPr="008B28E7">
              <w:rPr>
                <w:b/>
                <w:sz w:val="24"/>
                <w:szCs w:val="24"/>
              </w:rPr>
              <w:t>Professional Qualification and date of qualification:</w:t>
            </w:r>
            <w:r w:rsidR="004B10A2">
              <w:rPr>
                <w:b/>
                <w:sz w:val="24"/>
                <w:szCs w:val="24"/>
              </w:rPr>
              <w:t xml:space="preserve"> </w:t>
            </w:r>
          </w:p>
          <w:p w14:paraId="73C3442E" w14:textId="77777777" w:rsidR="00BF770C" w:rsidRDefault="00BF770C" w:rsidP="00FF7EBB">
            <w:pPr>
              <w:jc w:val="both"/>
              <w:rPr>
                <w:b/>
                <w:sz w:val="24"/>
                <w:szCs w:val="24"/>
              </w:rPr>
            </w:pPr>
          </w:p>
          <w:p w14:paraId="6E1CBC17" w14:textId="2E4D6030" w:rsidR="004923DA" w:rsidRDefault="00D249F2" w:rsidP="00FF7EBB">
            <w:pPr>
              <w:jc w:val="both"/>
              <w:rPr>
                <w:bCs/>
                <w:sz w:val="24"/>
                <w:szCs w:val="24"/>
              </w:rPr>
            </w:pPr>
            <w:r w:rsidRPr="00BF770C">
              <w:rPr>
                <w:bCs/>
                <w:sz w:val="24"/>
                <w:szCs w:val="24"/>
              </w:rPr>
              <w:t>BA Hon</w:t>
            </w:r>
            <w:r w:rsidR="00BF770C" w:rsidRPr="00BF770C">
              <w:rPr>
                <w:bCs/>
                <w:sz w:val="24"/>
                <w:szCs w:val="24"/>
              </w:rPr>
              <w:t xml:space="preserve">s degree in Social Work </w:t>
            </w:r>
            <w:r w:rsidR="00BF770C">
              <w:rPr>
                <w:bCs/>
                <w:sz w:val="24"/>
                <w:szCs w:val="24"/>
              </w:rPr>
              <w:t>(</w:t>
            </w:r>
            <w:r w:rsidR="00BF770C" w:rsidRPr="00BF770C">
              <w:rPr>
                <w:bCs/>
                <w:sz w:val="24"/>
                <w:szCs w:val="24"/>
              </w:rPr>
              <w:t>2015</w:t>
            </w:r>
            <w:r w:rsidR="00BF770C">
              <w:rPr>
                <w:bCs/>
                <w:sz w:val="24"/>
                <w:szCs w:val="24"/>
              </w:rPr>
              <w:t>)</w:t>
            </w:r>
          </w:p>
          <w:p w14:paraId="03CD498D" w14:textId="6479B6CE" w:rsidR="00BF770C" w:rsidRPr="00BF770C" w:rsidRDefault="00237BC8" w:rsidP="00FF7EBB">
            <w:pPr>
              <w:jc w:val="both"/>
              <w:rPr>
                <w:bCs/>
                <w:sz w:val="24"/>
                <w:szCs w:val="24"/>
              </w:rPr>
            </w:pPr>
            <w:r>
              <w:rPr>
                <w:bCs/>
                <w:sz w:val="24"/>
                <w:szCs w:val="24"/>
              </w:rPr>
              <w:t xml:space="preserve">Assessing and Supervising </w:t>
            </w:r>
            <w:r w:rsidR="009E7526">
              <w:rPr>
                <w:bCs/>
                <w:sz w:val="24"/>
                <w:szCs w:val="24"/>
              </w:rPr>
              <w:t>Social Work Students (2019)</w:t>
            </w:r>
          </w:p>
          <w:p w14:paraId="5F68A3CF" w14:textId="77777777" w:rsidR="004923DA" w:rsidRDefault="004923DA" w:rsidP="00FF7EBB">
            <w:pPr>
              <w:jc w:val="both"/>
              <w:rPr>
                <w:b/>
                <w:sz w:val="24"/>
                <w:szCs w:val="24"/>
              </w:rPr>
            </w:pPr>
          </w:p>
          <w:p w14:paraId="4C6113F1" w14:textId="0CC7B8C4" w:rsidR="004923DA" w:rsidRDefault="009D59C2" w:rsidP="00FF7EBB">
            <w:pPr>
              <w:jc w:val="both"/>
              <w:rPr>
                <w:b/>
                <w:sz w:val="24"/>
                <w:szCs w:val="24"/>
              </w:rPr>
            </w:pPr>
            <w:r>
              <w:rPr>
                <w:b/>
                <w:sz w:val="24"/>
                <w:szCs w:val="24"/>
              </w:rPr>
              <w:t>T</w:t>
            </w:r>
            <w:r w:rsidR="004923DA" w:rsidRPr="008B28E7">
              <w:rPr>
                <w:b/>
                <w:sz w:val="24"/>
                <w:szCs w:val="24"/>
              </w:rPr>
              <w:t>elephone number:</w:t>
            </w:r>
            <w:r w:rsidR="00771367">
              <w:rPr>
                <w:b/>
                <w:sz w:val="24"/>
                <w:szCs w:val="24"/>
              </w:rPr>
              <w:t xml:space="preserve"> </w:t>
            </w:r>
            <w:r w:rsidR="00771367" w:rsidRPr="00771367">
              <w:rPr>
                <w:bCs/>
                <w:sz w:val="24"/>
                <w:szCs w:val="24"/>
              </w:rPr>
              <w:t>07776226527</w:t>
            </w:r>
          </w:p>
          <w:p w14:paraId="0BB87919" w14:textId="548A11EF" w:rsidR="009D59C2" w:rsidRDefault="009D59C2" w:rsidP="00FF7EBB">
            <w:pPr>
              <w:jc w:val="both"/>
              <w:rPr>
                <w:b/>
                <w:sz w:val="24"/>
                <w:szCs w:val="24"/>
              </w:rPr>
            </w:pPr>
          </w:p>
          <w:p w14:paraId="4FDEE73F" w14:textId="3A79A88B" w:rsidR="009D59C2" w:rsidRPr="00771367" w:rsidRDefault="009D59C2" w:rsidP="00FF7EBB">
            <w:pPr>
              <w:jc w:val="both"/>
              <w:rPr>
                <w:bCs/>
                <w:sz w:val="24"/>
                <w:szCs w:val="24"/>
              </w:rPr>
            </w:pPr>
            <w:r>
              <w:rPr>
                <w:b/>
                <w:sz w:val="24"/>
                <w:szCs w:val="24"/>
              </w:rPr>
              <w:t>Email address:</w:t>
            </w:r>
            <w:r w:rsidR="00771367">
              <w:rPr>
                <w:b/>
                <w:sz w:val="24"/>
                <w:szCs w:val="24"/>
              </w:rPr>
              <w:t xml:space="preserve"> </w:t>
            </w:r>
            <w:proofErr w:type="spellStart"/>
            <w:r w:rsidR="00771367" w:rsidRPr="00771367">
              <w:rPr>
                <w:bCs/>
                <w:sz w:val="24"/>
                <w:szCs w:val="24"/>
              </w:rPr>
              <w:t>AngharadRoberts@ynysmon.llyw.cymru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78262AC4" w14:textId="292642A6" w:rsidR="004923DA" w:rsidRPr="00EE5BC3" w:rsidRDefault="004923DA" w:rsidP="00F33633">
      <w:pPr>
        <w:keepNext/>
        <w:ind w:left="2160" w:firstLine="720"/>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C39A491" w14:textId="4EC69BCD"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A6B46C8" w14:textId="5C9B955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843592">
        <w:rPr>
          <w:noProof/>
          <w:sz w:val="24"/>
          <w:szCs w:val="24"/>
        </w:rPr>
        <w:drawing>
          <wp:inline distT="0" distB="0" distL="0" distR="0" wp14:anchorId="57BD069E" wp14:editId="4A3BDCDF">
            <wp:extent cx="579571" cy="358140"/>
            <wp:effectExtent l="0" t="0" r="0" b="3810"/>
            <wp:docPr id="1880339062" name="Picture 1" descr="A close-up of a handwritt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39062" name="Picture 1" descr="A close-up of a handwritten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991" cy="367669"/>
                    </a:xfrm>
                    <a:prstGeom prst="rect">
                      <a:avLst/>
                    </a:prstGeom>
                  </pic:spPr>
                </pic:pic>
              </a:graphicData>
            </a:graphic>
          </wp:inline>
        </w:drawing>
      </w:r>
      <w:r>
        <w:rPr>
          <w:sz w:val="24"/>
          <w:szCs w:val="24"/>
        </w:rPr>
        <w:t xml:space="preserve">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FBFB8C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5D7786">
        <w:rPr>
          <w:sz w:val="24"/>
          <w:szCs w:val="24"/>
        </w:rPr>
        <w:t>16/02/2025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07FAA445"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791BE923" w14:textId="6490EBB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FC3390">
        <w:rPr>
          <w:noProof/>
          <w:sz w:val="24"/>
          <w:szCs w:val="24"/>
        </w:rPr>
        <w:drawing>
          <wp:inline distT="0" distB="0" distL="0" distR="0" wp14:anchorId="78B3F78B" wp14:editId="24F84C39">
            <wp:extent cx="1476375" cy="685800"/>
            <wp:effectExtent l="0" t="0" r="9525" b="0"/>
            <wp:docPr id="1241725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76375" cy="685800"/>
                    </a:xfrm>
                    <a:prstGeom prst="rect">
                      <a:avLst/>
                    </a:prstGeom>
                    <a:noFill/>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2EA44D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FC3390">
        <w:rPr>
          <w:sz w:val="24"/>
          <w:szCs w:val="24"/>
        </w:rPr>
        <w:t>16/02/2025</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097FF2F" w:rsidR="00335C41" w:rsidRPr="00D3203C" w:rsidRDefault="00335C41" w:rsidP="00335C41">
            <w:pPr>
              <w:ind w:right="180"/>
              <w:jc w:val="both"/>
              <w:rPr>
                <w:sz w:val="24"/>
                <w:szCs w:val="24"/>
              </w:rPr>
            </w:pPr>
            <w:r w:rsidRPr="00D3203C">
              <w:rPr>
                <w:sz w:val="24"/>
                <w:szCs w:val="24"/>
              </w:rPr>
              <w:t>Signed___</w:t>
            </w:r>
            <w:r w:rsidR="00FC3390">
              <w:rPr>
                <w:noProof/>
                <w:sz w:val="24"/>
                <w:szCs w:val="24"/>
              </w:rPr>
              <w:drawing>
                <wp:inline distT="0" distB="0" distL="0" distR="0" wp14:anchorId="0B986C9E" wp14:editId="7451C8F9">
                  <wp:extent cx="1476375" cy="685800"/>
                  <wp:effectExtent l="0" t="0" r="9525" b="0"/>
                  <wp:docPr id="1096859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76375" cy="685800"/>
                          </a:xfrm>
                          <a:prstGeom prst="rect">
                            <a:avLst/>
                          </a:prstGeom>
                          <a:noFill/>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21FB7862" w:rsidR="00335C41" w:rsidRPr="00D3203C" w:rsidRDefault="00335C41" w:rsidP="00335C41">
            <w:pPr>
              <w:ind w:right="180"/>
              <w:jc w:val="both"/>
              <w:rPr>
                <w:sz w:val="24"/>
                <w:szCs w:val="24"/>
              </w:rPr>
            </w:pPr>
            <w:r w:rsidRPr="00D3203C">
              <w:rPr>
                <w:sz w:val="24"/>
                <w:szCs w:val="24"/>
              </w:rPr>
              <w:t>Date ___</w:t>
            </w:r>
            <w:r w:rsidR="00FC3390">
              <w:rPr>
                <w:sz w:val="24"/>
                <w:szCs w:val="24"/>
              </w:rPr>
              <w:t>16/02/2025</w:t>
            </w:r>
            <w:r w:rsidRPr="00D3203C">
              <w:rPr>
                <w:sz w:val="24"/>
                <w:szCs w:val="24"/>
              </w:rPr>
              <w:t>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DC9559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FC3390">
        <w:rPr>
          <w:caps/>
          <w:sz w:val="24"/>
          <w:szCs w:val="24"/>
        </w:rPr>
        <w:t>A</w:t>
      </w:r>
      <w:r w:rsidR="001F58A2">
        <w:rPr>
          <w:caps/>
          <w:sz w:val="24"/>
          <w:szCs w:val="24"/>
        </w:rPr>
        <w:t xml:space="preserve">ngharad roberts </w:t>
      </w:r>
      <w:r w:rsidR="00B577D3">
        <w:rPr>
          <w:caps/>
          <w:sz w:val="24"/>
          <w:szCs w:val="24"/>
        </w:rPr>
        <w:t>_ _ _ _ _ _ _ _ _ _ _ _</w:t>
      </w:r>
    </w:p>
    <w:p w14:paraId="7C11F360" w14:textId="5E00BBF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1F58A2">
        <w:rPr>
          <w:noProof/>
          <w:sz w:val="24"/>
          <w:szCs w:val="24"/>
        </w:rPr>
        <w:drawing>
          <wp:inline distT="0" distB="0" distL="0" distR="0" wp14:anchorId="3B4617D0" wp14:editId="20EE1D6B">
            <wp:extent cx="1476375" cy="685800"/>
            <wp:effectExtent l="0" t="0" r="9525" b="0"/>
            <wp:docPr id="1650953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76375" cy="685800"/>
                    </a:xfrm>
                    <a:prstGeom prst="rect">
                      <a:avLst/>
                    </a:prstGeom>
                    <a:noFill/>
                  </pic:spPr>
                </pic:pic>
              </a:graphicData>
            </a:graphic>
          </wp:inline>
        </w:drawing>
      </w:r>
      <w:r w:rsidR="00B577D3" w:rsidRPr="00B577D3">
        <w:rPr>
          <w:sz w:val="24"/>
          <w:szCs w:val="24"/>
        </w:rPr>
        <w:t>_ _ _ _</w:t>
      </w:r>
      <w:r w:rsidR="009D59C2">
        <w:rPr>
          <w:sz w:val="24"/>
          <w:szCs w:val="24"/>
        </w:rPr>
        <w:t xml:space="preserve">_ </w:t>
      </w:r>
      <w:r w:rsidR="00B577D3" w:rsidRPr="00B577D3">
        <w:rPr>
          <w:sz w:val="24"/>
          <w:szCs w:val="24"/>
        </w:rPr>
        <w:t xml:space="preserve"> _ _ _ _ _</w:t>
      </w:r>
    </w:p>
    <w:p w14:paraId="57B2A00A" w14:textId="07A0C17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540300">
        <w:rPr>
          <w:sz w:val="24"/>
          <w:szCs w:val="24"/>
        </w:rPr>
        <w:t>16/02/2025</w:t>
      </w:r>
      <w:r w:rsidR="00B577D3" w:rsidRPr="00B577D3">
        <w:rPr>
          <w:sz w:val="24"/>
          <w:szCs w:val="24"/>
        </w:rPr>
        <w:t xml:space="preserve">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779BA3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E222D6">
        <w:rPr>
          <w:caps/>
          <w:sz w:val="24"/>
          <w:szCs w:val="24"/>
        </w:rPr>
        <w:t>Llinos jones</w:t>
      </w:r>
      <w:r w:rsidRPr="00B436BF">
        <w:rPr>
          <w:caps/>
          <w:sz w:val="24"/>
          <w:szCs w:val="24"/>
        </w:rPr>
        <w:t xml:space="preserve"> _ _ _ _ _ _ _ _ _ _ _ _ _ _ _</w:t>
      </w:r>
    </w:p>
    <w:p w14:paraId="4903E782" w14:textId="4C0D9DD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_ </w:t>
      </w:r>
      <w:r w:rsidR="00E222D6">
        <w:rPr>
          <w:noProof/>
          <w:sz w:val="24"/>
          <w:szCs w:val="24"/>
        </w:rPr>
        <w:drawing>
          <wp:inline distT="0" distB="0" distL="0" distR="0" wp14:anchorId="7DC4F8F3" wp14:editId="04160254">
            <wp:extent cx="900183" cy="556260"/>
            <wp:effectExtent l="0" t="0" r="0" b="0"/>
            <wp:docPr id="11871780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8009" name="Picture 118717800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12423" cy="563824"/>
                    </a:xfrm>
                    <a:prstGeom prst="rect">
                      <a:avLst/>
                    </a:prstGeom>
                  </pic:spPr>
                </pic:pic>
              </a:graphicData>
            </a:graphic>
          </wp:inline>
        </w:drawing>
      </w:r>
      <w:r w:rsidRPr="00B436BF">
        <w:rPr>
          <w:sz w:val="24"/>
          <w:szCs w:val="24"/>
        </w:rPr>
        <w:t>_ _</w:t>
      </w:r>
      <w:r w:rsidR="001359EE">
        <w:rPr>
          <w:sz w:val="24"/>
          <w:szCs w:val="24"/>
        </w:rPr>
        <w:t xml:space="preserve"> _ </w:t>
      </w:r>
      <w:r w:rsidRPr="00B436BF">
        <w:rPr>
          <w:sz w:val="24"/>
          <w:szCs w:val="24"/>
        </w:rPr>
        <w:t xml:space="preserve"> _ _ _ _ _ _ _ _ _ _ _ _ _ _</w:t>
      </w:r>
    </w:p>
    <w:p w14:paraId="35D5374D" w14:textId="293089F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r w:rsidR="003908D2" w:rsidRPr="00B436BF">
        <w:rPr>
          <w:sz w:val="24"/>
          <w:szCs w:val="24"/>
        </w:rPr>
        <w:t xml:space="preserve">_ </w:t>
      </w:r>
      <w:r w:rsidR="003908D2">
        <w:rPr>
          <w:sz w:val="24"/>
          <w:szCs w:val="24"/>
        </w:rPr>
        <w:t>social</w:t>
      </w:r>
      <w:r w:rsidR="00E222D6">
        <w:rPr>
          <w:sz w:val="24"/>
          <w:szCs w:val="24"/>
        </w:rPr>
        <w:t xml:space="preserve"> worker</w:t>
      </w:r>
      <w:r w:rsidRPr="00B436BF">
        <w:rPr>
          <w:sz w:val="24"/>
          <w:szCs w:val="24"/>
        </w:rPr>
        <w:t>_ _ _ _ _ _ _ _ _ _ _ _ _ _ _ _ _</w:t>
      </w:r>
    </w:p>
    <w:p w14:paraId="4FB74CFA" w14:textId="035D48A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w:t>
      </w:r>
      <w:r w:rsidR="00E222D6">
        <w:rPr>
          <w:sz w:val="24"/>
          <w:szCs w:val="24"/>
        </w:rPr>
        <w:t>16/02/2025</w:t>
      </w:r>
      <w:r w:rsidRPr="00B436BF">
        <w:rPr>
          <w:sz w:val="24"/>
          <w:szCs w:val="24"/>
        </w:rPr>
        <w:t xml:space="preserve">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7DF918D" w:rsidR="00D05A5D" w:rsidRPr="00DA5682" w:rsidRDefault="000A771A" w:rsidP="00CC14B6">
            <w:pPr>
              <w:rPr>
                <w:sz w:val="24"/>
                <w:szCs w:val="24"/>
              </w:rPr>
            </w:pPr>
            <w:r>
              <w:rPr>
                <w:sz w:val="24"/>
                <w:szCs w:val="24"/>
              </w:rPr>
              <w:t xml:space="preserve">Llinos </w:t>
            </w:r>
            <w:proofErr w:type="spellStart"/>
            <w:r>
              <w:rPr>
                <w:sz w:val="24"/>
                <w:szCs w:val="24"/>
              </w:rPr>
              <w:t>Tegwen</w:t>
            </w:r>
            <w:proofErr w:type="spellEnd"/>
            <w:r>
              <w:rPr>
                <w:sz w:val="24"/>
                <w:szCs w:val="24"/>
              </w:rPr>
              <w:t xml:space="preserve">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4088127" w:rsidR="00D05A5D" w:rsidRPr="00DA5682" w:rsidRDefault="000A771A" w:rsidP="00CC14B6">
            <w:pPr>
              <w:rPr>
                <w:sz w:val="24"/>
                <w:szCs w:val="24"/>
              </w:rPr>
            </w:pPr>
            <w:r>
              <w:rPr>
                <w:sz w:val="24"/>
                <w:szCs w:val="24"/>
              </w:rPr>
              <w:t>Intensive Intervention Team, Children and Family Services</w:t>
            </w:r>
            <w:r w:rsidR="005327F7">
              <w:rPr>
                <w:sz w:val="24"/>
                <w:szCs w:val="24"/>
              </w:rPr>
              <w:t xml:space="preserve">, </w:t>
            </w:r>
            <w:proofErr w:type="spellStart"/>
            <w:r w:rsidR="005327F7">
              <w:rPr>
                <w:sz w:val="24"/>
                <w:szCs w:val="24"/>
              </w:rPr>
              <w:t>Cyngor</w:t>
            </w:r>
            <w:proofErr w:type="spellEnd"/>
            <w:r w:rsidR="005327F7">
              <w:rPr>
                <w:sz w:val="24"/>
                <w:szCs w:val="24"/>
              </w:rPr>
              <w:t xml:space="preserve"> Ynys Mon.</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1388E16" w:rsidR="00D05A5D" w:rsidRPr="00DA5682" w:rsidRDefault="005327F7" w:rsidP="00CC14B6">
            <w:pPr>
              <w:rPr>
                <w:sz w:val="24"/>
                <w:szCs w:val="24"/>
              </w:rPr>
            </w:pPr>
            <w:r>
              <w:rPr>
                <w:sz w:val="24"/>
                <w:szCs w:val="24"/>
              </w:rPr>
              <w:t>Angharad Roberts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E67E95D" w:rsidR="00D05A5D" w:rsidRPr="00DA5682" w:rsidRDefault="005327F7" w:rsidP="00CC14B6">
            <w:pPr>
              <w:rPr>
                <w:sz w:val="24"/>
                <w:szCs w:val="24"/>
              </w:rPr>
            </w:pPr>
            <w:r>
              <w:rPr>
                <w:sz w:val="24"/>
                <w:szCs w:val="24"/>
              </w:rPr>
              <w:t>Angharad Roberts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31170F0" w:rsidR="00D05A5D" w:rsidRPr="00DA5682" w:rsidRDefault="00D05A5D" w:rsidP="00D05A5D">
      <w:pPr>
        <w:rPr>
          <w:sz w:val="24"/>
          <w:szCs w:val="24"/>
        </w:rPr>
      </w:pPr>
      <w:r w:rsidRPr="00DA5682">
        <w:rPr>
          <w:sz w:val="24"/>
          <w:szCs w:val="24"/>
        </w:rPr>
        <w:t>Signed:…</w:t>
      </w:r>
      <w:r w:rsidR="00CA5B33">
        <w:rPr>
          <w:noProof/>
          <w:sz w:val="24"/>
          <w:szCs w:val="24"/>
        </w:rPr>
        <w:drawing>
          <wp:inline distT="0" distB="0" distL="0" distR="0" wp14:anchorId="342F88DE" wp14:editId="7FE660BE">
            <wp:extent cx="609371" cy="376555"/>
            <wp:effectExtent l="0" t="0" r="635" b="4445"/>
            <wp:docPr id="1773702056" name="Picture 7" descr="A close-up of a handwritt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02056" name="Picture 7" descr="A close-up of a handwritten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31773" cy="390398"/>
                    </a:xfrm>
                    <a:prstGeom prst="rect">
                      <a:avLst/>
                    </a:prstGeom>
                  </pic:spPr>
                </pic:pic>
              </a:graphicData>
            </a:graphic>
          </wp:inline>
        </w:drawing>
      </w:r>
      <w:r w:rsidRPr="00DA5682">
        <w:rPr>
          <w:sz w:val="24"/>
          <w:szCs w:val="24"/>
        </w:rPr>
        <w:t>……. Print Name:…</w:t>
      </w:r>
      <w:r w:rsidR="00CA5B33">
        <w:rPr>
          <w:sz w:val="24"/>
          <w:szCs w:val="24"/>
        </w:rPr>
        <w:t xml:space="preserve">Llinos </w:t>
      </w:r>
      <w:proofErr w:type="spellStart"/>
      <w:r w:rsidR="00CA5B33">
        <w:rPr>
          <w:sz w:val="24"/>
          <w:szCs w:val="24"/>
        </w:rPr>
        <w:t>Tegwen</w:t>
      </w:r>
      <w:proofErr w:type="spellEnd"/>
      <w:r w:rsidR="00CA5B33">
        <w:rPr>
          <w:sz w:val="24"/>
          <w:szCs w:val="24"/>
        </w:rPr>
        <w:t xml:space="preserve"> Jones</w:t>
      </w:r>
      <w:r w:rsidRPr="00DA5682">
        <w:rPr>
          <w:sz w:val="24"/>
          <w:szCs w:val="24"/>
        </w:rPr>
        <w:t>… Date:…</w:t>
      </w:r>
      <w:r w:rsidR="00CA5B33">
        <w:rPr>
          <w:sz w:val="24"/>
          <w:szCs w:val="24"/>
        </w:rPr>
        <w:t>16/02/2025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F2DB1DF" w:rsidR="00D05A5D" w:rsidRPr="00DA5682" w:rsidRDefault="00D05A5D" w:rsidP="00D05A5D">
      <w:pPr>
        <w:rPr>
          <w:sz w:val="24"/>
          <w:szCs w:val="24"/>
        </w:rPr>
      </w:pPr>
      <w:r w:rsidRPr="00DA5682">
        <w:rPr>
          <w:sz w:val="24"/>
          <w:szCs w:val="24"/>
        </w:rPr>
        <w:t>Signed:…</w:t>
      </w:r>
      <w:r w:rsidR="00CA5B33" w:rsidRPr="00CA5B33">
        <w:rPr>
          <w:rFonts w:ascii="Times New Roman" w:hAnsi="Times New Roman" w:cs="Times New Roman"/>
          <w:noProof/>
          <w:color w:val="auto"/>
          <w:lang w:val="en-US" w:eastAsia="en-US"/>
        </w:rPr>
        <w:t xml:space="preserve"> </w:t>
      </w:r>
      <w:r w:rsidR="00CA5B33" w:rsidRPr="00CA5B33">
        <w:rPr>
          <w:rFonts w:ascii="Times New Roman" w:hAnsi="Times New Roman" w:cs="Times New Roman"/>
          <w:noProof/>
          <w:color w:val="auto"/>
          <w:lang w:val="en-US" w:eastAsia="en-US"/>
        </w:rPr>
        <w:drawing>
          <wp:inline distT="0" distB="0" distL="0" distR="0" wp14:anchorId="5896B4AD" wp14:editId="4149B212">
            <wp:extent cx="1470660" cy="678180"/>
            <wp:effectExtent l="0" t="0" r="0" b="7620"/>
            <wp:docPr id="17431455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70660" cy="678180"/>
                    </a:xfrm>
                    <a:prstGeom prst="rect">
                      <a:avLst/>
                    </a:prstGeom>
                    <a:noFill/>
                    <a:ln>
                      <a:noFill/>
                    </a:ln>
                  </pic:spPr>
                </pic:pic>
              </a:graphicData>
            </a:graphic>
          </wp:inline>
        </w:drawing>
      </w:r>
      <w:r w:rsidRPr="00DA5682">
        <w:rPr>
          <w:sz w:val="24"/>
          <w:szCs w:val="24"/>
        </w:rPr>
        <w:t>.. Print Name:</w:t>
      </w:r>
      <w:r w:rsidR="00CA5B33">
        <w:rPr>
          <w:sz w:val="24"/>
          <w:szCs w:val="24"/>
        </w:rPr>
        <w:t xml:space="preserve"> … Angharad Roberts</w:t>
      </w:r>
      <w:r w:rsidRPr="00DA5682">
        <w:rPr>
          <w:sz w:val="24"/>
          <w:szCs w:val="24"/>
        </w:rPr>
        <w:t>….Date:…</w:t>
      </w:r>
      <w:r w:rsidR="00CA5B33">
        <w:rPr>
          <w:sz w:val="24"/>
          <w:szCs w:val="24"/>
        </w:rPr>
        <w:t>16/02/2025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04A58FA" w14:textId="5C139EA5" w:rsidR="00BB6638" w:rsidRPr="00BE10C2" w:rsidRDefault="00D05A5D" w:rsidP="00974A7D">
      <w:pPr>
        <w:rPr>
          <w:color w:val="auto"/>
          <w:sz w:val="24"/>
          <w:szCs w:val="24"/>
        </w:rPr>
      </w:pPr>
      <w:r w:rsidRPr="00466C2B">
        <w:rPr>
          <w:b/>
          <w:color w:val="auto"/>
          <w:sz w:val="24"/>
          <w:szCs w:val="24"/>
        </w:rPr>
        <w:t>PLEASE FORWARD A SIGNED COPY OF THIS LEARNING AGREEMENT TO YOUR TRAINING COORDINATOR WITHIN ONE MONTH OF YOUR INDUCTION</w:t>
      </w:r>
      <w:r w:rsidR="00974A7D">
        <w:rPr>
          <w:b/>
          <w:color w:val="auto"/>
          <w:sz w:val="24"/>
          <w:szCs w:val="24"/>
        </w:rPr>
        <w:t>.</w:t>
      </w: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AA3120"/>
    <w:multiLevelType w:val="hybridMultilevel"/>
    <w:tmpl w:val="10F27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772315174">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71A"/>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9B9"/>
    <w:rsid w:val="001447F6"/>
    <w:rsid w:val="00147DE3"/>
    <w:rsid w:val="00150794"/>
    <w:rsid w:val="00151DA6"/>
    <w:rsid w:val="00153324"/>
    <w:rsid w:val="001608C4"/>
    <w:rsid w:val="00164832"/>
    <w:rsid w:val="00171418"/>
    <w:rsid w:val="00172BF3"/>
    <w:rsid w:val="001772BF"/>
    <w:rsid w:val="001772DE"/>
    <w:rsid w:val="0019496C"/>
    <w:rsid w:val="001961CF"/>
    <w:rsid w:val="001A59BB"/>
    <w:rsid w:val="001A607E"/>
    <w:rsid w:val="001A6A51"/>
    <w:rsid w:val="001A79C4"/>
    <w:rsid w:val="001B331A"/>
    <w:rsid w:val="001B3872"/>
    <w:rsid w:val="001C0237"/>
    <w:rsid w:val="001C0E74"/>
    <w:rsid w:val="001C4DB8"/>
    <w:rsid w:val="001C50B8"/>
    <w:rsid w:val="001D229F"/>
    <w:rsid w:val="001E2EB6"/>
    <w:rsid w:val="001F4552"/>
    <w:rsid w:val="001F58A2"/>
    <w:rsid w:val="002019EB"/>
    <w:rsid w:val="00204B58"/>
    <w:rsid w:val="00205051"/>
    <w:rsid w:val="00211F65"/>
    <w:rsid w:val="00214047"/>
    <w:rsid w:val="00216563"/>
    <w:rsid w:val="0021792F"/>
    <w:rsid w:val="00220D06"/>
    <w:rsid w:val="002246A0"/>
    <w:rsid w:val="00230439"/>
    <w:rsid w:val="00232A09"/>
    <w:rsid w:val="00235176"/>
    <w:rsid w:val="00236061"/>
    <w:rsid w:val="002372BB"/>
    <w:rsid w:val="00237BC8"/>
    <w:rsid w:val="0024100E"/>
    <w:rsid w:val="00241C1B"/>
    <w:rsid w:val="0024288B"/>
    <w:rsid w:val="00243DB0"/>
    <w:rsid w:val="00247265"/>
    <w:rsid w:val="00253CFB"/>
    <w:rsid w:val="00260663"/>
    <w:rsid w:val="00264ED5"/>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C30"/>
    <w:rsid w:val="003011C8"/>
    <w:rsid w:val="003015C3"/>
    <w:rsid w:val="003106DB"/>
    <w:rsid w:val="00311E70"/>
    <w:rsid w:val="0031350A"/>
    <w:rsid w:val="00316815"/>
    <w:rsid w:val="003168CA"/>
    <w:rsid w:val="00321255"/>
    <w:rsid w:val="0032230D"/>
    <w:rsid w:val="00322A0B"/>
    <w:rsid w:val="00330881"/>
    <w:rsid w:val="00331CD2"/>
    <w:rsid w:val="00332426"/>
    <w:rsid w:val="00335C41"/>
    <w:rsid w:val="00335FC5"/>
    <w:rsid w:val="0033771E"/>
    <w:rsid w:val="00337FEF"/>
    <w:rsid w:val="0034351E"/>
    <w:rsid w:val="00344B5A"/>
    <w:rsid w:val="00354B6D"/>
    <w:rsid w:val="00355210"/>
    <w:rsid w:val="00355CFD"/>
    <w:rsid w:val="003579D4"/>
    <w:rsid w:val="003601E0"/>
    <w:rsid w:val="00362862"/>
    <w:rsid w:val="00365DF9"/>
    <w:rsid w:val="0037066E"/>
    <w:rsid w:val="00372DB4"/>
    <w:rsid w:val="00373A36"/>
    <w:rsid w:val="0037419E"/>
    <w:rsid w:val="00375AF5"/>
    <w:rsid w:val="003761BD"/>
    <w:rsid w:val="00377448"/>
    <w:rsid w:val="00377884"/>
    <w:rsid w:val="003826BD"/>
    <w:rsid w:val="00385414"/>
    <w:rsid w:val="00390074"/>
    <w:rsid w:val="003908D2"/>
    <w:rsid w:val="00392F73"/>
    <w:rsid w:val="00393600"/>
    <w:rsid w:val="0039762B"/>
    <w:rsid w:val="003A0C37"/>
    <w:rsid w:val="003A1B6B"/>
    <w:rsid w:val="003A46C0"/>
    <w:rsid w:val="003A600E"/>
    <w:rsid w:val="003A6513"/>
    <w:rsid w:val="003A7716"/>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0953"/>
    <w:rsid w:val="0044223A"/>
    <w:rsid w:val="00450B67"/>
    <w:rsid w:val="00451851"/>
    <w:rsid w:val="0045189A"/>
    <w:rsid w:val="004529D6"/>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96F25"/>
    <w:rsid w:val="004A2A49"/>
    <w:rsid w:val="004A30CF"/>
    <w:rsid w:val="004A5A64"/>
    <w:rsid w:val="004A6B8E"/>
    <w:rsid w:val="004B10A2"/>
    <w:rsid w:val="004B503D"/>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7B3D"/>
    <w:rsid w:val="005113D4"/>
    <w:rsid w:val="0051287D"/>
    <w:rsid w:val="00512AB1"/>
    <w:rsid w:val="00513C7D"/>
    <w:rsid w:val="00521123"/>
    <w:rsid w:val="00521221"/>
    <w:rsid w:val="0052250B"/>
    <w:rsid w:val="005305C6"/>
    <w:rsid w:val="005327F7"/>
    <w:rsid w:val="00540300"/>
    <w:rsid w:val="00540EEC"/>
    <w:rsid w:val="005414F4"/>
    <w:rsid w:val="00545623"/>
    <w:rsid w:val="00546187"/>
    <w:rsid w:val="00547B11"/>
    <w:rsid w:val="00557D77"/>
    <w:rsid w:val="00562EAA"/>
    <w:rsid w:val="00563B58"/>
    <w:rsid w:val="005640C4"/>
    <w:rsid w:val="0056684C"/>
    <w:rsid w:val="00574A0C"/>
    <w:rsid w:val="0057780F"/>
    <w:rsid w:val="00581C16"/>
    <w:rsid w:val="00581E0A"/>
    <w:rsid w:val="005841E5"/>
    <w:rsid w:val="00586D89"/>
    <w:rsid w:val="005877C8"/>
    <w:rsid w:val="00587923"/>
    <w:rsid w:val="00593BEF"/>
    <w:rsid w:val="00594F9F"/>
    <w:rsid w:val="005A1B4C"/>
    <w:rsid w:val="005A545C"/>
    <w:rsid w:val="005B271A"/>
    <w:rsid w:val="005B3A2D"/>
    <w:rsid w:val="005C1567"/>
    <w:rsid w:val="005C28D3"/>
    <w:rsid w:val="005C6CE5"/>
    <w:rsid w:val="005D3F07"/>
    <w:rsid w:val="005D4A1E"/>
    <w:rsid w:val="005D4F72"/>
    <w:rsid w:val="005D7786"/>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143"/>
    <w:rsid w:val="006635E3"/>
    <w:rsid w:val="006669F3"/>
    <w:rsid w:val="006712A7"/>
    <w:rsid w:val="00672CED"/>
    <w:rsid w:val="00674FC2"/>
    <w:rsid w:val="00676E35"/>
    <w:rsid w:val="00677E42"/>
    <w:rsid w:val="00682334"/>
    <w:rsid w:val="00684732"/>
    <w:rsid w:val="00684B16"/>
    <w:rsid w:val="00686DB2"/>
    <w:rsid w:val="00687016"/>
    <w:rsid w:val="006872A0"/>
    <w:rsid w:val="0069625A"/>
    <w:rsid w:val="00696A88"/>
    <w:rsid w:val="00696F65"/>
    <w:rsid w:val="00697572"/>
    <w:rsid w:val="006B4496"/>
    <w:rsid w:val="006B5E67"/>
    <w:rsid w:val="006B5F11"/>
    <w:rsid w:val="006B6612"/>
    <w:rsid w:val="006C00BB"/>
    <w:rsid w:val="006C2EB5"/>
    <w:rsid w:val="006D18A3"/>
    <w:rsid w:val="006D2F8F"/>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367"/>
    <w:rsid w:val="00772924"/>
    <w:rsid w:val="0078112D"/>
    <w:rsid w:val="007872F2"/>
    <w:rsid w:val="007873F9"/>
    <w:rsid w:val="007908E0"/>
    <w:rsid w:val="00793EB3"/>
    <w:rsid w:val="00794205"/>
    <w:rsid w:val="0079422A"/>
    <w:rsid w:val="00794DF8"/>
    <w:rsid w:val="007A11B8"/>
    <w:rsid w:val="007A1F6A"/>
    <w:rsid w:val="007A628F"/>
    <w:rsid w:val="007B0DE3"/>
    <w:rsid w:val="007B1BFD"/>
    <w:rsid w:val="007B7191"/>
    <w:rsid w:val="007C1D94"/>
    <w:rsid w:val="007C27AC"/>
    <w:rsid w:val="007C556F"/>
    <w:rsid w:val="007C5ABE"/>
    <w:rsid w:val="007C6A87"/>
    <w:rsid w:val="007D0A07"/>
    <w:rsid w:val="007D0F11"/>
    <w:rsid w:val="007D133D"/>
    <w:rsid w:val="007D3EB4"/>
    <w:rsid w:val="007D3F16"/>
    <w:rsid w:val="007E201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BD1"/>
    <w:rsid w:val="008340BA"/>
    <w:rsid w:val="00834F1D"/>
    <w:rsid w:val="00836FEC"/>
    <w:rsid w:val="00841F9D"/>
    <w:rsid w:val="008420E1"/>
    <w:rsid w:val="00843592"/>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5E7"/>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A7F"/>
    <w:rsid w:val="00920E5B"/>
    <w:rsid w:val="00926436"/>
    <w:rsid w:val="00926C53"/>
    <w:rsid w:val="0093018C"/>
    <w:rsid w:val="0094495F"/>
    <w:rsid w:val="009544C0"/>
    <w:rsid w:val="00954FA4"/>
    <w:rsid w:val="00956AE9"/>
    <w:rsid w:val="00964CC6"/>
    <w:rsid w:val="00967BFA"/>
    <w:rsid w:val="00974A7D"/>
    <w:rsid w:val="009815F0"/>
    <w:rsid w:val="0098262C"/>
    <w:rsid w:val="0098427C"/>
    <w:rsid w:val="00986B43"/>
    <w:rsid w:val="00986C0B"/>
    <w:rsid w:val="00986D46"/>
    <w:rsid w:val="00991FDA"/>
    <w:rsid w:val="00992ACA"/>
    <w:rsid w:val="009A552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526"/>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7C1B"/>
    <w:rsid w:val="00A906AA"/>
    <w:rsid w:val="00A94C5E"/>
    <w:rsid w:val="00AA252C"/>
    <w:rsid w:val="00AA666E"/>
    <w:rsid w:val="00AA7960"/>
    <w:rsid w:val="00AB2DF7"/>
    <w:rsid w:val="00AB5518"/>
    <w:rsid w:val="00AC3A0E"/>
    <w:rsid w:val="00AC4A04"/>
    <w:rsid w:val="00AC5679"/>
    <w:rsid w:val="00AD2B9E"/>
    <w:rsid w:val="00AD336F"/>
    <w:rsid w:val="00AE134C"/>
    <w:rsid w:val="00AE1868"/>
    <w:rsid w:val="00AE2564"/>
    <w:rsid w:val="00AE301F"/>
    <w:rsid w:val="00AE3302"/>
    <w:rsid w:val="00AE5BA6"/>
    <w:rsid w:val="00AE6231"/>
    <w:rsid w:val="00AE7077"/>
    <w:rsid w:val="00AF4653"/>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0367"/>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0B1C"/>
    <w:rsid w:val="00BC1C22"/>
    <w:rsid w:val="00BC460B"/>
    <w:rsid w:val="00BC4ED3"/>
    <w:rsid w:val="00BC5725"/>
    <w:rsid w:val="00BC7FD0"/>
    <w:rsid w:val="00BD30B1"/>
    <w:rsid w:val="00BE0F7B"/>
    <w:rsid w:val="00BE10C2"/>
    <w:rsid w:val="00BF0D6C"/>
    <w:rsid w:val="00BF0E08"/>
    <w:rsid w:val="00BF770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368"/>
    <w:rsid w:val="00C4664D"/>
    <w:rsid w:val="00C472AA"/>
    <w:rsid w:val="00C50A05"/>
    <w:rsid w:val="00C54AED"/>
    <w:rsid w:val="00C555FC"/>
    <w:rsid w:val="00C55E9B"/>
    <w:rsid w:val="00C56D09"/>
    <w:rsid w:val="00C57D24"/>
    <w:rsid w:val="00C604D6"/>
    <w:rsid w:val="00C63CAB"/>
    <w:rsid w:val="00C63D00"/>
    <w:rsid w:val="00C64154"/>
    <w:rsid w:val="00C6441B"/>
    <w:rsid w:val="00C65921"/>
    <w:rsid w:val="00C705DD"/>
    <w:rsid w:val="00C7108B"/>
    <w:rsid w:val="00C75883"/>
    <w:rsid w:val="00C777BD"/>
    <w:rsid w:val="00C77FA5"/>
    <w:rsid w:val="00C8089F"/>
    <w:rsid w:val="00C835FE"/>
    <w:rsid w:val="00C836CC"/>
    <w:rsid w:val="00C852D6"/>
    <w:rsid w:val="00C87A74"/>
    <w:rsid w:val="00C92C71"/>
    <w:rsid w:val="00C93F8F"/>
    <w:rsid w:val="00CA0894"/>
    <w:rsid w:val="00CA3593"/>
    <w:rsid w:val="00CA5726"/>
    <w:rsid w:val="00CA5B33"/>
    <w:rsid w:val="00CA7E6A"/>
    <w:rsid w:val="00CB258E"/>
    <w:rsid w:val="00CB3C8F"/>
    <w:rsid w:val="00CB554E"/>
    <w:rsid w:val="00CC02F1"/>
    <w:rsid w:val="00CC1122"/>
    <w:rsid w:val="00CC11A6"/>
    <w:rsid w:val="00CC135E"/>
    <w:rsid w:val="00CC7226"/>
    <w:rsid w:val="00CD0735"/>
    <w:rsid w:val="00CD45E3"/>
    <w:rsid w:val="00CD4771"/>
    <w:rsid w:val="00CD5089"/>
    <w:rsid w:val="00CD5D3F"/>
    <w:rsid w:val="00CD7E1F"/>
    <w:rsid w:val="00CE2D25"/>
    <w:rsid w:val="00CE4BC4"/>
    <w:rsid w:val="00CE7DA2"/>
    <w:rsid w:val="00CF2F8A"/>
    <w:rsid w:val="00CF3DB3"/>
    <w:rsid w:val="00D0274B"/>
    <w:rsid w:val="00D0503D"/>
    <w:rsid w:val="00D052BC"/>
    <w:rsid w:val="00D05A5D"/>
    <w:rsid w:val="00D07026"/>
    <w:rsid w:val="00D146AE"/>
    <w:rsid w:val="00D22C8F"/>
    <w:rsid w:val="00D249F2"/>
    <w:rsid w:val="00D26689"/>
    <w:rsid w:val="00D3203C"/>
    <w:rsid w:val="00D33491"/>
    <w:rsid w:val="00D3442D"/>
    <w:rsid w:val="00D36F00"/>
    <w:rsid w:val="00D44B67"/>
    <w:rsid w:val="00D44F8E"/>
    <w:rsid w:val="00D46264"/>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22D6"/>
    <w:rsid w:val="00E231D1"/>
    <w:rsid w:val="00E3288D"/>
    <w:rsid w:val="00E348AE"/>
    <w:rsid w:val="00E35112"/>
    <w:rsid w:val="00E35BEC"/>
    <w:rsid w:val="00E41A6A"/>
    <w:rsid w:val="00E438B2"/>
    <w:rsid w:val="00E50821"/>
    <w:rsid w:val="00E51F91"/>
    <w:rsid w:val="00E5498A"/>
    <w:rsid w:val="00E559CE"/>
    <w:rsid w:val="00E60F42"/>
    <w:rsid w:val="00E62A50"/>
    <w:rsid w:val="00E6746C"/>
    <w:rsid w:val="00E7086E"/>
    <w:rsid w:val="00E71248"/>
    <w:rsid w:val="00E73C41"/>
    <w:rsid w:val="00E75911"/>
    <w:rsid w:val="00E7598F"/>
    <w:rsid w:val="00E76F60"/>
    <w:rsid w:val="00E812B5"/>
    <w:rsid w:val="00E83D90"/>
    <w:rsid w:val="00E83F91"/>
    <w:rsid w:val="00E851FA"/>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3633"/>
    <w:rsid w:val="00F34C86"/>
    <w:rsid w:val="00F4043E"/>
    <w:rsid w:val="00F41795"/>
    <w:rsid w:val="00F41BBC"/>
    <w:rsid w:val="00F444F0"/>
    <w:rsid w:val="00F446FF"/>
    <w:rsid w:val="00F45521"/>
    <w:rsid w:val="00F477F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7E68"/>
    <w:rsid w:val="00FB05DD"/>
    <w:rsid w:val="00FB0F7C"/>
    <w:rsid w:val="00FB24EA"/>
    <w:rsid w:val="00FB5FA6"/>
    <w:rsid w:val="00FC0334"/>
    <w:rsid w:val="00FC1310"/>
    <w:rsid w:val="00FC2FF3"/>
    <w:rsid w:val="00FC3263"/>
    <w:rsid w:val="00FC3390"/>
    <w:rsid w:val="00FC51F9"/>
    <w:rsid w:val="00FC5B40"/>
    <w:rsid w:val="00FC5FF8"/>
    <w:rsid w:val="00FD271B"/>
    <w:rsid w:val="00FD3D7C"/>
    <w:rsid w:val="00FD4F8F"/>
    <w:rsid w:val="00FD6003"/>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661143"/>
    <w:pPr>
      <w:ind w:left="720"/>
      <w:contextualSpacing/>
    </w:pPr>
  </w:style>
  <w:style w:type="character" w:customStyle="1" w:styleId="Heading1Char">
    <w:name w:val="Heading 1 Char"/>
    <w:basedOn w:val="DefaultParagraphFont"/>
    <w:link w:val="Heading1"/>
    <w:uiPriority w:val="9"/>
    <w:rsid w:val="00917A7F"/>
    <w:rPr>
      <w:rFonts w:ascii="Arial" w:hAnsi="Arial" w:cs="Arial"/>
      <w:b/>
      <w:color w:val="000000"/>
      <w:kern w:val="28"/>
      <w:sz w:val="28"/>
    </w:rPr>
  </w:style>
  <w:style w:type="character" w:styleId="UnresolvedMention">
    <w:name w:val="Unresolved Mention"/>
    <w:basedOn w:val="DefaultParagraphFont"/>
    <w:uiPriority w:val="99"/>
    <w:semiHidden/>
    <w:unhideWhenUsed/>
    <w:rsid w:val="001439B9"/>
    <w:rPr>
      <w:color w:val="605E5C"/>
      <w:shd w:val="clear" w:color="auto" w:fill="E1DFDD"/>
    </w:rPr>
  </w:style>
  <w:style w:type="character" w:styleId="FollowedHyperlink">
    <w:name w:val="FollowedHyperlink"/>
    <w:basedOn w:val="DefaultParagraphFont"/>
    <w:uiPriority w:val="99"/>
    <w:semiHidden/>
    <w:unhideWhenUsed/>
    <w:rsid w:val="00CE2D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hildyouth.2014.06.002" TargetMode="External"/><Relationship Id="rId18" Type="http://schemas.openxmlformats.org/officeDocument/2006/relationships/hyperlink" Target="https://learning.nspcc.org.uk/safeguarding-child-protection/duty-of-care-and-safeguarding" TargetMode="External"/><Relationship Id="rId26" Type="http://schemas.openxmlformats.org/officeDocument/2006/relationships/hyperlink" Target="https://www.gov.wales/sites/default/files/publications/2019-07/working-together-to-safeguard-people-information-sharing-to-safeguard-children.pdf" TargetMode="External"/><Relationship Id="rId21" Type="http://schemas.openxmlformats.org/officeDocument/2006/relationships/hyperlink" Target="https://socialcare.wales/resources-guidance/safeguarding-list" TargetMode="External"/><Relationship Id="rId34"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doi.org/10.1002/aorn.14070" TargetMode="External"/><Relationship Id="rId17" Type="http://schemas.openxmlformats.org/officeDocument/2006/relationships/hyperlink" Target="https://learning.nspcc.org.uk/child-protection-system/children-the-law" TargetMode="External"/><Relationship Id="rId25" Type="http://schemas.openxmlformats.org/officeDocument/2006/relationships/hyperlink" Target="https://www.gov.wales/more-just-words-welsh-language-plan-health-and-social-care"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11/gwao.13028" TargetMode="External"/><Relationship Id="rId20" Type="http://schemas.openxmlformats.org/officeDocument/2006/relationships/hyperlink" Target="https://socialcare.wales/cms-assets/documents/Practice-guidance-social-workers.pdf" TargetMode="External"/><Relationship Id="rId29" Type="http://schemas.openxmlformats.org/officeDocument/2006/relationships/hyperlink" Target="https://www.gov.wales/sites/default/files/publications/2022-03/children-wales-act-circular.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bjsw/bcv025" TargetMode="External"/><Relationship Id="rId24" Type="http://schemas.openxmlformats.org/officeDocument/2006/relationships/hyperlink" Target="https://www.gov.wales/sites/default/files/publications/2019-05/part-3-code-of-practice-assessing-the-needs-of-individuals.pdf"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7312/moff12800" TargetMode="External"/><Relationship Id="rId23" Type="http://schemas.openxmlformats.org/officeDocument/2006/relationships/hyperlink" Target="https://doi.org/10.1080/02650533.2014.941282" TargetMode="External"/><Relationship Id="rId28" Type="http://schemas.openxmlformats.org/officeDocument/2006/relationships/hyperlink" Target="https://www.gov.wales/written-statement-more-just-words"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safeguarding.wales/en/int-i/int-i-i1/i1-p1/" TargetMode="External"/><Relationship Id="rId31"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0911359.2011.614561" TargetMode="External"/><Relationship Id="rId22" Type="http://schemas.openxmlformats.org/officeDocument/2006/relationships/hyperlink" Target="http://www.legislation.gov.uk/anaw/2014/4/pdfs/anaw_20140004_en.pdf" TargetMode="External"/><Relationship Id="rId27" Type="http://schemas.openxmlformats.org/officeDocument/2006/relationships/hyperlink" Target="http://www.gov.wales" TargetMode="External"/><Relationship Id="rId30" Type="http://schemas.openxmlformats.org/officeDocument/2006/relationships/image" Target="media/image2.png"/><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16</Pages>
  <Words>4139</Words>
  <Characters>26122</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Llinos T. Jones</cp:lastModifiedBy>
  <cp:revision>78</cp:revision>
  <cp:lastPrinted>2020-02-11T19:20:00Z</cp:lastPrinted>
  <dcterms:created xsi:type="dcterms:W3CDTF">2025-02-11T22:30:00Z</dcterms:created>
  <dcterms:modified xsi:type="dcterms:W3CDTF">2025-02-16T20:24:00Z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