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3B8C3B2E"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DC738B8" w14:textId="2ED798A0" w:rsidR="0021077B" w:rsidRDefault="0021077B" w:rsidP="00C319EB">
      <w:pPr>
        <w:rPr>
          <w:rFonts w:ascii="Arial" w:hAnsi="Arial" w:cs="Arial"/>
          <w:sz w:val="22"/>
          <w:lang w:val="en-US" w:eastAsia="en-US"/>
        </w:rPr>
      </w:pPr>
    </w:p>
    <w:p w14:paraId="20070B4B" w14:textId="4948F591" w:rsidR="0021077B" w:rsidRDefault="0021077B" w:rsidP="00C319EB">
      <w:pPr>
        <w:rPr>
          <w:rFonts w:ascii="Arial" w:hAnsi="Arial" w:cs="Arial"/>
          <w:sz w:val="22"/>
          <w:lang w:val="en-US" w:eastAsia="en-US"/>
        </w:rPr>
      </w:pPr>
    </w:p>
    <w:p w14:paraId="0E286471" w14:textId="77777777" w:rsidR="0021077B" w:rsidRDefault="0021077B" w:rsidP="0021077B">
      <w:pPr>
        <w:rPr>
          <w:sz w:val="28"/>
          <w:szCs w:val="28"/>
        </w:rPr>
      </w:pPr>
      <w:r>
        <w:rPr>
          <w:sz w:val="28"/>
          <w:szCs w:val="28"/>
        </w:rPr>
        <w:t>John Hughes</w:t>
      </w:r>
    </w:p>
    <w:p w14:paraId="3EA1F6C0" w14:textId="77777777" w:rsidR="0021077B" w:rsidRDefault="0021077B" w:rsidP="0021077B">
      <w:pPr>
        <w:rPr>
          <w:sz w:val="28"/>
          <w:szCs w:val="28"/>
        </w:rPr>
      </w:pPr>
      <w:r>
        <w:rPr>
          <w:sz w:val="28"/>
          <w:szCs w:val="28"/>
        </w:rPr>
        <w:t>1708241</w:t>
      </w:r>
    </w:p>
    <w:p w14:paraId="66840A53" w14:textId="77777777" w:rsidR="0021077B" w:rsidRDefault="0021077B" w:rsidP="0021077B">
      <w:pPr>
        <w:jc w:val="center"/>
        <w:rPr>
          <w:sz w:val="32"/>
          <w:szCs w:val="32"/>
        </w:rPr>
      </w:pPr>
      <w:r>
        <w:rPr>
          <w:sz w:val="32"/>
          <w:szCs w:val="32"/>
        </w:rPr>
        <w:t>The Features of IPv6</w:t>
      </w:r>
    </w:p>
    <w:p w14:paraId="728D058A" w14:textId="77777777" w:rsidR="0021077B" w:rsidRDefault="0021077B" w:rsidP="0021077B">
      <w:pPr>
        <w:jc w:val="center"/>
        <w:rPr>
          <w:sz w:val="32"/>
          <w:szCs w:val="32"/>
        </w:rPr>
      </w:pPr>
      <w:r>
        <w:rPr>
          <w:sz w:val="32"/>
          <w:szCs w:val="32"/>
        </w:rPr>
        <w:t>Computer Architecture and Networks</w:t>
      </w:r>
    </w:p>
    <w:p w14:paraId="271A74D9" w14:textId="77777777" w:rsidR="0021077B" w:rsidRDefault="0021077B" w:rsidP="0021077B">
      <w:pPr>
        <w:jc w:val="center"/>
        <w:rPr>
          <w:sz w:val="32"/>
          <w:szCs w:val="32"/>
        </w:rPr>
      </w:pPr>
    </w:p>
    <w:p w14:paraId="3D016A18" w14:textId="77777777" w:rsidR="0021077B" w:rsidRDefault="0021077B" w:rsidP="0021077B"/>
    <w:p w14:paraId="7A4FFC92" w14:textId="77777777" w:rsidR="0021077B" w:rsidRDefault="0021077B" w:rsidP="0021077B"/>
    <w:p w14:paraId="699975C8" w14:textId="7E1BECCA" w:rsidR="0021077B" w:rsidRDefault="0021077B" w:rsidP="0021077B"/>
    <w:p w14:paraId="3F486687" w14:textId="77777777" w:rsidR="0021077B" w:rsidRDefault="0021077B" w:rsidP="0021077B">
      <w:pPr>
        <w:pStyle w:val="ListParagraph"/>
        <w:numPr>
          <w:ilvl w:val="0"/>
          <w:numId w:val="22"/>
        </w:numPr>
        <w:spacing w:after="160" w:line="259" w:lineRule="auto"/>
        <w:rPr>
          <w:sz w:val="28"/>
          <w:szCs w:val="28"/>
        </w:rPr>
      </w:pPr>
      <w:r w:rsidRPr="003740C9">
        <w:rPr>
          <w:sz w:val="28"/>
          <w:szCs w:val="28"/>
        </w:rPr>
        <w:t>Abstract</w:t>
      </w:r>
    </w:p>
    <w:p w14:paraId="57921FF5" w14:textId="77777777" w:rsidR="0021077B" w:rsidRPr="00893B4A" w:rsidRDefault="0021077B" w:rsidP="0021077B">
      <w:pPr>
        <w:pStyle w:val="ListParagraph"/>
        <w:rPr>
          <w:sz w:val="22"/>
          <w:szCs w:val="22"/>
        </w:rPr>
      </w:pPr>
      <w:r>
        <w:t xml:space="preserve">This is a short report intended to give a brief description on the features of IPv6. The report begins briefly with Internet Protocol and IPv4 structure. The main emphasis is on IPv6, beginning its address structure. The report also touches on the three main address types of IPv6 and finishes with security features. </w:t>
      </w:r>
    </w:p>
    <w:p w14:paraId="1BE0EED2" w14:textId="77777777" w:rsidR="0021077B" w:rsidRPr="003740C9" w:rsidRDefault="0021077B" w:rsidP="0021077B">
      <w:pPr>
        <w:pStyle w:val="ListParagraph"/>
        <w:rPr>
          <w:sz w:val="28"/>
          <w:szCs w:val="28"/>
        </w:rPr>
      </w:pPr>
    </w:p>
    <w:p w14:paraId="1F36A896" w14:textId="77777777" w:rsidR="0021077B" w:rsidRPr="003740C9" w:rsidRDefault="0021077B" w:rsidP="0021077B">
      <w:pPr>
        <w:pStyle w:val="ListParagraph"/>
        <w:numPr>
          <w:ilvl w:val="0"/>
          <w:numId w:val="22"/>
        </w:numPr>
        <w:spacing w:after="160" w:line="259" w:lineRule="auto"/>
        <w:rPr>
          <w:sz w:val="28"/>
          <w:szCs w:val="28"/>
        </w:rPr>
      </w:pPr>
      <w:r w:rsidRPr="003740C9">
        <w:rPr>
          <w:sz w:val="28"/>
          <w:szCs w:val="28"/>
        </w:rPr>
        <w:t>List of Contents</w:t>
      </w:r>
    </w:p>
    <w:sdt>
      <w:sdtPr>
        <w:rPr>
          <w:rFonts w:asciiTheme="minorHAnsi" w:eastAsiaTheme="minorHAnsi" w:hAnsiTheme="minorHAnsi" w:cstheme="minorBidi"/>
          <w:color w:val="auto"/>
          <w:sz w:val="22"/>
          <w:szCs w:val="22"/>
          <w:lang w:val="en-GB"/>
        </w:rPr>
        <w:id w:val="565225024"/>
        <w:docPartObj>
          <w:docPartGallery w:val="Table of Contents"/>
          <w:docPartUnique/>
        </w:docPartObj>
      </w:sdtPr>
      <w:sdtEndPr>
        <w:rPr>
          <w:rFonts w:ascii="Times New Roman" w:eastAsia="Times New Roman" w:hAnsi="Times New Roman" w:cs="Times New Roman"/>
          <w:noProof/>
          <w:sz w:val="20"/>
          <w:szCs w:val="20"/>
          <w:lang w:eastAsia="en-GB"/>
        </w:rPr>
      </w:sdtEndPr>
      <w:sdtContent>
        <w:p w14:paraId="0EEE421C" w14:textId="77777777" w:rsidR="0021077B" w:rsidRDefault="0021077B" w:rsidP="0021077B">
          <w:pPr>
            <w:pStyle w:val="TOCHeading"/>
          </w:pPr>
          <w:r>
            <w:t>Table of Contents</w:t>
          </w:r>
        </w:p>
        <w:p w14:paraId="656AE7D0" w14:textId="77777777" w:rsidR="0021077B" w:rsidRDefault="0021077B" w:rsidP="0021077B">
          <w:pPr>
            <w:pStyle w:val="ListParagraph"/>
            <w:numPr>
              <w:ilvl w:val="0"/>
              <w:numId w:val="21"/>
            </w:numPr>
            <w:spacing w:after="160" w:line="259" w:lineRule="auto"/>
          </w:pPr>
          <w:r>
            <w:t>Abstract</w:t>
          </w:r>
        </w:p>
        <w:p w14:paraId="514C06E1" w14:textId="77777777" w:rsidR="0021077B" w:rsidRDefault="0021077B" w:rsidP="0021077B">
          <w:pPr>
            <w:pStyle w:val="ListParagraph"/>
            <w:numPr>
              <w:ilvl w:val="0"/>
              <w:numId w:val="21"/>
            </w:numPr>
            <w:spacing w:after="160" w:line="259" w:lineRule="auto"/>
          </w:pPr>
          <w:r>
            <w:t>List of contents</w:t>
          </w:r>
        </w:p>
        <w:p w14:paraId="6CB0CA4A" w14:textId="77777777" w:rsidR="0021077B" w:rsidRDefault="0021077B" w:rsidP="0021077B">
          <w:pPr>
            <w:pStyle w:val="ListParagraph"/>
            <w:numPr>
              <w:ilvl w:val="0"/>
              <w:numId w:val="21"/>
            </w:numPr>
            <w:spacing w:after="160" w:line="259" w:lineRule="auto"/>
          </w:pPr>
          <w:r>
            <w:t>Internet Protocol</w:t>
          </w:r>
        </w:p>
        <w:p w14:paraId="554D6FF1" w14:textId="77777777" w:rsidR="0021077B" w:rsidRDefault="0021077B" w:rsidP="0021077B">
          <w:pPr>
            <w:pStyle w:val="ListParagraph"/>
            <w:numPr>
              <w:ilvl w:val="0"/>
              <w:numId w:val="21"/>
            </w:numPr>
            <w:spacing w:after="160" w:line="259" w:lineRule="auto"/>
          </w:pPr>
          <w:r>
            <w:t>IPv6 Structure</w:t>
          </w:r>
        </w:p>
        <w:p w14:paraId="16CC6285" w14:textId="77777777" w:rsidR="0021077B" w:rsidRDefault="0021077B" w:rsidP="0021077B">
          <w:pPr>
            <w:pStyle w:val="ListParagraph"/>
            <w:numPr>
              <w:ilvl w:val="0"/>
              <w:numId w:val="21"/>
            </w:numPr>
            <w:spacing w:after="160" w:line="259" w:lineRule="auto"/>
          </w:pPr>
          <w:r>
            <w:t>Address Types</w:t>
          </w:r>
        </w:p>
        <w:p w14:paraId="39EC465C" w14:textId="77777777" w:rsidR="0021077B" w:rsidRDefault="0021077B" w:rsidP="0021077B">
          <w:pPr>
            <w:pStyle w:val="ListParagraph"/>
          </w:pPr>
          <w:r>
            <w:t>5.1Unicast addresses</w:t>
          </w:r>
        </w:p>
        <w:p w14:paraId="3853FA2F" w14:textId="77777777" w:rsidR="0021077B" w:rsidRDefault="0021077B" w:rsidP="0021077B">
          <w:pPr>
            <w:pStyle w:val="ListParagraph"/>
          </w:pPr>
          <w:r>
            <w:t>5.2Multicast addresses</w:t>
          </w:r>
        </w:p>
        <w:p w14:paraId="08B1B0D9" w14:textId="77777777" w:rsidR="0021077B" w:rsidRDefault="0021077B" w:rsidP="0021077B">
          <w:pPr>
            <w:pStyle w:val="ListParagraph"/>
          </w:pPr>
          <w:r>
            <w:t>5.3Anycast addresses</w:t>
          </w:r>
        </w:p>
        <w:p w14:paraId="23DA2B28" w14:textId="77777777" w:rsidR="0021077B" w:rsidRDefault="0021077B" w:rsidP="0021077B">
          <w:pPr>
            <w:pStyle w:val="ListParagraph"/>
            <w:numPr>
              <w:ilvl w:val="0"/>
              <w:numId w:val="21"/>
            </w:numPr>
            <w:spacing w:after="160" w:line="259" w:lineRule="auto"/>
          </w:pPr>
          <w:r>
            <w:t>Security</w:t>
          </w:r>
        </w:p>
        <w:p w14:paraId="03B66B76" w14:textId="77777777" w:rsidR="0021077B" w:rsidRDefault="0021077B" w:rsidP="0021077B">
          <w:pPr>
            <w:pStyle w:val="ListParagraph"/>
            <w:numPr>
              <w:ilvl w:val="1"/>
              <w:numId w:val="21"/>
            </w:numPr>
            <w:spacing w:after="160" w:line="259" w:lineRule="auto"/>
          </w:pPr>
          <w:r>
            <w:t>Authentication Header</w:t>
          </w:r>
        </w:p>
        <w:p w14:paraId="08453DC0" w14:textId="77777777" w:rsidR="0021077B" w:rsidRDefault="0021077B" w:rsidP="0021077B">
          <w:pPr>
            <w:pStyle w:val="ListParagraph"/>
            <w:numPr>
              <w:ilvl w:val="1"/>
              <w:numId w:val="21"/>
            </w:numPr>
            <w:spacing w:after="160" w:line="259" w:lineRule="auto"/>
          </w:pPr>
          <w:r w:rsidRPr="00054D08">
            <w:t>Encapsulating security payload</w:t>
          </w:r>
        </w:p>
      </w:sdtContent>
    </w:sdt>
    <w:p w14:paraId="635EA4D9" w14:textId="77777777" w:rsidR="0021077B" w:rsidRPr="00E05E0E" w:rsidRDefault="0021077B" w:rsidP="0021077B"/>
    <w:p w14:paraId="40E6F837" w14:textId="77777777" w:rsidR="0021077B" w:rsidRDefault="0021077B" w:rsidP="0021077B">
      <w:pPr>
        <w:pStyle w:val="ListParagraph"/>
      </w:pPr>
    </w:p>
    <w:p w14:paraId="77CD3895" w14:textId="77777777" w:rsidR="0021077B" w:rsidRDefault="0021077B" w:rsidP="0021077B">
      <w:pPr>
        <w:pStyle w:val="ListParagraph"/>
        <w:numPr>
          <w:ilvl w:val="0"/>
          <w:numId w:val="22"/>
        </w:numPr>
        <w:spacing w:after="160" w:line="259" w:lineRule="auto"/>
        <w:rPr>
          <w:sz w:val="28"/>
          <w:szCs w:val="28"/>
        </w:rPr>
      </w:pPr>
      <w:r>
        <w:rPr>
          <w:sz w:val="28"/>
          <w:szCs w:val="28"/>
        </w:rPr>
        <w:t>Internet Protocol</w:t>
      </w:r>
    </w:p>
    <w:p w14:paraId="1700ADD5" w14:textId="77777777" w:rsidR="0021077B" w:rsidRDefault="0021077B" w:rsidP="0021077B">
      <w:pPr>
        <w:pStyle w:val="ListParagraph"/>
      </w:pPr>
      <w:r>
        <w:t>Internet Protocol, or TCP/IP is used for communication between networks over the internet by assigning every device and network of devices an address known as IP addresses. The IP addresses are used to identify each device, via its own network, to send and receive data. The two types of IP addresses used today are IPv4 and IPv6. IPv</w:t>
      </w:r>
      <w:proofErr w:type="gramStart"/>
      <w:r>
        <w:t>4  is</w:t>
      </w:r>
      <w:proofErr w:type="gramEnd"/>
      <w:r>
        <w:t xml:space="preserve"> a version of protocol that has become outdated although is still in widespread use. According to an article by Syed Sadat Nazrul, IPv4 uses a 32bit binary to create the IP address, displayed in decimal form with </w:t>
      </w:r>
      <w:r>
        <w:lastRenderedPageBreak/>
        <w:t>three numbers separated by dots. Each number, called an octet, represents the 8bit binary, making a total of 32 bits</w:t>
      </w:r>
      <w:sdt>
        <w:sdtPr>
          <w:id w:val="1913276480"/>
          <w:citation/>
        </w:sdtPr>
        <w:sdtContent>
          <w:r>
            <w:fldChar w:fldCharType="begin"/>
          </w:r>
          <w:r>
            <w:instrText xml:space="preserve"> CITATION Sye18 \l 2057 </w:instrText>
          </w:r>
          <w:r>
            <w:fldChar w:fldCharType="separate"/>
          </w:r>
          <w:r>
            <w:rPr>
              <w:noProof/>
            </w:rPr>
            <w:t xml:space="preserve"> </w:t>
          </w:r>
          <w:r w:rsidRPr="00DB62C1">
            <w:rPr>
              <w:noProof/>
            </w:rPr>
            <w:t>[1]</w:t>
          </w:r>
          <w:r>
            <w:fldChar w:fldCharType="end"/>
          </w:r>
        </w:sdtContent>
      </w:sdt>
      <w:r>
        <w:t>.</w:t>
      </w:r>
    </w:p>
    <w:p w14:paraId="1019880B" w14:textId="77777777" w:rsidR="0021077B" w:rsidRDefault="0021077B" w:rsidP="0021077B"/>
    <w:p w14:paraId="3E84C24C" w14:textId="77777777" w:rsidR="0021077B" w:rsidRPr="007862CA" w:rsidRDefault="0021077B" w:rsidP="0021077B">
      <w:pPr>
        <w:pStyle w:val="ListParagraph"/>
        <w:numPr>
          <w:ilvl w:val="0"/>
          <w:numId w:val="22"/>
        </w:numPr>
        <w:spacing w:after="160" w:line="259" w:lineRule="auto"/>
        <w:rPr>
          <w:sz w:val="28"/>
          <w:szCs w:val="28"/>
        </w:rPr>
      </w:pPr>
      <w:r w:rsidRPr="007862CA">
        <w:rPr>
          <w:sz w:val="28"/>
          <w:szCs w:val="28"/>
        </w:rPr>
        <w:t>IPv6 Structure</w:t>
      </w:r>
    </w:p>
    <w:p w14:paraId="061EAF36" w14:textId="77777777" w:rsidR="0021077B" w:rsidRPr="00ED63E5" w:rsidRDefault="0021077B" w:rsidP="0021077B">
      <w:pPr>
        <w:pStyle w:val="ListParagraph"/>
        <w:rPr>
          <w:shd w:val="clear" w:color="auto" w:fill="FFFFFF"/>
        </w:rPr>
      </w:pPr>
      <w:r>
        <w:t xml:space="preserve">The IPv6 structure is far more complex than its previous version. Whereas IPv4 used a 32bit field of addresses split into 4 octets, IPv6 contains 128bit of address space. According to an article written by </w:t>
      </w:r>
      <w:proofErr w:type="spellStart"/>
      <w:r>
        <w:t>Dhanapal</w:t>
      </w:r>
      <w:proofErr w:type="spellEnd"/>
      <w:r>
        <w:t xml:space="preserve"> and</w:t>
      </w:r>
      <w:r w:rsidRPr="00ED63E5">
        <w:t xml:space="preserve"> </w:t>
      </w:r>
      <w:proofErr w:type="spellStart"/>
      <w:r w:rsidRPr="00ED63E5">
        <w:t>Nithyanandam</w:t>
      </w:r>
      <w:proofErr w:type="spellEnd"/>
      <w:r>
        <w:t>, the number of available addresses is four times greater those in IPv4</w:t>
      </w:r>
      <w:r>
        <w:rPr>
          <w:sz w:val="16"/>
          <w:szCs w:val="16"/>
          <w:shd w:val="clear" w:color="auto" w:fill="FFFFFF"/>
        </w:rPr>
        <w:t xml:space="preserve">. </w:t>
      </w:r>
      <w:r>
        <w:rPr>
          <w:shd w:val="clear" w:color="auto" w:fill="FFFFFF"/>
        </w:rPr>
        <w:t xml:space="preserve">The article explains that instead of using dotted decimal notations, IPv6 uses 16bit hexadecimal numbers, separated with colons. </w:t>
      </w:r>
      <w:r w:rsidRPr="00ED63E5">
        <w:rPr>
          <w:shd w:val="clear" w:color="auto" w:fill="FFFFFF"/>
        </w:rPr>
        <w:t>The</w:t>
      </w:r>
      <w:r>
        <w:rPr>
          <w:shd w:val="clear" w:color="auto" w:fill="FFFFFF"/>
        </w:rPr>
        <w:t xml:space="preserve"> article provides example IPv6 addresses: “</w:t>
      </w:r>
      <w:r w:rsidRPr="00ED63E5">
        <w:rPr>
          <w:shd w:val="clear" w:color="auto" w:fill="FFFFFF"/>
        </w:rPr>
        <w:t>1002:DB</w:t>
      </w:r>
      <w:proofErr w:type="gramStart"/>
      <w:r w:rsidRPr="00ED63E5">
        <w:rPr>
          <w:shd w:val="clear" w:color="auto" w:fill="FFFFFF"/>
        </w:rPr>
        <w:t>8:764:310:FEDB</w:t>
      </w:r>
      <w:proofErr w:type="gramEnd"/>
      <w:r w:rsidRPr="00ED63E5">
        <w:rPr>
          <w:shd w:val="clear" w:color="auto" w:fill="FFFFFF"/>
        </w:rPr>
        <w:t>:BA96:7654:3210</w:t>
      </w:r>
      <w:r>
        <w:rPr>
          <w:shd w:val="clear" w:color="auto" w:fill="FFFFFF"/>
        </w:rPr>
        <w:t>”</w:t>
      </w:r>
      <w:r w:rsidRPr="00ED63E5">
        <w:rPr>
          <w:shd w:val="clear" w:color="auto" w:fill="FFFFFF"/>
        </w:rPr>
        <w:t xml:space="preserve"> and </w:t>
      </w:r>
      <w:r>
        <w:rPr>
          <w:shd w:val="clear" w:color="auto" w:fill="FFFFFF"/>
        </w:rPr>
        <w:t>“</w:t>
      </w:r>
      <w:r w:rsidRPr="00ED63E5">
        <w:rPr>
          <w:shd w:val="clear" w:color="auto" w:fill="FFFFFF"/>
        </w:rPr>
        <w:t>2000:DB8:10:0:400:1800:200C:447A</w:t>
      </w:r>
      <w:r>
        <w:rPr>
          <w:shd w:val="clear" w:color="auto" w:fill="FFFFFF"/>
        </w:rPr>
        <w:t>”. The authors also explain that these addresses may also contain successive zeros, in which case these will be displayed as double colons to compress the zeros. This can only be used once in the hexadecimal address and will always the longest sequence of zeros</w:t>
      </w:r>
      <w:sdt>
        <w:sdtPr>
          <w:rPr>
            <w:shd w:val="clear" w:color="auto" w:fill="FFFFFF"/>
          </w:rPr>
          <w:id w:val="1568082067"/>
          <w:citation/>
        </w:sdtPr>
        <w:sdtContent>
          <w:r>
            <w:rPr>
              <w:shd w:val="clear" w:color="auto" w:fill="FFFFFF"/>
            </w:rPr>
            <w:fldChar w:fldCharType="begin"/>
          </w:r>
          <w:r>
            <w:rPr>
              <w:shd w:val="clear" w:color="auto" w:fill="FFFFFF"/>
            </w:rPr>
            <w:instrText xml:space="preserve"> CITATION Nit18 \l 2057 </w:instrText>
          </w:r>
          <w:r>
            <w:rPr>
              <w:shd w:val="clear" w:color="auto" w:fill="FFFFFF"/>
            </w:rPr>
            <w:fldChar w:fldCharType="separate"/>
          </w:r>
          <w:r>
            <w:rPr>
              <w:noProof/>
              <w:shd w:val="clear" w:color="auto" w:fill="FFFFFF"/>
            </w:rPr>
            <w:t xml:space="preserve"> </w:t>
          </w:r>
          <w:r w:rsidRPr="007862CA">
            <w:rPr>
              <w:noProof/>
              <w:shd w:val="clear" w:color="auto" w:fill="FFFFFF"/>
            </w:rPr>
            <w:t>[2]</w:t>
          </w:r>
          <w:r>
            <w:rPr>
              <w:shd w:val="clear" w:color="auto" w:fill="FFFFFF"/>
            </w:rPr>
            <w:fldChar w:fldCharType="end"/>
          </w:r>
        </w:sdtContent>
      </w:sdt>
      <w:r>
        <w:rPr>
          <w:shd w:val="clear" w:color="auto" w:fill="FFFFFF"/>
        </w:rPr>
        <w:t>.</w:t>
      </w:r>
    </w:p>
    <w:p w14:paraId="623456AC" w14:textId="77777777" w:rsidR="0021077B" w:rsidRDefault="0021077B" w:rsidP="0021077B">
      <w:pPr>
        <w:pStyle w:val="ListParagraph"/>
        <w:rPr>
          <w:rFonts w:cstheme="minorHAnsi"/>
        </w:rPr>
      </w:pPr>
    </w:p>
    <w:p w14:paraId="0CEDFD33" w14:textId="77777777" w:rsidR="0021077B" w:rsidRDefault="0021077B" w:rsidP="0021077B">
      <w:pPr>
        <w:pStyle w:val="ListParagraph"/>
        <w:rPr>
          <w:rFonts w:cstheme="minorHAnsi"/>
        </w:rPr>
      </w:pPr>
    </w:p>
    <w:p w14:paraId="2117328B" w14:textId="77777777" w:rsidR="0021077B" w:rsidRDefault="0021077B" w:rsidP="0021077B">
      <w:pPr>
        <w:pStyle w:val="ListParagraph"/>
        <w:rPr>
          <w:rFonts w:cstheme="minorHAnsi"/>
        </w:rPr>
      </w:pPr>
    </w:p>
    <w:p w14:paraId="11FACE00" w14:textId="77777777" w:rsidR="0021077B" w:rsidRDefault="0021077B" w:rsidP="0021077B">
      <w:pPr>
        <w:pStyle w:val="ListParagraph"/>
        <w:rPr>
          <w:rFonts w:cstheme="minorHAnsi"/>
        </w:rPr>
      </w:pPr>
    </w:p>
    <w:p w14:paraId="5DBD7EC2" w14:textId="77777777" w:rsidR="0021077B" w:rsidRDefault="0021077B" w:rsidP="0021077B">
      <w:pPr>
        <w:pStyle w:val="ListParagraph"/>
        <w:rPr>
          <w:rFonts w:cstheme="minorHAnsi"/>
        </w:rPr>
      </w:pPr>
    </w:p>
    <w:p w14:paraId="49B4D17C" w14:textId="77777777" w:rsidR="0021077B" w:rsidRDefault="0021077B" w:rsidP="0021077B">
      <w:pPr>
        <w:pStyle w:val="ListParagraph"/>
        <w:rPr>
          <w:rFonts w:cstheme="minorHAnsi"/>
        </w:rPr>
      </w:pPr>
    </w:p>
    <w:p w14:paraId="38D5694C" w14:textId="77777777" w:rsidR="0021077B" w:rsidRDefault="0021077B" w:rsidP="0021077B">
      <w:pPr>
        <w:pStyle w:val="ListParagraph"/>
        <w:rPr>
          <w:rFonts w:cstheme="minorHAnsi"/>
        </w:rPr>
      </w:pPr>
    </w:p>
    <w:p w14:paraId="6E356DFC" w14:textId="77777777" w:rsidR="0021077B" w:rsidRPr="00DB62C1" w:rsidRDefault="0021077B" w:rsidP="0021077B">
      <w:pPr>
        <w:pStyle w:val="ListParagraph"/>
        <w:numPr>
          <w:ilvl w:val="0"/>
          <w:numId w:val="22"/>
        </w:numPr>
        <w:spacing w:after="160" w:line="259" w:lineRule="auto"/>
        <w:rPr>
          <w:rFonts w:cstheme="minorHAnsi"/>
          <w:sz w:val="28"/>
          <w:szCs w:val="28"/>
        </w:rPr>
      </w:pPr>
      <w:r>
        <w:rPr>
          <w:rFonts w:cstheme="minorHAnsi"/>
          <w:sz w:val="28"/>
          <w:szCs w:val="28"/>
        </w:rPr>
        <w:t xml:space="preserve">IPv6 </w:t>
      </w:r>
      <w:r w:rsidRPr="00DB62C1">
        <w:rPr>
          <w:rFonts w:cstheme="minorHAnsi"/>
          <w:sz w:val="28"/>
          <w:szCs w:val="28"/>
        </w:rPr>
        <w:t>Address Types</w:t>
      </w:r>
    </w:p>
    <w:p w14:paraId="12C95389" w14:textId="77777777" w:rsidR="0021077B" w:rsidRDefault="0021077B" w:rsidP="0021077B">
      <w:pPr>
        <w:pStyle w:val="ListParagraph"/>
      </w:pPr>
      <w:r>
        <w:t>There are three main types of IPv6 addresses that are as follows;</w:t>
      </w:r>
    </w:p>
    <w:p w14:paraId="50967354" w14:textId="77777777" w:rsidR="0021077B" w:rsidRDefault="0021077B" w:rsidP="0021077B">
      <w:pPr>
        <w:pStyle w:val="ListParagraph"/>
      </w:pPr>
    </w:p>
    <w:p w14:paraId="36D33F13" w14:textId="77777777" w:rsidR="0021077B" w:rsidRPr="000966BE" w:rsidRDefault="0021077B" w:rsidP="0021077B">
      <w:pPr>
        <w:pStyle w:val="ListParagraph"/>
        <w:numPr>
          <w:ilvl w:val="1"/>
          <w:numId w:val="22"/>
        </w:numPr>
        <w:spacing w:after="160" w:line="259" w:lineRule="auto"/>
        <w:rPr>
          <w:sz w:val="24"/>
          <w:szCs w:val="24"/>
        </w:rPr>
      </w:pPr>
      <w:r w:rsidRPr="000966BE">
        <w:rPr>
          <w:sz w:val="24"/>
          <w:szCs w:val="24"/>
        </w:rPr>
        <w:t>Unicast addressing</w:t>
      </w:r>
    </w:p>
    <w:p w14:paraId="61278268" w14:textId="77777777" w:rsidR="0021077B" w:rsidRDefault="0021077B" w:rsidP="0021077B">
      <w:pPr>
        <w:pStyle w:val="ListParagraph"/>
        <w:ind w:left="1080"/>
      </w:pPr>
      <w:r>
        <w:t xml:space="preserve">According to Rick Graziani, the most significant type of unicast addressing is Global Unicast, which acts in a similar way to IPv4 public addresses, identifying a single interface and sending packets to that single interface. All source IPv6 addresses are unicast addresses. </w:t>
      </w:r>
      <w:sdt>
        <w:sdtPr>
          <w:id w:val="450758258"/>
          <w:citation/>
        </w:sdtPr>
        <w:sdtContent>
          <w:r>
            <w:fldChar w:fldCharType="begin"/>
          </w:r>
          <w:r>
            <w:instrText xml:space="preserve"> CITATION Gra17 \l 2057 </w:instrText>
          </w:r>
          <w:r>
            <w:fldChar w:fldCharType="separate"/>
          </w:r>
          <w:r w:rsidRPr="00EB2DAF">
            <w:rPr>
              <w:noProof/>
            </w:rPr>
            <w:t>[3]</w:t>
          </w:r>
          <w:r>
            <w:fldChar w:fldCharType="end"/>
          </w:r>
        </w:sdtContent>
      </w:sdt>
    </w:p>
    <w:p w14:paraId="43C2CD10" w14:textId="77777777" w:rsidR="0021077B" w:rsidRDefault="0021077B" w:rsidP="0021077B">
      <w:pPr>
        <w:pStyle w:val="ListParagraph"/>
        <w:ind w:left="1080"/>
      </w:pPr>
      <w:r>
        <w:t xml:space="preserve">Another unicast address is link-local, assigned only within a single subnet. As </w:t>
      </w:r>
      <w:proofErr w:type="gramStart"/>
      <w:r>
        <w:t>these type of addresses</w:t>
      </w:r>
      <w:proofErr w:type="gramEnd"/>
      <w:r>
        <w:t xml:space="preserve"> are confined to their subnet, they do not need to be unique other than within their subnet and are not routed to the internet. All IPv6 devices require a local-link and use them as their default gateway address.</w:t>
      </w:r>
      <w:sdt>
        <w:sdtPr>
          <w:id w:val="297813094"/>
          <w:citation/>
        </w:sdtPr>
        <w:sdtContent>
          <w:r>
            <w:fldChar w:fldCharType="begin"/>
          </w:r>
          <w:r>
            <w:instrText xml:space="preserve"> CITATION Gra17 \l 2057 </w:instrText>
          </w:r>
          <w:r>
            <w:fldChar w:fldCharType="separate"/>
          </w:r>
          <w:r>
            <w:rPr>
              <w:noProof/>
            </w:rPr>
            <w:t xml:space="preserve"> </w:t>
          </w:r>
          <w:r w:rsidRPr="00EB2DAF">
            <w:rPr>
              <w:noProof/>
            </w:rPr>
            <w:t>[3]</w:t>
          </w:r>
          <w:r>
            <w:fldChar w:fldCharType="end"/>
          </w:r>
        </w:sdtContent>
      </w:sdt>
    </w:p>
    <w:p w14:paraId="2341AD44" w14:textId="77777777" w:rsidR="0021077B" w:rsidRDefault="0021077B" w:rsidP="0021077B">
      <w:pPr>
        <w:pStyle w:val="ListParagraph"/>
        <w:ind w:left="1080"/>
      </w:pPr>
      <w:r>
        <w:t>Graziani also explains how another type of unicast, loopback addressing, is used by a device to send a packet to itself, used for testing the TCP/IP stack.</w:t>
      </w:r>
    </w:p>
    <w:p w14:paraId="29A0C400" w14:textId="77777777" w:rsidR="0021077B" w:rsidRDefault="0021077B" w:rsidP="0021077B">
      <w:pPr>
        <w:pStyle w:val="ListParagraph"/>
        <w:ind w:left="1080"/>
      </w:pPr>
    </w:p>
    <w:p w14:paraId="178BF39E" w14:textId="77777777" w:rsidR="0021077B" w:rsidRDefault="0021077B" w:rsidP="0021077B">
      <w:pPr>
        <w:pStyle w:val="ListParagraph"/>
        <w:numPr>
          <w:ilvl w:val="1"/>
          <w:numId w:val="22"/>
        </w:numPr>
        <w:spacing w:after="160" w:line="259" w:lineRule="auto"/>
      </w:pPr>
      <w:r>
        <w:t>Multicast Addressing</w:t>
      </w:r>
    </w:p>
    <w:p w14:paraId="6F0DB00A" w14:textId="77777777" w:rsidR="0021077B" w:rsidRPr="00054D08" w:rsidRDefault="0021077B" w:rsidP="0021077B">
      <w:pPr>
        <w:pStyle w:val="ListParagraph"/>
        <w:ind w:left="1080"/>
      </w:pPr>
      <w:r>
        <w:t xml:space="preserve">This replaces the IPv4 broadcast address and identifies all the interfaces within the multicast address. Described as a one-to-many, when a device sends data to this type of address, it will be received by </w:t>
      </w:r>
      <w:proofErr w:type="gramStart"/>
      <w:r>
        <w:t>all of</w:t>
      </w:r>
      <w:proofErr w:type="gramEnd"/>
      <w:r>
        <w:t xml:space="preserve"> the devices within the address. Each individual device, or interface within a device can then respond to the packet if it is necessary to do so. This is a major advantage over the IPv4 Broadcast addressing, in which all devices </w:t>
      </w:r>
      <w:r w:rsidRPr="00054D08">
        <w:t>were required to process broadcast packets.</w:t>
      </w:r>
    </w:p>
    <w:p w14:paraId="7B275FF2" w14:textId="77777777" w:rsidR="0021077B" w:rsidRPr="00054D08" w:rsidRDefault="0021077B" w:rsidP="0021077B">
      <w:pPr>
        <w:pStyle w:val="ListParagraph"/>
        <w:ind w:left="1080"/>
      </w:pPr>
    </w:p>
    <w:p w14:paraId="3098D1E8" w14:textId="77777777" w:rsidR="0021077B" w:rsidRDefault="0021077B" w:rsidP="0021077B">
      <w:pPr>
        <w:pStyle w:val="ListParagraph"/>
        <w:numPr>
          <w:ilvl w:val="1"/>
          <w:numId w:val="22"/>
        </w:numPr>
        <w:spacing w:after="160" w:line="259" w:lineRule="auto"/>
      </w:pPr>
      <w:r>
        <w:t>Anycast addressing</w:t>
      </w:r>
    </w:p>
    <w:p w14:paraId="71B98905" w14:textId="77777777" w:rsidR="0021077B" w:rsidRDefault="0021077B" w:rsidP="0021077B">
      <w:pPr>
        <w:pStyle w:val="ListParagraph"/>
        <w:ind w:left="1080"/>
      </w:pPr>
      <w:r>
        <w:t>According to Graziani, IPv6 anycast addressing uses the same address range as global unicast addresses. They become anycast addresses when they are assigned to more than one interface. Packets sent to these addresses are routed to the nearest interface according to the routers routing table</w:t>
      </w:r>
      <w:sdt>
        <w:sdtPr>
          <w:id w:val="1427924610"/>
          <w:citation/>
        </w:sdtPr>
        <w:sdtContent>
          <w:r>
            <w:fldChar w:fldCharType="begin"/>
          </w:r>
          <w:r>
            <w:instrText xml:space="preserve"> CITATION Gra17 \l 2057 </w:instrText>
          </w:r>
          <w:r>
            <w:fldChar w:fldCharType="separate"/>
          </w:r>
          <w:r>
            <w:rPr>
              <w:noProof/>
            </w:rPr>
            <w:t xml:space="preserve"> </w:t>
          </w:r>
          <w:r w:rsidRPr="008F541D">
            <w:rPr>
              <w:noProof/>
            </w:rPr>
            <w:t>[3]</w:t>
          </w:r>
          <w:r>
            <w:fldChar w:fldCharType="end"/>
          </w:r>
        </w:sdtContent>
      </w:sdt>
      <w:r>
        <w:t xml:space="preserve">. An article on </w:t>
      </w:r>
      <w:proofErr w:type="spellStart"/>
      <w:r>
        <w:t>Cloudfare</w:t>
      </w:r>
      <w:proofErr w:type="spellEnd"/>
      <w:r>
        <w:t xml:space="preserve"> explains how anycast addressing is used to route incoming data across multiple data centres. Characterised as a one-to-one of many </w:t>
      </w:r>
      <w:proofErr w:type="gramStart"/>
      <w:r>
        <w:t>association</w:t>
      </w:r>
      <w:proofErr w:type="gramEnd"/>
      <w:r>
        <w:t xml:space="preserve">, the nearest interface is chosen in order to reduce latency and improve efficiency. Benefits include faster connection, protection from </w:t>
      </w:r>
      <w:proofErr w:type="spellStart"/>
      <w:r>
        <w:t>ddos</w:t>
      </w:r>
      <w:proofErr w:type="spellEnd"/>
      <w:r>
        <w:t xml:space="preserve"> attacks and high availability making anycast addressing a highly reliable connection.</w:t>
      </w:r>
      <w:sdt>
        <w:sdtPr>
          <w:id w:val="202146102"/>
          <w:citation/>
        </w:sdtPr>
        <w:sdtContent>
          <w:r>
            <w:fldChar w:fldCharType="begin"/>
          </w:r>
          <w:r>
            <w:instrText xml:space="preserve"> CITATION Wha18 \l 2057 </w:instrText>
          </w:r>
          <w:r>
            <w:fldChar w:fldCharType="separate"/>
          </w:r>
          <w:r>
            <w:rPr>
              <w:noProof/>
            </w:rPr>
            <w:t xml:space="preserve"> </w:t>
          </w:r>
          <w:r w:rsidRPr="00C01EA7">
            <w:rPr>
              <w:noProof/>
            </w:rPr>
            <w:t>[4]</w:t>
          </w:r>
          <w:r>
            <w:fldChar w:fldCharType="end"/>
          </w:r>
        </w:sdtContent>
      </w:sdt>
    </w:p>
    <w:p w14:paraId="75CA798D" w14:textId="77777777" w:rsidR="0021077B" w:rsidRDefault="0021077B" w:rsidP="0021077B">
      <w:pPr>
        <w:pStyle w:val="ListParagraph"/>
        <w:ind w:left="1080"/>
        <w:rPr>
          <w:sz w:val="28"/>
          <w:szCs w:val="28"/>
        </w:rPr>
      </w:pPr>
    </w:p>
    <w:p w14:paraId="73A6166C" w14:textId="77777777" w:rsidR="0021077B" w:rsidRDefault="0021077B" w:rsidP="0021077B">
      <w:pPr>
        <w:pStyle w:val="ListParagraph"/>
        <w:ind w:left="1080"/>
        <w:rPr>
          <w:sz w:val="28"/>
          <w:szCs w:val="28"/>
        </w:rPr>
      </w:pPr>
    </w:p>
    <w:p w14:paraId="45B72558" w14:textId="77777777" w:rsidR="0021077B" w:rsidRDefault="0021077B" w:rsidP="0021077B">
      <w:pPr>
        <w:pStyle w:val="ListParagraph"/>
        <w:ind w:left="1080"/>
        <w:rPr>
          <w:sz w:val="28"/>
          <w:szCs w:val="28"/>
        </w:rPr>
      </w:pPr>
    </w:p>
    <w:p w14:paraId="1E208167" w14:textId="77777777" w:rsidR="0021077B" w:rsidRDefault="0021077B" w:rsidP="0021077B">
      <w:pPr>
        <w:pStyle w:val="ListParagraph"/>
        <w:ind w:left="1080"/>
        <w:rPr>
          <w:sz w:val="28"/>
          <w:szCs w:val="28"/>
        </w:rPr>
      </w:pPr>
    </w:p>
    <w:p w14:paraId="60111D7D" w14:textId="77777777" w:rsidR="0021077B" w:rsidRDefault="0021077B" w:rsidP="0021077B">
      <w:pPr>
        <w:pStyle w:val="ListParagraph"/>
        <w:ind w:left="1080"/>
        <w:rPr>
          <w:sz w:val="28"/>
          <w:szCs w:val="28"/>
        </w:rPr>
      </w:pPr>
    </w:p>
    <w:p w14:paraId="0BA532C8" w14:textId="77777777" w:rsidR="0021077B" w:rsidRDefault="0021077B" w:rsidP="0021077B">
      <w:pPr>
        <w:pStyle w:val="ListParagraph"/>
        <w:ind w:left="1080"/>
        <w:rPr>
          <w:sz w:val="28"/>
          <w:szCs w:val="28"/>
        </w:rPr>
      </w:pPr>
    </w:p>
    <w:p w14:paraId="5B99EB7C" w14:textId="77777777" w:rsidR="0021077B" w:rsidRDefault="0021077B" w:rsidP="0021077B">
      <w:pPr>
        <w:pStyle w:val="ListParagraph"/>
        <w:ind w:left="1080"/>
        <w:rPr>
          <w:sz w:val="28"/>
          <w:szCs w:val="28"/>
        </w:rPr>
      </w:pPr>
    </w:p>
    <w:p w14:paraId="3AEBE32B" w14:textId="77777777" w:rsidR="0021077B" w:rsidRDefault="0021077B" w:rsidP="0021077B">
      <w:pPr>
        <w:pStyle w:val="ListParagraph"/>
        <w:ind w:left="1080"/>
        <w:rPr>
          <w:sz w:val="28"/>
          <w:szCs w:val="28"/>
        </w:rPr>
      </w:pPr>
    </w:p>
    <w:p w14:paraId="0676AA69" w14:textId="77777777" w:rsidR="0021077B" w:rsidRDefault="0021077B" w:rsidP="0021077B">
      <w:pPr>
        <w:pStyle w:val="ListParagraph"/>
        <w:ind w:left="1080"/>
        <w:rPr>
          <w:sz w:val="28"/>
          <w:szCs w:val="28"/>
        </w:rPr>
      </w:pPr>
    </w:p>
    <w:p w14:paraId="1174440E" w14:textId="77777777" w:rsidR="0021077B" w:rsidRPr="00C01EA7" w:rsidRDefault="0021077B" w:rsidP="0021077B">
      <w:pPr>
        <w:pStyle w:val="ListParagraph"/>
        <w:ind w:left="1080"/>
        <w:rPr>
          <w:sz w:val="28"/>
          <w:szCs w:val="28"/>
        </w:rPr>
      </w:pPr>
    </w:p>
    <w:p w14:paraId="3463929F" w14:textId="77777777" w:rsidR="0021077B" w:rsidRPr="00D87DD0" w:rsidRDefault="0021077B" w:rsidP="0021077B">
      <w:pPr>
        <w:pStyle w:val="ListParagraph"/>
        <w:numPr>
          <w:ilvl w:val="0"/>
          <w:numId w:val="22"/>
        </w:numPr>
        <w:spacing w:after="160" w:line="259" w:lineRule="auto"/>
        <w:rPr>
          <w:sz w:val="28"/>
          <w:szCs w:val="28"/>
        </w:rPr>
      </w:pPr>
      <w:r w:rsidRPr="00D87DD0">
        <w:rPr>
          <w:sz w:val="28"/>
          <w:szCs w:val="28"/>
        </w:rPr>
        <w:lastRenderedPageBreak/>
        <w:t>Security</w:t>
      </w:r>
    </w:p>
    <w:p w14:paraId="6AFCA6D1" w14:textId="77777777" w:rsidR="0021077B" w:rsidRDefault="0021077B" w:rsidP="0021077B">
      <w:pPr>
        <w:pStyle w:val="ListParagraph"/>
        <w:numPr>
          <w:ilvl w:val="1"/>
          <w:numId w:val="22"/>
        </w:numPr>
        <w:spacing w:after="160" w:line="259" w:lineRule="auto"/>
        <w:rPr>
          <w:sz w:val="24"/>
          <w:szCs w:val="24"/>
        </w:rPr>
      </w:pPr>
      <w:r w:rsidRPr="00054D08">
        <w:rPr>
          <w:sz w:val="24"/>
          <w:szCs w:val="24"/>
        </w:rPr>
        <w:t>Authentication Header</w:t>
      </w:r>
    </w:p>
    <w:p w14:paraId="79987D95" w14:textId="77777777" w:rsidR="0021077B" w:rsidRDefault="0021077B" w:rsidP="0021077B">
      <w:pPr>
        <w:pStyle w:val="ListParagraph"/>
        <w:ind w:left="1080"/>
        <w:rPr>
          <w:sz w:val="24"/>
          <w:szCs w:val="24"/>
        </w:rPr>
      </w:pPr>
      <w:r>
        <w:rPr>
          <w:sz w:val="24"/>
          <w:szCs w:val="24"/>
        </w:rPr>
        <w:t>According to an article by Eric Conrad and Joshua Feldman, Authentication Header (AH) acts as a signature for network data, ensuring integrity for each packet. It does this by confirming the source for each packet, ensuring the contents have not been modified in any way since it was originally sent. The article states “</w:t>
      </w:r>
      <w:r w:rsidRPr="008B2F0E">
        <w:rPr>
          <w:sz w:val="24"/>
          <w:szCs w:val="24"/>
        </w:rPr>
        <w:t>AH also protects against </w:t>
      </w:r>
      <w:r w:rsidRPr="008B2F0E">
        <w:rPr>
          <w:i/>
          <w:iCs/>
          <w:sz w:val="24"/>
          <w:szCs w:val="24"/>
        </w:rPr>
        <w:t>replay attacks</w:t>
      </w:r>
      <w:r w:rsidRPr="008B2F0E">
        <w:rPr>
          <w:sz w:val="24"/>
          <w:szCs w:val="24"/>
        </w:rPr>
        <w:t>, where data is sniffed off a network and resent, often in an attempt to fraudulently reuse encrypted </w:t>
      </w:r>
      <w:r>
        <w:rPr>
          <w:sz w:val="24"/>
          <w:szCs w:val="24"/>
        </w:rPr>
        <w:t>authentication credentials.”</w:t>
      </w:r>
      <w:sdt>
        <w:sdtPr>
          <w:rPr>
            <w:sz w:val="24"/>
            <w:szCs w:val="24"/>
          </w:rPr>
          <w:id w:val="261650606"/>
          <w:citation/>
        </w:sdtPr>
        <w:sdtContent>
          <w:r>
            <w:rPr>
              <w:sz w:val="24"/>
              <w:szCs w:val="24"/>
            </w:rPr>
            <w:fldChar w:fldCharType="begin"/>
          </w:r>
          <w:r>
            <w:rPr>
              <w:sz w:val="24"/>
              <w:szCs w:val="24"/>
            </w:rPr>
            <w:instrText xml:space="preserve"> CITATION Eri12 \l 2057 </w:instrText>
          </w:r>
          <w:r>
            <w:rPr>
              <w:sz w:val="24"/>
              <w:szCs w:val="24"/>
            </w:rPr>
            <w:fldChar w:fldCharType="separate"/>
          </w:r>
          <w:r>
            <w:rPr>
              <w:noProof/>
              <w:sz w:val="24"/>
              <w:szCs w:val="24"/>
            </w:rPr>
            <w:t xml:space="preserve"> </w:t>
          </w:r>
          <w:r w:rsidRPr="008B2F0E">
            <w:rPr>
              <w:noProof/>
              <w:sz w:val="24"/>
              <w:szCs w:val="24"/>
            </w:rPr>
            <w:t>[5]</w:t>
          </w:r>
          <w:r>
            <w:rPr>
              <w:sz w:val="24"/>
              <w:szCs w:val="24"/>
            </w:rPr>
            <w:fldChar w:fldCharType="end"/>
          </w:r>
        </w:sdtContent>
      </w:sdt>
    </w:p>
    <w:p w14:paraId="6A16BF6D" w14:textId="77777777" w:rsidR="0021077B" w:rsidRDefault="0021077B" w:rsidP="0021077B">
      <w:pPr>
        <w:pStyle w:val="ListParagraph"/>
        <w:ind w:left="1080"/>
        <w:rPr>
          <w:sz w:val="24"/>
          <w:szCs w:val="24"/>
        </w:rPr>
      </w:pPr>
      <w:r>
        <w:rPr>
          <w:sz w:val="24"/>
          <w:szCs w:val="24"/>
        </w:rPr>
        <w:t xml:space="preserve"> An example of the format of the authentication header is shown in the table below;</w:t>
      </w:r>
    </w:p>
    <w:p w14:paraId="05BAB402" w14:textId="77777777" w:rsidR="0021077B" w:rsidRDefault="0021077B" w:rsidP="0021077B">
      <w:pPr>
        <w:pStyle w:val="ListParagraph"/>
        <w:ind w:left="1080"/>
        <w:rPr>
          <w:sz w:val="24"/>
          <w:szCs w:val="24"/>
        </w:rPr>
      </w:pPr>
    </w:p>
    <w:p w14:paraId="66986A6B" w14:textId="77777777" w:rsidR="0021077B" w:rsidRDefault="0021077B" w:rsidP="0021077B">
      <w:pPr>
        <w:pStyle w:val="ListParagraph"/>
        <w:ind w:left="1080"/>
        <w:rPr>
          <w:sz w:val="24"/>
          <w:szCs w:val="24"/>
        </w:rPr>
      </w:pPr>
      <w:r>
        <w:rPr>
          <w:noProof/>
          <w:sz w:val="24"/>
          <w:szCs w:val="24"/>
        </w:rPr>
        <w:drawing>
          <wp:inline distT="0" distB="0" distL="0" distR="0" wp14:anchorId="6A1549A6" wp14:editId="4DB754A6">
            <wp:extent cx="4945380" cy="40614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H table.PNG"/>
                    <pic:cNvPicPr/>
                  </pic:nvPicPr>
                  <pic:blipFill>
                    <a:blip r:embed="rId9">
                      <a:extLst>
                        <a:ext uri="{28A0092B-C50C-407E-A947-70E740481C1C}">
                          <a14:useLocalDpi xmlns:a14="http://schemas.microsoft.com/office/drawing/2010/main" val="0"/>
                        </a:ext>
                      </a:extLst>
                    </a:blip>
                    <a:stretch>
                      <a:fillRect/>
                    </a:stretch>
                  </pic:blipFill>
                  <pic:spPr>
                    <a:xfrm>
                      <a:off x="0" y="0"/>
                      <a:ext cx="4945815" cy="4061817"/>
                    </a:xfrm>
                    <a:prstGeom prst="rect">
                      <a:avLst/>
                    </a:prstGeom>
                  </pic:spPr>
                </pic:pic>
              </a:graphicData>
            </a:graphic>
          </wp:inline>
        </w:drawing>
      </w:r>
    </w:p>
    <w:p w14:paraId="003785D5" w14:textId="77777777" w:rsidR="0021077B" w:rsidRDefault="0021077B" w:rsidP="0021077B">
      <w:pPr>
        <w:pStyle w:val="ListParagraph"/>
        <w:ind w:left="1080"/>
        <w:rPr>
          <w:sz w:val="24"/>
          <w:szCs w:val="24"/>
        </w:rPr>
      </w:pPr>
      <w:r>
        <w:rPr>
          <w:sz w:val="24"/>
          <w:szCs w:val="24"/>
        </w:rPr>
        <w:t>Fig. 1 Authentication header</w:t>
      </w:r>
      <w:sdt>
        <w:sdtPr>
          <w:rPr>
            <w:sz w:val="24"/>
            <w:szCs w:val="24"/>
          </w:rPr>
          <w:id w:val="-1818572262"/>
          <w:citation/>
        </w:sdtPr>
        <w:sdtContent>
          <w:r>
            <w:rPr>
              <w:sz w:val="24"/>
              <w:szCs w:val="24"/>
            </w:rPr>
            <w:fldChar w:fldCharType="begin"/>
          </w:r>
          <w:r>
            <w:rPr>
              <w:sz w:val="24"/>
              <w:szCs w:val="24"/>
            </w:rPr>
            <w:instrText xml:space="preserve"> CITATION Eri12 \l 2057 </w:instrText>
          </w:r>
          <w:r>
            <w:rPr>
              <w:sz w:val="24"/>
              <w:szCs w:val="24"/>
            </w:rPr>
            <w:fldChar w:fldCharType="separate"/>
          </w:r>
          <w:r>
            <w:rPr>
              <w:noProof/>
              <w:sz w:val="24"/>
              <w:szCs w:val="24"/>
            </w:rPr>
            <w:t xml:space="preserve"> </w:t>
          </w:r>
          <w:r w:rsidRPr="00D87DD0">
            <w:rPr>
              <w:noProof/>
              <w:sz w:val="24"/>
              <w:szCs w:val="24"/>
            </w:rPr>
            <w:t>[5]</w:t>
          </w:r>
          <w:r>
            <w:rPr>
              <w:sz w:val="24"/>
              <w:szCs w:val="24"/>
            </w:rPr>
            <w:fldChar w:fldCharType="end"/>
          </w:r>
        </w:sdtContent>
      </w:sdt>
      <w:r>
        <w:rPr>
          <w:sz w:val="24"/>
          <w:szCs w:val="24"/>
        </w:rPr>
        <w:t>.</w:t>
      </w:r>
    </w:p>
    <w:p w14:paraId="6D15F2A0" w14:textId="77777777" w:rsidR="0021077B" w:rsidRDefault="0021077B" w:rsidP="0021077B">
      <w:pPr>
        <w:pStyle w:val="ListParagraph"/>
        <w:ind w:left="1080"/>
        <w:rPr>
          <w:sz w:val="24"/>
          <w:szCs w:val="24"/>
        </w:rPr>
      </w:pPr>
    </w:p>
    <w:p w14:paraId="7E09D172" w14:textId="77777777" w:rsidR="0021077B" w:rsidRDefault="0021077B" w:rsidP="0021077B">
      <w:pPr>
        <w:pStyle w:val="ListParagraph"/>
        <w:ind w:left="1080"/>
        <w:rPr>
          <w:sz w:val="24"/>
          <w:szCs w:val="24"/>
        </w:rPr>
      </w:pPr>
    </w:p>
    <w:p w14:paraId="59B4EB3D" w14:textId="77777777" w:rsidR="0021077B" w:rsidRPr="00054D08" w:rsidRDefault="0021077B" w:rsidP="0021077B">
      <w:pPr>
        <w:pStyle w:val="ListParagraph"/>
        <w:ind w:left="1080"/>
        <w:rPr>
          <w:sz w:val="24"/>
          <w:szCs w:val="24"/>
        </w:rPr>
      </w:pPr>
    </w:p>
    <w:p w14:paraId="0CB16180" w14:textId="77777777" w:rsidR="0021077B" w:rsidRPr="00054D08" w:rsidRDefault="0021077B" w:rsidP="0021077B">
      <w:pPr>
        <w:pStyle w:val="ListParagraph"/>
        <w:numPr>
          <w:ilvl w:val="1"/>
          <w:numId w:val="22"/>
        </w:numPr>
        <w:spacing w:after="160" w:line="259" w:lineRule="auto"/>
        <w:rPr>
          <w:sz w:val="24"/>
          <w:szCs w:val="24"/>
        </w:rPr>
      </w:pPr>
      <w:r w:rsidRPr="00054D08">
        <w:rPr>
          <w:sz w:val="24"/>
          <w:szCs w:val="24"/>
        </w:rPr>
        <w:t>Encapsulating security payload</w:t>
      </w:r>
    </w:p>
    <w:p w14:paraId="0BF612EA" w14:textId="77777777" w:rsidR="0021077B" w:rsidRDefault="0021077B" w:rsidP="0021077B">
      <w:pPr>
        <w:pStyle w:val="ListParagraph"/>
        <w:ind w:left="1080"/>
      </w:pPr>
      <w:r>
        <w:t xml:space="preserve">Since AH offer no confidentiality, it is often combined with Encapsulating Security Payload (ESP). This feature encrypts the packet data </w:t>
      </w:r>
      <w:sdt>
        <w:sdtPr>
          <w:id w:val="1186633869"/>
          <w:citation/>
        </w:sdtPr>
        <w:sdtContent>
          <w:r>
            <w:fldChar w:fldCharType="begin"/>
          </w:r>
          <w:r>
            <w:instrText xml:space="preserve"> CITATION Eri12 \l 2057 </w:instrText>
          </w:r>
          <w:r>
            <w:fldChar w:fldCharType="separate"/>
          </w:r>
          <w:r w:rsidRPr="006C41E4">
            <w:rPr>
              <w:noProof/>
            </w:rPr>
            <w:t>[5]</w:t>
          </w:r>
          <w:r>
            <w:fldChar w:fldCharType="end"/>
          </w:r>
        </w:sdtContent>
      </w:sdt>
      <w:r>
        <w:t>.</w:t>
      </w:r>
    </w:p>
    <w:p w14:paraId="7A40634F" w14:textId="1058087B" w:rsidR="0021077B" w:rsidRDefault="0021077B" w:rsidP="0021077B">
      <w:pPr>
        <w:pStyle w:val="ListParagraph"/>
        <w:ind w:left="1080"/>
      </w:pPr>
      <w:r>
        <w:t>According to an article by IBM, ESP can be used in two ways, transport mode or tunnel mode. The article states that tunnel mode provides greater security than transport mode by encapsulating the entire packet, including header and payload, inside another data packet. Transport mode on the other hand, does not encrypt the IP header, leaving the data accessible to attackers whilst the packet is in transit. The advantage of transport mode is that it requires less processing overhead. It is for this reason that Transport mode is often combined with AH to offer adequate security reduced processing overhead compared to using ESP in tunnel mode</w:t>
      </w:r>
      <w:sdt>
        <w:sdtPr>
          <w:id w:val="-1734461678"/>
          <w:citation/>
        </w:sdtPr>
        <w:sdtContent>
          <w:r>
            <w:fldChar w:fldCharType="begin"/>
          </w:r>
          <w:r>
            <w:instrText xml:space="preserve"> CITATION IBMnd \l 2057 </w:instrText>
          </w:r>
          <w:r>
            <w:fldChar w:fldCharType="separate"/>
          </w:r>
          <w:r>
            <w:rPr>
              <w:noProof/>
            </w:rPr>
            <w:t xml:space="preserve"> </w:t>
          </w:r>
          <w:r w:rsidRPr="005155CC">
            <w:rPr>
              <w:noProof/>
            </w:rPr>
            <w:t>[6]</w:t>
          </w:r>
          <w:r>
            <w:fldChar w:fldCharType="end"/>
          </w:r>
        </w:sdtContent>
      </w:sdt>
      <w:r>
        <w:t>.</w:t>
      </w:r>
    </w:p>
    <w:p w14:paraId="1C4A1D58" w14:textId="53AAAA4F" w:rsidR="0021077B" w:rsidRDefault="0021077B" w:rsidP="0021077B">
      <w:pPr>
        <w:pStyle w:val="ListParagraph"/>
        <w:ind w:left="1080"/>
      </w:pPr>
    </w:p>
    <w:p w14:paraId="555477A2" w14:textId="247E6103" w:rsidR="0021077B" w:rsidRDefault="0021077B" w:rsidP="0021077B">
      <w:pPr>
        <w:pStyle w:val="ListParagraph"/>
        <w:ind w:left="1080"/>
      </w:pPr>
    </w:p>
    <w:p w14:paraId="1F5C7DCB" w14:textId="3A529616" w:rsidR="0021077B" w:rsidRDefault="0021077B" w:rsidP="0021077B">
      <w:pPr>
        <w:pStyle w:val="ListParagraph"/>
        <w:ind w:left="1080"/>
      </w:pPr>
    </w:p>
    <w:p w14:paraId="0D548C75" w14:textId="77777777" w:rsidR="0021077B" w:rsidRDefault="0021077B" w:rsidP="0021077B">
      <w:pPr>
        <w:pStyle w:val="ListParagraph"/>
        <w:ind w:left="1080"/>
      </w:pPr>
    </w:p>
    <w:p w14:paraId="132ED8C5" w14:textId="77777777" w:rsidR="0021077B" w:rsidRDefault="0021077B" w:rsidP="0021077B"/>
    <w:sdt>
      <w:sdtPr>
        <w:id w:val="1377352435"/>
        <w:docPartObj>
          <w:docPartGallery w:val="Bibliographies"/>
          <w:docPartUnique/>
        </w:docPartObj>
      </w:sdtPr>
      <w:sdtEndPr>
        <w:rPr>
          <w:b w:val="0"/>
          <w:sz w:val="20"/>
        </w:rPr>
      </w:sdtEndPr>
      <w:sdtContent>
        <w:p w14:paraId="073EB5D7" w14:textId="77777777" w:rsidR="0021077B" w:rsidRDefault="0021077B" w:rsidP="0021077B">
          <w:pPr>
            <w:pStyle w:val="Heading1"/>
          </w:pPr>
          <w:r>
            <w:t>References</w:t>
          </w:r>
        </w:p>
        <w:sdt>
          <w:sdtPr>
            <w:id w:val="-573587230"/>
            <w:bibliography/>
          </w:sdtPr>
          <w:sdtContent>
            <w:p w14:paraId="0BD2BC65" w14:textId="77777777" w:rsidR="0021077B" w:rsidRDefault="0021077B" w:rsidP="0021077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9430"/>
              </w:tblGrid>
              <w:tr w:rsidR="0021077B" w14:paraId="1AD41D4C" w14:textId="77777777" w:rsidTr="007865EE">
                <w:trPr>
                  <w:tblCellSpacing w:w="15" w:type="dxa"/>
                </w:trPr>
                <w:tc>
                  <w:tcPr>
                    <w:tcW w:w="50" w:type="pct"/>
                    <w:hideMark/>
                  </w:tcPr>
                  <w:p w14:paraId="2E922684" w14:textId="77777777" w:rsidR="0021077B" w:rsidRDefault="0021077B" w:rsidP="007865EE">
                    <w:pPr>
                      <w:pStyle w:val="Bibliography"/>
                      <w:rPr>
                        <w:noProof/>
                        <w:sz w:val="24"/>
                        <w:szCs w:val="24"/>
                      </w:rPr>
                    </w:pPr>
                    <w:r>
                      <w:rPr>
                        <w:noProof/>
                      </w:rPr>
                      <w:t xml:space="preserve">[1] </w:t>
                    </w:r>
                  </w:p>
                </w:tc>
                <w:tc>
                  <w:tcPr>
                    <w:tcW w:w="0" w:type="auto"/>
                    <w:hideMark/>
                  </w:tcPr>
                  <w:p w14:paraId="37DC55CB" w14:textId="77777777" w:rsidR="0021077B" w:rsidRDefault="0021077B" w:rsidP="007865EE">
                    <w:pPr>
                      <w:pStyle w:val="Bibliography"/>
                      <w:rPr>
                        <w:noProof/>
                      </w:rPr>
                    </w:pPr>
                    <w:r>
                      <w:rPr>
                        <w:noProof/>
                      </w:rPr>
                      <w:t>S. S. Nazrul, “Basics of IP Addresses in Computer Networking,” 25th October 2018. [Online]. Available: https://medium.com/@sadatnazrul/basics-of-ip-addresses-in-computer-networking-f1a4661ea85c. [Accessed 10th December 2019].</w:t>
                    </w:r>
                  </w:p>
                </w:tc>
              </w:tr>
              <w:tr w:rsidR="0021077B" w14:paraId="57225363" w14:textId="77777777" w:rsidTr="007865EE">
                <w:trPr>
                  <w:tblCellSpacing w:w="15" w:type="dxa"/>
                </w:trPr>
                <w:tc>
                  <w:tcPr>
                    <w:tcW w:w="50" w:type="pct"/>
                    <w:hideMark/>
                  </w:tcPr>
                  <w:p w14:paraId="5674AA33" w14:textId="77777777" w:rsidR="0021077B" w:rsidRDefault="0021077B" w:rsidP="007865EE">
                    <w:pPr>
                      <w:pStyle w:val="Bibliography"/>
                      <w:rPr>
                        <w:noProof/>
                      </w:rPr>
                    </w:pPr>
                    <w:r>
                      <w:rPr>
                        <w:noProof/>
                      </w:rPr>
                      <w:t xml:space="preserve">[2] </w:t>
                    </w:r>
                  </w:p>
                </w:tc>
                <w:tc>
                  <w:tcPr>
                    <w:tcW w:w="0" w:type="auto"/>
                    <w:hideMark/>
                  </w:tcPr>
                  <w:p w14:paraId="54B24C34" w14:textId="77777777" w:rsidR="0021077B" w:rsidRDefault="0021077B" w:rsidP="007865EE">
                    <w:pPr>
                      <w:pStyle w:val="Bibliography"/>
                      <w:rPr>
                        <w:noProof/>
                      </w:rPr>
                    </w:pPr>
                    <w:r>
                      <w:rPr>
                        <w:noProof/>
                      </w:rPr>
                      <w:t xml:space="preserve">A. D. a. P. Nithyanandam, “AN OVERVIEW OF THE IPV6 ADDRESSING SCHEME,” </w:t>
                    </w:r>
                    <w:r>
                      <w:rPr>
                        <w:i/>
                        <w:iCs/>
                        <w:noProof/>
                      </w:rPr>
                      <w:t xml:space="preserve">International Journal of Mathematics, Game Theory, and Algebra, </w:t>
                    </w:r>
                    <w:r>
                      <w:rPr>
                        <w:noProof/>
                      </w:rPr>
                      <w:t xml:space="preserve">vol. 27, no. 1, 2018. </w:t>
                    </w:r>
                  </w:p>
                </w:tc>
              </w:tr>
              <w:tr w:rsidR="0021077B" w14:paraId="1FC599BE" w14:textId="77777777" w:rsidTr="007865EE">
                <w:trPr>
                  <w:tblCellSpacing w:w="15" w:type="dxa"/>
                </w:trPr>
                <w:tc>
                  <w:tcPr>
                    <w:tcW w:w="50" w:type="pct"/>
                    <w:hideMark/>
                  </w:tcPr>
                  <w:p w14:paraId="5AE5D767" w14:textId="77777777" w:rsidR="0021077B" w:rsidRDefault="0021077B" w:rsidP="007865EE">
                    <w:pPr>
                      <w:pStyle w:val="Bibliography"/>
                      <w:rPr>
                        <w:noProof/>
                      </w:rPr>
                    </w:pPr>
                    <w:r>
                      <w:rPr>
                        <w:noProof/>
                      </w:rPr>
                      <w:t xml:space="preserve">[3] </w:t>
                    </w:r>
                  </w:p>
                </w:tc>
                <w:tc>
                  <w:tcPr>
                    <w:tcW w:w="0" w:type="auto"/>
                    <w:hideMark/>
                  </w:tcPr>
                  <w:p w14:paraId="3E856D79" w14:textId="77777777" w:rsidR="0021077B" w:rsidRDefault="0021077B" w:rsidP="007865EE">
                    <w:pPr>
                      <w:pStyle w:val="Bibliography"/>
                      <w:rPr>
                        <w:noProof/>
                      </w:rPr>
                    </w:pPr>
                    <w:r>
                      <w:rPr>
                        <w:noProof/>
                      </w:rPr>
                      <w:t>R. Graziani, “IPv6 Address Representation and Address Types,” Cisco Press, 3rd October 2017. [Online]. Available: http://www.ciscopress.com/articles/article.asp?p=2803866&amp;seqNum=4. [Accessed 10th December 2019].</w:t>
                    </w:r>
                  </w:p>
                </w:tc>
              </w:tr>
              <w:tr w:rsidR="0021077B" w14:paraId="5F19310A" w14:textId="77777777" w:rsidTr="007865EE">
                <w:trPr>
                  <w:tblCellSpacing w:w="15" w:type="dxa"/>
                </w:trPr>
                <w:tc>
                  <w:tcPr>
                    <w:tcW w:w="50" w:type="pct"/>
                    <w:hideMark/>
                  </w:tcPr>
                  <w:p w14:paraId="7AA7DF3E" w14:textId="77777777" w:rsidR="0021077B" w:rsidRDefault="0021077B" w:rsidP="007865EE">
                    <w:pPr>
                      <w:pStyle w:val="Bibliography"/>
                      <w:rPr>
                        <w:noProof/>
                      </w:rPr>
                    </w:pPr>
                    <w:r>
                      <w:rPr>
                        <w:noProof/>
                      </w:rPr>
                      <w:t xml:space="preserve">[4] </w:t>
                    </w:r>
                  </w:p>
                </w:tc>
                <w:tc>
                  <w:tcPr>
                    <w:tcW w:w="0" w:type="auto"/>
                    <w:hideMark/>
                  </w:tcPr>
                  <w:p w14:paraId="152C49D5" w14:textId="77777777" w:rsidR="0021077B" w:rsidRDefault="0021077B" w:rsidP="007865EE">
                    <w:pPr>
                      <w:pStyle w:val="Bibliography"/>
                      <w:rPr>
                        <w:noProof/>
                      </w:rPr>
                    </w:pPr>
                    <w:r>
                      <w:rPr>
                        <w:noProof/>
                      </w:rPr>
                      <w:t>“What is Anycast? How Does it Actually Work?,” 2018. [Online]. Available: https://www.cloudflare.com/learning/cdn/glossary/anycast-network/. [Accessed 10th December 2019].</w:t>
                    </w:r>
                  </w:p>
                </w:tc>
              </w:tr>
              <w:tr w:rsidR="0021077B" w14:paraId="6BA62A90" w14:textId="77777777" w:rsidTr="007865EE">
                <w:trPr>
                  <w:tblCellSpacing w:w="15" w:type="dxa"/>
                </w:trPr>
                <w:tc>
                  <w:tcPr>
                    <w:tcW w:w="50" w:type="pct"/>
                    <w:hideMark/>
                  </w:tcPr>
                  <w:p w14:paraId="647B4378" w14:textId="77777777" w:rsidR="0021077B" w:rsidRDefault="0021077B" w:rsidP="007865EE">
                    <w:pPr>
                      <w:pStyle w:val="Bibliography"/>
                      <w:rPr>
                        <w:noProof/>
                      </w:rPr>
                    </w:pPr>
                    <w:r>
                      <w:rPr>
                        <w:noProof/>
                      </w:rPr>
                      <w:t xml:space="preserve">[5] </w:t>
                    </w:r>
                  </w:p>
                </w:tc>
                <w:tc>
                  <w:tcPr>
                    <w:tcW w:w="0" w:type="auto"/>
                    <w:hideMark/>
                  </w:tcPr>
                  <w:p w14:paraId="67D82F94" w14:textId="77777777" w:rsidR="0021077B" w:rsidRDefault="0021077B" w:rsidP="007865EE">
                    <w:pPr>
                      <w:pStyle w:val="Bibliography"/>
                      <w:rPr>
                        <w:noProof/>
                      </w:rPr>
                    </w:pPr>
                    <w:r>
                      <w:rPr>
                        <w:noProof/>
                      </w:rPr>
                      <w:t xml:space="preserve">J. F. Eric Conrad, “AH and ESP,” in </w:t>
                    </w:r>
                    <w:r>
                      <w:rPr>
                        <w:i/>
                        <w:iCs/>
                        <w:noProof/>
                      </w:rPr>
                      <w:t xml:space="preserve">CISSP Study Guide </w:t>
                    </w:r>
                    <w:r>
                      <w:rPr>
                        <w:noProof/>
                      </w:rPr>
                      <w:t xml:space="preserve">, Elsevier, 2012. </w:t>
                    </w:r>
                  </w:p>
                </w:tc>
              </w:tr>
              <w:tr w:rsidR="0021077B" w14:paraId="257773B0" w14:textId="77777777" w:rsidTr="007865EE">
                <w:trPr>
                  <w:tblCellSpacing w:w="15" w:type="dxa"/>
                </w:trPr>
                <w:tc>
                  <w:tcPr>
                    <w:tcW w:w="50" w:type="pct"/>
                    <w:hideMark/>
                  </w:tcPr>
                  <w:p w14:paraId="60BBC26F" w14:textId="77777777" w:rsidR="0021077B" w:rsidRDefault="0021077B" w:rsidP="007865EE">
                    <w:pPr>
                      <w:pStyle w:val="Bibliography"/>
                      <w:rPr>
                        <w:noProof/>
                      </w:rPr>
                    </w:pPr>
                    <w:r>
                      <w:rPr>
                        <w:noProof/>
                      </w:rPr>
                      <w:t xml:space="preserve">[6] </w:t>
                    </w:r>
                  </w:p>
                </w:tc>
                <w:tc>
                  <w:tcPr>
                    <w:tcW w:w="0" w:type="auto"/>
                    <w:hideMark/>
                  </w:tcPr>
                  <w:p w14:paraId="1E1EFA5D" w14:textId="77777777" w:rsidR="0021077B" w:rsidRDefault="0021077B" w:rsidP="007865EE">
                    <w:pPr>
                      <w:pStyle w:val="Bibliography"/>
                      <w:rPr>
                        <w:noProof/>
                      </w:rPr>
                    </w:pPr>
                    <w:r>
                      <w:rPr>
                        <w:noProof/>
                      </w:rPr>
                      <w:t>IBM, “IBM knowledge Center,” n.d. [Online]. Available: https://www.ibm.com/support/knowledgecenter/en/ssw_ibm_i_72/rzaja/rzajaesp.htm. [Accessed 11th December 2019].</w:t>
                    </w:r>
                  </w:p>
                </w:tc>
              </w:tr>
            </w:tbl>
            <w:p w14:paraId="729DFFBA" w14:textId="77777777" w:rsidR="0021077B" w:rsidRDefault="0021077B" w:rsidP="0021077B">
              <w:pPr>
                <w:rPr>
                  <w:noProof/>
                </w:rPr>
              </w:pPr>
            </w:p>
            <w:p w14:paraId="326865C7" w14:textId="77777777" w:rsidR="0021077B" w:rsidRDefault="0021077B" w:rsidP="0021077B">
              <w:r>
                <w:rPr>
                  <w:b/>
                  <w:bCs/>
                  <w:noProof/>
                </w:rPr>
                <w:fldChar w:fldCharType="end"/>
              </w:r>
            </w:p>
          </w:sdtContent>
        </w:sdt>
      </w:sdtContent>
    </w:sdt>
    <w:p w14:paraId="0F0193CB" w14:textId="4A8F9D99" w:rsidR="0021077B" w:rsidRDefault="0021077B" w:rsidP="00C319EB">
      <w:pPr>
        <w:rPr>
          <w:rFonts w:ascii="Arial" w:hAnsi="Arial" w:cs="Arial"/>
          <w:sz w:val="22"/>
          <w:lang w:val="en-US" w:eastAsia="en-US"/>
        </w:rPr>
      </w:pPr>
    </w:p>
    <w:p w14:paraId="029DE209" w14:textId="77777777" w:rsidR="0021077B" w:rsidRPr="00C319EB" w:rsidRDefault="0021077B"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1"/>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6B80EE79" w:rsidR="004A7D3D" w:rsidRPr="00AE78ED" w:rsidRDefault="00834063" w:rsidP="00F5276B">
            <w:pPr>
              <w:pStyle w:val="TableText"/>
              <w:ind w:left="284"/>
              <w:rPr>
                <w:rFonts w:cs="Arial"/>
                <w:sz w:val="24"/>
                <w:szCs w:val="24"/>
              </w:rPr>
            </w:pPr>
            <w:r w:rsidRPr="00AE78ED">
              <w:rPr>
                <w:rFonts w:cs="Arial"/>
                <w:sz w:val="24"/>
                <w:szCs w:val="24"/>
              </w:rPr>
              <w:t>B</w:t>
            </w:r>
          </w:p>
        </w:tc>
        <w:tc>
          <w:tcPr>
            <w:tcW w:w="2561" w:type="dxa"/>
            <w:vAlign w:val="bottom"/>
          </w:tcPr>
          <w:p w14:paraId="325D5AA6" w14:textId="3CADC5F7" w:rsidR="004A7D3D" w:rsidRPr="00AE78ED" w:rsidRDefault="00834063" w:rsidP="00F5276B">
            <w:pPr>
              <w:pStyle w:val="TableText"/>
              <w:rPr>
                <w:rFonts w:cs="Arial"/>
                <w:sz w:val="24"/>
                <w:szCs w:val="24"/>
              </w:rPr>
            </w:pPr>
            <w:r w:rsidRPr="00AE78ED">
              <w:rPr>
                <w:rFonts w:cs="Arial"/>
                <w:sz w:val="24"/>
                <w:szCs w:val="24"/>
              </w:rPr>
              <w:t>172.16.2.0</w:t>
            </w:r>
            <w:r w:rsidR="00EC247B" w:rsidRPr="00AE78ED">
              <w:rPr>
                <w:rFonts w:cs="Arial"/>
                <w:sz w:val="24"/>
                <w:szCs w:val="24"/>
              </w:rPr>
              <w:t>/21</w:t>
            </w:r>
          </w:p>
        </w:tc>
        <w:tc>
          <w:tcPr>
            <w:tcW w:w="2552" w:type="dxa"/>
          </w:tcPr>
          <w:p w14:paraId="64D79944" w14:textId="6C700665" w:rsidR="00834063" w:rsidRPr="00AE78ED" w:rsidRDefault="00834063" w:rsidP="00F5276B">
            <w:pPr>
              <w:pStyle w:val="TableText"/>
              <w:rPr>
                <w:rFonts w:cs="Arial"/>
                <w:sz w:val="24"/>
                <w:szCs w:val="24"/>
              </w:rPr>
            </w:pPr>
            <w:r w:rsidRPr="00AE78ED">
              <w:rPr>
                <w:rFonts w:cs="Arial"/>
                <w:sz w:val="24"/>
                <w:szCs w:val="24"/>
              </w:rPr>
              <w:t>255</w:t>
            </w:r>
            <w:r w:rsidR="00EC247B" w:rsidRPr="00AE78ED">
              <w:rPr>
                <w:rFonts w:cs="Arial"/>
                <w:sz w:val="24"/>
                <w:szCs w:val="24"/>
              </w:rPr>
              <w:t>.255.248.0</w:t>
            </w:r>
          </w:p>
        </w:tc>
        <w:tc>
          <w:tcPr>
            <w:tcW w:w="2724" w:type="dxa"/>
            <w:vAlign w:val="bottom"/>
          </w:tcPr>
          <w:p w14:paraId="426B55D1" w14:textId="7F5F5EB6" w:rsidR="004A7D3D" w:rsidRPr="00AE78ED" w:rsidRDefault="00834063" w:rsidP="00F5276B">
            <w:pPr>
              <w:pStyle w:val="TableText"/>
              <w:rPr>
                <w:rFonts w:cs="Arial"/>
                <w:sz w:val="24"/>
                <w:szCs w:val="24"/>
              </w:rPr>
            </w:pPr>
            <w:r w:rsidRPr="00AE78ED">
              <w:rPr>
                <w:rFonts w:cs="Arial"/>
                <w:sz w:val="24"/>
                <w:szCs w:val="24"/>
              </w:rPr>
              <w:t>172.16.2.1</w:t>
            </w:r>
          </w:p>
        </w:tc>
        <w:tc>
          <w:tcPr>
            <w:tcW w:w="2922" w:type="dxa"/>
            <w:vAlign w:val="bottom"/>
          </w:tcPr>
          <w:p w14:paraId="2AC7FFA7" w14:textId="563834EF" w:rsidR="004A7D3D" w:rsidRPr="00AE78ED" w:rsidRDefault="00AE78ED" w:rsidP="00F5276B">
            <w:pPr>
              <w:pStyle w:val="TableText"/>
              <w:rPr>
                <w:rFonts w:cs="Arial"/>
                <w:sz w:val="24"/>
                <w:szCs w:val="24"/>
              </w:rPr>
            </w:pPr>
            <w:r w:rsidRPr="00AE78ED">
              <w:rPr>
                <w:rFonts w:cs="Arial"/>
                <w:sz w:val="24"/>
                <w:szCs w:val="24"/>
              </w:rPr>
              <w:t>172.16.9.254</w:t>
            </w:r>
          </w:p>
        </w:tc>
        <w:tc>
          <w:tcPr>
            <w:tcW w:w="2905" w:type="dxa"/>
            <w:vAlign w:val="bottom"/>
          </w:tcPr>
          <w:p w14:paraId="55A78382" w14:textId="0106DB9E" w:rsidR="004A7D3D" w:rsidRPr="00AE78ED" w:rsidRDefault="00834063" w:rsidP="00F5276B">
            <w:pPr>
              <w:pStyle w:val="TableText"/>
              <w:ind w:left="284"/>
              <w:rPr>
                <w:rFonts w:cs="Arial"/>
                <w:sz w:val="24"/>
                <w:szCs w:val="24"/>
              </w:rPr>
            </w:pPr>
            <w:r w:rsidRPr="00AE78ED">
              <w:rPr>
                <w:rFonts w:cs="Arial"/>
                <w:sz w:val="24"/>
                <w:szCs w:val="24"/>
              </w:rPr>
              <w:t>172.16.9.255</w:t>
            </w:r>
          </w:p>
        </w:tc>
      </w:tr>
      <w:tr w:rsidR="004A7D3D" w:rsidRPr="004A1148" w14:paraId="25431512" w14:textId="77777777" w:rsidTr="005554AB">
        <w:trPr>
          <w:cantSplit/>
          <w:trHeight w:val="510"/>
          <w:jc w:val="center"/>
        </w:trPr>
        <w:tc>
          <w:tcPr>
            <w:tcW w:w="1412" w:type="dxa"/>
            <w:vAlign w:val="bottom"/>
          </w:tcPr>
          <w:p w14:paraId="6A6FC7F1" w14:textId="4A030B0C" w:rsidR="004A7D3D" w:rsidRPr="00AE78ED" w:rsidRDefault="00834063" w:rsidP="00F5276B">
            <w:pPr>
              <w:pStyle w:val="TableText"/>
              <w:ind w:left="284"/>
              <w:rPr>
                <w:rFonts w:cs="Arial"/>
                <w:sz w:val="24"/>
                <w:szCs w:val="24"/>
              </w:rPr>
            </w:pPr>
            <w:r w:rsidRPr="00AE78ED">
              <w:rPr>
                <w:rFonts w:cs="Arial"/>
                <w:sz w:val="24"/>
                <w:szCs w:val="24"/>
              </w:rPr>
              <w:t>D</w:t>
            </w:r>
          </w:p>
        </w:tc>
        <w:tc>
          <w:tcPr>
            <w:tcW w:w="2561" w:type="dxa"/>
            <w:vAlign w:val="bottom"/>
          </w:tcPr>
          <w:p w14:paraId="5D565D23" w14:textId="58B1AF97" w:rsidR="004A7D3D" w:rsidRPr="00AE78ED" w:rsidRDefault="00834063" w:rsidP="00F5276B">
            <w:pPr>
              <w:pStyle w:val="TableText"/>
              <w:rPr>
                <w:rFonts w:cs="Arial"/>
                <w:sz w:val="24"/>
                <w:szCs w:val="24"/>
              </w:rPr>
            </w:pPr>
            <w:r w:rsidRPr="00AE78ED">
              <w:rPr>
                <w:rFonts w:cs="Arial"/>
                <w:sz w:val="24"/>
                <w:szCs w:val="24"/>
              </w:rPr>
              <w:t>172.16.10.0</w:t>
            </w:r>
            <w:r w:rsidR="00EC247B" w:rsidRPr="00AE78ED">
              <w:rPr>
                <w:rFonts w:cs="Arial"/>
                <w:sz w:val="24"/>
                <w:szCs w:val="24"/>
              </w:rPr>
              <w:t>/23</w:t>
            </w:r>
          </w:p>
        </w:tc>
        <w:tc>
          <w:tcPr>
            <w:tcW w:w="2552" w:type="dxa"/>
          </w:tcPr>
          <w:p w14:paraId="5E77A652" w14:textId="6854FE1B" w:rsidR="004A7D3D" w:rsidRPr="00AE78ED" w:rsidRDefault="00EC247B" w:rsidP="00F5276B">
            <w:pPr>
              <w:pStyle w:val="TableText"/>
              <w:rPr>
                <w:rFonts w:cs="Arial"/>
                <w:sz w:val="24"/>
                <w:szCs w:val="24"/>
              </w:rPr>
            </w:pPr>
            <w:r w:rsidRPr="00AE78ED">
              <w:rPr>
                <w:rFonts w:cs="Arial"/>
                <w:sz w:val="24"/>
                <w:szCs w:val="24"/>
              </w:rPr>
              <w:t>255.255.254.0</w:t>
            </w:r>
          </w:p>
        </w:tc>
        <w:tc>
          <w:tcPr>
            <w:tcW w:w="2724" w:type="dxa"/>
            <w:vAlign w:val="bottom"/>
          </w:tcPr>
          <w:p w14:paraId="553FF9D4" w14:textId="44F30299" w:rsidR="004A7D3D" w:rsidRPr="00AE78ED" w:rsidRDefault="00AE78ED" w:rsidP="00F5276B">
            <w:pPr>
              <w:pStyle w:val="TableText"/>
              <w:rPr>
                <w:rFonts w:cs="Arial"/>
                <w:sz w:val="24"/>
                <w:szCs w:val="24"/>
              </w:rPr>
            </w:pPr>
            <w:r w:rsidRPr="00AE78ED">
              <w:rPr>
                <w:rFonts w:cs="Arial"/>
                <w:sz w:val="24"/>
                <w:szCs w:val="24"/>
              </w:rPr>
              <w:t>172.16.10.1</w:t>
            </w:r>
          </w:p>
        </w:tc>
        <w:tc>
          <w:tcPr>
            <w:tcW w:w="2922" w:type="dxa"/>
            <w:vAlign w:val="bottom"/>
          </w:tcPr>
          <w:p w14:paraId="12602C5C" w14:textId="655F58A1" w:rsidR="004A7D3D" w:rsidRPr="00AE78ED" w:rsidRDefault="00AE78ED" w:rsidP="00F5276B">
            <w:pPr>
              <w:pStyle w:val="TableText"/>
              <w:rPr>
                <w:rFonts w:cs="Arial"/>
                <w:sz w:val="24"/>
                <w:szCs w:val="24"/>
              </w:rPr>
            </w:pPr>
            <w:r w:rsidRPr="00AE78ED">
              <w:rPr>
                <w:rFonts w:cs="Arial"/>
                <w:sz w:val="24"/>
                <w:szCs w:val="24"/>
              </w:rPr>
              <w:t>172.16.11.254</w:t>
            </w:r>
          </w:p>
        </w:tc>
        <w:tc>
          <w:tcPr>
            <w:tcW w:w="2905" w:type="dxa"/>
            <w:vAlign w:val="bottom"/>
          </w:tcPr>
          <w:p w14:paraId="0E927FF2" w14:textId="61654F36" w:rsidR="004A7D3D" w:rsidRPr="00AE78ED" w:rsidRDefault="00834063" w:rsidP="00F5276B">
            <w:pPr>
              <w:pStyle w:val="TableText"/>
              <w:ind w:left="284"/>
              <w:rPr>
                <w:rFonts w:cs="Arial"/>
                <w:sz w:val="24"/>
                <w:szCs w:val="24"/>
              </w:rPr>
            </w:pPr>
            <w:r w:rsidRPr="00AE78ED">
              <w:rPr>
                <w:rFonts w:cs="Arial"/>
                <w:sz w:val="24"/>
                <w:szCs w:val="24"/>
              </w:rPr>
              <w:t>172.16.11.255</w:t>
            </w:r>
          </w:p>
        </w:tc>
      </w:tr>
      <w:tr w:rsidR="004A7D3D" w:rsidRPr="004A1148" w14:paraId="1804910C" w14:textId="77777777" w:rsidTr="005554AB">
        <w:trPr>
          <w:cantSplit/>
          <w:trHeight w:val="510"/>
          <w:jc w:val="center"/>
        </w:trPr>
        <w:tc>
          <w:tcPr>
            <w:tcW w:w="1412" w:type="dxa"/>
            <w:vAlign w:val="bottom"/>
          </w:tcPr>
          <w:p w14:paraId="198C292F" w14:textId="2D229FE9" w:rsidR="004A7D3D" w:rsidRPr="00AE78ED" w:rsidRDefault="00EC247B" w:rsidP="00F5276B">
            <w:pPr>
              <w:pStyle w:val="TableText"/>
              <w:ind w:left="284"/>
              <w:rPr>
                <w:rFonts w:cs="Arial"/>
                <w:sz w:val="24"/>
                <w:szCs w:val="24"/>
              </w:rPr>
            </w:pPr>
            <w:r w:rsidRPr="00AE78ED">
              <w:rPr>
                <w:rFonts w:cs="Arial"/>
                <w:sz w:val="24"/>
                <w:szCs w:val="24"/>
              </w:rPr>
              <w:t>F</w:t>
            </w:r>
          </w:p>
        </w:tc>
        <w:tc>
          <w:tcPr>
            <w:tcW w:w="2561" w:type="dxa"/>
            <w:vAlign w:val="bottom"/>
          </w:tcPr>
          <w:p w14:paraId="3114BB27" w14:textId="708F40B3" w:rsidR="004A7D3D" w:rsidRPr="00AE78ED" w:rsidRDefault="00834063" w:rsidP="00F5276B">
            <w:pPr>
              <w:pStyle w:val="TableText"/>
              <w:rPr>
                <w:rFonts w:cs="Arial"/>
                <w:sz w:val="24"/>
                <w:szCs w:val="24"/>
              </w:rPr>
            </w:pPr>
            <w:r w:rsidRPr="00AE78ED">
              <w:rPr>
                <w:rFonts w:cs="Arial"/>
                <w:sz w:val="24"/>
                <w:szCs w:val="24"/>
              </w:rPr>
              <w:t>172.16.12.0</w:t>
            </w:r>
            <w:r w:rsidR="00EC247B" w:rsidRPr="00AE78ED">
              <w:rPr>
                <w:rFonts w:cs="Arial"/>
                <w:sz w:val="24"/>
                <w:szCs w:val="24"/>
              </w:rPr>
              <w:t>/24</w:t>
            </w:r>
          </w:p>
        </w:tc>
        <w:tc>
          <w:tcPr>
            <w:tcW w:w="2552" w:type="dxa"/>
          </w:tcPr>
          <w:p w14:paraId="0D8FD5C7" w14:textId="34DCB0BF" w:rsidR="004A7D3D" w:rsidRPr="00AE78ED" w:rsidRDefault="00EC247B" w:rsidP="00F5276B">
            <w:pPr>
              <w:pStyle w:val="TableText"/>
              <w:rPr>
                <w:rFonts w:cs="Arial"/>
                <w:sz w:val="24"/>
                <w:szCs w:val="24"/>
              </w:rPr>
            </w:pPr>
            <w:r w:rsidRPr="00AE78ED">
              <w:rPr>
                <w:rFonts w:cs="Arial"/>
                <w:sz w:val="24"/>
                <w:szCs w:val="24"/>
              </w:rPr>
              <w:t>255.255.255.0</w:t>
            </w:r>
          </w:p>
        </w:tc>
        <w:tc>
          <w:tcPr>
            <w:tcW w:w="2724" w:type="dxa"/>
            <w:vAlign w:val="bottom"/>
          </w:tcPr>
          <w:p w14:paraId="035CA129" w14:textId="29A4EDB6" w:rsidR="004A7D3D" w:rsidRPr="00AE78ED" w:rsidRDefault="00AE78ED" w:rsidP="00F5276B">
            <w:pPr>
              <w:pStyle w:val="TableText"/>
              <w:rPr>
                <w:rFonts w:cs="Arial"/>
                <w:sz w:val="24"/>
                <w:szCs w:val="24"/>
              </w:rPr>
            </w:pPr>
            <w:r w:rsidRPr="00AE78ED">
              <w:rPr>
                <w:rFonts w:cs="Arial"/>
                <w:sz w:val="24"/>
                <w:szCs w:val="24"/>
              </w:rPr>
              <w:t>172.16.12.1</w:t>
            </w:r>
          </w:p>
        </w:tc>
        <w:tc>
          <w:tcPr>
            <w:tcW w:w="2922" w:type="dxa"/>
            <w:vAlign w:val="bottom"/>
          </w:tcPr>
          <w:p w14:paraId="139F5B25" w14:textId="0D81BB9B" w:rsidR="004A7D3D" w:rsidRPr="00AE78ED" w:rsidRDefault="00AE78ED" w:rsidP="00F5276B">
            <w:pPr>
              <w:pStyle w:val="TableText"/>
              <w:rPr>
                <w:rFonts w:cs="Arial"/>
                <w:sz w:val="24"/>
                <w:szCs w:val="24"/>
              </w:rPr>
            </w:pPr>
            <w:r w:rsidRPr="00AE78ED">
              <w:rPr>
                <w:rFonts w:cs="Arial"/>
                <w:sz w:val="24"/>
                <w:szCs w:val="24"/>
              </w:rPr>
              <w:t>172.16.12.254</w:t>
            </w:r>
          </w:p>
        </w:tc>
        <w:tc>
          <w:tcPr>
            <w:tcW w:w="2905" w:type="dxa"/>
            <w:vAlign w:val="bottom"/>
          </w:tcPr>
          <w:p w14:paraId="63784539" w14:textId="6255B65E" w:rsidR="004A7D3D" w:rsidRPr="00AE78ED" w:rsidRDefault="00EC247B" w:rsidP="00F5276B">
            <w:pPr>
              <w:pStyle w:val="TableText"/>
              <w:ind w:left="284"/>
              <w:rPr>
                <w:rFonts w:cs="Arial"/>
                <w:sz w:val="24"/>
                <w:szCs w:val="24"/>
              </w:rPr>
            </w:pPr>
            <w:r w:rsidRPr="00AE78ED">
              <w:rPr>
                <w:rFonts w:cs="Arial"/>
                <w:sz w:val="24"/>
                <w:szCs w:val="24"/>
              </w:rPr>
              <w:t>172.16.12.255</w:t>
            </w:r>
          </w:p>
        </w:tc>
      </w:tr>
      <w:tr w:rsidR="004A7D3D" w:rsidRPr="004A1148" w14:paraId="6FCEA750" w14:textId="77777777" w:rsidTr="005554AB">
        <w:trPr>
          <w:cantSplit/>
          <w:trHeight w:val="510"/>
          <w:jc w:val="center"/>
        </w:trPr>
        <w:tc>
          <w:tcPr>
            <w:tcW w:w="1412" w:type="dxa"/>
            <w:vAlign w:val="bottom"/>
          </w:tcPr>
          <w:p w14:paraId="023D3E13" w14:textId="6A06A795" w:rsidR="004A7D3D" w:rsidRPr="00AE78ED" w:rsidRDefault="00EC247B" w:rsidP="00F5276B">
            <w:pPr>
              <w:pStyle w:val="TableText"/>
              <w:ind w:left="284"/>
              <w:rPr>
                <w:rFonts w:cs="Arial"/>
                <w:sz w:val="24"/>
                <w:szCs w:val="24"/>
              </w:rPr>
            </w:pPr>
            <w:r w:rsidRPr="00AE78ED">
              <w:rPr>
                <w:rFonts w:cs="Arial"/>
                <w:sz w:val="24"/>
                <w:szCs w:val="24"/>
              </w:rPr>
              <w:t>E</w:t>
            </w:r>
          </w:p>
        </w:tc>
        <w:tc>
          <w:tcPr>
            <w:tcW w:w="2561" w:type="dxa"/>
            <w:vAlign w:val="bottom"/>
          </w:tcPr>
          <w:p w14:paraId="028301AC" w14:textId="44C7442F" w:rsidR="004A7D3D" w:rsidRPr="00AE78ED" w:rsidRDefault="00EC247B" w:rsidP="00F5276B">
            <w:pPr>
              <w:pStyle w:val="TableText"/>
              <w:rPr>
                <w:rFonts w:cs="Arial"/>
                <w:sz w:val="24"/>
                <w:szCs w:val="24"/>
              </w:rPr>
            </w:pPr>
            <w:r w:rsidRPr="00AE78ED">
              <w:rPr>
                <w:rFonts w:cs="Arial"/>
                <w:sz w:val="24"/>
                <w:szCs w:val="24"/>
              </w:rPr>
              <w:t>172.16.13.0/26</w:t>
            </w:r>
          </w:p>
        </w:tc>
        <w:tc>
          <w:tcPr>
            <w:tcW w:w="2552" w:type="dxa"/>
          </w:tcPr>
          <w:p w14:paraId="0E107CA2" w14:textId="47488FE1" w:rsidR="004A7D3D" w:rsidRPr="00AE78ED" w:rsidRDefault="00EC247B" w:rsidP="00F5276B">
            <w:pPr>
              <w:pStyle w:val="TableText"/>
              <w:rPr>
                <w:rFonts w:cs="Arial"/>
                <w:sz w:val="24"/>
                <w:szCs w:val="24"/>
              </w:rPr>
            </w:pPr>
            <w:r w:rsidRPr="00AE78ED">
              <w:rPr>
                <w:rFonts w:cs="Arial"/>
                <w:sz w:val="24"/>
                <w:szCs w:val="24"/>
              </w:rPr>
              <w:t>255.255.255.192</w:t>
            </w:r>
          </w:p>
        </w:tc>
        <w:tc>
          <w:tcPr>
            <w:tcW w:w="2724" w:type="dxa"/>
            <w:vAlign w:val="bottom"/>
          </w:tcPr>
          <w:p w14:paraId="76E3E1C0" w14:textId="34464D56" w:rsidR="004A7D3D" w:rsidRPr="00AE78ED" w:rsidRDefault="00AE78ED" w:rsidP="00F5276B">
            <w:pPr>
              <w:pStyle w:val="TableText"/>
              <w:rPr>
                <w:rFonts w:cs="Arial"/>
                <w:sz w:val="24"/>
                <w:szCs w:val="24"/>
              </w:rPr>
            </w:pPr>
            <w:r w:rsidRPr="00AE78ED">
              <w:rPr>
                <w:rFonts w:cs="Arial"/>
                <w:sz w:val="24"/>
                <w:szCs w:val="24"/>
              </w:rPr>
              <w:t>172.168.13.1</w:t>
            </w:r>
          </w:p>
        </w:tc>
        <w:tc>
          <w:tcPr>
            <w:tcW w:w="2922" w:type="dxa"/>
            <w:vAlign w:val="bottom"/>
          </w:tcPr>
          <w:p w14:paraId="1F58716B" w14:textId="43925E46" w:rsidR="004A7D3D" w:rsidRPr="00AE78ED" w:rsidRDefault="00AE78ED" w:rsidP="00F5276B">
            <w:pPr>
              <w:pStyle w:val="TableText"/>
              <w:rPr>
                <w:rFonts w:cs="Arial"/>
                <w:sz w:val="24"/>
                <w:szCs w:val="24"/>
              </w:rPr>
            </w:pPr>
            <w:r w:rsidRPr="00AE78ED">
              <w:rPr>
                <w:rFonts w:cs="Arial"/>
                <w:sz w:val="24"/>
                <w:szCs w:val="24"/>
              </w:rPr>
              <w:t>172.16.13.62</w:t>
            </w:r>
          </w:p>
        </w:tc>
        <w:tc>
          <w:tcPr>
            <w:tcW w:w="2905" w:type="dxa"/>
            <w:vAlign w:val="bottom"/>
          </w:tcPr>
          <w:p w14:paraId="1F03CCA5" w14:textId="4957623A" w:rsidR="004A7D3D" w:rsidRPr="00AE78ED" w:rsidRDefault="00EC247B" w:rsidP="00F5276B">
            <w:pPr>
              <w:pStyle w:val="TableText"/>
              <w:ind w:left="284"/>
              <w:rPr>
                <w:rFonts w:cs="Arial"/>
                <w:sz w:val="24"/>
                <w:szCs w:val="24"/>
              </w:rPr>
            </w:pPr>
            <w:r w:rsidRPr="00AE78ED">
              <w:rPr>
                <w:rFonts w:cs="Arial"/>
                <w:sz w:val="24"/>
                <w:szCs w:val="24"/>
              </w:rPr>
              <w:t>172.16</w:t>
            </w:r>
            <w:bookmarkStart w:id="0" w:name="_GoBack"/>
            <w:bookmarkEnd w:id="0"/>
            <w:r w:rsidRPr="00AE78ED">
              <w:rPr>
                <w:rFonts w:cs="Arial"/>
                <w:sz w:val="24"/>
                <w:szCs w:val="24"/>
              </w:rPr>
              <w:t>.13.63</w:t>
            </w:r>
          </w:p>
        </w:tc>
      </w:tr>
      <w:tr w:rsidR="004A7D3D" w:rsidRPr="004A1148" w14:paraId="6B34B8B1" w14:textId="77777777" w:rsidTr="005554AB">
        <w:trPr>
          <w:cantSplit/>
          <w:trHeight w:val="510"/>
          <w:jc w:val="center"/>
        </w:trPr>
        <w:tc>
          <w:tcPr>
            <w:tcW w:w="1412" w:type="dxa"/>
            <w:vAlign w:val="bottom"/>
          </w:tcPr>
          <w:p w14:paraId="65F58BF1" w14:textId="64A1B009" w:rsidR="004A7D3D" w:rsidRPr="00AE78ED" w:rsidRDefault="00EC247B" w:rsidP="00F5276B">
            <w:pPr>
              <w:pStyle w:val="TableText"/>
              <w:ind w:left="284"/>
              <w:rPr>
                <w:rFonts w:cs="Arial"/>
                <w:sz w:val="24"/>
                <w:szCs w:val="24"/>
              </w:rPr>
            </w:pPr>
            <w:r w:rsidRPr="00AE78ED">
              <w:rPr>
                <w:rFonts w:cs="Arial"/>
                <w:sz w:val="24"/>
                <w:szCs w:val="24"/>
              </w:rPr>
              <w:t>A</w:t>
            </w:r>
          </w:p>
        </w:tc>
        <w:tc>
          <w:tcPr>
            <w:tcW w:w="2561" w:type="dxa"/>
            <w:vAlign w:val="bottom"/>
          </w:tcPr>
          <w:p w14:paraId="18067B56" w14:textId="4E4D5C4C" w:rsidR="004A7D3D" w:rsidRPr="00AE78ED" w:rsidRDefault="00EC247B" w:rsidP="00F5276B">
            <w:pPr>
              <w:pStyle w:val="TableText"/>
              <w:rPr>
                <w:rFonts w:cs="Arial"/>
                <w:sz w:val="24"/>
                <w:szCs w:val="24"/>
              </w:rPr>
            </w:pPr>
            <w:r w:rsidRPr="00AE78ED">
              <w:rPr>
                <w:rFonts w:cs="Arial"/>
                <w:sz w:val="24"/>
                <w:szCs w:val="24"/>
              </w:rPr>
              <w:t>172.16.13.64/27</w:t>
            </w:r>
          </w:p>
        </w:tc>
        <w:tc>
          <w:tcPr>
            <w:tcW w:w="2552" w:type="dxa"/>
          </w:tcPr>
          <w:p w14:paraId="309D051E" w14:textId="6F5C187D" w:rsidR="004A7D3D" w:rsidRPr="00AE78ED" w:rsidRDefault="00EC247B" w:rsidP="00F5276B">
            <w:pPr>
              <w:pStyle w:val="TableText"/>
              <w:rPr>
                <w:rFonts w:cs="Arial"/>
                <w:sz w:val="24"/>
                <w:szCs w:val="24"/>
              </w:rPr>
            </w:pPr>
            <w:r w:rsidRPr="00AE78ED">
              <w:rPr>
                <w:rFonts w:cs="Arial"/>
                <w:sz w:val="24"/>
                <w:szCs w:val="24"/>
              </w:rPr>
              <w:t>255.255.255.224</w:t>
            </w:r>
          </w:p>
        </w:tc>
        <w:tc>
          <w:tcPr>
            <w:tcW w:w="2724" w:type="dxa"/>
            <w:vAlign w:val="bottom"/>
          </w:tcPr>
          <w:p w14:paraId="4BB66377" w14:textId="4CA2208A" w:rsidR="004A7D3D" w:rsidRPr="00AE78ED" w:rsidRDefault="00AE78ED" w:rsidP="00F5276B">
            <w:pPr>
              <w:pStyle w:val="TableText"/>
              <w:rPr>
                <w:rFonts w:cs="Arial"/>
                <w:sz w:val="24"/>
                <w:szCs w:val="24"/>
              </w:rPr>
            </w:pPr>
            <w:r w:rsidRPr="00AE78ED">
              <w:rPr>
                <w:rFonts w:cs="Arial"/>
                <w:sz w:val="24"/>
                <w:szCs w:val="24"/>
              </w:rPr>
              <w:t>172.16.13.65</w:t>
            </w:r>
          </w:p>
        </w:tc>
        <w:tc>
          <w:tcPr>
            <w:tcW w:w="2922" w:type="dxa"/>
            <w:vAlign w:val="bottom"/>
          </w:tcPr>
          <w:p w14:paraId="2F12A22D" w14:textId="73330292" w:rsidR="004A7D3D" w:rsidRPr="00AE78ED" w:rsidRDefault="00AE78ED" w:rsidP="00F5276B">
            <w:pPr>
              <w:pStyle w:val="TableText"/>
              <w:rPr>
                <w:rFonts w:cs="Arial"/>
                <w:sz w:val="24"/>
                <w:szCs w:val="24"/>
              </w:rPr>
            </w:pPr>
            <w:r w:rsidRPr="00AE78ED">
              <w:rPr>
                <w:rFonts w:cs="Arial"/>
                <w:sz w:val="24"/>
                <w:szCs w:val="24"/>
              </w:rPr>
              <w:t>172.16.13.94</w:t>
            </w:r>
          </w:p>
        </w:tc>
        <w:tc>
          <w:tcPr>
            <w:tcW w:w="2905" w:type="dxa"/>
            <w:vAlign w:val="bottom"/>
          </w:tcPr>
          <w:p w14:paraId="78E458EF" w14:textId="4FCB9AD5" w:rsidR="004A7D3D" w:rsidRPr="00AE78ED" w:rsidRDefault="00EC247B" w:rsidP="00F5276B">
            <w:pPr>
              <w:pStyle w:val="TableText"/>
              <w:ind w:left="284"/>
              <w:rPr>
                <w:rFonts w:cs="Arial"/>
                <w:sz w:val="24"/>
                <w:szCs w:val="24"/>
              </w:rPr>
            </w:pPr>
            <w:r w:rsidRPr="00AE78ED">
              <w:rPr>
                <w:rFonts w:cs="Arial"/>
                <w:sz w:val="24"/>
                <w:szCs w:val="24"/>
              </w:rPr>
              <w:t>172.16.13.95</w:t>
            </w:r>
          </w:p>
        </w:tc>
      </w:tr>
      <w:tr w:rsidR="004A7D3D" w:rsidRPr="004A1148" w14:paraId="0B4ED2B0" w14:textId="77777777" w:rsidTr="005554AB">
        <w:trPr>
          <w:cantSplit/>
          <w:trHeight w:val="510"/>
          <w:jc w:val="center"/>
        </w:trPr>
        <w:tc>
          <w:tcPr>
            <w:tcW w:w="1412" w:type="dxa"/>
            <w:vAlign w:val="bottom"/>
          </w:tcPr>
          <w:p w14:paraId="609E3F7B" w14:textId="46CBF26B" w:rsidR="004A7D3D" w:rsidRPr="00AE78ED" w:rsidRDefault="00EC247B" w:rsidP="00F5276B">
            <w:pPr>
              <w:pStyle w:val="TableText"/>
              <w:ind w:left="284"/>
              <w:rPr>
                <w:rFonts w:cs="Arial"/>
                <w:sz w:val="24"/>
                <w:szCs w:val="24"/>
              </w:rPr>
            </w:pPr>
            <w:r w:rsidRPr="00AE78ED">
              <w:rPr>
                <w:rFonts w:cs="Arial"/>
                <w:sz w:val="24"/>
                <w:szCs w:val="24"/>
              </w:rPr>
              <w:t>C</w:t>
            </w:r>
          </w:p>
        </w:tc>
        <w:tc>
          <w:tcPr>
            <w:tcW w:w="2561" w:type="dxa"/>
            <w:vAlign w:val="bottom"/>
          </w:tcPr>
          <w:p w14:paraId="31F64227" w14:textId="35B564A2" w:rsidR="004A7D3D" w:rsidRPr="00AE78ED" w:rsidRDefault="00EC247B" w:rsidP="00F5276B">
            <w:pPr>
              <w:pStyle w:val="TableText"/>
              <w:rPr>
                <w:rFonts w:cs="Arial"/>
                <w:sz w:val="24"/>
                <w:szCs w:val="24"/>
              </w:rPr>
            </w:pPr>
            <w:r w:rsidRPr="00AE78ED">
              <w:rPr>
                <w:rFonts w:cs="Arial"/>
                <w:sz w:val="24"/>
                <w:szCs w:val="24"/>
              </w:rPr>
              <w:t>172.16.13.96/29</w:t>
            </w:r>
          </w:p>
        </w:tc>
        <w:tc>
          <w:tcPr>
            <w:tcW w:w="2552" w:type="dxa"/>
          </w:tcPr>
          <w:p w14:paraId="55665601" w14:textId="5F7BA96B" w:rsidR="004A7D3D" w:rsidRPr="00AE78ED" w:rsidRDefault="00EC247B" w:rsidP="00F5276B">
            <w:pPr>
              <w:pStyle w:val="TableText"/>
              <w:rPr>
                <w:rFonts w:cs="Arial"/>
                <w:sz w:val="24"/>
                <w:szCs w:val="24"/>
              </w:rPr>
            </w:pPr>
            <w:r w:rsidRPr="00AE78ED">
              <w:rPr>
                <w:rFonts w:cs="Arial"/>
                <w:sz w:val="24"/>
                <w:szCs w:val="24"/>
              </w:rPr>
              <w:t>255.255.255.248</w:t>
            </w:r>
          </w:p>
        </w:tc>
        <w:tc>
          <w:tcPr>
            <w:tcW w:w="2724" w:type="dxa"/>
            <w:vAlign w:val="bottom"/>
          </w:tcPr>
          <w:p w14:paraId="4F549E4B" w14:textId="2E5568A9" w:rsidR="004A7D3D" w:rsidRPr="00AE78ED" w:rsidRDefault="00AE78ED" w:rsidP="00F5276B">
            <w:pPr>
              <w:pStyle w:val="TableText"/>
              <w:rPr>
                <w:rFonts w:cs="Arial"/>
                <w:sz w:val="24"/>
                <w:szCs w:val="24"/>
              </w:rPr>
            </w:pPr>
            <w:r w:rsidRPr="00AE78ED">
              <w:rPr>
                <w:rFonts w:cs="Arial"/>
                <w:sz w:val="24"/>
                <w:szCs w:val="24"/>
              </w:rPr>
              <w:t>172.16.13.97</w:t>
            </w:r>
          </w:p>
        </w:tc>
        <w:tc>
          <w:tcPr>
            <w:tcW w:w="2922" w:type="dxa"/>
            <w:vAlign w:val="bottom"/>
          </w:tcPr>
          <w:p w14:paraId="7C499210" w14:textId="3C929D4F" w:rsidR="004A7D3D" w:rsidRPr="00AE78ED" w:rsidRDefault="00AE78ED" w:rsidP="00F5276B">
            <w:pPr>
              <w:pStyle w:val="TableText"/>
              <w:rPr>
                <w:rFonts w:cs="Arial"/>
                <w:sz w:val="24"/>
                <w:szCs w:val="24"/>
              </w:rPr>
            </w:pPr>
            <w:r w:rsidRPr="00AE78ED">
              <w:rPr>
                <w:rFonts w:cs="Arial"/>
                <w:sz w:val="24"/>
                <w:szCs w:val="24"/>
              </w:rPr>
              <w:t>172.16.13.102</w:t>
            </w:r>
          </w:p>
        </w:tc>
        <w:tc>
          <w:tcPr>
            <w:tcW w:w="2905" w:type="dxa"/>
            <w:vAlign w:val="bottom"/>
          </w:tcPr>
          <w:p w14:paraId="2D756274" w14:textId="41188A23" w:rsidR="004A7D3D" w:rsidRPr="00AE78ED" w:rsidRDefault="00EC247B" w:rsidP="00F5276B">
            <w:pPr>
              <w:pStyle w:val="TableText"/>
              <w:ind w:left="284"/>
              <w:rPr>
                <w:rFonts w:cs="Arial"/>
                <w:sz w:val="24"/>
                <w:szCs w:val="24"/>
              </w:rPr>
            </w:pPr>
            <w:r w:rsidRPr="00AE78ED">
              <w:rPr>
                <w:rFonts w:cs="Arial"/>
                <w:sz w:val="24"/>
                <w:szCs w:val="24"/>
              </w:rPr>
              <w:t>172.16.13.103</w:t>
            </w:r>
          </w:p>
        </w:tc>
      </w:tr>
      <w:tr w:rsidR="004A7D3D" w:rsidRPr="004A1148" w14:paraId="27709968" w14:textId="77777777" w:rsidTr="005554AB">
        <w:trPr>
          <w:cantSplit/>
          <w:trHeight w:val="510"/>
          <w:jc w:val="center"/>
        </w:trPr>
        <w:tc>
          <w:tcPr>
            <w:tcW w:w="1412" w:type="dxa"/>
            <w:vAlign w:val="bottom"/>
          </w:tcPr>
          <w:p w14:paraId="20984A5F" w14:textId="70B627DB" w:rsidR="004A7D3D" w:rsidRPr="00AE78ED" w:rsidRDefault="00EC247B" w:rsidP="00F5276B">
            <w:pPr>
              <w:pStyle w:val="TableText"/>
              <w:ind w:left="284"/>
              <w:rPr>
                <w:rFonts w:cs="Arial"/>
                <w:sz w:val="24"/>
                <w:szCs w:val="24"/>
              </w:rPr>
            </w:pPr>
            <w:r w:rsidRPr="00AE78ED">
              <w:rPr>
                <w:rFonts w:cs="Arial"/>
                <w:sz w:val="24"/>
                <w:szCs w:val="24"/>
              </w:rPr>
              <w:t>G</w:t>
            </w:r>
          </w:p>
        </w:tc>
        <w:tc>
          <w:tcPr>
            <w:tcW w:w="2561" w:type="dxa"/>
            <w:vAlign w:val="bottom"/>
          </w:tcPr>
          <w:p w14:paraId="0D69D9DC" w14:textId="5F62A4CA" w:rsidR="004A7D3D" w:rsidRPr="00AE78ED" w:rsidRDefault="00EC247B" w:rsidP="00F5276B">
            <w:pPr>
              <w:pStyle w:val="TableText"/>
              <w:rPr>
                <w:rFonts w:cs="Arial"/>
                <w:sz w:val="24"/>
                <w:szCs w:val="24"/>
              </w:rPr>
            </w:pPr>
            <w:r w:rsidRPr="00AE78ED">
              <w:rPr>
                <w:rFonts w:cs="Arial"/>
                <w:sz w:val="24"/>
                <w:szCs w:val="24"/>
              </w:rPr>
              <w:t>172.16.13.104</w:t>
            </w:r>
            <w:r w:rsidR="00E5707A">
              <w:rPr>
                <w:rFonts w:cs="Arial"/>
                <w:sz w:val="24"/>
                <w:szCs w:val="24"/>
              </w:rPr>
              <w:t>/30</w:t>
            </w:r>
          </w:p>
        </w:tc>
        <w:tc>
          <w:tcPr>
            <w:tcW w:w="2552" w:type="dxa"/>
          </w:tcPr>
          <w:p w14:paraId="30D77B01" w14:textId="66A6F233" w:rsidR="004A7D3D" w:rsidRPr="00AE78ED" w:rsidRDefault="00AE78ED" w:rsidP="00F5276B">
            <w:pPr>
              <w:pStyle w:val="TableText"/>
              <w:rPr>
                <w:rFonts w:cs="Arial"/>
                <w:sz w:val="24"/>
                <w:szCs w:val="24"/>
              </w:rPr>
            </w:pPr>
            <w:r w:rsidRPr="00AE78ED">
              <w:rPr>
                <w:rFonts w:cs="Arial"/>
                <w:sz w:val="24"/>
                <w:szCs w:val="24"/>
              </w:rPr>
              <w:t>255.255.255.252</w:t>
            </w:r>
          </w:p>
        </w:tc>
        <w:tc>
          <w:tcPr>
            <w:tcW w:w="2724" w:type="dxa"/>
            <w:vAlign w:val="bottom"/>
          </w:tcPr>
          <w:p w14:paraId="5596A409" w14:textId="15B1D1AA" w:rsidR="004A7D3D" w:rsidRPr="00AE78ED" w:rsidRDefault="00AE78ED" w:rsidP="00F5276B">
            <w:pPr>
              <w:pStyle w:val="TableText"/>
              <w:rPr>
                <w:rFonts w:cs="Arial"/>
                <w:sz w:val="24"/>
                <w:szCs w:val="24"/>
              </w:rPr>
            </w:pPr>
            <w:r w:rsidRPr="00AE78ED">
              <w:rPr>
                <w:rFonts w:cs="Arial"/>
                <w:sz w:val="24"/>
                <w:szCs w:val="24"/>
              </w:rPr>
              <w:t>172.16.13.105</w:t>
            </w:r>
          </w:p>
        </w:tc>
        <w:tc>
          <w:tcPr>
            <w:tcW w:w="2922" w:type="dxa"/>
            <w:vAlign w:val="bottom"/>
          </w:tcPr>
          <w:p w14:paraId="0F1FE2D6" w14:textId="1C0AD29A" w:rsidR="004A7D3D" w:rsidRPr="00AE78ED" w:rsidRDefault="00AE78ED" w:rsidP="00F5276B">
            <w:pPr>
              <w:pStyle w:val="TableText"/>
              <w:rPr>
                <w:rFonts w:cs="Arial"/>
                <w:sz w:val="24"/>
                <w:szCs w:val="24"/>
              </w:rPr>
            </w:pPr>
            <w:r w:rsidRPr="00AE78ED">
              <w:rPr>
                <w:rFonts w:cs="Arial"/>
                <w:sz w:val="24"/>
                <w:szCs w:val="24"/>
              </w:rPr>
              <w:t>172.16.13.106</w:t>
            </w:r>
          </w:p>
        </w:tc>
        <w:tc>
          <w:tcPr>
            <w:tcW w:w="2905" w:type="dxa"/>
            <w:vAlign w:val="bottom"/>
          </w:tcPr>
          <w:p w14:paraId="554DDEFE" w14:textId="7F9D1C66" w:rsidR="004A7D3D" w:rsidRPr="00AE78ED" w:rsidRDefault="00EC247B" w:rsidP="00F5276B">
            <w:pPr>
              <w:pStyle w:val="TableText"/>
              <w:ind w:left="284"/>
              <w:rPr>
                <w:rFonts w:cs="Arial"/>
                <w:sz w:val="24"/>
                <w:szCs w:val="24"/>
              </w:rPr>
            </w:pPr>
            <w:r w:rsidRPr="00AE78ED">
              <w:rPr>
                <w:rFonts w:cs="Arial"/>
                <w:sz w:val="24"/>
                <w:szCs w:val="24"/>
              </w:rPr>
              <w:t>172.16.13.107</w:t>
            </w:r>
          </w:p>
        </w:tc>
      </w:tr>
      <w:tr w:rsidR="004A7D3D" w:rsidRPr="004A1148" w14:paraId="0B6C4A12" w14:textId="77777777" w:rsidTr="005554AB">
        <w:trPr>
          <w:cantSplit/>
          <w:trHeight w:val="510"/>
          <w:jc w:val="center"/>
        </w:trPr>
        <w:tc>
          <w:tcPr>
            <w:tcW w:w="1412" w:type="dxa"/>
            <w:vAlign w:val="bottom"/>
          </w:tcPr>
          <w:p w14:paraId="61BCB553" w14:textId="209A9B59" w:rsidR="004A7D3D" w:rsidRPr="00AE78ED" w:rsidRDefault="00EC247B" w:rsidP="00F5276B">
            <w:pPr>
              <w:pStyle w:val="TableText"/>
              <w:ind w:left="284"/>
              <w:rPr>
                <w:rFonts w:cs="Arial"/>
                <w:sz w:val="24"/>
                <w:szCs w:val="24"/>
              </w:rPr>
            </w:pPr>
            <w:r w:rsidRPr="00AE78ED">
              <w:rPr>
                <w:rFonts w:cs="Arial"/>
                <w:sz w:val="24"/>
                <w:szCs w:val="24"/>
              </w:rPr>
              <w:t>H</w:t>
            </w:r>
          </w:p>
        </w:tc>
        <w:tc>
          <w:tcPr>
            <w:tcW w:w="2561" w:type="dxa"/>
            <w:vAlign w:val="bottom"/>
          </w:tcPr>
          <w:p w14:paraId="1F850D77" w14:textId="67092A1B" w:rsidR="004A7D3D" w:rsidRPr="00AE78ED" w:rsidRDefault="00EC247B" w:rsidP="00F5276B">
            <w:pPr>
              <w:pStyle w:val="TableText"/>
              <w:rPr>
                <w:rFonts w:cs="Arial"/>
                <w:sz w:val="24"/>
                <w:szCs w:val="24"/>
              </w:rPr>
            </w:pPr>
            <w:r w:rsidRPr="00AE78ED">
              <w:rPr>
                <w:rFonts w:cs="Arial"/>
                <w:sz w:val="24"/>
                <w:szCs w:val="24"/>
              </w:rPr>
              <w:t>172.16.13.108</w:t>
            </w:r>
            <w:r w:rsidR="00E5707A">
              <w:rPr>
                <w:rFonts w:cs="Arial"/>
                <w:sz w:val="24"/>
                <w:szCs w:val="24"/>
              </w:rPr>
              <w:t>/30</w:t>
            </w:r>
          </w:p>
        </w:tc>
        <w:tc>
          <w:tcPr>
            <w:tcW w:w="2552" w:type="dxa"/>
          </w:tcPr>
          <w:p w14:paraId="4E625FAD" w14:textId="62726793" w:rsidR="004A7D3D" w:rsidRPr="00AE78ED" w:rsidRDefault="00AE78ED" w:rsidP="00F5276B">
            <w:pPr>
              <w:pStyle w:val="TableText"/>
              <w:rPr>
                <w:rFonts w:cs="Arial"/>
                <w:sz w:val="24"/>
                <w:szCs w:val="24"/>
              </w:rPr>
            </w:pPr>
            <w:r w:rsidRPr="00AE78ED">
              <w:rPr>
                <w:rFonts w:cs="Arial"/>
                <w:sz w:val="24"/>
                <w:szCs w:val="24"/>
              </w:rPr>
              <w:t>255.255.255.252</w:t>
            </w:r>
          </w:p>
        </w:tc>
        <w:tc>
          <w:tcPr>
            <w:tcW w:w="2724" w:type="dxa"/>
            <w:vAlign w:val="bottom"/>
          </w:tcPr>
          <w:p w14:paraId="2EFD5AB2" w14:textId="2EBFEC56" w:rsidR="004A7D3D" w:rsidRPr="00AE78ED" w:rsidRDefault="00AE78ED" w:rsidP="00F5276B">
            <w:pPr>
              <w:pStyle w:val="TableText"/>
              <w:rPr>
                <w:rFonts w:cs="Arial"/>
                <w:sz w:val="24"/>
                <w:szCs w:val="24"/>
              </w:rPr>
            </w:pPr>
            <w:r w:rsidRPr="00AE78ED">
              <w:rPr>
                <w:rFonts w:cs="Arial"/>
                <w:sz w:val="24"/>
                <w:szCs w:val="24"/>
              </w:rPr>
              <w:t>172.16.13.109</w:t>
            </w:r>
          </w:p>
        </w:tc>
        <w:tc>
          <w:tcPr>
            <w:tcW w:w="2922" w:type="dxa"/>
            <w:vAlign w:val="bottom"/>
          </w:tcPr>
          <w:p w14:paraId="488D3941" w14:textId="0E0ED6AB" w:rsidR="004A7D3D" w:rsidRPr="00AE78ED" w:rsidRDefault="00AE78ED" w:rsidP="00F5276B">
            <w:pPr>
              <w:pStyle w:val="TableText"/>
              <w:rPr>
                <w:rFonts w:cs="Arial"/>
                <w:sz w:val="24"/>
                <w:szCs w:val="24"/>
              </w:rPr>
            </w:pPr>
            <w:r w:rsidRPr="00AE78ED">
              <w:rPr>
                <w:rFonts w:cs="Arial"/>
                <w:sz w:val="24"/>
                <w:szCs w:val="24"/>
              </w:rPr>
              <w:t>172.16.13.110</w:t>
            </w:r>
          </w:p>
        </w:tc>
        <w:tc>
          <w:tcPr>
            <w:tcW w:w="2905" w:type="dxa"/>
            <w:vAlign w:val="bottom"/>
          </w:tcPr>
          <w:p w14:paraId="6CDA3D3D" w14:textId="7CE889EF" w:rsidR="004A7D3D" w:rsidRPr="00AE78ED" w:rsidRDefault="00AE78ED" w:rsidP="00F5276B">
            <w:pPr>
              <w:pStyle w:val="TableText"/>
              <w:ind w:left="284"/>
              <w:rPr>
                <w:rFonts w:cs="Arial"/>
                <w:sz w:val="24"/>
                <w:szCs w:val="24"/>
              </w:rPr>
            </w:pPr>
            <w:r w:rsidRPr="00AE78ED">
              <w:rPr>
                <w:rFonts w:cs="Arial"/>
                <w:sz w:val="24"/>
                <w:szCs w:val="24"/>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4290DDAF"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5707A">
      <w:rPr>
        <w:rFonts w:ascii="Arial" w:hAnsi="Arial" w:cs="Arial"/>
        <w:b/>
        <w:i/>
        <w:noProof/>
        <w:lang w:val="en-US"/>
      </w:rPr>
      <w:t>3</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5707A">
      <w:rPr>
        <w:rFonts w:ascii="Arial" w:hAnsi="Arial" w:cs="Arial"/>
        <w:b/>
        <w:i/>
        <w:noProof/>
        <w:lang w:val="en-US"/>
      </w:rPr>
      <w:t>3</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8331EF7"/>
    <w:multiLevelType w:val="multilevel"/>
    <w:tmpl w:val="C45A29F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4F8329AF"/>
    <w:multiLevelType w:val="multilevel"/>
    <w:tmpl w:val="4D80807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2"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8"/>
  </w:num>
  <w:num w:numId="3">
    <w:abstractNumId w:val="14"/>
  </w:num>
  <w:num w:numId="4">
    <w:abstractNumId w:val="0"/>
  </w:num>
  <w:num w:numId="5">
    <w:abstractNumId w:val="1"/>
  </w:num>
  <w:num w:numId="6">
    <w:abstractNumId w:val="12"/>
  </w:num>
  <w:num w:numId="7">
    <w:abstractNumId w:val="2"/>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3"/>
  </w:num>
  <w:num w:numId="14">
    <w:abstractNumId w:val="5"/>
  </w:num>
  <w:num w:numId="15">
    <w:abstractNumId w:val="16"/>
  </w:num>
  <w:num w:numId="16">
    <w:abstractNumId w:val="10"/>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5"/>
  </w:num>
  <w:num w:numId="20">
    <w:abstractNumId w:val="9"/>
  </w:num>
  <w:num w:numId="21">
    <w:abstractNumId w:val="11"/>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077B"/>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4063"/>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E78ED"/>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139"/>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5707A"/>
    <w:rsid w:val="00E6406E"/>
    <w:rsid w:val="00E66CC0"/>
    <w:rsid w:val="00E67885"/>
    <w:rsid w:val="00E7050F"/>
    <w:rsid w:val="00E72F65"/>
    <w:rsid w:val="00E85CCF"/>
    <w:rsid w:val="00E95072"/>
    <w:rsid w:val="00E959F2"/>
    <w:rsid w:val="00E95F50"/>
    <w:rsid w:val="00EA0E09"/>
    <w:rsid w:val="00EA2479"/>
    <w:rsid w:val="00EB0EB8"/>
    <w:rsid w:val="00EB3C38"/>
    <w:rsid w:val="00EC247B"/>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34"/>
    <w:qFormat/>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TOCHeading">
    <w:name w:val="TOC Heading"/>
    <w:basedOn w:val="Heading1"/>
    <w:next w:val="Normal"/>
    <w:uiPriority w:val="39"/>
    <w:unhideWhenUsed/>
    <w:qFormat/>
    <w:rsid w:val="0021077B"/>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Bibliography">
    <w:name w:val="Bibliography"/>
    <w:basedOn w:val="Normal"/>
    <w:next w:val="Normal"/>
    <w:uiPriority w:val="37"/>
    <w:unhideWhenUsed/>
    <w:rsid w:val="0021077B"/>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Sye18</b:Tag>
    <b:SourceType>DocumentFromInternetSite</b:SourceType>
    <b:Guid>{81416E51-B88C-4D88-8A62-730F96DBF9C0}</b:Guid>
    <b:Title>Basics of IP Addresses in Computer Networking</b:Title>
    <b:Year>2018</b:Year>
    <b:Month>October</b:Month>
    <b:Day>25th</b:Day>
    <b:YearAccessed>2019</b:YearAccessed>
    <b:MonthAccessed>December</b:MonthAccessed>
    <b:DayAccessed>10th</b:DayAccessed>
    <b:URL>https://medium.com/@sadatnazrul/basics-of-ip-addresses-in-computer-networking-f1a4661ea85c</b:URL>
    <b:Author>
      <b:Author>
        <b:NameList>
          <b:Person>
            <b:Last>Nazrul</b:Last>
            <b:First>Syed</b:First>
            <b:Middle>Sadat</b:Middle>
          </b:Person>
        </b:NameList>
      </b:Author>
    </b:Author>
    <b:InternetSiteTitle>medium.com</b:InternetSiteTitle>
    <b:RefOrder>1</b:RefOrder>
  </b:Source>
  <b:Source>
    <b:Tag>Nit18</b:Tag>
    <b:SourceType>ArticleInAPeriodical</b:SourceType>
    <b:Guid>{AB28E093-34E1-4840-A211-11AEF42BCCA9}</b:Guid>
    <b:Title>AN OVERVIEW OF THE IPV6 ADDRESSING SCHEME</b:Title>
    <b:Year>2018</b:Year>
    <b:YearAccessed>2019</b:YearAccessed>
    <b:MonthAccessed>December</b:MonthAccessed>
    <b:DayAccessed>10th</b:DayAccessed>
    <b:URL>https://search.proquest.com/docview/2213786341?accountid=130472.</b:URL>
    <b:Author>
      <b:Author>
        <b:NameList>
          <b:Person>
            <b:Last>Nithyanandam</b:Last>
            <b:First>A.</b:First>
            <b:Middle>Dhanapal and P.</b:Middle>
          </b:Person>
        </b:NameList>
      </b:Author>
    </b:Author>
    <b:InternetSiteTitle>International Journal of Mathematics, Game Theory, and Algebra</b:InternetSiteTitle>
    <b:Version>vol.27</b:Version>
    <b:PeriodicalTitle>International Journal of Mathematics, Game Theory, and Algebra</b:PeriodicalTitle>
    <b:Volume>27</b:Volume>
    <b:Issue>1</b:Issue>
    <b:RefOrder>2</b:RefOrder>
  </b:Source>
  <b:Source>
    <b:Tag>Gra17</b:Tag>
    <b:SourceType>InternetSite</b:SourceType>
    <b:Guid>{B2F08129-9AA7-4763-8203-3855F1622D77}</b:Guid>
    <b:Title>IPv6 Address Representation and Address Types</b:Title>
    <b:Year>2017</b:Year>
    <b:Month>October </b:Month>
    <b:Day>3rd</b:Day>
    <b:Author>
      <b:Author>
        <b:NameList>
          <b:Person>
            <b:Last>Graziani</b:Last>
            <b:First>Rick</b:First>
          </b:Person>
        </b:NameList>
      </b:Author>
    </b:Author>
    <b:ProductionCompany>Cisco Press</b:ProductionCompany>
    <b:YearAccessed>2019</b:YearAccessed>
    <b:MonthAccessed>December</b:MonthAccessed>
    <b:DayAccessed>10th</b:DayAccessed>
    <b:URL>http://www.ciscopress.com/articles/article.asp?p=2803866&amp;seqNum=4</b:URL>
    <b:InternetSiteTitle>CiscoPress.com</b:InternetSiteTitle>
    <b:RefOrder>3</b:RefOrder>
  </b:Source>
  <b:Source>
    <b:Tag>Wha18</b:Tag>
    <b:SourceType>DocumentFromInternetSite</b:SourceType>
    <b:Guid>{36BE51F5-6C9A-428C-80DE-371336F50184}</b:Guid>
    <b:Title>What is Anycast? How Does it Actually Work?</b:Title>
    <b:Year>2018</b:Year>
    <b:YearAccessed>2019</b:YearAccessed>
    <b:MonthAccessed>December</b:MonthAccessed>
    <b:DayAccessed>10th</b:DayAccessed>
    <b:URL>https://www.cloudflare.com/learning/cdn/glossary/anycast-network/</b:URL>
    <b:InternetSiteTitle>Cloudfare</b:InternetSiteTitle>
    <b:RefOrder>4</b:RefOrder>
  </b:Source>
  <b:Source>
    <b:Tag>Eri12</b:Tag>
    <b:SourceType>BookSection</b:SourceType>
    <b:Guid>{69D1F816-7A92-4956-81CB-D2A44FA05A70}</b:Guid>
    <b:Title>AH and ESP</b:Title>
    <b:Year>2012</b:Year>
    <b:Publisher>Elsevier</b:Publisher>
    <b:Author>
      <b:Author>
        <b:NameList>
          <b:Person>
            <b:Last>Eric Conrad</b:Last>
            <b:First>Joshua</b:First>
            <b:Middle>Feldman</b:Middle>
          </b:Person>
        </b:NameList>
      </b:Author>
    </b:Author>
    <b:BookTitle>CISSP Study Guide </b:BookTitle>
    <b:RefOrder>5</b:RefOrder>
  </b:Source>
  <b:Source>
    <b:Tag>IBMnd</b:Tag>
    <b:SourceType>InternetSite</b:SourceType>
    <b:Guid>{0AA120A8-C1D4-4515-B3CA-0AFC3C611FEB}</b:Guid>
    <b:Title>IBM knowledge Center</b:Title>
    <b:Year>n.d</b:Year>
    <b:YearAccessed>2019</b:YearAccessed>
    <b:MonthAccessed>December</b:MonthAccessed>
    <b:DayAccessed>11th</b:DayAccessed>
    <b:URL>https://www.ibm.com/support/knowledgecenter/en/ssw_ibm_i_72/rzaja/rzajaesp.htm</b:URL>
    <b:Author>
      <b:Author>
        <b:NameList>
          <b:Person>
            <b:Last>IBM</b:Last>
          </b:Person>
        </b:NameList>
      </b:Author>
    </b:Author>
    <b:InternetSiteTitle>IBM.com</b:InternetSiteTitle>
    <b:RefOrder>6</b:RefOrder>
  </b:Source>
</b:Sources>
</file>

<file path=customXml/itemProps1.xml><?xml version="1.0" encoding="utf-8"?>
<ds:datastoreItem xmlns:ds="http://schemas.openxmlformats.org/officeDocument/2006/customXml" ds:itemID="{7E80FB67-FAB7-40A9-9771-A0C155A1B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7</Pages>
  <Words>1203</Words>
  <Characters>7328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8514</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John Hughes</cp:lastModifiedBy>
  <cp:revision>2</cp:revision>
  <cp:lastPrinted>2014-11-07T14:47:00Z</cp:lastPrinted>
  <dcterms:created xsi:type="dcterms:W3CDTF">2019-12-12T12:26:00Z</dcterms:created>
  <dcterms:modified xsi:type="dcterms:W3CDTF">2019-12-12T12:26:00Z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