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272A9" w:rsidRDefault="00F8516B">
      <w:pPr>
        <w:rPr>
          <w:sz w:val="24"/>
          <w:szCs w:val="24"/>
        </w:rPr>
      </w:pPr>
      <w:r>
        <w:rPr>
          <w:sz w:val="24"/>
          <w:szCs w:val="24"/>
        </w:rPr>
        <w:t xml:space="preserve">               </w:t>
      </w: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24"/>
          <w:szCs w:val="24"/>
        </w:rPr>
      </w:pPr>
    </w:p>
    <w:p w:rsidR="00F8516B" w:rsidRDefault="00F8516B">
      <w:pPr>
        <w:rPr>
          <w:sz w:val="144"/>
          <w:szCs w:val="144"/>
        </w:rPr>
      </w:pPr>
      <w:r>
        <w:rPr>
          <w:sz w:val="24"/>
          <w:szCs w:val="24"/>
        </w:rPr>
        <w:t xml:space="preserve">                                          </w:t>
      </w:r>
      <w:r w:rsidRPr="00F8516B">
        <w:rPr>
          <w:sz w:val="144"/>
          <w:szCs w:val="144"/>
        </w:rPr>
        <w:t>Part 1</w:t>
      </w:r>
    </w:p>
    <w:p w:rsidR="00F8516B" w:rsidRDefault="00F8516B">
      <w:pPr>
        <w:rPr>
          <w:sz w:val="144"/>
          <w:szCs w:val="144"/>
        </w:rPr>
      </w:pPr>
    </w:p>
    <w:p w:rsidR="00F8516B" w:rsidRDefault="00F8516B">
      <w:pPr>
        <w:rPr>
          <w:sz w:val="144"/>
          <w:szCs w:val="144"/>
        </w:rPr>
      </w:pPr>
    </w:p>
    <w:p w:rsidR="00F8516B" w:rsidRDefault="00F8516B">
      <w:pPr>
        <w:rPr>
          <w:sz w:val="144"/>
          <w:szCs w:val="144"/>
        </w:rPr>
      </w:pPr>
    </w:p>
    <w:p w:rsidR="00F8516B" w:rsidRDefault="00F8516B" w:rsidP="00F8516B">
      <w:pPr>
        <w:spacing w:line="360" w:lineRule="auto"/>
        <w:rPr>
          <w:sz w:val="24"/>
          <w:szCs w:val="24"/>
        </w:rPr>
      </w:pPr>
      <w:r>
        <w:rPr>
          <w:sz w:val="24"/>
          <w:szCs w:val="24"/>
        </w:rPr>
        <w:lastRenderedPageBreak/>
        <w:t>ARTICE TITLE: Special Education Teachers’ Experiences Supporting and Supervising Paraeducators: Implications for Special and General Education Settings</w:t>
      </w:r>
    </w:p>
    <w:p w:rsidR="00F8516B" w:rsidRDefault="00F8516B" w:rsidP="00F8516B">
      <w:pPr>
        <w:spacing w:line="360" w:lineRule="auto"/>
        <w:rPr>
          <w:sz w:val="24"/>
          <w:szCs w:val="24"/>
        </w:rPr>
      </w:pPr>
    </w:p>
    <w:p w:rsidR="00F8516B" w:rsidRDefault="00F8516B" w:rsidP="00F8516B">
      <w:pPr>
        <w:spacing w:line="360" w:lineRule="auto"/>
        <w:rPr>
          <w:sz w:val="24"/>
          <w:szCs w:val="24"/>
        </w:rPr>
      </w:pPr>
      <w:r>
        <w:rPr>
          <w:sz w:val="24"/>
          <w:szCs w:val="24"/>
        </w:rPr>
        <w:t xml:space="preserve">AUTHORS: </w:t>
      </w:r>
      <w:r w:rsidR="00EF3B75">
        <w:rPr>
          <w:sz w:val="24"/>
          <w:szCs w:val="24"/>
        </w:rPr>
        <w:t>Sarah N. Douglas, Shelley E Chaplin, James F. Nolan</w:t>
      </w:r>
    </w:p>
    <w:p w:rsidR="00EF3B75" w:rsidRDefault="00EF3B75" w:rsidP="00F8516B">
      <w:pPr>
        <w:spacing w:line="360" w:lineRule="auto"/>
        <w:rPr>
          <w:sz w:val="24"/>
          <w:szCs w:val="24"/>
        </w:rPr>
      </w:pPr>
    </w:p>
    <w:p w:rsidR="00EF3B75" w:rsidRDefault="00EF3B75" w:rsidP="00F8516B">
      <w:pPr>
        <w:spacing w:line="360" w:lineRule="auto"/>
        <w:rPr>
          <w:sz w:val="24"/>
          <w:szCs w:val="24"/>
        </w:rPr>
      </w:pPr>
      <w:r>
        <w:rPr>
          <w:sz w:val="24"/>
          <w:szCs w:val="24"/>
        </w:rPr>
        <w:t>PLACE OF PUBLICATION: United States</w:t>
      </w:r>
    </w:p>
    <w:p w:rsidR="00A403FF" w:rsidRDefault="00A403FF" w:rsidP="00F8516B">
      <w:pPr>
        <w:spacing w:line="360" w:lineRule="auto"/>
        <w:rPr>
          <w:sz w:val="24"/>
          <w:szCs w:val="24"/>
        </w:rPr>
      </w:pPr>
    </w:p>
    <w:p w:rsidR="00346F58" w:rsidRDefault="001B7683" w:rsidP="00F8516B">
      <w:pPr>
        <w:spacing w:line="360" w:lineRule="auto"/>
        <w:rPr>
          <w:sz w:val="24"/>
          <w:szCs w:val="24"/>
        </w:rPr>
      </w:pPr>
      <w:r>
        <w:rPr>
          <w:sz w:val="24"/>
          <w:szCs w:val="24"/>
        </w:rPr>
        <w:t>The article being critiqued was written in 2016 and states that in America there has been an increase of Paraeducators working within schools, the authors of the article suggests that due to the increase of Paraeducators, teachers have been given the role of supervising responsibi</w:t>
      </w:r>
      <w:r w:rsidR="00B348BD">
        <w:rPr>
          <w:sz w:val="24"/>
          <w:szCs w:val="24"/>
        </w:rPr>
        <w:t xml:space="preserve">lities and feel unprepared for </w:t>
      </w:r>
      <w:r>
        <w:rPr>
          <w:sz w:val="24"/>
          <w:szCs w:val="24"/>
        </w:rPr>
        <w:t xml:space="preserve">this role. </w:t>
      </w:r>
      <w:r w:rsidR="00A403FF">
        <w:rPr>
          <w:sz w:val="24"/>
          <w:szCs w:val="24"/>
        </w:rPr>
        <w:t>The article, therefore aims to give a greater insight into this area and practices.</w:t>
      </w:r>
    </w:p>
    <w:p w:rsidR="00346F58" w:rsidRDefault="00346F58" w:rsidP="00F8516B">
      <w:pPr>
        <w:spacing w:line="360" w:lineRule="auto"/>
        <w:rPr>
          <w:sz w:val="24"/>
          <w:szCs w:val="24"/>
        </w:rPr>
      </w:pPr>
    </w:p>
    <w:p w:rsidR="009830F4" w:rsidRDefault="00B3232B" w:rsidP="00F8516B">
      <w:pPr>
        <w:spacing w:line="360" w:lineRule="auto"/>
        <w:rPr>
          <w:sz w:val="24"/>
          <w:szCs w:val="24"/>
        </w:rPr>
      </w:pPr>
      <w:r>
        <w:rPr>
          <w:sz w:val="24"/>
          <w:szCs w:val="24"/>
        </w:rPr>
        <w:t>The article</w:t>
      </w:r>
      <w:r w:rsidR="009830F4">
        <w:rPr>
          <w:sz w:val="24"/>
          <w:szCs w:val="24"/>
        </w:rPr>
        <w:t>,</w:t>
      </w:r>
      <w:r>
        <w:rPr>
          <w:sz w:val="24"/>
          <w:szCs w:val="24"/>
        </w:rPr>
        <w:t xml:space="preserve"> written by Douglas et al (2016) is an American article and much of the language within the article may be unfamiliar to the many re</w:t>
      </w:r>
      <w:r w:rsidR="00346F58">
        <w:rPr>
          <w:sz w:val="24"/>
          <w:szCs w:val="24"/>
        </w:rPr>
        <w:t>aders within the United Kingdom</w:t>
      </w:r>
      <w:r>
        <w:rPr>
          <w:sz w:val="24"/>
          <w:szCs w:val="24"/>
        </w:rPr>
        <w:t>, for example the article refers to Paraeducators, this term within the United Kingdom refers to a Teaching Assistant or Classroom Assistant</w:t>
      </w:r>
      <w:r w:rsidR="00F617BD">
        <w:rPr>
          <w:sz w:val="24"/>
          <w:szCs w:val="24"/>
        </w:rPr>
        <w:t>, this paper will refer to paraeducators as Teaching Assistants throughout</w:t>
      </w:r>
      <w:r>
        <w:rPr>
          <w:sz w:val="24"/>
          <w:szCs w:val="24"/>
        </w:rPr>
        <w:t>, however, the article may have valuable quantative and qualitative research</w:t>
      </w:r>
      <w:r w:rsidR="00F617BD">
        <w:rPr>
          <w:sz w:val="24"/>
          <w:szCs w:val="24"/>
        </w:rPr>
        <w:t xml:space="preserve"> for both audiences</w:t>
      </w:r>
      <w:r w:rsidR="00922BDA">
        <w:rPr>
          <w:sz w:val="24"/>
          <w:szCs w:val="24"/>
        </w:rPr>
        <w:t>. It is recognised,</w:t>
      </w:r>
      <w:r>
        <w:rPr>
          <w:sz w:val="24"/>
          <w:szCs w:val="24"/>
        </w:rPr>
        <w:t xml:space="preserve"> there may be differences </w:t>
      </w:r>
      <w:r w:rsidR="00D51634">
        <w:rPr>
          <w:sz w:val="24"/>
          <w:szCs w:val="24"/>
        </w:rPr>
        <w:t>between the American educational setting and the educational set</w:t>
      </w:r>
      <w:r w:rsidR="00F617BD">
        <w:rPr>
          <w:sz w:val="24"/>
          <w:szCs w:val="24"/>
        </w:rPr>
        <w:t>t</w:t>
      </w:r>
      <w:r w:rsidR="00346F58">
        <w:rPr>
          <w:sz w:val="24"/>
          <w:szCs w:val="24"/>
        </w:rPr>
        <w:t>ing within the United Kingdom</w:t>
      </w:r>
      <w:r w:rsidR="008922DB">
        <w:rPr>
          <w:sz w:val="24"/>
          <w:szCs w:val="24"/>
        </w:rPr>
        <w:t>.</w:t>
      </w:r>
      <w:r w:rsidR="00922BDA">
        <w:rPr>
          <w:sz w:val="24"/>
          <w:szCs w:val="24"/>
        </w:rPr>
        <w:t xml:space="preserve"> </w:t>
      </w:r>
      <w:r w:rsidR="009830F4">
        <w:rPr>
          <w:sz w:val="24"/>
          <w:szCs w:val="24"/>
        </w:rPr>
        <w:t xml:space="preserve"> The article is written by three authors,</w:t>
      </w:r>
      <w:r w:rsidR="00922BDA">
        <w:rPr>
          <w:sz w:val="24"/>
          <w:szCs w:val="24"/>
        </w:rPr>
        <w:t xml:space="preserve"> there is </w:t>
      </w:r>
      <w:r w:rsidR="009830F4">
        <w:rPr>
          <w:sz w:val="24"/>
          <w:szCs w:val="24"/>
        </w:rPr>
        <w:t xml:space="preserve">a short biography at the end of the article </w:t>
      </w:r>
      <w:r w:rsidR="008922DB">
        <w:rPr>
          <w:sz w:val="24"/>
          <w:szCs w:val="24"/>
        </w:rPr>
        <w:t>detailing information about each author,</w:t>
      </w:r>
      <w:r w:rsidR="009830F4">
        <w:rPr>
          <w:sz w:val="24"/>
          <w:szCs w:val="24"/>
        </w:rPr>
        <w:t xml:space="preserve"> all</w:t>
      </w:r>
      <w:r w:rsidR="00922BDA">
        <w:rPr>
          <w:sz w:val="24"/>
          <w:szCs w:val="24"/>
        </w:rPr>
        <w:t xml:space="preserve"> of the authors</w:t>
      </w:r>
      <w:r w:rsidR="009830F4">
        <w:rPr>
          <w:sz w:val="24"/>
          <w:szCs w:val="24"/>
        </w:rPr>
        <w:t xml:space="preserve"> work in American Universities, they have all declared no possible conflicts of interests in writing the article and have stated that no financial support or gain was attributed to writing the article. Of the three authors two are directly associated with education</w:t>
      </w:r>
      <w:r w:rsidR="00346F58">
        <w:rPr>
          <w:sz w:val="24"/>
          <w:szCs w:val="24"/>
        </w:rPr>
        <w:t xml:space="preserve"> with</w:t>
      </w:r>
      <w:r w:rsidR="009830F4">
        <w:rPr>
          <w:sz w:val="24"/>
          <w:szCs w:val="24"/>
        </w:rPr>
        <w:t xml:space="preserve">in the university and the other with human development and family studies. </w:t>
      </w:r>
      <w:r w:rsidR="00214C6C">
        <w:rPr>
          <w:sz w:val="24"/>
          <w:szCs w:val="24"/>
        </w:rPr>
        <w:t xml:space="preserve">No information is given to </w:t>
      </w:r>
      <w:r w:rsidR="00346F58">
        <w:rPr>
          <w:sz w:val="24"/>
          <w:szCs w:val="24"/>
        </w:rPr>
        <w:t>whether</w:t>
      </w:r>
      <w:r w:rsidR="00214C6C">
        <w:rPr>
          <w:sz w:val="24"/>
          <w:szCs w:val="24"/>
        </w:rPr>
        <w:t xml:space="preserve"> the authors have other literature published, however, within the reference list Nolan is referred to </w:t>
      </w:r>
      <w:proofErr w:type="gramStart"/>
      <w:r w:rsidR="00214C6C">
        <w:rPr>
          <w:sz w:val="24"/>
          <w:szCs w:val="24"/>
        </w:rPr>
        <w:t>once</w:t>
      </w:r>
      <w:r w:rsidR="00346F58">
        <w:rPr>
          <w:sz w:val="24"/>
          <w:szCs w:val="24"/>
        </w:rPr>
        <w:t>,</w:t>
      </w:r>
      <w:proofErr w:type="gramEnd"/>
      <w:r w:rsidR="00346F58">
        <w:rPr>
          <w:sz w:val="24"/>
          <w:szCs w:val="24"/>
        </w:rPr>
        <w:t xml:space="preserve"> this </w:t>
      </w:r>
      <w:r w:rsidR="00346F58">
        <w:rPr>
          <w:sz w:val="24"/>
          <w:szCs w:val="24"/>
        </w:rPr>
        <w:lastRenderedPageBreak/>
        <w:t>appears to be the same author as in the article being critiqued</w:t>
      </w:r>
      <w:r w:rsidR="00214C6C">
        <w:rPr>
          <w:sz w:val="24"/>
          <w:szCs w:val="24"/>
        </w:rPr>
        <w:t>.</w:t>
      </w:r>
      <w:r w:rsidR="00D6228C">
        <w:rPr>
          <w:sz w:val="24"/>
          <w:szCs w:val="24"/>
        </w:rPr>
        <w:t xml:space="preserve"> The article gives no other information about the authors or their experience within the field of education.</w:t>
      </w:r>
    </w:p>
    <w:p w:rsidR="009830F4" w:rsidRDefault="009830F4" w:rsidP="00F8516B">
      <w:pPr>
        <w:spacing w:line="360" w:lineRule="auto"/>
        <w:rPr>
          <w:sz w:val="24"/>
          <w:szCs w:val="24"/>
        </w:rPr>
      </w:pPr>
    </w:p>
    <w:p w:rsidR="00AD6C6B" w:rsidRDefault="00AD6C6B" w:rsidP="00F8516B">
      <w:pPr>
        <w:spacing w:line="360" w:lineRule="auto"/>
        <w:rPr>
          <w:sz w:val="24"/>
          <w:szCs w:val="24"/>
        </w:rPr>
      </w:pPr>
      <w:r>
        <w:rPr>
          <w:sz w:val="24"/>
          <w:szCs w:val="24"/>
        </w:rPr>
        <w:t>The aims and objectives are clearly stated at the beginning of the article, with a clear</w:t>
      </w:r>
      <w:r w:rsidR="006B61B9">
        <w:rPr>
          <w:sz w:val="24"/>
          <w:szCs w:val="24"/>
        </w:rPr>
        <w:t xml:space="preserve"> description of how the study is</w:t>
      </w:r>
      <w:r w:rsidR="00922BDA">
        <w:rPr>
          <w:sz w:val="24"/>
          <w:szCs w:val="24"/>
        </w:rPr>
        <w:t xml:space="preserve"> to be carried out, with a conclusion</w:t>
      </w:r>
      <w:r w:rsidR="006B61B9">
        <w:rPr>
          <w:sz w:val="24"/>
          <w:szCs w:val="24"/>
        </w:rPr>
        <w:t xml:space="preserve"> at the end that reflects on future practice and the limitations of the study. </w:t>
      </w:r>
      <w:r w:rsidR="00F617BD">
        <w:rPr>
          <w:sz w:val="24"/>
          <w:szCs w:val="24"/>
        </w:rPr>
        <w:t xml:space="preserve">The article suggests that within the United States there has been an </w:t>
      </w:r>
      <w:r w:rsidR="00161F3A">
        <w:rPr>
          <w:sz w:val="24"/>
          <w:szCs w:val="24"/>
        </w:rPr>
        <w:t>increase in Teaching Assistants, the Welsh Government (2016)</w:t>
      </w:r>
      <w:r w:rsidR="00B32FD3">
        <w:rPr>
          <w:sz w:val="24"/>
          <w:szCs w:val="24"/>
        </w:rPr>
        <w:t xml:space="preserve"> suggests</w:t>
      </w:r>
      <w:r w:rsidR="00161F3A">
        <w:rPr>
          <w:sz w:val="24"/>
          <w:szCs w:val="24"/>
        </w:rPr>
        <w:t xml:space="preserve"> that there has also been an increase in </w:t>
      </w:r>
      <w:r w:rsidR="007652D1">
        <w:rPr>
          <w:sz w:val="24"/>
          <w:szCs w:val="24"/>
        </w:rPr>
        <w:t>W</w:t>
      </w:r>
      <w:r w:rsidR="000E48A6">
        <w:rPr>
          <w:sz w:val="24"/>
          <w:szCs w:val="24"/>
        </w:rPr>
        <w:t>ales;</w:t>
      </w:r>
      <w:r w:rsidR="00161F3A">
        <w:rPr>
          <w:sz w:val="24"/>
          <w:szCs w:val="24"/>
        </w:rPr>
        <w:t xml:space="preserve"> however, like the article there is no quantitative evidence to support either statement. </w:t>
      </w:r>
      <w:r w:rsidR="00FF2D13">
        <w:rPr>
          <w:sz w:val="24"/>
          <w:szCs w:val="24"/>
        </w:rPr>
        <w:t>Blatchford et al (2011) elaborates on this suggesting that a quarter of the workforce in Welsh a</w:t>
      </w:r>
      <w:r w:rsidR="00B20871">
        <w:rPr>
          <w:sz w:val="24"/>
          <w:szCs w:val="24"/>
        </w:rPr>
        <w:t>nd English schools is</w:t>
      </w:r>
      <w:r w:rsidR="00922BDA">
        <w:rPr>
          <w:sz w:val="24"/>
          <w:szCs w:val="24"/>
        </w:rPr>
        <w:t xml:space="preserve"> made up of support staff, this includes</w:t>
      </w:r>
      <w:r w:rsidR="00B20871">
        <w:rPr>
          <w:sz w:val="24"/>
          <w:szCs w:val="24"/>
        </w:rPr>
        <w:t xml:space="preserve"> Teaching A</w:t>
      </w:r>
      <w:r w:rsidR="00FF2D13">
        <w:rPr>
          <w:sz w:val="24"/>
          <w:szCs w:val="24"/>
        </w:rPr>
        <w:t xml:space="preserve">ssistants. The article </w:t>
      </w:r>
      <w:r w:rsidR="00B32FD3">
        <w:rPr>
          <w:sz w:val="24"/>
          <w:szCs w:val="24"/>
        </w:rPr>
        <w:t xml:space="preserve">being analysed, </w:t>
      </w:r>
      <w:r w:rsidR="00FF2D13">
        <w:rPr>
          <w:sz w:val="24"/>
          <w:szCs w:val="24"/>
        </w:rPr>
        <w:t>continues</w:t>
      </w:r>
      <w:r w:rsidR="007652D1">
        <w:rPr>
          <w:sz w:val="24"/>
          <w:szCs w:val="24"/>
        </w:rPr>
        <w:t>,</w:t>
      </w:r>
      <w:r w:rsidR="00FF2D13">
        <w:rPr>
          <w:sz w:val="24"/>
          <w:szCs w:val="24"/>
        </w:rPr>
        <w:t xml:space="preserve"> stating that with an increase in </w:t>
      </w:r>
      <w:r w:rsidR="00B20871">
        <w:rPr>
          <w:sz w:val="24"/>
          <w:szCs w:val="24"/>
        </w:rPr>
        <w:t>T</w:t>
      </w:r>
      <w:r w:rsidR="00FA1759">
        <w:rPr>
          <w:sz w:val="24"/>
          <w:szCs w:val="24"/>
        </w:rPr>
        <w:t>eaching</w:t>
      </w:r>
      <w:r w:rsidR="00B20871">
        <w:rPr>
          <w:sz w:val="24"/>
          <w:szCs w:val="24"/>
        </w:rPr>
        <w:t xml:space="preserve"> A</w:t>
      </w:r>
      <w:r w:rsidR="00FF2D13">
        <w:rPr>
          <w:sz w:val="24"/>
          <w:szCs w:val="24"/>
        </w:rPr>
        <w:t xml:space="preserve">ssistants, the supervisory role of the Teacher has increased, and that </w:t>
      </w:r>
      <w:r w:rsidR="00FA1759">
        <w:rPr>
          <w:sz w:val="24"/>
          <w:szCs w:val="24"/>
        </w:rPr>
        <w:t>many Teachers</w:t>
      </w:r>
      <w:r w:rsidR="00FF2D13">
        <w:rPr>
          <w:sz w:val="24"/>
          <w:szCs w:val="24"/>
        </w:rPr>
        <w:t xml:space="preserve"> feel unprepared for </w:t>
      </w:r>
      <w:r w:rsidR="007652D1">
        <w:rPr>
          <w:sz w:val="24"/>
          <w:szCs w:val="24"/>
        </w:rPr>
        <w:t xml:space="preserve">the </w:t>
      </w:r>
      <w:r w:rsidR="00816BF3">
        <w:rPr>
          <w:sz w:val="24"/>
          <w:szCs w:val="24"/>
        </w:rPr>
        <w:t>role</w:t>
      </w:r>
      <w:r w:rsidR="007652D1">
        <w:rPr>
          <w:sz w:val="24"/>
          <w:szCs w:val="24"/>
        </w:rPr>
        <w:t xml:space="preserve"> of supervising Teaching Assistants</w:t>
      </w:r>
      <w:r w:rsidR="00816BF3">
        <w:rPr>
          <w:sz w:val="24"/>
          <w:szCs w:val="24"/>
        </w:rPr>
        <w:t>. The article,</w:t>
      </w:r>
      <w:r w:rsidR="00FF2D13">
        <w:rPr>
          <w:sz w:val="24"/>
          <w:szCs w:val="24"/>
        </w:rPr>
        <w:t xml:space="preserve"> </w:t>
      </w:r>
      <w:r w:rsidR="00FA1759">
        <w:rPr>
          <w:sz w:val="24"/>
          <w:szCs w:val="24"/>
        </w:rPr>
        <w:t xml:space="preserve">interviewed thirteen </w:t>
      </w:r>
      <w:r w:rsidR="00CD1AA8">
        <w:rPr>
          <w:sz w:val="24"/>
          <w:szCs w:val="24"/>
        </w:rPr>
        <w:t>teachers;</w:t>
      </w:r>
      <w:r w:rsidR="00B32FD3">
        <w:rPr>
          <w:sz w:val="24"/>
          <w:szCs w:val="24"/>
        </w:rPr>
        <w:t xml:space="preserve"> this would suggest</w:t>
      </w:r>
      <w:r w:rsidR="00D167E0">
        <w:rPr>
          <w:sz w:val="24"/>
          <w:szCs w:val="24"/>
        </w:rPr>
        <w:t xml:space="preserve"> that this may have been a pilot study</w:t>
      </w:r>
      <w:r w:rsidR="00FA1759">
        <w:rPr>
          <w:sz w:val="24"/>
          <w:szCs w:val="24"/>
        </w:rPr>
        <w:t xml:space="preserve">. </w:t>
      </w:r>
      <w:r w:rsidR="007E0979">
        <w:rPr>
          <w:sz w:val="24"/>
          <w:szCs w:val="24"/>
        </w:rPr>
        <w:t>Thabane el al (2010)</w:t>
      </w:r>
      <w:r w:rsidR="00816BF3">
        <w:rPr>
          <w:sz w:val="24"/>
          <w:szCs w:val="24"/>
        </w:rPr>
        <w:t xml:space="preserve"> suggests</w:t>
      </w:r>
      <w:r w:rsidR="007E0979">
        <w:rPr>
          <w:sz w:val="24"/>
          <w:szCs w:val="24"/>
        </w:rPr>
        <w:t xml:space="preserve"> a pilot study is to provide preliminary evidence, it is not </w:t>
      </w:r>
      <w:r w:rsidR="00816BF3">
        <w:rPr>
          <w:sz w:val="24"/>
          <w:szCs w:val="24"/>
        </w:rPr>
        <w:t>stated</w:t>
      </w:r>
      <w:r w:rsidR="007E0979">
        <w:rPr>
          <w:sz w:val="24"/>
          <w:szCs w:val="24"/>
        </w:rPr>
        <w:t xml:space="preserve"> in the article if this </w:t>
      </w:r>
      <w:r w:rsidR="00816BF3">
        <w:rPr>
          <w:sz w:val="24"/>
          <w:szCs w:val="24"/>
        </w:rPr>
        <w:t>rese</w:t>
      </w:r>
      <w:r>
        <w:rPr>
          <w:sz w:val="24"/>
          <w:szCs w:val="24"/>
        </w:rPr>
        <w:t>arch is a pilot study, however</w:t>
      </w:r>
      <w:r w:rsidR="006C716F">
        <w:rPr>
          <w:sz w:val="24"/>
          <w:szCs w:val="24"/>
        </w:rPr>
        <w:t>, due</w:t>
      </w:r>
      <w:r w:rsidR="00816BF3">
        <w:rPr>
          <w:sz w:val="24"/>
          <w:szCs w:val="24"/>
        </w:rPr>
        <w:t xml:space="preserve"> to the low numbers of </w:t>
      </w:r>
      <w:r>
        <w:rPr>
          <w:sz w:val="24"/>
          <w:szCs w:val="24"/>
        </w:rPr>
        <w:t>interviewees</w:t>
      </w:r>
      <w:r w:rsidR="006C716F">
        <w:rPr>
          <w:sz w:val="24"/>
          <w:szCs w:val="24"/>
        </w:rPr>
        <w:t xml:space="preserve">, </w:t>
      </w:r>
      <w:proofErr w:type="gramStart"/>
      <w:r w:rsidR="006C716F">
        <w:rPr>
          <w:sz w:val="24"/>
          <w:szCs w:val="24"/>
        </w:rPr>
        <w:t>it</w:t>
      </w:r>
      <w:proofErr w:type="gramEnd"/>
      <w:r w:rsidR="00A93528">
        <w:rPr>
          <w:sz w:val="24"/>
          <w:szCs w:val="24"/>
        </w:rPr>
        <w:t xml:space="preserve"> may be the case. The article states that all the interviews were conducted over the telephone using a semi-structured interview. </w:t>
      </w:r>
      <w:r w:rsidR="007652D1">
        <w:rPr>
          <w:sz w:val="24"/>
          <w:szCs w:val="24"/>
        </w:rPr>
        <w:t>They</w:t>
      </w:r>
      <w:r w:rsidR="006C716F">
        <w:rPr>
          <w:sz w:val="24"/>
          <w:szCs w:val="24"/>
        </w:rPr>
        <w:t xml:space="preserve"> attempt</w:t>
      </w:r>
      <w:r w:rsidR="00AA657A">
        <w:rPr>
          <w:sz w:val="24"/>
          <w:szCs w:val="24"/>
        </w:rPr>
        <w:t xml:space="preserve"> to reduce the risk of bias by having the same researcher undertake all of the interviews and the same initial questions were asked to all of the interviewees, however, the article states that ‘the questions were open ended and sought to gain information’ (pg.62)</w:t>
      </w:r>
      <w:r w:rsidR="00922BDA">
        <w:rPr>
          <w:sz w:val="24"/>
          <w:szCs w:val="24"/>
        </w:rPr>
        <w:t>.</w:t>
      </w:r>
      <w:r w:rsidR="00920824">
        <w:rPr>
          <w:sz w:val="24"/>
          <w:szCs w:val="24"/>
        </w:rPr>
        <w:t>Bias is defined by the English Oxford living dictionary (2018) ‘an inclination for or against one person or group’ (pg.1). T</w:t>
      </w:r>
      <w:r w:rsidR="00AA657A">
        <w:rPr>
          <w:sz w:val="24"/>
          <w:szCs w:val="24"/>
        </w:rPr>
        <w:t>here may have been a bias here as the article does not state what background the interviewer has and therefor it is unclear if the interviewer has experience within the field of education,</w:t>
      </w:r>
      <w:r w:rsidR="007652D1">
        <w:rPr>
          <w:sz w:val="24"/>
          <w:szCs w:val="24"/>
        </w:rPr>
        <w:t xml:space="preserve"> or if their past experience may affect their views. T</w:t>
      </w:r>
      <w:r w:rsidR="00AA657A">
        <w:rPr>
          <w:sz w:val="24"/>
          <w:szCs w:val="24"/>
        </w:rPr>
        <w:t xml:space="preserve">he University of Leicester (2016), suggests that the attributes of both parties, the interviewer and interviewee, have a bias and affect the outcome of the interview. With the interviews being carried out over the phone many </w:t>
      </w:r>
      <w:r w:rsidR="00343535">
        <w:rPr>
          <w:sz w:val="24"/>
          <w:szCs w:val="24"/>
        </w:rPr>
        <w:t>of the considerations offered by the University of Leicest</w:t>
      </w:r>
      <w:r w:rsidR="006C716F">
        <w:rPr>
          <w:sz w:val="24"/>
          <w:szCs w:val="24"/>
        </w:rPr>
        <w:t>er may be reduced, however, bias considerations,</w:t>
      </w:r>
      <w:r w:rsidR="00343535">
        <w:rPr>
          <w:sz w:val="24"/>
          <w:szCs w:val="24"/>
        </w:rPr>
        <w:t xml:space="preserve"> such as gender and academic viewpoint</w:t>
      </w:r>
      <w:r w:rsidR="006C716F">
        <w:rPr>
          <w:sz w:val="24"/>
          <w:szCs w:val="24"/>
        </w:rPr>
        <w:t>,</w:t>
      </w:r>
      <w:r w:rsidR="00343535">
        <w:rPr>
          <w:sz w:val="24"/>
          <w:szCs w:val="24"/>
        </w:rPr>
        <w:t xml:space="preserve"> may be present.</w:t>
      </w:r>
      <w:r w:rsidR="00C30C21">
        <w:rPr>
          <w:sz w:val="24"/>
          <w:szCs w:val="24"/>
        </w:rPr>
        <w:t xml:space="preserve"> Cohen &amp; Manion (1998) elaborate further on semi-structured interviews, and open ended questions, suggesting that the interviewer </w:t>
      </w:r>
      <w:r w:rsidR="00C30C21">
        <w:rPr>
          <w:sz w:val="24"/>
          <w:szCs w:val="24"/>
        </w:rPr>
        <w:lastRenderedPageBreak/>
        <w:t>unconsciously may give a sign of agreement or disagr</w:t>
      </w:r>
      <w:r w:rsidR="006C716F">
        <w:rPr>
          <w:sz w:val="24"/>
          <w:szCs w:val="24"/>
        </w:rPr>
        <w:t>eement to the interviewee, possibly</w:t>
      </w:r>
      <w:r w:rsidR="00C30C21">
        <w:rPr>
          <w:sz w:val="24"/>
          <w:szCs w:val="24"/>
        </w:rPr>
        <w:t xml:space="preserve"> changing the direction of the in</w:t>
      </w:r>
      <w:r w:rsidR="006C716F">
        <w:rPr>
          <w:sz w:val="24"/>
          <w:szCs w:val="24"/>
        </w:rPr>
        <w:t>terview. Cohen &amp; Manion also</w:t>
      </w:r>
      <w:r w:rsidR="00C30C21">
        <w:rPr>
          <w:sz w:val="24"/>
          <w:szCs w:val="24"/>
        </w:rPr>
        <w:t xml:space="preserve"> suggesting that in some instances it may be possible to summarize the answers given at the end of the </w:t>
      </w:r>
      <w:r w:rsidR="00D26AF6">
        <w:rPr>
          <w:sz w:val="24"/>
          <w:szCs w:val="24"/>
        </w:rPr>
        <w:t>interview;</w:t>
      </w:r>
      <w:r w:rsidR="00C30C21">
        <w:rPr>
          <w:sz w:val="24"/>
          <w:szCs w:val="24"/>
        </w:rPr>
        <w:t xml:space="preserve"> however, this again my lead to a difference in interpretation or the interviewer may forget answers given.</w:t>
      </w:r>
      <w:r w:rsidR="00343535">
        <w:rPr>
          <w:sz w:val="24"/>
          <w:szCs w:val="24"/>
        </w:rPr>
        <w:t xml:space="preserve"> </w:t>
      </w:r>
      <w:r w:rsidR="00D26AF6">
        <w:rPr>
          <w:sz w:val="24"/>
          <w:szCs w:val="24"/>
        </w:rPr>
        <w:t xml:space="preserve"> The article only states interviews were done over the phone, </w:t>
      </w:r>
      <w:r w:rsidR="00920824">
        <w:rPr>
          <w:sz w:val="24"/>
          <w:szCs w:val="24"/>
        </w:rPr>
        <w:t xml:space="preserve">and the interviews were recorded for transcription at a later date. </w:t>
      </w:r>
    </w:p>
    <w:p w:rsidR="00920824" w:rsidRDefault="00920824" w:rsidP="00F8516B">
      <w:pPr>
        <w:spacing w:line="360" w:lineRule="auto"/>
        <w:rPr>
          <w:color w:val="FF0000"/>
          <w:sz w:val="24"/>
          <w:szCs w:val="24"/>
        </w:rPr>
      </w:pPr>
    </w:p>
    <w:p w:rsidR="00EF3B75" w:rsidRDefault="00B8685A" w:rsidP="00F8516B">
      <w:pPr>
        <w:spacing w:line="360" w:lineRule="auto"/>
        <w:rPr>
          <w:sz w:val="24"/>
          <w:szCs w:val="24"/>
        </w:rPr>
      </w:pPr>
      <w:r w:rsidRPr="00B8685A">
        <w:rPr>
          <w:sz w:val="24"/>
          <w:szCs w:val="24"/>
        </w:rPr>
        <w:t>A hypothesis</w:t>
      </w:r>
      <w:r>
        <w:rPr>
          <w:sz w:val="24"/>
          <w:szCs w:val="24"/>
        </w:rPr>
        <w:t xml:space="preserve"> is defined by BD Dictionary (2018) ‘</w:t>
      </w:r>
      <w:r w:rsidR="00840A83">
        <w:rPr>
          <w:sz w:val="24"/>
          <w:szCs w:val="24"/>
        </w:rPr>
        <w:t xml:space="preserve">as </w:t>
      </w:r>
      <w:r>
        <w:rPr>
          <w:sz w:val="24"/>
          <w:szCs w:val="24"/>
        </w:rPr>
        <w:t xml:space="preserve">an explanation that is provisionally accepted to interpret certain events’ (pg. 1). </w:t>
      </w:r>
      <w:r w:rsidR="008A6875">
        <w:rPr>
          <w:sz w:val="24"/>
          <w:szCs w:val="24"/>
        </w:rPr>
        <w:t xml:space="preserve">Cohen &amp; Manion (1998) suggest a hypothesis is an educated guess. </w:t>
      </w:r>
      <w:r>
        <w:rPr>
          <w:sz w:val="24"/>
          <w:szCs w:val="24"/>
        </w:rPr>
        <w:t xml:space="preserve">The article does not appear to have a clear </w:t>
      </w:r>
      <w:r w:rsidR="00FD6F2F">
        <w:rPr>
          <w:sz w:val="24"/>
          <w:szCs w:val="24"/>
        </w:rPr>
        <w:t>hypothesis;</w:t>
      </w:r>
      <w:r>
        <w:rPr>
          <w:sz w:val="24"/>
          <w:szCs w:val="24"/>
        </w:rPr>
        <w:t xml:space="preserve"> rather the article </w:t>
      </w:r>
      <w:r w:rsidR="00687048">
        <w:rPr>
          <w:sz w:val="24"/>
          <w:szCs w:val="24"/>
        </w:rPr>
        <w:t>recognises a possible problem with supervision of Teaching Assistants and investigates the issues by means of interviews.</w:t>
      </w:r>
      <w:r w:rsidR="00FD6F2F">
        <w:rPr>
          <w:sz w:val="24"/>
          <w:szCs w:val="24"/>
        </w:rPr>
        <w:t xml:space="preserve"> It must be recognised that it may be difficult to hypothesise an outcome from this type of research</w:t>
      </w:r>
      <w:r w:rsidR="0060125D">
        <w:rPr>
          <w:sz w:val="24"/>
          <w:szCs w:val="24"/>
        </w:rPr>
        <w:t>,</w:t>
      </w:r>
      <w:r w:rsidR="00FD6F2F">
        <w:rPr>
          <w:sz w:val="24"/>
          <w:szCs w:val="24"/>
        </w:rPr>
        <w:t xml:space="preserve"> as </w:t>
      </w:r>
      <w:r w:rsidR="000711FA">
        <w:rPr>
          <w:sz w:val="24"/>
          <w:szCs w:val="24"/>
        </w:rPr>
        <w:t>there ma</w:t>
      </w:r>
      <w:r w:rsidR="0060125D">
        <w:rPr>
          <w:sz w:val="24"/>
          <w:szCs w:val="24"/>
        </w:rPr>
        <w:t>y be different practices in</w:t>
      </w:r>
      <w:r w:rsidR="000711FA">
        <w:rPr>
          <w:sz w:val="24"/>
          <w:szCs w:val="24"/>
        </w:rPr>
        <w:t xml:space="preserve"> different educational settings</w:t>
      </w:r>
      <w:r w:rsidR="0060125D">
        <w:rPr>
          <w:sz w:val="24"/>
          <w:szCs w:val="24"/>
        </w:rPr>
        <w:t>,</w:t>
      </w:r>
      <w:r w:rsidR="000711FA">
        <w:rPr>
          <w:sz w:val="24"/>
          <w:szCs w:val="24"/>
        </w:rPr>
        <w:t xml:space="preserve"> and with mentoring often being </w:t>
      </w:r>
      <w:r w:rsidR="00E1759E">
        <w:rPr>
          <w:sz w:val="24"/>
          <w:szCs w:val="24"/>
        </w:rPr>
        <w:t>an</w:t>
      </w:r>
      <w:r w:rsidR="000711FA">
        <w:rPr>
          <w:sz w:val="24"/>
          <w:szCs w:val="24"/>
        </w:rPr>
        <w:t xml:space="preserve"> interpersonal skill, having </w:t>
      </w:r>
      <w:r w:rsidR="00E1759E">
        <w:rPr>
          <w:sz w:val="24"/>
          <w:szCs w:val="24"/>
        </w:rPr>
        <w:t>a</w:t>
      </w:r>
      <w:r w:rsidR="008A6875">
        <w:rPr>
          <w:sz w:val="24"/>
          <w:szCs w:val="24"/>
        </w:rPr>
        <w:t xml:space="preserve"> hypothesis may be difficult. </w:t>
      </w:r>
      <w:r w:rsidR="00E1759E">
        <w:rPr>
          <w:sz w:val="24"/>
          <w:szCs w:val="24"/>
        </w:rPr>
        <w:t>The article, however, does have a clear focus with clear themes t</w:t>
      </w:r>
      <w:r w:rsidR="00B32FD3">
        <w:rPr>
          <w:sz w:val="24"/>
          <w:szCs w:val="24"/>
        </w:rPr>
        <w:t xml:space="preserve">hat emerged from the </w:t>
      </w:r>
      <w:r w:rsidR="0060125D">
        <w:rPr>
          <w:sz w:val="24"/>
          <w:szCs w:val="24"/>
        </w:rPr>
        <w:t>interviews;</w:t>
      </w:r>
      <w:r w:rsidR="00B32FD3">
        <w:rPr>
          <w:sz w:val="24"/>
          <w:szCs w:val="24"/>
        </w:rPr>
        <w:t xml:space="preserve"> the th</w:t>
      </w:r>
      <w:r w:rsidR="0060125D">
        <w:rPr>
          <w:sz w:val="24"/>
          <w:szCs w:val="24"/>
        </w:rPr>
        <w:t>emes were</w:t>
      </w:r>
      <w:r w:rsidR="00B32FD3">
        <w:rPr>
          <w:sz w:val="24"/>
          <w:szCs w:val="24"/>
        </w:rPr>
        <w:t xml:space="preserve"> based on t</w:t>
      </w:r>
      <w:r w:rsidR="0060125D">
        <w:rPr>
          <w:sz w:val="24"/>
          <w:szCs w:val="24"/>
        </w:rPr>
        <w:t>he responses from the interviews, after two of the researchers read the transcriptions independently, compiled themes and then met to compile agreed themes</w:t>
      </w:r>
      <w:r w:rsidR="00B32FD3">
        <w:rPr>
          <w:sz w:val="24"/>
          <w:szCs w:val="24"/>
        </w:rPr>
        <w:t>.</w:t>
      </w:r>
      <w:r w:rsidR="00C45445">
        <w:rPr>
          <w:sz w:val="24"/>
          <w:szCs w:val="24"/>
        </w:rPr>
        <w:t xml:space="preserve"> The</w:t>
      </w:r>
      <w:r w:rsidR="00F025DE">
        <w:rPr>
          <w:sz w:val="24"/>
          <w:szCs w:val="24"/>
        </w:rPr>
        <w:t xml:space="preserve"> article</w:t>
      </w:r>
      <w:r w:rsidR="00C45445">
        <w:rPr>
          <w:sz w:val="24"/>
          <w:szCs w:val="24"/>
        </w:rPr>
        <w:t xml:space="preserve"> appears to be investigatory within the area of supervising Teaching Assistance, exploring current practices.</w:t>
      </w:r>
      <w:r w:rsidR="00F025DE">
        <w:rPr>
          <w:sz w:val="24"/>
          <w:szCs w:val="24"/>
        </w:rPr>
        <w:t xml:space="preserve"> The article does state however that ‘they sought to explore supportive methods to ensure appropriate supervision of paraeducators,’ (pg. 61) suggesting there was a focus and aim in the writing of the article, however, this aim is at times unclear throughout the article and often appears to lose focus.</w:t>
      </w:r>
    </w:p>
    <w:p w:rsidR="00AB72EF" w:rsidRDefault="00AB72EF" w:rsidP="00F8516B">
      <w:pPr>
        <w:spacing w:line="360" w:lineRule="auto"/>
        <w:rPr>
          <w:sz w:val="24"/>
          <w:szCs w:val="24"/>
        </w:rPr>
      </w:pPr>
    </w:p>
    <w:p w:rsidR="003F10B9" w:rsidRDefault="00AB72EF" w:rsidP="00F8516B">
      <w:pPr>
        <w:spacing w:line="360" w:lineRule="auto"/>
        <w:rPr>
          <w:sz w:val="24"/>
          <w:szCs w:val="24"/>
        </w:rPr>
      </w:pPr>
      <w:r>
        <w:rPr>
          <w:sz w:val="24"/>
          <w:szCs w:val="24"/>
        </w:rPr>
        <w:t>The article clearly states how candidates were selected, it states that thirteen teachers were selected who had supervised Teaching Assistants and were chosen because of their outstanding practice, however</w:t>
      </w:r>
      <w:r w:rsidR="00B76072">
        <w:rPr>
          <w:sz w:val="24"/>
          <w:szCs w:val="24"/>
        </w:rPr>
        <w:t>,</w:t>
      </w:r>
      <w:r>
        <w:rPr>
          <w:sz w:val="24"/>
          <w:szCs w:val="24"/>
        </w:rPr>
        <w:t xml:space="preserve"> previously in the article, it stated that there is a lack of information on t</w:t>
      </w:r>
      <w:r w:rsidR="00B76072">
        <w:rPr>
          <w:sz w:val="24"/>
          <w:szCs w:val="24"/>
        </w:rPr>
        <w:t>he experiences of a successful T</w:t>
      </w:r>
      <w:r>
        <w:rPr>
          <w:sz w:val="24"/>
          <w:szCs w:val="24"/>
        </w:rPr>
        <w:t xml:space="preserve">eacher supervising a Teaching assistant, this was conflicting as with lack of information it may be difficult to select practitioners who are outstanding, furthermore the article refers to a </w:t>
      </w:r>
      <w:r w:rsidR="00FC01BD">
        <w:rPr>
          <w:sz w:val="24"/>
          <w:szCs w:val="24"/>
        </w:rPr>
        <w:t xml:space="preserve">selection criteria, however, does not </w:t>
      </w:r>
      <w:r w:rsidR="00FC01BD">
        <w:rPr>
          <w:sz w:val="24"/>
          <w:szCs w:val="24"/>
        </w:rPr>
        <w:lastRenderedPageBreak/>
        <w:t>elaborate on this criteria. The article is very specific and detailed about where the candidates for the study were drawn</w:t>
      </w:r>
      <w:r w:rsidR="00992B4F">
        <w:rPr>
          <w:sz w:val="24"/>
          <w:szCs w:val="24"/>
        </w:rPr>
        <w:t xml:space="preserve"> from</w:t>
      </w:r>
      <w:r w:rsidR="00FC01BD">
        <w:rPr>
          <w:sz w:val="24"/>
          <w:szCs w:val="24"/>
        </w:rPr>
        <w:t xml:space="preserve">. The article also provides a table showing the demographics of the districts where teachers were recruited, how many teachers were nominated from each district and how many teachers were interviewed from each district. On reading the table it became evident that of the teachers being </w:t>
      </w:r>
      <w:r w:rsidR="00DB6711">
        <w:rPr>
          <w:sz w:val="24"/>
          <w:szCs w:val="24"/>
        </w:rPr>
        <w:t>interviewed there</w:t>
      </w:r>
      <w:r w:rsidR="00FC01BD">
        <w:rPr>
          <w:sz w:val="24"/>
          <w:szCs w:val="24"/>
        </w:rPr>
        <w:t xml:space="preserve"> wasn’t a fair </w:t>
      </w:r>
      <w:r w:rsidR="00DB6711">
        <w:rPr>
          <w:sz w:val="24"/>
          <w:szCs w:val="24"/>
        </w:rPr>
        <w:t>demographic spread, rather, one area had no teachers contributing, and another area having a larger number being interviewed, with this information in mind, the information obtained may be questionable.</w:t>
      </w:r>
      <w:r w:rsidR="00035EAA">
        <w:rPr>
          <w:sz w:val="24"/>
          <w:szCs w:val="24"/>
        </w:rPr>
        <w:t xml:space="preserve"> The authors of the article do draw attention to this, and did attempt to rectify the problem, but state that they were unable to interview other Teachers due to a lack of response.</w:t>
      </w:r>
      <w:r w:rsidR="00DB6711">
        <w:rPr>
          <w:sz w:val="24"/>
          <w:szCs w:val="24"/>
        </w:rPr>
        <w:t xml:space="preserve"> </w:t>
      </w:r>
      <w:r w:rsidR="00374F6C">
        <w:rPr>
          <w:sz w:val="24"/>
          <w:szCs w:val="24"/>
        </w:rPr>
        <w:t xml:space="preserve">Kacka et al (2018) discuss demographics suggesting that demographic input into a study may only influence the outcome of the data very slightly.  The article then goes on to provide the reader with another detailed </w:t>
      </w:r>
      <w:r w:rsidR="00B20509">
        <w:rPr>
          <w:sz w:val="24"/>
          <w:szCs w:val="24"/>
        </w:rPr>
        <w:t>table,</w:t>
      </w:r>
      <w:r w:rsidR="00374F6C">
        <w:rPr>
          <w:sz w:val="24"/>
          <w:szCs w:val="24"/>
        </w:rPr>
        <w:t xml:space="preserve"> giving informatio</w:t>
      </w:r>
      <w:r w:rsidR="00035EAA">
        <w:rPr>
          <w:sz w:val="24"/>
          <w:szCs w:val="24"/>
        </w:rPr>
        <w:t>n on each teacher, who are referred to as</w:t>
      </w:r>
      <w:r w:rsidR="00374F6C">
        <w:rPr>
          <w:sz w:val="24"/>
          <w:szCs w:val="24"/>
        </w:rPr>
        <w:t xml:space="preserve"> a letter.</w:t>
      </w:r>
      <w:r w:rsidR="00D0339E">
        <w:rPr>
          <w:sz w:val="24"/>
          <w:szCs w:val="24"/>
        </w:rPr>
        <w:t xml:space="preserve"> The table identifies the Teachers years of teaching and years of supervision experience, in some cases it would appear the teachers had been supervising Teaching assistants from the start of their teaching career</w:t>
      </w:r>
      <w:r w:rsidR="00992B4F">
        <w:rPr>
          <w:sz w:val="24"/>
          <w:szCs w:val="24"/>
        </w:rPr>
        <w:t>s</w:t>
      </w:r>
      <w:r w:rsidR="00D0339E">
        <w:rPr>
          <w:sz w:val="24"/>
          <w:szCs w:val="24"/>
        </w:rPr>
        <w:t xml:space="preserve">, however, the article is unclear on the form the supervision took, with one teacher stating that improved mentoring might be useful,’ (pg.69), </w:t>
      </w:r>
      <w:r w:rsidR="00992B4F">
        <w:rPr>
          <w:sz w:val="24"/>
          <w:szCs w:val="24"/>
        </w:rPr>
        <w:t xml:space="preserve">this may indicate that </w:t>
      </w:r>
      <w:r w:rsidR="00D0339E">
        <w:rPr>
          <w:sz w:val="24"/>
          <w:szCs w:val="24"/>
        </w:rPr>
        <w:t xml:space="preserve">no clear definition was initially given to </w:t>
      </w:r>
      <w:r w:rsidR="003F10B9">
        <w:rPr>
          <w:sz w:val="24"/>
          <w:szCs w:val="24"/>
        </w:rPr>
        <w:t>‘</w:t>
      </w:r>
      <w:r w:rsidR="00D0339E">
        <w:rPr>
          <w:sz w:val="24"/>
          <w:szCs w:val="24"/>
        </w:rPr>
        <w:t>supervising</w:t>
      </w:r>
      <w:r w:rsidR="003F10B9">
        <w:rPr>
          <w:sz w:val="24"/>
          <w:szCs w:val="24"/>
        </w:rPr>
        <w:t xml:space="preserve">’ at the beginning of the study. </w:t>
      </w:r>
      <w:r w:rsidR="00813C0C">
        <w:rPr>
          <w:sz w:val="24"/>
          <w:szCs w:val="24"/>
        </w:rPr>
        <w:t>The artic</w:t>
      </w:r>
      <w:r w:rsidR="00992B4F">
        <w:rPr>
          <w:sz w:val="24"/>
          <w:szCs w:val="24"/>
        </w:rPr>
        <w:t>le  shows the experience</w:t>
      </w:r>
      <w:r w:rsidR="003F10B9">
        <w:rPr>
          <w:sz w:val="24"/>
          <w:szCs w:val="24"/>
        </w:rPr>
        <w:t xml:space="preserve"> of the T</w:t>
      </w:r>
      <w:r w:rsidR="00813C0C">
        <w:rPr>
          <w:sz w:val="24"/>
          <w:szCs w:val="24"/>
        </w:rPr>
        <w:t>eacher in teachin</w:t>
      </w:r>
      <w:r w:rsidR="003F10B9">
        <w:rPr>
          <w:sz w:val="24"/>
          <w:szCs w:val="24"/>
        </w:rPr>
        <w:t>g and supervising,</w:t>
      </w:r>
      <w:r w:rsidR="00813C0C">
        <w:rPr>
          <w:sz w:val="24"/>
          <w:szCs w:val="24"/>
        </w:rPr>
        <w:t xml:space="preserve"> there is n</w:t>
      </w:r>
      <w:r w:rsidR="003F10B9">
        <w:rPr>
          <w:sz w:val="24"/>
          <w:szCs w:val="24"/>
        </w:rPr>
        <w:t xml:space="preserve">o minimum or maximus parameters </w:t>
      </w:r>
      <w:r w:rsidR="00813C0C">
        <w:rPr>
          <w:sz w:val="24"/>
          <w:szCs w:val="24"/>
        </w:rPr>
        <w:t xml:space="preserve"> given, rather one teacher was teaching for five years and another thirty-three years</w:t>
      </w:r>
      <w:r w:rsidR="00F9724E">
        <w:rPr>
          <w:sz w:val="24"/>
          <w:szCs w:val="24"/>
        </w:rPr>
        <w:t>, it is therefore difficult to ascertain from the numerical data the correlation of years teaching and supervising,</w:t>
      </w:r>
      <w:r w:rsidR="003F10B9">
        <w:rPr>
          <w:sz w:val="24"/>
          <w:szCs w:val="24"/>
        </w:rPr>
        <w:t xml:space="preserve"> and the different experiences of the teachers,</w:t>
      </w:r>
      <w:r w:rsidR="00F9724E">
        <w:rPr>
          <w:sz w:val="24"/>
          <w:szCs w:val="24"/>
        </w:rPr>
        <w:t xml:space="preserve"> there appears to be no reason to include this information, rather is poses the question of why were parameters not put in place </w:t>
      </w:r>
      <w:r w:rsidR="002210D7">
        <w:rPr>
          <w:sz w:val="24"/>
          <w:szCs w:val="24"/>
        </w:rPr>
        <w:t>to distinguish time</w:t>
      </w:r>
      <w:r w:rsidR="00992B4F">
        <w:rPr>
          <w:sz w:val="24"/>
          <w:szCs w:val="24"/>
        </w:rPr>
        <w:t xml:space="preserve"> </w:t>
      </w:r>
      <w:r w:rsidR="002210D7">
        <w:rPr>
          <w:sz w:val="24"/>
          <w:szCs w:val="24"/>
        </w:rPr>
        <w:t xml:space="preserve"> in teaching? </w:t>
      </w:r>
    </w:p>
    <w:p w:rsidR="00992B4F" w:rsidRDefault="00992B4F" w:rsidP="00F8516B">
      <w:pPr>
        <w:spacing w:line="360" w:lineRule="auto"/>
        <w:rPr>
          <w:sz w:val="24"/>
          <w:szCs w:val="24"/>
        </w:rPr>
      </w:pPr>
    </w:p>
    <w:p w:rsidR="00EF3B75" w:rsidRDefault="003F10B9" w:rsidP="00F8516B">
      <w:pPr>
        <w:spacing w:line="360" w:lineRule="auto"/>
        <w:rPr>
          <w:sz w:val="24"/>
          <w:szCs w:val="24"/>
        </w:rPr>
      </w:pPr>
      <w:r>
        <w:rPr>
          <w:sz w:val="24"/>
          <w:szCs w:val="24"/>
        </w:rPr>
        <w:t>The article only interviewed thirteen Teachers;</w:t>
      </w:r>
      <w:r w:rsidR="00F9724E">
        <w:rPr>
          <w:sz w:val="24"/>
          <w:szCs w:val="24"/>
        </w:rPr>
        <w:t xml:space="preserve"> Walliman (2018</w:t>
      </w:r>
      <w:r w:rsidR="002210D7">
        <w:rPr>
          <w:sz w:val="24"/>
          <w:szCs w:val="24"/>
        </w:rPr>
        <w:t>)</w:t>
      </w:r>
      <w:r w:rsidR="00F9724E">
        <w:rPr>
          <w:sz w:val="24"/>
          <w:szCs w:val="24"/>
        </w:rPr>
        <w:t xml:space="preserve"> suggests that to ensure </w:t>
      </w:r>
      <w:r w:rsidR="0034353A">
        <w:rPr>
          <w:sz w:val="24"/>
          <w:szCs w:val="24"/>
        </w:rPr>
        <w:t>reliability there need</w:t>
      </w:r>
      <w:r>
        <w:rPr>
          <w:sz w:val="24"/>
          <w:szCs w:val="24"/>
        </w:rPr>
        <w:t>s</w:t>
      </w:r>
      <w:r w:rsidR="0034353A">
        <w:rPr>
          <w:sz w:val="24"/>
          <w:szCs w:val="24"/>
        </w:rPr>
        <w:t xml:space="preserve"> to be a greater number of ca</w:t>
      </w:r>
      <w:r>
        <w:rPr>
          <w:sz w:val="24"/>
          <w:szCs w:val="24"/>
        </w:rPr>
        <w:t>ses, suggesting twenty or more</w:t>
      </w:r>
      <w:r w:rsidR="0034353A">
        <w:rPr>
          <w:sz w:val="24"/>
          <w:szCs w:val="24"/>
        </w:rPr>
        <w:t>, which may bring into question the analysis of the data</w:t>
      </w:r>
      <w:r>
        <w:rPr>
          <w:sz w:val="24"/>
          <w:szCs w:val="24"/>
        </w:rPr>
        <w:t>, with the lack of participants</w:t>
      </w:r>
      <w:r w:rsidR="0034353A">
        <w:rPr>
          <w:sz w:val="24"/>
          <w:szCs w:val="24"/>
        </w:rPr>
        <w:t>.</w:t>
      </w:r>
      <w:r w:rsidR="002210D7">
        <w:rPr>
          <w:sz w:val="24"/>
          <w:szCs w:val="24"/>
        </w:rPr>
        <w:t xml:space="preserve"> </w:t>
      </w:r>
      <w:r w:rsidR="00AB5A40">
        <w:rPr>
          <w:sz w:val="24"/>
          <w:szCs w:val="24"/>
        </w:rPr>
        <w:t>Maguire &amp; Delahunt (2017)</w:t>
      </w:r>
      <w:r w:rsidR="00EB2042">
        <w:rPr>
          <w:sz w:val="24"/>
          <w:szCs w:val="24"/>
        </w:rPr>
        <w:t xml:space="preserve"> find</w:t>
      </w:r>
      <w:r w:rsidR="00AB5A40">
        <w:rPr>
          <w:sz w:val="24"/>
          <w:szCs w:val="24"/>
        </w:rPr>
        <w:t xml:space="preserve"> that data analysis in qualitative research has to be central and credible in this method of research, they continue suggesting that the data needs to correlate with the themes that are focused on in the research. Douglas et al (2016)</w:t>
      </w:r>
      <w:r w:rsidR="00ED3083">
        <w:rPr>
          <w:sz w:val="24"/>
          <w:szCs w:val="24"/>
        </w:rPr>
        <w:t>,</w:t>
      </w:r>
      <w:r w:rsidR="00AB5A40">
        <w:rPr>
          <w:sz w:val="24"/>
          <w:szCs w:val="24"/>
        </w:rPr>
        <w:t xml:space="preserve"> however</w:t>
      </w:r>
      <w:r w:rsidR="00ED3083">
        <w:rPr>
          <w:sz w:val="24"/>
          <w:szCs w:val="24"/>
        </w:rPr>
        <w:t>,</w:t>
      </w:r>
      <w:r w:rsidR="00AB5A40">
        <w:rPr>
          <w:sz w:val="24"/>
          <w:szCs w:val="24"/>
        </w:rPr>
        <w:t xml:space="preserve"> does not use </w:t>
      </w:r>
      <w:r w:rsidR="00AB5A40">
        <w:rPr>
          <w:sz w:val="24"/>
          <w:szCs w:val="24"/>
        </w:rPr>
        <w:lastRenderedPageBreak/>
        <w:t xml:space="preserve">the data collected to discuss the themes addressed in the study, rather the data collected </w:t>
      </w:r>
      <w:r w:rsidR="009D4681">
        <w:rPr>
          <w:sz w:val="24"/>
          <w:szCs w:val="24"/>
        </w:rPr>
        <w:t>appears to have been included to give information to the reader. The article comments briefly on the demographics of the data and the teacher’s experience, however, the main focus of the paper is on the analysis of the interviews.</w:t>
      </w:r>
    </w:p>
    <w:p w:rsidR="009D4681" w:rsidRDefault="009D4681" w:rsidP="00F8516B">
      <w:pPr>
        <w:spacing w:line="360" w:lineRule="auto"/>
        <w:rPr>
          <w:sz w:val="24"/>
          <w:szCs w:val="24"/>
        </w:rPr>
      </w:pPr>
    </w:p>
    <w:p w:rsidR="009D4681" w:rsidRDefault="001076B2" w:rsidP="00F8516B">
      <w:pPr>
        <w:spacing w:line="360" w:lineRule="auto"/>
        <w:rPr>
          <w:sz w:val="24"/>
          <w:szCs w:val="24"/>
        </w:rPr>
      </w:pPr>
      <w:r>
        <w:rPr>
          <w:sz w:val="24"/>
          <w:szCs w:val="24"/>
        </w:rPr>
        <w:t xml:space="preserve">The </w:t>
      </w:r>
      <w:r w:rsidR="00B97D98">
        <w:rPr>
          <w:sz w:val="24"/>
          <w:szCs w:val="24"/>
        </w:rPr>
        <w:t>article identifies</w:t>
      </w:r>
      <w:r>
        <w:rPr>
          <w:sz w:val="24"/>
          <w:szCs w:val="24"/>
        </w:rPr>
        <w:t xml:space="preserve"> ethical conside</w:t>
      </w:r>
      <w:r w:rsidR="009C2F39">
        <w:rPr>
          <w:sz w:val="24"/>
          <w:szCs w:val="24"/>
        </w:rPr>
        <w:t>rations, however,</w:t>
      </w:r>
      <w:r>
        <w:rPr>
          <w:sz w:val="24"/>
          <w:szCs w:val="24"/>
        </w:rPr>
        <w:t xml:space="preserve"> does not discuss if the research proposal went through an ethics committee, however,</w:t>
      </w:r>
      <w:r w:rsidR="009C2F39">
        <w:rPr>
          <w:sz w:val="24"/>
          <w:szCs w:val="24"/>
        </w:rPr>
        <w:t xml:space="preserve"> it is stated that the research was approved by a board and that all protocols were followed.</w:t>
      </w:r>
      <w:r>
        <w:rPr>
          <w:sz w:val="24"/>
          <w:szCs w:val="24"/>
        </w:rPr>
        <w:t xml:space="preserve"> </w:t>
      </w:r>
      <w:r w:rsidR="009C2F39">
        <w:rPr>
          <w:sz w:val="24"/>
          <w:szCs w:val="24"/>
        </w:rPr>
        <w:t>It</w:t>
      </w:r>
      <w:r>
        <w:rPr>
          <w:sz w:val="24"/>
          <w:szCs w:val="24"/>
        </w:rPr>
        <w:t xml:space="preserve"> is recognised that </w:t>
      </w:r>
      <w:r w:rsidR="00B53E41">
        <w:rPr>
          <w:sz w:val="24"/>
          <w:szCs w:val="24"/>
        </w:rPr>
        <w:t xml:space="preserve">procedures may be different in America with regards to </w:t>
      </w:r>
      <w:r w:rsidR="009C2F39">
        <w:rPr>
          <w:sz w:val="24"/>
          <w:szCs w:val="24"/>
        </w:rPr>
        <w:t>ethics;</w:t>
      </w:r>
      <w:r w:rsidR="00B53E41">
        <w:rPr>
          <w:sz w:val="24"/>
          <w:szCs w:val="24"/>
        </w:rPr>
        <w:t xml:space="preserve"> however, th</w:t>
      </w:r>
      <w:r w:rsidR="009C2F39">
        <w:rPr>
          <w:sz w:val="24"/>
          <w:szCs w:val="24"/>
        </w:rPr>
        <w:t>e article does not give details.</w:t>
      </w:r>
      <w:r w:rsidR="00B53E41">
        <w:rPr>
          <w:sz w:val="24"/>
          <w:szCs w:val="24"/>
        </w:rPr>
        <w:t xml:space="preserve"> </w:t>
      </w:r>
      <w:r w:rsidR="009C2F39">
        <w:rPr>
          <w:sz w:val="24"/>
          <w:szCs w:val="24"/>
        </w:rPr>
        <w:t>There are</w:t>
      </w:r>
      <w:r w:rsidR="00B97D98">
        <w:rPr>
          <w:sz w:val="24"/>
          <w:szCs w:val="24"/>
        </w:rPr>
        <w:t xml:space="preserve"> also details of the Teaching A</w:t>
      </w:r>
      <w:r w:rsidR="00B53E41">
        <w:rPr>
          <w:sz w:val="24"/>
          <w:szCs w:val="24"/>
        </w:rPr>
        <w:t>ssistants years of service and qualifications in the raw data, with no indication to ho</w:t>
      </w:r>
      <w:r w:rsidR="009C2F39">
        <w:rPr>
          <w:sz w:val="24"/>
          <w:szCs w:val="24"/>
        </w:rPr>
        <w:t xml:space="preserve">w this information was </w:t>
      </w:r>
      <w:r w:rsidR="00EB2042">
        <w:rPr>
          <w:sz w:val="24"/>
          <w:szCs w:val="24"/>
        </w:rPr>
        <w:t>obtained;</w:t>
      </w:r>
      <w:r w:rsidR="009C2F39">
        <w:rPr>
          <w:sz w:val="24"/>
          <w:szCs w:val="24"/>
        </w:rPr>
        <w:t xml:space="preserve"> it is assumed the information was given to the researchers by the teachers being interviewed.</w:t>
      </w:r>
      <w:r w:rsidR="00B53E41">
        <w:rPr>
          <w:sz w:val="24"/>
          <w:szCs w:val="24"/>
        </w:rPr>
        <w:t xml:space="preserve"> </w:t>
      </w:r>
      <w:r w:rsidR="00EB2042">
        <w:rPr>
          <w:sz w:val="24"/>
          <w:szCs w:val="24"/>
        </w:rPr>
        <w:t xml:space="preserve"> The table is </w:t>
      </w:r>
      <w:r w:rsidR="002B35CD">
        <w:rPr>
          <w:sz w:val="24"/>
          <w:szCs w:val="24"/>
        </w:rPr>
        <w:t xml:space="preserve">clear on how may Teaching Assistants were being supervised </w:t>
      </w:r>
      <w:r w:rsidR="00EB2042">
        <w:rPr>
          <w:sz w:val="24"/>
          <w:szCs w:val="24"/>
        </w:rPr>
        <w:t>by a teacher</w:t>
      </w:r>
      <w:proofErr w:type="gramStart"/>
      <w:r w:rsidR="00EB2042">
        <w:rPr>
          <w:sz w:val="24"/>
          <w:szCs w:val="24"/>
        </w:rPr>
        <w:t xml:space="preserve">, </w:t>
      </w:r>
      <w:r w:rsidR="00B728EA">
        <w:rPr>
          <w:sz w:val="24"/>
          <w:szCs w:val="24"/>
        </w:rPr>
        <w:t xml:space="preserve"> the</w:t>
      </w:r>
      <w:proofErr w:type="gramEnd"/>
      <w:r w:rsidR="00B728EA">
        <w:rPr>
          <w:sz w:val="24"/>
          <w:szCs w:val="24"/>
        </w:rPr>
        <w:t xml:space="preserve"> table indicates more than one choice for the teachers to choose when asked how many Teaching Assistants they supervised.</w:t>
      </w:r>
      <w:r w:rsidR="00B97D98">
        <w:rPr>
          <w:sz w:val="24"/>
          <w:szCs w:val="24"/>
        </w:rPr>
        <w:t xml:space="preserve"> There is no mention </w:t>
      </w:r>
      <w:r w:rsidR="00B53E41">
        <w:rPr>
          <w:sz w:val="24"/>
          <w:szCs w:val="24"/>
        </w:rPr>
        <w:t>if the Teaching Assistants were asked or gave consent for any information to be used, however</w:t>
      </w:r>
      <w:r w:rsidR="00B97D98">
        <w:rPr>
          <w:sz w:val="24"/>
          <w:szCs w:val="24"/>
        </w:rPr>
        <w:t>,</w:t>
      </w:r>
      <w:r w:rsidR="00B53E41">
        <w:rPr>
          <w:sz w:val="24"/>
          <w:szCs w:val="24"/>
        </w:rPr>
        <w:t xml:space="preserve"> at the end of the article the authors declare that to ensure confidentiality of the participants, pseudonyms are given.</w:t>
      </w:r>
      <w:r w:rsidR="00196F99">
        <w:rPr>
          <w:sz w:val="24"/>
          <w:szCs w:val="24"/>
        </w:rPr>
        <w:t xml:space="preserve"> The lack of documented e</w:t>
      </w:r>
      <w:r w:rsidR="00B97D98">
        <w:rPr>
          <w:sz w:val="24"/>
          <w:szCs w:val="24"/>
        </w:rPr>
        <w:t>thical considerations</w:t>
      </w:r>
      <w:r w:rsidR="00196F99">
        <w:rPr>
          <w:sz w:val="24"/>
          <w:szCs w:val="24"/>
        </w:rPr>
        <w:t xml:space="preserve"> in the article is a concern to the validity of the article,</w:t>
      </w:r>
      <w:r w:rsidR="000D695E">
        <w:rPr>
          <w:sz w:val="24"/>
          <w:szCs w:val="24"/>
        </w:rPr>
        <w:t xml:space="preserve"> Salkind (1991) suggests that it is the researcher’s role to ensure ethical standards are met when conducting research and that they should also ensure ethical guidelines are followed by their professional organisation. </w:t>
      </w:r>
      <w:proofErr w:type="gramStart"/>
      <w:r w:rsidR="000D695E">
        <w:rPr>
          <w:sz w:val="24"/>
          <w:szCs w:val="24"/>
        </w:rPr>
        <w:t xml:space="preserve">BERA (2011) </w:t>
      </w:r>
      <w:r w:rsidR="003E0815">
        <w:rPr>
          <w:sz w:val="24"/>
          <w:szCs w:val="24"/>
        </w:rPr>
        <w:t xml:space="preserve">state that following ethical guidelines ensures best practice for all participating in research, mirroring </w:t>
      </w:r>
      <w:proofErr w:type="spellStart"/>
      <w:r w:rsidR="003E0815">
        <w:rPr>
          <w:sz w:val="24"/>
          <w:szCs w:val="24"/>
        </w:rPr>
        <w:t>Salkind</w:t>
      </w:r>
      <w:r w:rsidR="00EB2042">
        <w:rPr>
          <w:sz w:val="24"/>
          <w:szCs w:val="24"/>
        </w:rPr>
        <w:t>s</w:t>
      </w:r>
      <w:proofErr w:type="spellEnd"/>
      <w:r w:rsidR="003E0815">
        <w:rPr>
          <w:sz w:val="24"/>
          <w:szCs w:val="24"/>
        </w:rPr>
        <w:t xml:space="preserve"> direction of how ethical research should be undertaken.</w:t>
      </w:r>
      <w:proofErr w:type="gramEnd"/>
    </w:p>
    <w:p w:rsidR="003873F7" w:rsidRDefault="003873F7" w:rsidP="00F8516B">
      <w:pPr>
        <w:spacing w:line="360" w:lineRule="auto"/>
        <w:rPr>
          <w:sz w:val="24"/>
          <w:szCs w:val="24"/>
        </w:rPr>
      </w:pPr>
    </w:p>
    <w:p w:rsidR="003873F7" w:rsidRDefault="000E7CB8" w:rsidP="00F8516B">
      <w:pPr>
        <w:spacing w:line="360" w:lineRule="auto"/>
        <w:rPr>
          <w:sz w:val="24"/>
          <w:szCs w:val="24"/>
        </w:rPr>
      </w:pPr>
      <w:r>
        <w:rPr>
          <w:sz w:val="24"/>
          <w:szCs w:val="24"/>
        </w:rPr>
        <w:t xml:space="preserve">The conclusion of the article is divided into sub headings under the primary heading of discussion. The article recognises the importance of teaching assistants, within the American educational </w:t>
      </w:r>
      <w:r w:rsidR="000E48A6">
        <w:rPr>
          <w:sz w:val="24"/>
          <w:szCs w:val="24"/>
        </w:rPr>
        <w:t>setting;</w:t>
      </w:r>
      <w:r>
        <w:rPr>
          <w:sz w:val="24"/>
          <w:szCs w:val="24"/>
        </w:rPr>
        <w:t xml:space="preserve"> however, according to the table of raw data given in the article the Teaching Assistants in America appear to have predominantly higher qualifications than those in</w:t>
      </w:r>
      <w:r w:rsidR="00EB2042">
        <w:rPr>
          <w:sz w:val="24"/>
          <w:szCs w:val="24"/>
        </w:rPr>
        <w:t xml:space="preserve"> the United Kingdom</w:t>
      </w:r>
      <w:r w:rsidR="000E48A6">
        <w:rPr>
          <w:sz w:val="24"/>
          <w:szCs w:val="24"/>
        </w:rPr>
        <w:t xml:space="preserve">, for example, the Welsh Government document (2011), gives professional standards for Higher Level Teaching Assistants, </w:t>
      </w:r>
      <w:r w:rsidR="000E48A6">
        <w:rPr>
          <w:sz w:val="24"/>
          <w:szCs w:val="24"/>
        </w:rPr>
        <w:lastRenderedPageBreak/>
        <w:t>suggesting that they should have achieved a level two qualification of the national qualifications framework in literacy and numeracy, however, there is nothing commented on for other Teaching assistants working within the education setting.</w:t>
      </w:r>
      <w:r w:rsidR="00B94BCF">
        <w:rPr>
          <w:sz w:val="24"/>
          <w:szCs w:val="24"/>
        </w:rPr>
        <w:t xml:space="preserve"> Blatchford et al (2012) found that in England and Wales 59% of Teaching Assistants highest qualification was at or below GCSE level</w:t>
      </w:r>
      <w:r w:rsidR="0008142E">
        <w:rPr>
          <w:sz w:val="24"/>
          <w:szCs w:val="24"/>
        </w:rPr>
        <w:t>, it must be restated,</w:t>
      </w:r>
      <w:r w:rsidR="00603133">
        <w:rPr>
          <w:sz w:val="24"/>
          <w:szCs w:val="24"/>
        </w:rPr>
        <w:t xml:space="preserve"> however</w:t>
      </w:r>
      <w:r w:rsidR="0008142E">
        <w:rPr>
          <w:sz w:val="24"/>
          <w:szCs w:val="24"/>
        </w:rPr>
        <w:t>,</w:t>
      </w:r>
      <w:r w:rsidR="00603133">
        <w:rPr>
          <w:sz w:val="24"/>
          <w:szCs w:val="24"/>
        </w:rPr>
        <w:t xml:space="preserve"> that the article being critiqued only had thirteen </w:t>
      </w:r>
      <w:r w:rsidR="000A6835">
        <w:rPr>
          <w:sz w:val="24"/>
          <w:szCs w:val="24"/>
        </w:rPr>
        <w:t>respondents</w:t>
      </w:r>
      <w:r w:rsidR="00603133">
        <w:rPr>
          <w:sz w:val="24"/>
          <w:szCs w:val="24"/>
        </w:rPr>
        <w:t xml:space="preserve"> and therefor it may be difficult to compare Teaching Assistants in America to those in England and Wales (Scotland and Ireland were not i</w:t>
      </w:r>
      <w:r w:rsidR="0008142E">
        <w:rPr>
          <w:sz w:val="24"/>
          <w:szCs w:val="24"/>
        </w:rPr>
        <w:t>ncluded in Blatchford et al data</w:t>
      </w:r>
      <w:r w:rsidR="00603133">
        <w:rPr>
          <w:sz w:val="24"/>
          <w:szCs w:val="24"/>
        </w:rPr>
        <w:t>).</w:t>
      </w:r>
      <w:r w:rsidR="000A6835">
        <w:rPr>
          <w:sz w:val="24"/>
          <w:szCs w:val="24"/>
        </w:rPr>
        <w:t xml:space="preserve"> </w:t>
      </w:r>
    </w:p>
    <w:p w:rsidR="000A6835" w:rsidRDefault="000A6835" w:rsidP="00F8516B">
      <w:pPr>
        <w:spacing w:line="360" w:lineRule="auto"/>
        <w:rPr>
          <w:sz w:val="24"/>
          <w:szCs w:val="24"/>
        </w:rPr>
      </w:pPr>
      <w:r>
        <w:rPr>
          <w:sz w:val="24"/>
          <w:szCs w:val="24"/>
        </w:rPr>
        <w:t xml:space="preserve">The article continues to discuss areas of concern, the limitations of the study and implications for policy and practice. The article recognises a gap in the literature; this is evident throughout the article as many of the articles and book referred to be over ten years </w:t>
      </w:r>
      <w:r w:rsidR="0008142E">
        <w:rPr>
          <w:sz w:val="24"/>
          <w:szCs w:val="24"/>
        </w:rPr>
        <w:t>old, suggesting a gap</w:t>
      </w:r>
      <w:r>
        <w:rPr>
          <w:sz w:val="24"/>
          <w:szCs w:val="24"/>
        </w:rPr>
        <w:t xml:space="preserve"> in the literature</w:t>
      </w:r>
      <w:r w:rsidR="0008142E">
        <w:rPr>
          <w:sz w:val="24"/>
          <w:szCs w:val="24"/>
        </w:rPr>
        <w:t>,</w:t>
      </w:r>
      <w:r>
        <w:rPr>
          <w:sz w:val="24"/>
          <w:szCs w:val="24"/>
        </w:rPr>
        <w:t xml:space="preserve"> </w:t>
      </w:r>
      <w:r w:rsidR="0008142E">
        <w:rPr>
          <w:sz w:val="24"/>
          <w:szCs w:val="24"/>
        </w:rPr>
        <w:t xml:space="preserve">there would seem to be </w:t>
      </w:r>
      <w:r>
        <w:rPr>
          <w:sz w:val="24"/>
          <w:szCs w:val="24"/>
        </w:rPr>
        <w:t xml:space="preserve">a need for </w:t>
      </w:r>
      <w:r w:rsidR="0008142E">
        <w:rPr>
          <w:sz w:val="24"/>
          <w:szCs w:val="24"/>
        </w:rPr>
        <w:t>a greater literature search by</w:t>
      </w:r>
      <w:r>
        <w:rPr>
          <w:sz w:val="24"/>
          <w:szCs w:val="24"/>
        </w:rPr>
        <w:t xml:space="preserve"> the authors. Finally, the article has a short summary sug</w:t>
      </w:r>
      <w:r w:rsidR="008F1A04">
        <w:rPr>
          <w:sz w:val="24"/>
          <w:szCs w:val="24"/>
        </w:rPr>
        <w:t>gesting continued research in this field and changes in policy and practice.</w:t>
      </w:r>
    </w:p>
    <w:p w:rsidR="008A5290" w:rsidRDefault="008A5290" w:rsidP="00F8516B">
      <w:pPr>
        <w:spacing w:line="360" w:lineRule="auto"/>
        <w:rPr>
          <w:sz w:val="24"/>
          <w:szCs w:val="24"/>
        </w:rPr>
      </w:pPr>
    </w:p>
    <w:p w:rsidR="008A5290" w:rsidRDefault="0008142E" w:rsidP="00F8516B">
      <w:pPr>
        <w:spacing w:line="360" w:lineRule="auto"/>
        <w:rPr>
          <w:sz w:val="24"/>
          <w:szCs w:val="24"/>
        </w:rPr>
      </w:pPr>
      <w:r>
        <w:rPr>
          <w:sz w:val="24"/>
          <w:szCs w:val="24"/>
        </w:rPr>
        <w:t>The article, although an</w:t>
      </w:r>
      <w:r w:rsidR="008A5290">
        <w:rPr>
          <w:sz w:val="24"/>
          <w:szCs w:val="24"/>
        </w:rPr>
        <w:t xml:space="preserve"> interesting read</w:t>
      </w:r>
      <w:r>
        <w:rPr>
          <w:sz w:val="24"/>
          <w:szCs w:val="24"/>
        </w:rPr>
        <w:t>, has raised</w:t>
      </w:r>
      <w:r w:rsidR="008A5290">
        <w:rPr>
          <w:sz w:val="24"/>
          <w:szCs w:val="24"/>
        </w:rPr>
        <w:t xml:space="preserve"> </w:t>
      </w:r>
      <w:r>
        <w:rPr>
          <w:sz w:val="24"/>
          <w:szCs w:val="24"/>
        </w:rPr>
        <w:t>more questions than answers, also due to the</w:t>
      </w:r>
      <w:r w:rsidR="008A5290">
        <w:rPr>
          <w:sz w:val="24"/>
          <w:szCs w:val="24"/>
        </w:rPr>
        <w:t xml:space="preserve"> articl</w:t>
      </w:r>
      <w:r>
        <w:rPr>
          <w:sz w:val="24"/>
          <w:szCs w:val="24"/>
        </w:rPr>
        <w:t>e being American</w:t>
      </w:r>
      <w:r w:rsidR="008A5290">
        <w:rPr>
          <w:sz w:val="24"/>
          <w:szCs w:val="24"/>
        </w:rPr>
        <w:t xml:space="preserve"> some of the information is difficult to </w:t>
      </w:r>
      <w:r>
        <w:rPr>
          <w:sz w:val="24"/>
          <w:szCs w:val="24"/>
        </w:rPr>
        <w:t>compare with the United Kingdom’s education setting,</w:t>
      </w:r>
      <w:r w:rsidR="008A5290">
        <w:rPr>
          <w:sz w:val="24"/>
          <w:szCs w:val="24"/>
        </w:rPr>
        <w:t xml:space="preserve"> especially Wales. It could be inferred form the article that America is many ye</w:t>
      </w:r>
      <w:r>
        <w:rPr>
          <w:sz w:val="24"/>
          <w:szCs w:val="24"/>
        </w:rPr>
        <w:t>ars ahead of the United Kingdom</w:t>
      </w:r>
      <w:r w:rsidR="008A5290">
        <w:rPr>
          <w:sz w:val="24"/>
          <w:szCs w:val="24"/>
        </w:rPr>
        <w:t xml:space="preserve"> in the introduction of Teaching Assistants within the Education System, this is inferred du</w:t>
      </w:r>
      <w:r>
        <w:rPr>
          <w:sz w:val="24"/>
          <w:szCs w:val="24"/>
        </w:rPr>
        <w:t>e to the qualifications of the T</w:t>
      </w:r>
      <w:r w:rsidR="008A5290">
        <w:rPr>
          <w:sz w:val="24"/>
          <w:szCs w:val="24"/>
        </w:rPr>
        <w:t xml:space="preserve">eaching Assistants in America, however, once again it must be reiterated that only thirteen participants formed this study and it is unclear how many Teaching Assistants were being referred to in their raw data. </w:t>
      </w:r>
      <w:r w:rsidR="00D27F5C">
        <w:rPr>
          <w:sz w:val="24"/>
          <w:szCs w:val="24"/>
        </w:rPr>
        <w:t>It is difficult to ascertain from the article any conclusive conclusion as the study wa</w:t>
      </w:r>
      <w:r>
        <w:rPr>
          <w:sz w:val="24"/>
          <w:szCs w:val="24"/>
        </w:rPr>
        <w:t>s small.</w:t>
      </w:r>
      <w:r w:rsidR="00F66857">
        <w:rPr>
          <w:sz w:val="24"/>
          <w:szCs w:val="24"/>
        </w:rPr>
        <w:t xml:space="preserve"> The authors state that there was an attempt to include more interviewees into the study, however, they were unsuccessful, </w:t>
      </w:r>
      <w:proofErr w:type="gramStart"/>
      <w:r w:rsidR="00F66857">
        <w:rPr>
          <w:sz w:val="24"/>
          <w:szCs w:val="24"/>
        </w:rPr>
        <w:t>as</w:t>
      </w:r>
      <w:proofErr w:type="gramEnd"/>
      <w:r w:rsidR="00F66857">
        <w:rPr>
          <w:sz w:val="24"/>
          <w:szCs w:val="24"/>
        </w:rPr>
        <w:t xml:space="preserve"> from the data and information given there was a low </w:t>
      </w:r>
      <w:r w:rsidR="00D27F5C">
        <w:rPr>
          <w:sz w:val="24"/>
          <w:szCs w:val="24"/>
        </w:rPr>
        <w:t>uptake</w:t>
      </w:r>
      <w:r w:rsidR="00F66857">
        <w:rPr>
          <w:sz w:val="24"/>
          <w:szCs w:val="24"/>
        </w:rPr>
        <w:t xml:space="preserve"> of participants</w:t>
      </w:r>
      <w:r w:rsidR="00D27F5C">
        <w:rPr>
          <w:sz w:val="24"/>
          <w:szCs w:val="24"/>
        </w:rPr>
        <w:t xml:space="preserve">. This article could be an encouragement for other to undertake research within this field, </w:t>
      </w:r>
      <w:r w:rsidR="00F66857">
        <w:rPr>
          <w:sz w:val="24"/>
          <w:szCs w:val="24"/>
        </w:rPr>
        <w:t xml:space="preserve">especially within the United Kingdom, </w:t>
      </w:r>
      <w:r w:rsidR="00D27F5C">
        <w:rPr>
          <w:sz w:val="24"/>
          <w:szCs w:val="24"/>
        </w:rPr>
        <w:t xml:space="preserve">however, the findings from this study are negligible and the study may have difficulty in persuading readers of the possible issues there may be in supervising Teaching Assistants. </w:t>
      </w:r>
    </w:p>
    <w:p w:rsidR="00FB749F" w:rsidRPr="00FB749F" w:rsidRDefault="00FB749F" w:rsidP="00FB749F">
      <w:pPr>
        <w:spacing w:line="360" w:lineRule="auto"/>
        <w:rPr>
          <w:sz w:val="24"/>
          <w:szCs w:val="24"/>
        </w:rPr>
      </w:pPr>
      <w:r w:rsidRPr="00FB749F">
        <w:rPr>
          <w:sz w:val="24"/>
          <w:szCs w:val="24"/>
        </w:rPr>
        <w:lastRenderedPageBreak/>
        <w:t xml:space="preserve">        Part 2</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Theories of mentoring and coaching, </w:t>
      </w:r>
      <w:proofErr w:type="gramStart"/>
      <w:r w:rsidRPr="00FB749F">
        <w:rPr>
          <w:sz w:val="24"/>
          <w:szCs w:val="24"/>
        </w:rPr>
        <w:t>and  practical</w:t>
      </w:r>
      <w:proofErr w:type="gramEnd"/>
      <w:r w:rsidRPr="00FB749F">
        <w:rPr>
          <w:sz w:val="24"/>
          <w:szCs w:val="24"/>
        </w:rPr>
        <w:t xml:space="preserve"> application within my area</w:t>
      </w:r>
    </w:p>
    <w:p w:rsidR="00FB749F" w:rsidRPr="00FB749F" w:rsidRDefault="00FB749F" w:rsidP="00FB749F">
      <w:pPr>
        <w:spacing w:line="360" w:lineRule="auto"/>
        <w:rPr>
          <w:sz w:val="24"/>
          <w:szCs w:val="24"/>
        </w:rPr>
      </w:pPr>
      <w:r w:rsidRPr="00FB749F">
        <w:rPr>
          <w:sz w:val="24"/>
          <w:szCs w:val="24"/>
        </w:rPr>
        <w:t xml:space="preserve">I work in a deprived urban school which has five members on the senior management team, eleven Teachers and nine teaching Assistants, until recently there appeared not to be any mentoring or coaching programmes being adopted within the school, and only when a student teacher would have a placement, would the term mentor be used. The New Deal for the Education Workforce (2015) in their coaching and mentoring guidance document, define the terms coaching and mentoring, they state ‘coaching provides guidance on skills and competencies, and mentoring provides advice and guidance on a range of professional issues,’ (pg. 3). For the purpose of this paper, I will refer to the term mentoring </w:t>
      </w:r>
      <w:proofErr w:type="gramStart"/>
      <w:r w:rsidRPr="00FB749F">
        <w:rPr>
          <w:sz w:val="24"/>
          <w:szCs w:val="24"/>
        </w:rPr>
        <w:t>throughout,</w:t>
      </w:r>
      <w:proofErr w:type="gramEnd"/>
      <w:r w:rsidRPr="00FB749F">
        <w:rPr>
          <w:sz w:val="24"/>
          <w:szCs w:val="24"/>
        </w:rPr>
        <w:t xml:space="preserve"> however, the above definition as provided by the Educational Workforce will be what I’m referring to throughout the paper. There is, however, much discussion on the differences and similarities between mentoring and coaching. Yoon et al (2016)depict the differences between coaching and mentoring using a ven diagram, showing how many attributes of both mentoring and coaching overlap, however, they show one difference,  they suggest that coaching is career and goal orientated, and mentoring is to attain personal and professional development, all the other attributes are the same, within the school setting both of these definitions overlap, as the goal within the school is to further careers and to attempt to reach goals, but also to attain personal and professional development. Keller (2008), suggests that coaching is an expansion of mentoring, and that the concept of coaching enables people to learn jobs that relate to the work, this reflects Yoon et al, they suggest that coaching is goal orientated, or learning on the job to reach a goal. Lyons &amp; Pastore (2016) suggest a mentor acts as a role model for the mentee and that the mentor has more knowledge than the mentee, they suggest  that the mentor helps the mentee avoid making mistakes, however,  a coach is used to help the functionality of a job. There is no clear definition between a coach and a mentor; with definitions overlapping and roles of </w:t>
      </w:r>
      <w:r w:rsidRPr="00FB749F">
        <w:rPr>
          <w:sz w:val="24"/>
          <w:szCs w:val="24"/>
        </w:rPr>
        <w:lastRenderedPageBreak/>
        <w:t>both overlapping, therefore as stated earlier the term mentor will be used throughout this paper.</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Within my setting a mentoring system has been in place for many years but only for student teachers whilst on their placement. The school has a policy for mentoring trainee teachers, there is no ratification date on the policy and when I enquired about the policy many members of the senior management team including the named person for mentoring students were unaware of the policy. The policy was eventually found when a data base search was done by the administrative staff. This may indicate that producing this policy was more of an administrative exercise rather than the policy being a working document. McGarr et al (2017) discuss the theory practice gap in teacher training, they suggest that many students appreciate the theories taught, however, whilst on placement find relating to them in a school setting difficult, this concept of the theory practice gap could be used when referring to school based policy. It could be suggested that the policy is acknowledged, however, in practiced is not referred to or used to benefit the student on placement. Mason (2016) suggests that for a policy to be used effectively within a school it is imperative for teachers to have knowledge of the theories and models underpinning the policy, allowing for greater progression of aims of the policy. With Mason’s suggestion in mind, I informally discussed this concept with the named mentor for trainee teacher, she implied that she had never attended a course or training on mentoring and had been given the role as she was deputy Head Teacher and the role came with the job. She concluded that throughout her career she had had many mentors and she based her practice on reflecting on how she had been mentored. Mason’s article suggests for a policy to be effective it is imperative for there to be an underpinning of theories and models, in this instance there is no such underpinning and referring back to McGarr there may also be a theory practice gap for this mentor, as the mentor does not use theory to underpin her practice when mentoring trainee teachers, also by being unaware of the policy, she is unable to put into practice the concepts and recommended practices in the policy. It has become evident, that although the policy may not be effective, there are steps being made within the setting to implement more mentoring throughout the school.</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Recently, within the last six months the school has implemented group mentoring for teachers, senior management has chosen to refer to this as ‘trust trios.’ Further investigation into this newly introduced concept within the school, led me to discover the concept was based on peer observations, however, the school uses this to ‘kill a few birds with one stone’ as a member of the senior management team told me. The member stated that teacher observations were meant to be done termly, however, it is felt that this is too much for staff, so trust trios were introduced to ensure that observations were being undertaken but in a more informal way. The school is also meant to show that members of staff are sharing good practice; I was informed that this also ‘ticks this box.’ There are set rules agreed  prior to starting, and the observations are to be kept confidential between the groups, only positive criticism can be given, however, there is a member of the senior management team on each group which could have a negative effect on the group as members of the senior management team also carry out the formal observations. Trust trios is a name given to the process by the school, however, the model followed by the school is of peer mentoring, Geeraerts et al (2015) explains that peer mentoring is different from the traditional mentoring model, the traditional model is based on a more experienced staff member imparts their knowledge to junior member of staff, whereas peer mentoring is about sharing knowledge and ideas regardless of a position or authority. Raicevic (2017) further elaborates on peer mentoring, suggesting that it is more than sharing knowledge, it also encompasses teachers emulating role models, this enables good practice to be shared, and they suggest that the model of peer learning is based on the social learning theory initially coined by Albert Bandura. Bandura (1977) suggests that to learn and to progress neither a person’s environment or the person influences what they become, rather both the environment and the person work within the environment to enhance learning, with this in mind this theory is influential within the model of peer mentoring, it enables all the participants to have control, yet also learn within the same environment and adapt practices to progress with learning, but without there being a hierarchical structure, thereby allowing all participants to be equal and all participants, whatever their experience to learn.</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lastRenderedPageBreak/>
        <w:t>The school also offers weekly sessions for Teaching Assistants, led by a higher level Teaching Assistant. This involves me delivering weekly sessions to other teaching Assistants to further professional development.  The New Deal for the Education Workforce document on coaching and mentoring (2015) sites the GROW model, which enables the mentor to reflect on the present situation. The GROW model is explained by the University of Warwick (2015)</w:t>
      </w:r>
      <w:proofErr w:type="gramStart"/>
      <w:r w:rsidRPr="00FB749F">
        <w:rPr>
          <w:sz w:val="24"/>
          <w:szCs w:val="24"/>
        </w:rPr>
        <w:t>,they</w:t>
      </w:r>
      <w:proofErr w:type="gramEnd"/>
      <w:r w:rsidRPr="00FB749F">
        <w:rPr>
          <w:sz w:val="24"/>
          <w:szCs w:val="24"/>
        </w:rPr>
        <w:t xml:space="preserve"> state that it is a common model used for coaching, however, I have previously discussed the overlap between mentoring and coaching. The acronym GROW, refers to, Goal, Reality, Options, Wrap-up. Within this context of this setting, Teaching Assistants were not using incidental welsh when communicating with the children, the Head Teacher and the welsh coordinator were keen for more welsh to be introduced within the school, therefore collaborated with myself in how to appropriately deliver session. This led to the next part of the GROW model which asks the question, what could we do? They decided that I would deliver sessions, however, planned what should be in the initial sessions. The next question the model asks is</w:t>
      </w:r>
      <w:proofErr w:type="gramStart"/>
      <w:r w:rsidRPr="00FB749F">
        <w:rPr>
          <w:sz w:val="24"/>
          <w:szCs w:val="24"/>
        </w:rPr>
        <w:t>,</w:t>
      </w:r>
      <w:proofErr w:type="gramEnd"/>
      <w:r w:rsidRPr="00FB749F">
        <w:rPr>
          <w:sz w:val="24"/>
          <w:szCs w:val="24"/>
        </w:rPr>
        <w:t xml:space="preserve"> what will you do? This allowed me to direct the Teaching Assistants to what was required of them; to use more incidental welsh when communicating with children. For me delivering the sessions the challenge is and was to make welsh accessible to everyone and ensure that the sessions are fun, to encourage confidence, within this I also encourage them to use the welsh with the children in a fun way, this encompasses both of the next questions on the model, what will they do and what is there to be achieved. The coaching and mentoring document (2015) suggests that this model helps the participant to find ways forward themselves, in this situation this is two folded, I am mentored by the Head Teacher and the welsh coordinator to deliver the sessions, whilst I am the mentor to other Teaching Assistants. </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Whilst the school appears to implementing mentoring opportunities, it is not reflected in a policy and it would appear that the mentoring opportunities have been implemented for other purposes, for example a possible Estyn inspection and whilst on reflection mentoring is happening, there has been no planning for mentoring, rather an add hock approach, where by it appears to be happening, furthermore, no training has been incorporated, it has been a coincidence that I am undertaking a module in mentoring an coaching and have recognised the model around mentoring that I am involved with in school. The Teaching </w:t>
      </w:r>
      <w:r w:rsidRPr="00FB749F">
        <w:rPr>
          <w:sz w:val="24"/>
          <w:szCs w:val="24"/>
        </w:rPr>
        <w:lastRenderedPageBreak/>
        <w:t>Staff who are undertaking the trust trios have had no training and are unaware of the process they are following. Martin (2010) suggests that peer support has a positive effect on workplace moral and learning, however, it could be argued that this may depend on how the mentoring is delivered and if all the participants are on board with the programme. Teaching Assistants mentoring Teaching Assistants could have a negative effect on the mentoring relationship, for example it could introduce a climate of resentment, it could be argued that careful implementation of the programme is imperative to its success, rather than the impromptu method adopted by the school. James et al (2014) acknowledge that peer mentoring may have negative effects on the mentor, suggesting that the individual who undertakes the role of mentor could be harassed by their peers for undertaking such a role, this reflects back to the point mad earlier, suggesting a climate of resentment could occur.</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The only policy within the school is on mentoring Trainee Teachers, however, whilst reflecting on the policy, it has become apparent that the policy is out of date, for example whilst asking for a school policy, none of the senior management team or other members of staff were aware of the policy and only when the administrative staff searched on the data base did the policy get found. The date of ratification by the governors is blank, suggesting that it has never been ratified. The policy states that one member of the school staff will attend appropriate training and will take up the role of mentor, on discussion with the member of staff that has been allocated this role; she stated that she has had no training for the role. The New Deal for the Education Workforce Coaching and mentoring document (2015) states that mentoring can be beneficial at any point in a professional career, whether the person is being mentored or the mentee, with this in mind it could be argued that it is neglectful of the school not to give training to the allocated mentors as this puts both the mentor and the mentee at a disadvantage. The school policy falls short of the schools current environment and the Welsh Government document for mentoring and coaching, it does not reflect the current structure of mentoring within the school.</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lastRenderedPageBreak/>
        <w:t>The school policy does not draw attention to relevant models of mentoring that exist that may be adapted within the school. Previously, I discussed peer mentoring, however, there are many more models that could enhance the mentoring experience within the school. For example one such model being the CEDAR model. The National College for Teaching &amp; Leadership (2018), explains the CEDAR model, the model begins by the participants drawing up a contract, agreeing objectives and outcomes, and it goes onto the exploring phase which involves questioning, active listening and purposeful conversations, which leads onto deepening the person’s perspective. The model then progresses to the action, which should be transferable from the previous steps, then to reviewing and possibly to the ending of the mentoring relationship. This, however, conflicts with Bandura as previously sited, as Bandura suggests that that for learning to occur all participants can learn within the same environment with no hierarchical structure, The CEDAR model, however, suggests a mentor and mentee relationship, where by the mentor has influence over the mentee and there is a transfer of accountability and the model moves on to discuss self-awareness in relation to the mentee, however, it could be argued that both the mentor and the mentee need to be self-aware to ensure a constructive, progressive relationship. The CEDAR model not only discusses self-awareness, but also relationship management, with the mentor being inspirational, a team worker and be able to collaborate with others. This model has an emphasis on the mentor having good interpersonal skills, and as stated also being self-aware. The model requires the mentor to be very mindful throughout the process. Gaddis (2012) recognises the disadvantages to pairing mentors and mentees randomly, he suggests that people with similar goals produce a better outcome, and when people are paired randomly without thought often does not produce a good outcome, this implies the importance of interpersonal relationships in the mentoring process. This within a school environment may be difficult as students doing their Teacher Training are given placements with a school and the school has a set mentor for the students. Within this circumstance it may be more important for the mentor to be mindful to the mentoring relationship, being aware of the possible disadvantages to the relationship. This is a difficult area to address and may be reliant on both the student voicing concerns to the University and the professionalism of the mentor within the school, any difficulties may be need to be resolved by a third member from the university or the school. Within the school, however, this can be easily addressed, as my historical critical incident will show.</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Historical Critical Incident</w:t>
      </w:r>
    </w:p>
    <w:p w:rsidR="00FB749F" w:rsidRPr="00FB749F" w:rsidRDefault="00FB749F" w:rsidP="00FB749F">
      <w:pPr>
        <w:spacing w:line="360" w:lineRule="auto"/>
        <w:rPr>
          <w:sz w:val="24"/>
          <w:szCs w:val="24"/>
        </w:rPr>
      </w:pPr>
      <w:r w:rsidRPr="00FB749F">
        <w:rPr>
          <w:sz w:val="24"/>
          <w:szCs w:val="24"/>
        </w:rPr>
        <w:t>Critical Incident</w:t>
      </w:r>
    </w:p>
    <w:p w:rsidR="00FB749F" w:rsidRPr="00FB749F" w:rsidRDefault="00FB749F" w:rsidP="00FB749F">
      <w:pPr>
        <w:spacing w:line="360" w:lineRule="auto"/>
        <w:rPr>
          <w:sz w:val="24"/>
          <w:szCs w:val="24"/>
        </w:rPr>
      </w:pPr>
      <w:r w:rsidRPr="00FB749F">
        <w:rPr>
          <w:sz w:val="24"/>
          <w:szCs w:val="24"/>
        </w:rPr>
        <w:t>This critical incident is based on a positive mentoring experience that occurred whilst being a student on the Foundation Degree. The university requested that all the students undertaking the course request a mentor from their school. The Head Teacher was very supportive of the request and sat with me to discuss the options of mentors, he suggested that the person be someone in the key stage that I work and that they had an overall view of school life, he also suggested that the person be a Teacher, that I already had a good working an personal relationship with. He gave me a choice of three teachers and asked me who I would prefer; he suggested that he ask the teacher that had been chosen as it would be easier for her to say no to him rather than me. The teacher subsequently said yes.</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We began the mentoring relationship with a meeting, the Teacher had not mentored a student on the Foundation Degree and was unaware of the content or requirements of the course, from the start of the mentoring relationship she made it clear that this was a partnership and that there was an equal responsibility for both of us to ensure the mentoring relationship worked. It was my responsibility to keep her informed of the course requirements and of any information she was required to submit or find, and to give her fair time to ensure she could do this. </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The mentoring relationship was for the three year period of the course. For the entire three years the relationship was fluid with excellent communication and support, I as the student ensured that if I required information from my mentor, I gave plenty of time as I was aware </w:t>
      </w:r>
      <w:r w:rsidRPr="00FB749F">
        <w:rPr>
          <w:sz w:val="24"/>
          <w:szCs w:val="24"/>
        </w:rPr>
        <w:lastRenderedPageBreak/>
        <w:t>of my mentors other commitments, however, she ensured she always gave me the information as soon as was possible. On one module of the Foundation Degree I needed to be observed and assessed by my mentor, delivering a lesson, I informed her immediately when I knew this needed to be done and she and I put the dates in our diaries, she discussed the choice of lesson I wished to deliver, guided me with questions, rather than instructions and left the choice of children chosen for the lesson to me. She did not influence my choice at all, I however, knew that I was in a safe place to make a mistake and that she would give constructive feedback on the lesson rather than criticism.  I delivered the lesson nervously, and my mentor gave me immediate verbal feedback and then written feedback the next day, however, she gave me more verbal feedback to ensure I understood the written information. This feedback has been and will continue to be valuable to me as I have continually used her recommendations in teaching groups since the experience.</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Throughout the three years my mentor had an open door policy, however was honest when she could not see me but ensured that she told me when to come back, from my part I was appreciative and considerate of her time, ensuring that if I knew she had deadlines like reports to write I tried not to bother her, even though she would check in with me informally. This relationship was so successful that it has continued and she continued to be my mentor throughout the top up year, even though I did not require a mentor and she continues to check in with me now and we have professional discussions around issues that come up on the MA programme.</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Reflection on my own journal entry whilst doing my Foundation Degree has enabled me to reflect on a positive critical incident that occurred whilst being mentored by a member of the senior management team. A critical incident is discussed by Harrison &amp; Lee (2011), they suggest that it is ‘an observable experience or activity that presents itself as important or significant personal episode,’ (Pg. 200). They suggest that a critical incident may be a negative or positive experience; however, it allows the individual to reflect on a situation and become a reflective practitioner. Savaya &amp; Gardner (2012) extends the definition suggested by Harrison &amp; Lee suggesting a three stage process when reflecting on a critical </w:t>
      </w:r>
      <w:r w:rsidRPr="00FB749F">
        <w:rPr>
          <w:sz w:val="24"/>
          <w:szCs w:val="24"/>
        </w:rPr>
        <w:lastRenderedPageBreak/>
        <w:t>incident; firstly they suggest that the assumptions of the action should be firstly looked at, then to question the assumptions before developing different behaviours. With this model in mind, even my critical incident, which was a positive one can be reflected upon and possible behaviours be changed, for example it has made me review the way I may mentor people in the future, for example I give less direction when mentoring other Teaching Assistants, rather I guide them to ask the questions and then ask questions which may help them answer their own questions, this enables them to develop confidence and reflective questions in the future. Initially during my critical incident the first introduction made clear the expectations of the relationship, which on reflection dispelled any assumptions, the process ensured there was a clear understanding of what I should expect from my mentor. Reflection, however, as stated by Kayapinar (2016) is a difficult concept to explain and disseminate among teachers, he continues suggesting that reflective practice can only occur if the teacher has a professional understanding of the concept. To enable an understanding of the concept to happen, a model may create a greater depth of knowledge, Kolb (1984) offers a model based on reflection, the model is in four parts the, as detailed below:</w:t>
      </w:r>
    </w:p>
    <w:p w:rsidR="00FB749F" w:rsidRPr="00FB749F" w:rsidRDefault="00FB749F" w:rsidP="00FB749F">
      <w:pPr>
        <w:spacing w:line="360" w:lineRule="auto"/>
        <w:rPr>
          <w:sz w:val="24"/>
          <w:szCs w:val="24"/>
        </w:rPr>
      </w:pPr>
      <w:r w:rsidRPr="00FB749F">
        <w:rPr>
          <w:sz w:val="24"/>
          <w:szCs w:val="24"/>
        </w:rPr>
        <w:t>1.</w:t>
      </w:r>
      <w:r w:rsidRPr="00FB749F">
        <w:rPr>
          <w:sz w:val="24"/>
          <w:szCs w:val="24"/>
        </w:rPr>
        <w:tab/>
        <w:t>Concrete Experience – this is a new experience or a reinterpretation of an existing experience.</w:t>
      </w:r>
    </w:p>
    <w:p w:rsidR="00FB749F" w:rsidRPr="00FB749F" w:rsidRDefault="00FB749F" w:rsidP="00FB749F">
      <w:pPr>
        <w:spacing w:line="360" w:lineRule="auto"/>
        <w:rPr>
          <w:sz w:val="24"/>
          <w:szCs w:val="24"/>
        </w:rPr>
      </w:pPr>
      <w:r w:rsidRPr="00FB749F">
        <w:rPr>
          <w:sz w:val="24"/>
          <w:szCs w:val="24"/>
        </w:rPr>
        <w:t>2.</w:t>
      </w:r>
      <w:r w:rsidRPr="00FB749F">
        <w:rPr>
          <w:sz w:val="24"/>
          <w:szCs w:val="24"/>
        </w:rPr>
        <w:tab/>
        <w:t>Reflection of the new experience – is there a difference between understanding and experience.</w:t>
      </w:r>
    </w:p>
    <w:p w:rsidR="00FB749F" w:rsidRPr="00FB749F" w:rsidRDefault="00FB749F" w:rsidP="00FB749F">
      <w:pPr>
        <w:spacing w:line="360" w:lineRule="auto"/>
        <w:rPr>
          <w:sz w:val="24"/>
          <w:szCs w:val="24"/>
        </w:rPr>
      </w:pPr>
      <w:r w:rsidRPr="00FB749F">
        <w:rPr>
          <w:sz w:val="24"/>
          <w:szCs w:val="24"/>
        </w:rPr>
        <w:t>3.</w:t>
      </w:r>
      <w:r w:rsidRPr="00FB749F">
        <w:rPr>
          <w:sz w:val="24"/>
          <w:szCs w:val="24"/>
        </w:rPr>
        <w:tab/>
        <w:t>Abstract Conceptualization – reflection may introduce a new idea, or a change in current behaviour.</w:t>
      </w:r>
    </w:p>
    <w:p w:rsidR="00FB749F" w:rsidRPr="00FB749F" w:rsidRDefault="00FB749F" w:rsidP="00FB749F">
      <w:pPr>
        <w:spacing w:line="360" w:lineRule="auto"/>
        <w:rPr>
          <w:sz w:val="24"/>
          <w:szCs w:val="24"/>
        </w:rPr>
      </w:pPr>
      <w:r w:rsidRPr="00FB749F">
        <w:rPr>
          <w:sz w:val="24"/>
          <w:szCs w:val="24"/>
        </w:rPr>
        <w:t>4.</w:t>
      </w:r>
      <w:r w:rsidRPr="00FB749F">
        <w:rPr>
          <w:sz w:val="24"/>
          <w:szCs w:val="24"/>
        </w:rPr>
        <w:tab/>
        <w:t>Active Experimentation – a person applies the reflection to the world around them and reflects on the results.</w:t>
      </w:r>
    </w:p>
    <w:p w:rsidR="00FB749F" w:rsidRPr="00FB749F" w:rsidRDefault="00FB749F" w:rsidP="00FB749F">
      <w:pPr>
        <w:spacing w:line="360" w:lineRule="auto"/>
        <w:rPr>
          <w:sz w:val="24"/>
          <w:szCs w:val="24"/>
        </w:rPr>
      </w:pPr>
      <w:r w:rsidRPr="00FB749F">
        <w:rPr>
          <w:sz w:val="24"/>
          <w:szCs w:val="24"/>
        </w:rPr>
        <w:t>Kolb’s model has a greater depth to Savaya &amp; Gardner, as it enables both the mentee and mentor to be reflective individually and as a partnership, Kolb’s model allows for reflection on the change, allowing for continuous learning and progress.</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lastRenderedPageBreak/>
        <w:t>On reflection of my experience, it was a very organic experience, which ended very positively, and continues to this day, however, it may have been improved with a more prescribed model being added as an addition, and in conversation with my mentor, she has stated that if she were to mentor another Teaching Assistant doing the Foundation Degree, she would ensure that times were allocated for meetings and more reflection and feedback added.</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     Feedback and Ethical considerations</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Sadler (1989) suggests that feedback is an element of formative assessment, and demonstrates ‘how successful something has been or has been done,’ (pg. 2). This within my setting is done depending on how the mentoring relationship is done, for example, whilst being mentored I had informal feedback from my mentor as the course only required one documented observation, this was done formally with a required assessment sheet, my mentor also gave verbal feedback. Student Teachers require documented feedback, that is directed from the university and there are guidelines in place for their feedback but there feedback is also part of their assessment. The trust trios within the school, each fill in a pre-prepared sheet after each observed session, then come together to share their opinions, however, there are guidelines to what can be put on the sheet, with the directive being the feedback has to be positive, this poses the question how effective is feedback if its only positive? Marshall (2015</w:t>
      </w:r>
      <w:proofErr w:type="gramStart"/>
      <w:r w:rsidRPr="00FB749F">
        <w:rPr>
          <w:sz w:val="24"/>
          <w:szCs w:val="24"/>
        </w:rPr>
        <w:t>),</w:t>
      </w:r>
      <w:proofErr w:type="gramEnd"/>
      <w:r w:rsidRPr="00FB749F">
        <w:rPr>
          <w:sz w:val="24"/>
          <w:szCs w:val="24"/>
        </w:rPr>
        <w:t xml:space="preserve"> discusses feedback and recognises the importance of feedback after a lesson observation, however, states the feedback must be ‘specific and factual,’ (pg. 2). Marshall suggests that the conversation should begin positively, and then continue with facts ending in constructive feedback, enabling the person receiving the feedback to move forward. On enquiry with a member of the senior management, she stated that they only provide positive feedback to ensure that there is no bad feeling introduced into the groups, however, she stated that each member of staff is encouraged to reflect personally on the lesson they have delivered, but as discussed by Kayapinar (2016) previously this is </w:t>
      </w:r>
      <w:r w:rsidRPr="00FB749F">
        <w:rPr>
          <w:sz w:val="24"/>
          <w:szCs w:val="24"/>
        </w:rPr>
        <w:lastRenderedPageBreak/>
        <w:t>dependent on members of staff having a professional understanding of the concept. Marshalls’ suggestion that constructive feedback should be given, however, Iqbal (2014), in his qualitative study suggests that constructive feedback is of little use, he concludes that problems may be ignored or only positive things are focused on, he suggests that to move forward, the outcome of the observation should be collated and themes applied so that a learning conversation can be ignited. This within my setting may be a more productive way forward to enable growth within the setting and to ensure the that the peer observations are valuable, however, on discussion with staff, they are more comfortable in their feedback if it is only positive, a recommendation that may help solve this problem, may be to give feedback anonymously to senior management, enabling them to observe themes that may appear and give a whole staff target based on these feedbacks.</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The feedback internally directed from senior management can be organic and fluid changing and progressing with time, however, student teachers, not only have feedback but are also being assessed. Previously I discussed feedback and how constructive feedback may not progress learning as problems may be ignored, therefore Student Teachers are also assessed whilst on placement. O’Mahony (2017), discusses assessment, he suggests that some disciplines understand assessment as a measurement or a grade, whilst others see assessment as a feature of progressing learning. This paper when discussing assessment, will define assessment as measurement or grade as within this context of Student Teachers they have to be assessed and gain a measurement to progress. Chetwynd &amp; Dobbyn (2011) that assessment and feedback must be applied for students, that assessment enables learners to self-regulation; however, feedback on the assessment enables the learner to progress with their learning. Within this setting I have observed that after a student has been assessed they always have feedback from their mentor, however, the feedback is only on the outcomes directed by the university, the mentoring teacher does not elaborate further. It has become clear that if assessment is being undertaken the student must also have feedback to complement the assessment. The school policy reflects this and suggests that if a student is observed, feedback should be given within two days, both verbally and in writing, however, the policy also suggests that regular feedback should be given and be recorded in their formative assessment report.</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 xml:space="preserve">To ensure the mentor, mentee relationship is a productive one, ethical issue have to be observed and considered to avoid possible complications, however, even when observing ethical considerations, problems may occur. Johnson et al (2018) firstly discusses how many mentor mentee relationships begin, they suggest in many cases the relationship begins as an informal process and this can lead to positive mentoring experiences, however, Johnson et al continues suggesting that the mentor may forget the role they have and a ‘power discrepancy’ (pg.16) may begin to develop, by either the mentor or mentee. They continue, suggesting that with good interpersonal relationships may </w:t>
      </w:r>
      <w:proofErr w:type="gramStart"/>
      <w:r w:rsidRPr="00FB749F">
        <w:rPr>
          <w:sz w:val="24"/>
          <w:szCs w:val="24"/>
        </w:rPr>
        <w:t>come</w:t>
      </w:r>
      <w:proofErr w:type="gramEnd"/>
      <w:r w:rsidRPr="00FB749F">
        <w:rPr>
          <w:sz w:val="24"/>
          <w:szCs w:val="24"/>
        </w:rPr>
        <w:t xml:space="preserve"> an obligation by the mentor not to let the mentee down, not allowing honesty and truthfulness from the mentor. On reflection of my mentoring experience I can conclude that even though the relationship was a positive one, this may be due to having had clear guidelines being detailed on the initial meeting, Johnson et al do recommend this, however, with a natural relationship of the mentor being a Teacher and the mentee being a Teaching Assistant the power struggle may not have been evident as a professional relationship with boundaries was already in place. This may be the same for relationships between Student Teachers and Teachers. There, however, may be ethical issues within the trust trios or peer mentoring within the setting. The trust trios were set up by members of the senior management, and as previously explained, there is a member of the senior management in each trio, this could affect the feedback offered by other members of the group, they may feel that rather than being in a peer mentoring relationship they are being observed, and as previously discussed, this was a consideration by the senior management team when setting up the trios, this may not be an ethical way to implement observations, however, the senior management are required to observe teachers practice and this may be the better of either choice, Estyn (2014) state that  a school should ‘establish a shared culture of improvement, self-evaluation and professional learning,’ (pg. 1), with these recommendations, peer mentoring or trust trios are a positive addition. The document continues, suggesting good practice on classroom observations, but does not however give direction to this more informal method of mentoring, the setting in which I work attempts to make feedback consistent by giving   identical forms for teacher to fill in and guidance on peer observation, however, ethically with having members of the senior management on the trios the question must be posed </w:t>
      </w:r>
      <w:r w:rsidRPr="00FB749F">
        <w:rPr>
          <w:sz w:val="24"/>
          <w:szCs w:val="24"/>
        </w:rPr>
        <w:lastRenderedPageBreak/>
        <w:t xml:space="preserve">whether these are mentoring observations or observations, and how confidential these are. It could be inferred following conversations with members of the senior management that this is a ‘back door’ way of observing teachers teaching, rather than mentoring, if this is the case, this method may be ethically unsound. </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r w:rsidRPr="00FB749F">
        <w:rPr>
          <w:sz w:val="24"/>
          <w:szCs w:val="24"/>
        </w:rPr>
        <w:t>Conclusion</w:t>
      </w:r>
    </w:p>
    <w:p w:rsidR="00FB749F" w:rsidRPr="00FB749F" w:rsidRDefault="00FB749F" w:rsidP="00FB749F">
      <w:pPr>
        <w:spacing w:line="360" w:lineRule="auto"/>
        <w:rPr>
          <w:sz w:val="24"/>
          <w:szCs w:val="24"/>
        </w:rPr>
      </w:pPr>
      <w:r w:rsidRPr="00FB749F">
        <w:rPr>
          <w:sz w:val="24"/>
          <w:szCs w:val="24"/>
        </w:rPr>
        <w:t>It is difficult to distinguish between mentoring and coaching with many overlapping similarities and therefor this paper has referred to mentoring throughout with a definition and explanation given initially, however, it is recognised that both mentoring and coaching intertwine in their approach. Reflecting on the school setting, initially I felt there was limited mentoring within the school, however, on reflection there are for Teaching Staff, with the mentoring being developed. For support staff, however, there is very little formal mentoring, with only recently the school implementing sessions for support staff led by support staff, this is an area that could grow and become valuable if led and directed effectively. The school policy, which is only directed at trainee teachers is out of date, this was clear from members of the senior management being unaware of the policy and the policy not being ratified by the governing body. Although this setting has made steps to implement mentoring within the school to both Teaching and Non-Teaching staff, it appears to have been done following the model of another school, and implemented with no prior information or training to staff, therefore the school needs to implement a training session to upskill and inform all members of staff on mentoring, and reflective practices. The policy needs to be upgraded and reviewed to bring it up to date to current guidelines outlined by the New Deal for Education. The school has made significant steps forward but it is acknowledge that there is more work to be done on this area within the school.</w:t>
      </w: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FB749F" w:rsidRPr="00FB749F" w:rsidRDefault="00FB749F" w:rsidP="00FB749F">
      <w:pPr>
        <w:spacing w:line="360" w:lineRule="auto"/>
        <w:rPr>
          <w:sz w:val="24"/>
          <w:szCs w:val="24"/>
        </w:rPr>
      </w:pPr>
    </w:p>
    <w:p w:rsidR="008F1A04" w:rsidRDefault="008F1A04" w:rsidP="008818EB">
      <w:pPr>
        <w:spacing w:line="360" w:lineRule="auto"/>
        <w:rPr>
          <w:sz w:val="24"/>
          <w:szCs w:val="24"/>
        </w:rPr>
      </w:pPr>
      <w:bookmarkStart w:id="0" w:name="_GoBack"/>
      <w:bookmarkEnd w:id="0"/>
    </w:p>
    <w:p w:rsidR="00EF3B75" w:rsidRDefault="00EF3B75" w:rsidP="00F8516B">
      <w:pPr>
        <w:spacing w:line="360" w:lineRule="auto"/>
        <w:rPr>
          <w:color w:val="FF0000"/>
          <w:sz w:val="24"/>
          <w:szCs w:val="24"/>
        </w:rPr>
      </w:pPr>
    </w:p>
    <w:p w:rsidR="00EF3B75" w:rsidRDefault="00EF3B75" w:rsidP="00F8516B">
      <w:pPr>
        <w:spacing w:line="360" w:lineRule="auto"/>
        <w:rPr>
          <w:color w:val="FF0000"/>
          <w:sz w:val="24"/>
          <w:szCs w:val="24"/>
        </w:rPr>
      </w:pPr>
    </w:p>
    <w:p w:rsidR="00EF3B75" w:rsidRDefault="00EF3B75" w:rsidP="00F8516B">
      <w:pPr>
        <w:spacing w:line="360" w:lineRule="auto"/>
        <w:rPr>
          <w:color w:val="FF0000"/>
          <w:sz w:val="24"/>
          <w:szCs w:val="24"/>
        </w:rPr>
      </w:pPr>
    </w:p>
    <w:p w:rsidR="00EF3B75" w:rsidRDefault="00EF3B75" w:rsidP="00F8516B">
      <w:pPr>
        <w:spacing w:line="360" w:lineRule="auto"/>
        <w:rPr>
          <w:color w:val="FF0000"/>
          <w:sz w:val="24"/>
          <w:szCs w:val="24"/>
        </w:rPr>
      </w:pPr>
    </w:p>
    <w:p w:rsidR="00EF3B75" w:rsidRPr="00EF3B75" w:rsidRDefault="00EF3B75" w:rsidP="00F8516B">
      <w:pPr>
        <w:spacing w:line="360" w:lineRule="auto"/>
        <w:rPr>
          <w:color w:val="FF0000"/>
          <w:sz w:val="24"/>
          <w:szCs w:val="24"/>
        </w:rPr>
      </w:pPr>
    </w:p>
    <w:sectPr w:rsidR="00EF3B75" w:rsidRPr="00EF3B7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5BAC" w:rsidRDefault="00005BAC" w:rsidP="00375F25">
      <w:pPr>
        <w:spacing w:after="0" w:line="240" w:lineRule="auto"/>
      </w:pPr>
      <w:r>
        <w:separator/>
      </w:r>
    </w:p>
  </w:endnote>
  <w:endnote w:type="continuationSeparator" w:id="0">
    <w:p w:rsidR="00005BAC" w:rsidRDefault="00005BAC" w:rsidP="00375F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75F25" w:rsidRDefault="00375F25">
    <w:pPr>
      <w:pStyle w:val="Footer"/>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t>1601983</w:t>
    </w: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eastAsiaTheme="minorEastAsia"/>
      </w:rPr>
      <w:fldChar w:fldCharType="begin"/>
    </w:r>
    <w:r>
      <w:instrText xml:space="preserve"> PAGE   \* MERGEFORMAT </w:instrText>
    </w:r>
    <w:r>
      <w:rPr>
        <w:rFonts w:eastAsiaTheme="minorEastAsia"/>
      </w:rPr>
      <w:fldChar w:fldCharType="separate"/>
    </w:r>
    <w:r w:rsidR="00FB749F" w:rsidRPr="00FB749F">
      <w:rPr>
        <w:rFonts w:asciiTheme="majorHAnsi" w:eastAsiaTheme="majorEastAsia" w:hAnsiTheme="majorHAnsi" w:cstheme="majorBidi"/>
        <w:noProof/>
      </w:rPr>
      <w:t>20</w:t>
    </w:r>
    <w:r>
      <w:rPr>
        <w:rFonts w:asciiTheme="majorHAnsi" w:eastAsiaTheme="majorEastAsia" w:hAnsiTheme="majorHAnsi" w:cstheme="majorBidi"/>
        <w:noProof/>
      </w:rPr>
      <w:fldChar w:fldCharType="end"/>
    </w:r>
  </w:p>
  <w:p w:rsidR="00375F25" w:rsidRDefault="00375F2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5BAC" w:rsidRDefault="00005BAC" w:rsidP="00375F25">
      <w:pPr>
        <w:spacing w:after="0" w:line="240" w:lineRule="auto"/>
      </w:pPr>
      <w:r>
        <w:separator/>
      </w:r>
    </w:p>
  </w:footnote>
  <w:footnote w:type="continuationSeparator" w:id="0">
    <w:p w:rsidR="00005BAC" w:rsidRDefault="00005BAC" w:rsidP="00375F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8516B"/>
    <w:rsid w:val="00005BAC"/>
    <w:rsid w:val="00035EAA"/>
    <w:rsid w:val="00047368"/>
    <w:rsid w:val="000711FA"/>
    <w:rsid w:val="0008142E"/>
    <w:rsid w:val="000A6835"/>
    <w:rsid w:val="000D695E"/>
    <w:rsid w:val="000E48A6"/>
    <w:rsid w:val="000E7CB8"/>
    <w:rsid w:val="001076B2"/>
    <w:rsid w:val="00161F3A"/>
    <w:rsid w:val="00196F99"/>
    <w:rsid w:val="001B7683"/>
    <w:rsid w:val="00214C6C"/>
    <w:rsid w:val="002210D7"/>
    <w:rsid w:val="002A123B"/>
    <w:rsid w:val="002B35CD"/>
    <w:rsid w:val="00343535"/>
    <w:rsid w:val="0034353A"/>
    <w:rsid w:val="00346F58"/>
    <w:rsid w:val="00374F6C"/>
    <w:rsid w:val="00375F25"/>
    <w:rsid w:val="003873F7"/>
    <w:rsid w:val="003E0815"/>
    <w:rsid w:val="003F10B9"/>
    <w:rsid w:val="00515698"/>
    <w:rsid w:val="005C6155"/>
    <w:rsid w:val="0060125D"/>
    <w:rsid w:val="00603133"/>
    <w:rsid w:val="00687048"/>
    <w:rsid w:val="006B61B9"/>
    <w:rsid w:val="006C3253"/>
    <w:rsid w:val="006C716F"/>
    <w:rsid w:val="007652D1"/>
    <w:rsid w:val="007E0979"/>
    <w:rsid w:val="00813C0C"/>
    <w:rsid w:val="00816BF3"/>
    <w:rsid w:val="00840A83"/>
    <w:rsid w:val="00875204"/>
    <w:rsid w:val="008818EB"/>
    <w:rsid w:val="008922DB"/>
    <w:rsid w:val="008A5290"/>
    <w:rsid w:val="008A6875"/>
    <w:rsid w:val="008F1A04"/>
    <w:rsid w:val="008F5374"/>
    <w:rsid w:val="00920824"/>
    <w:rsid w:val="00922BDA"/>
    <w:rsid w:val="009830F4"/>
    <w:rsid w:val="00992B4F"/>
    <w:rsid w:val="009C2F39"/>
    <w:rsid w:val="009D4681"/>
    <w:rsid w:val="00A403FF"/>
    <w:rsid w:val="00A93528"/>
    <w:rsid w:val="00AA657A"/>
    <w:rsid w:val="00AB5A40"/>
    <w:rsid w:val="00AB72EF"/>
    <w:rsid w:val="00AD6C6B"/>
    <w:rsid w:val="00B20509"/>
    <w:rsid w:val="00B20871"/>
    <w:rsid w:val="00B272A9"/>
    <w:rsid w:val="00B3232B"/>
    <w:rsid w:val="00B32FD3"/>
    <w:rsid w:val="00B348BD"/>
    <w:rsid w:val="00B53E41"/>
    <w:rsid w:val="00B728EA"/>
    <w:rsid w:val="00B76072"/>
    <w:rsid w:val="00B8685A"/>
    <w:rsid w:val="00B94BCF"/>
    <w:rsid w:val="00B97D98"/>
    <w:rsid w:val="00C30C21"/>
    <w:rsid w:val="00C45445"/>
    <w:rsid w:val="00C813DD"/>
    <w:rsid w:val="00CD1AA8"/>
    <w:rsid w:val="00CE0B88"/>
    <w:rsid w:val="00D0339E"/>
    <w:rsid w:val="00D167E0"/>
    <w:rsid w:val="00D26AF6"/>
    <w:rsid w:val="00D27F5C"/>
    <w:rsid w:val="00D51634"/>
    <w:rsid w:val="00D6228C"/>
    <w:rsid w:val="00DB6711"/>
    <w:rsid w:val="00E1759E"/>
    <w:rsid w:val="00EB2042"/>
    <w:rsid w:val="00ED3083"/>
    <w:rsid w:val="00EF3B75"/>
    <w:rsid w:val="00F025DE"/>
    <w:rsid w:val="00F2506C"/>
    <w:rsid w:val="00F617BD"/>
    <w:rsid w:val="00F66857"/>
    <w:rsid w:val="00F8516B"/>
    <w:rsid w:val="00F9724E"/>
    <w:rsid w:val="00FA1759"/>
    <w:rsid w:val="00FB749F"/>
    <w:rsid w:val="00FB78D2"/>
    <w:rsid w:val="00FC01BD"/>
    <w:rsid w:val="00FD6F2F"/>
    <w:rsid w:val="00FE31D3"/>
    <w:rsid w:val="00FF2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18E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1F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F3A"/>
    <w:rPr>
      <w:rFonts w:ascii="Tahoma" w:hAnsi="Tahoma" w:cs="Tahoma"/>
      <w:sz w:val="16"/>
      <w:szCs w:val="16"/>
    </w:rPr>
  </w:style>
  <w:style w:type="paragraph" w:styleId="Bibliography">
    <w:name w:val="Bibliography"/>
    <w:basedOn w:val="Normal"/>
    <w:next w:val="Normal"/>
    <w:uiPriority w:val="37"/>
    <w:unhideWhenUsed/>
    <w:rsid w:val="00515698"/>
  </w:style>
  <w:style w:type="character" w:customStyle="1" w:styleId="Heading1Char">
    <w:name w:val="Heading 1 Char"/>
    <w:basedOn w:val="DefaultParagraphFont"/>
    <w:link w:val="Heading1"/>
    <w:uiPriority w:val="9"/>
    <w:rsid w:val="008818EB"/>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375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F25"/>
  </w:style>
  <w:style w:type="paragraph" w:styleId="Footer">
    <w:name w:val="footer"/>
    <w:basedOn w:val="Normal"/>
    <w:link w:val="FooterChar"/>
    <w:uiPriority w:val="99"/>
    <w:unhideWhenUsed/>
    <w:rsid w:val="00375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F2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818EB"/>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61F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F3A"/>
    <w:rPr>
      <w:rFonts w:ascii="Tahoma" w:hAnsi="Tahoma" w:cs="Tahoma"/>
      <w:sz w:val="16"/>
      <w:szCs w:val="16"/>
    </w:rPr>
  </w:style>
  <w:style w:type="paragraph" w:styleId="Bibliography">
    <w:name w:val="Bibliography"/>
    <w:basedOn w:val="Normal"/>
    <w:next w:val="Normal"/>
    <w:uiPriority w:val="37"/>
    <w:unhideWhenUsed/>
    <w:rsid w:val="00515698"/>
  </w:style>
  <w:style w:type="character" w:customStyle="1" w:styleId="Heading1Char">
    <w:name w:val="Heading 1 Char"/>
    <w:basedOn w:val="DefaultParagraphFont"/>
    <w:link w:val="Heading1"/>
    <w:uiPriority w:val="9"/>
    <w:rsid w:val="008818EB"/>
    <w:rPr>
      <w:rFonts w:asciiTheme="majorHAnsi" w:eastAsiaTheme="majorEastAsia" w:hAnsiTheme="majorHAnsi" w:cstheme="majorBidi"/>
      <w:b/>
      <w:bCs/>
      <w:color w:val="365F91" w:themeColor="accent1" w:themeShade="BF"/>
      <w:sz w:val="28"/>
      <w:szCs w:val="28"/>
      <w:lang w:val="en-US" w:eastAsia="ja-JP"/>
    </w:rPr>
  </w:style>
  <w:style w:type="paragraph" w:styleId="Header">
    <w:name w:val="header"/>
    <w:basedOn w:val="Normal"/>
    <w:link w:val="HeaderChar"/>
    <w:uiPriority w:val="99"/>
    <w:unhideWhenUsed/>
    <w:rsid w:val="00375F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F25"/>
  </w:style>
  <w:style w:type="paragraph" w:styleId="Footer">
    <w:name w:val="footer"/>
    <w:basedOn w:val="Normal"/>
    <w:link w:val="FooterChar"/>
    <w:uiPriority w:val="99"/>
    <w:unhideWhenUsed/>
    <w:rsid w:val="00375F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F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Wel164</b:Tag>
    <b:SourceType>InternetSite</b:SourceType>
    <b:Guid>{E7EC3D51-4956-4CCA-96BE-76D2D2FAADAD}</b:Guid>
    <b:Author>
      <b:Author>
        <b:NameList>
          <b:Person>
            <b:Last>Government</b:Last>
            <b:First>Welsh</b:First>
          </b:Person>
        </b:NameList>
      </b:Author>
    </b:Author>
    <b:Title>School support staff</b:Title>
    <b:InternetSiteTitle>Learn Wales</b:InternetSiteTitle>
    <b:Year>2016</b:Year>
    <b:Month>April</b:Month>
    <b:Day>15</b:Day>
    <b:YearAccessed>2018</b:YearAccessed>
    <b:MonthAccessed>August</b:MonthAccessed>
    <b:DayAccessed>18</b:DayAccessed>
    <b:URL>http://learning.gov.wales/resources/collections/school-support-staff?lang=en</b:URL>
    <b:RefOrder>1</b:RefOrder>
  </b:Source>
  <b:Source>
    <b:Tag>Tha10</b:Tag>
    <b:SourceType>JournalArticle</b:SourceType>
    <b:Guid>{A1FC1878-8088-4765-9BD6-03DBA36E6517}</b:Guid>
    <b:Title> tutorial on pilot studies: the what, why and how</b:Title>
    <b:Year>2010</b:Year>
    <b:JournalName>BMC Medical Research Methodology</b:JournalName>
    <b:Author>
      <b:Author>
        <b:NameList>
          <b:Person>
            <b:Last>Thabane</b:Last>
            <b:First>Lehana</b:First>
          </b:Person>
          <b:Person>
            <b:Last>Ma</b:Last>
            <b:First>Jinhui,</b:First>
            <b:Middle>Ma</b:Middle>
          </b:Person>
          <b:Person>
            <b:Last>Chu</b:Last>
            <b:First>Rong</b:First>
          </b:Person>
          <b:Person>
            <b:Last>Cheng</b:Last>
            <b:First>Ji</b:First>
          </b:Person>
          <b:Person>
            <b:Last>Ismaila</b:Last>
            <b:First>Afisi</b:First>
          </b:Person>
          <b:Person>
            <b:Last>Rios</b:Last>
            <b:First>P</b:First>
            <b:Middle>Lorena</b:Middle>
          </b:Person>
          <b:Person>
            <b:Last>Robson</b:Last>
            <b:First>Reid</b:First>
          </b:Person>
          <b:Person>
            <b:Last>Thabane</b:Last>
            <b:First>Marroon</b:First>
          </b:Person>
          <b:Person>
            <b:Last>Lora</b:Last>
            <b:First>Giangregorio</b:First>
          </b:Person>
          <b:Person>
            <b:Last>Goldsmith</b:Last>
            <b:First>Charles</b:First>
            <b:Middle>H</b:Middle>
          </b:Person>
        </b:NameList>
      </b:Author>
    </b:Author>
    <b:Volume>10</b:Volume>
    <b:Issue>1</b:Issue>
    <b:RefOrder>2</b:RefOrder>
  </b:Source>
  <b:Source>
    <b:Tag>Uni16</b:Tag>
    <b:SourceType>InternetSite</b:SourceType>
    <b:Guid>{B199D48D-5DD4-4502-9AE2-7AB39362BE13}</b:Guid>
    <b:Author>
      <b:Author>
        <b:NameList>
          <b:Person>
            <b:Last>Leicester</b:Last>
            <b:First>University</b:First>
            <b:Middle>Of</b:Middle>
          </b:Person>
        </b:NameList>
      </b:Author>
    </b:Author>
    <b:Title>How to Interview</b:Title>
    <b:InternetSiteTitle>University Of Leicester</b:InternetSiteTitle>
    <b:Year>2016</b:Year>
    <b:Month>March</b:Month>
    <b:Day>18</b:Day>
    <b:YearAccessed>2018</b:YearAccessed>
    <b:MonthAccessed>August</b:MonthAccessed>
    <b:DayAccessed>19</b:DayAccessed>
    <b:URL>https://www.le.ac.uk/emoha/howtointerview/issues.html</b:URL>
    <b:RefOrder>3</b:RefOrder>
  </b:Source>
  <b:Source>
    <b:Tag>BDD18</b:Tag>
    <b:SourceType>InternetSite</b:SourceType>
    <b:Guid>{F5E07829-8DF6-43C1-A28E-84CF06BF3981}</b:Guid>
    <b:Author>
      <b:Author>
        <b:NameList>
          <b:Person>
            <b:Last>Dictionary</b:Last>
            <b:First>BD</b:First>
          </b:Person>
        </b:NameList>
      </b:Author>
    </b:Author>
    <b:Title>BD Dictionary</b:Title>
    <b:InternetSiteTitle>BD Dictionary</b:InternetSiteTitle>
    <b:Year>2018</b:Year>
    <b:YearAccessed>2018</b:YearAccessed>
    <b:MonthAccessed>August</b:MonthAccessed>
    <b:DayAccessed>27</b:DayAccessed>
    <b:URL>http://www.businessdictionary.com/definition/hypothecation.html</b:URL>
    <b:RefOrder>4</b:RefOrder>
  </b:Source>
  <b:Source>
    <b:Tag>Coh98</b:Tag>
    <b:SourceType>Book</b:SourceType>
    <b:Guid>{1EF391FC-C3B8-4BFA-B016-FC97968C298B}</b:Guid>
    <b:Title>Research Methods in Education 4th edition</b:Title>
    <b:Year>1998</b:Year>
    <b:Author>
      <b:Author>
        <b:NameList>
          <b:Person>
            <b:Last>Cohen</b:Last>
            <b:First>Louis</b:First>
          </b:Person>
          <b:Person>
            <b:Last>Manion</b:Last>
            <b:First>Lawrence</b:First>
          </b:Person>
        </b:NameList>
      </b:Author>
    </b:Author>
    <b:City>London</b:City>
    <b:Publisher>Routledge</b:Publisher>
    <b:RefOrder>5</b:RefOrder>
  </b:Source>
  <b:Source>
    <b:Tag>Kac18</b:Tag>
    <b:SourceType>JournalArticle</b:SourceType>
    <b:Guid>{C8EFE7CA-CD83-4D19-8A66-7B751392D7AB}</b:Guid>
    <b:Title>Impact of scholary Publicationa and the selected Socio-demographic factors</b:Title>
    <b:Year>2018</b:Year>
    <b:JournalName>The New Educational Review</b:JournalName>
    <b:Pages>116-177</b:Pages>
    <b:Author>
      <b:Author>
        <b:NameList>
          <b:Person>
            <b:Last>Kacka</b:Last>
            <b:First>Katarzyna</b:First>
          </b:Person>
          <b:Person>
            <b:Last>Mickalak</b:Last>
            <b:First>Barthoiey</b:First>
          </b:Person>
          <b:Person>
            <b:Last>Piechowiak-Lamparska</b:Last>
            <b:First>Joanna</b:First>
          </b:Person>
        </b:NameList>
      </b:Author>
    </b:Author>
    <b:RefOrder>6</b:RefOrder>
  </b:Source>
  <b:Source>
    <b:Tag>Wal18</b:Tag>
    <b:SourceType>Book</b:SourceType>
    <b:Guid>{9918306E-1840-4D4D-B743-47E8011F0016}</b:Guid>
    <b:Title>Research Methods the basics</b:Title>
    <b:Year>2018</b:Year>
    <b:City>Oxon</b:City>
    <b:Publisher>Routledge</b:Publisher>
    <b:Author>
      <b:Author>
        <b:NameList>
          <b:Person>
            <b:Last>Walliman</b:Last>
            <b:First>Nicholas</b:First>
          </b:Person>
        </b:NameList>
      </b:Author>
    </b:Author>
    <b:RefOrder>7</b:RefOrder>
  </b:Source>
  <b:Source>
    <b:Tag>Mag17</b:Tag>
    <b:SourceType>JournalArticle</b:SourceType>
    <b:Guid>{AA7AF429-4E13-41A5-9782-4EA4F3490552}</b:Guid>
    <b:Title>Doing a thematic analysis: A practial, step-by-step guide for learning and teaching schilars</b:Title>
    <b:JournalName>AISHE-J:The All Ireland Journal of Teaching and Learning in Higher Education</b:JournalName>
    <b:Year>2017</b:Year>
    <b:Pages>3351-33514</b:Pages>
    <b:Author>
      <b:Author>
        <b:NameList>
          <b:Person>
            <b:Last>Maguire</b:Last>
            <b:First>Moira</b:First>
          </b:Person>
          <b:Person>
            <b:Last>Delahunt</b:Last>
            <b:First>Brid</b:First>
          </b:Person>
        </b:NameList>
      </b:Author>
    </b:Author>
    <b:Month>September </b:Month>
    <b:Day>1</b:Day>
    <b:Issue>3</b:Issue>
    <b:RefOrder>8</b:RefOrder>
  </b:Source>
  <b:Source>
    <b:Tag>Sal91</b:Tag>
    <b:SourceType>Book</b:SourceType>
    <b:Guid>{9CE50BC5-0B9F-4306-8F16-7050F30E205B}</b:Guid>
    <b:Title>Exploring Research</b:Title>
    <b:Year>1991</b:Year>
    <b:City>United States of America</b:City>
    <b:Publisher>Prentice Hall</b:Publisher>
    <b:Author>
      <b:Author>
        <b:NameList>
          <b:Person>
            <b:Last>Salkind</b:Last>
            <b:First>Neil</b:First>
            <b:Middle>J</b:Middle>
          </b:Person>
        </b:NameList>
      </b:Author>
    </b:Author>
    <b:Edition>4th</b:Edition>
    <b:RefOrder>9</b:RefOrder>
  </b:Source>
  <b:Source>
    <b:Tag>BER11</b:Tag>
    <b:SourceType>Report</b:SourceType>
    <b:Guid>{8812011B-EDA7-461E-8648-58097DD8BF30}</b:Guid>
    <b:Title>Ethical Guidelines For Educational Research</b:Title>
    <b:Year>2011</b:Year>
    <b:City>london</b:City>
    <b:Publisher>BERA</b:Publisher>
    <b:Author>
      <b:Author>
        <b:NameList>
          <b:Person>
            <b:Last>BERA</b:Last>
          </b:Person>
        </b:NameList>
      </b:Author>
    </b:Author>
    <b:RefOrder>10</b:RefOrder>
  </b:Source>
  <b:Source>
    <b:Tag>Wel111</b:Tag>
    <b:SourceType>Report</b:SourceType>
    <b:Guid>{0AF731BA-A7C3-4BE1-AC65-F79C2080E670}</b:Guid>
    <b:Title>Revised professional standards for education practitioners in Wales</b:Title>
    <b:Year>2011</b:Year>
    <b:City>Cardiff</b:City>
    <b:Publisher>Welsh Government</b:Publisher>
    <b:Author>
      <b:Author>
        <b:NameList>
          <b:Person>
            <b:Last>Gocernment</b:Last>
            <b:First>Welsh</b:First>
          </b:Person>
        </b:NameList>
      </b:Author>
    </b:Author>
    <b:RefOrder>11</b:RefOrder>
  </b:Source>
  <b:Source>
    <b:Tag>Bla12</b:Tag>
    <b:SourceType>Book</b:SourceType>
    <b:Guid>{B91EB77E-4C22-4FEB-96AB-EDE7EA6F50EF}</b:Guid>
    <b:Title>Reassessin How research challenges practice and policyg The Impact of Teaching Assistats</b:Title>
    <b:Year>2012</b:Year>
    <b:Publisher>Routledge</b:Publisher>
    <b:City>London</b:City>
    <b:Author>
      <b:Author>
        <b:NameList>
          <b:Person>
            <b:Last>Blatchford</b:Last>
            <b:First>Peter</b:First>
          </b:Person>
          <b:Person>
            <b:Last>Russell</b:Last>
            <b:First>Anthony</b:First>
          </b:Person>
          <b:Person>
            <b:Last>Webster</b:Last>
            <b:First>Rob</b:First>
          </b:Person>
        </b:NameList>
      </b:Author>
    </b:Author>
    <b:RefOrder>12</b:RefOrder>
  </b:Source>
  <b:Source>
    <b:Tag>Eng18</b:Tag>
    <b:SourceType>DocumentFromInternetSite</b:SourceType>
    <b:Guid>{F4145DCD-5A7B-4E5D-ABD9-7322F2EE2C7B}</b:Guid>
    <b:Title>Definition of bias</b:Title>
    <b:Year>2018</b:Year>
    <b:YearAccessed>2018</b:YearAccessed>
    <b:MonthAccessed>September</b:MonthAccessed>
    <b:DayAccessed>2</b:DayAccessed>
    <b:URL>https://en.oxforddictionaries.com/definition/bias</b:URL>
    <b:Author>
      <b:Author>
        <b:NameList>
          <b:Person>
            <b:Last>Dictionary</b:Last>
            <b:First>English</b:First>
            <b:Middle>Oxford Living</b:Middle>
          </b:Person>
        </b:NameList>
      </b:Author>
    </b:Author>
    <b:InternetSiteTitle>English Oxford Living Dictionary</b:InternetSiteTitle>
    <b:RefOrder>13</b:RefOrder>
  </b:Source>
  <b:Source>
    <b:Tag>Dou16</b:Tag>
    <b:SourceType>JournalArticle</b:SourceType>
    <b:Guid>{53821F6C-402D-4B52-B0BF-B8D8E5049DB7}</b:Guid>
    <b:Title>Special Education Teachers' Experiences Supporting and Supervising Paraeducators: Implications for Special and General Education Setting</b:Title>
    <b:Year>2016</b:Year>
    <b:Volume>39</b:Volume>
    <b:Pages>60-74</b:Pages>
    <b:Author>
      <b:Author>
        <b:NameList>
          <b:Person>
            <b:Last>Douglas</b:Last>
            <b:First>Sarah</b:First>
            <b:Middle>N</b:Middle>
          </b:Person>
          <b:Person>
            <b:Last>Chapin</b:Last>
            <b:First>Shelley</b:First>
            <b:Middle>E</b:Middle>
          </b:Person>
          <b:Person>
            <b:Last>Nolan</b:Last>
            <b:First>James</b:First>
            <b:Middle>F</b:Middle>
          </b:Person>
        </b:NameList>
      </b:Author>
    </b:Author>
    <b:JournalName>Teacher Education and Special Education</b:JournalName>
    <b:Issue>1</b:Issue>
    <b:RefOrder>14</b:RefOrder>
  </b:Source>
</b:Sources>
</file>

<file path=customXml/itemProps1.xml><?xml version="1.0" encoding="utf-8"?>
<ds:datastoreItem xmlns:ds="http://schemas.openxmlformats.org/officeDocument/2006/customXml" ds:itemID="{ECBC9638-90DC-4BD1-8A79-0DCF2BC6B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6712</Words>
  <Characters>38261</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lockhart</dc:creator>
  <cp:keywords/>
  <dc:description/>
  <cp:lastModifiedBy>nicky lockhart</cp:lastModifiedBy>
  <cp:revision>2</cp:revision>
  <cp:lastPrinted>2018-09-03T19:50:00Z</cp:lastPrinted>
  <dcterms:created xsi:type="dcterms:W3CDTF">2018-09-03T20:21:00Z</dcterms:created>
  <dcterms:modified xsi:type="dcterms:W3CDTF">2018-09-03T20:21:00Z</dcterms:modified>
</cp:coreProperties>
</file>