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33DE" w:rsidRDefault="0060042D">
      <w:pPr>
        <w:rPr>
          <w:sz w:val="24"/>
          <w:szCs w:val="24"/>
          <w:u w:val="single"/>
        </w:rPr>
      </w:pPr>
      <w:r w:rsidRPr="0060042D">
        <w:rPr>
          <w:sz w:val="24"/>
          <w:szCs w:val="24"/>
          <w:u w:val="single"/>
        </w:rPr>
        <w:t>Thesis</w:t>
      </w:r>
    </w:p>
    <w:p w:rsidR="00C01973" w:rsidRDefault="00C01973" w:rsidP="002D0224">
      <w:pPr>
        <w:rPr>
          <w:sz w:val="24"/>
          <w:szCs w:val="24"/>
        </w:rPr>
      </w:pPr>
      <w:r>
        <w:rPr>
          <w:sz w:val="24"/>
          <w:szCs w:val="24"/>
        </w:rPr>
        <w:t xml:space="preserve">“Angels </w:t>
      </w:r>
      <w:r w:rsidR="009273A9">
        <w:rPr>
          <w:sz w:val="24"/>
          <w:szCs w:val="24"/>
        </w:rPr>
        <w:t>must exist</w:t>
      </w:r>
      <w:r>
        <w:rPr>
          <w:sz w:val="24"/>
          <w:szCs w:val="24"/>
        </w:rPr>
        <w:t xml:space="preserve"> incorporeal</w:t>
      </w:r>
      <w:r w:rsidR="009273A9">
        <w:rPr>
          <w:sz w:val="24"/>
          <w:szCs w:val="24"/>
        </w:rPr>
        <w:t>ly</w:t>
      </w:r>
      <w:r>
        <w:rPr>
          <w:sz w:val="24"/>
          <w:szCs w:val="24"/>
        </w:rPr>
        <w:t xml:space="preserve"> and </w:t>
      </w:r>
      <w:r w:rsidR="009273A9">
        <w:rPr>
          <w:sz w:val="24"/>
          <w:szCs w:val="24"/>
        </w:rPr>
        <w:t>must</w:t>
      </w:r>
      <w:r w:rsidR="00984446">
        <w:rPr>
          <w:sz w:val="24"/>
          <w:szCs w:val="24"/>
        </w:rPr>
        <w:t xml:space="preserve"> be</w:t>
      </w:r>
      <w:r w:rsidR="009273A9">
        <w:rPr>
          <w:sz w:val="24"/>
          <w:szCs w:val="24"/>
        </w:rPr>
        <w:t xml:space="preserve"> </w:t>
      </w:r>
      <w:r w:rsidR="00984446">
        <w:rPr>
          <w:sz w:val="24"/>
          <w:szCs w:val="24"/>
        </w:rPr>
        <w:t>beings</w:t>
      </w:r>
      <w:r w:rsidR="009273A9">
        <w:rPr>
          <w:sz w:val="24"/>
          <w:szCs w:val="24"/>
        </w:rPr>
        <w:t xml:space="preserve"> of wholly form</w:t>
      </w:r>
      <w:r w:rsidR="00600E45">
        <w:rPr>
          <w:sz w:val="24"/>
          <w:szCs w:val="24"/>
        </w:rPr>
        <w:t>”</w:t>
      </w:r>
    </w:p>
    <w:p w:rsidR="002D0224" w:rsidRDefault="00561CD0" w:rsidP="002D0224">
      <w:pPr>
        <w:rPr>
          <w:sz w:val="24"/>
          <w:szCs w:val="24"/>
        </w:rPr>
      </w:pPr>
      <w:r>
        <w:rPr>
          <w:sz w:val="24"/>
          <w:szCs w:val="24"/>
        </w:rPr>
        <w:t xml:space="preserve">My essay will be an analysis of arguments for and against angels as being incorporeal and the natures of their substance that are given in the </w:t>
      </w:r>
      <w:r>
        <w:rPr>
          <w:i/>
          <w:iCs/>
          <w:sz w:val="24"/>
          <w:szCs w:val="24"/>
        </w:rPr>
        <w:t>Summa Theologiae</w:t>
      </w:r>
      <w:r>
        <w:rPr>
          <w:sz w:val="24"/>
          <w:szCs w:val="24"/>
        </w:rPr>
        <w:t>.</w:t>
      </w:r>
      <w:r w:rsidR="00BD249A">
        <w:rPr>
          <w:sz w:val="24"/>
          <w:szCs w:val="24"/>
        </w:rPr>
        <w:t xml:space="preserve"> </w:t>
      </w:r>
    </w:p>
    <w:p w:rsidR="005C6E6A" w:rsidRDefault="005C6E6A" w:rsidP="002D0224">
      <w:pPr>
        <w:rPr>
          <w:sz w:val="24"/>
          <w:szCs w:val="24"/>
        </w:rPr>
      </w:pPr>
      <w:r>
        <w:rPr>
          <w:sz w:val="24"/>
          <w:szCs w:val="24"/>
          <w:u w:val="single"/>
        </w:rPr>
        <w:t>Essay Outline</w:t>
      </w:r>
    </w:p>
    <w:p w:rsidR="005C6E6A" w:rsidRDefault="00BD249A" w:rsidP="005C6E6A">
      <w:pPr>
        <w:pStyle w:val="ListParagraph"/>
        <w:numPr>
          <w:ilvl w:val="0"/>
          <w:numId w:val="2"/>
        </w:numPr>
        <w:rPr>
          <w:sz w:val="24"/>
          <w:szCs w:val="24"/>
        </w:rPr>
      </w:pPr>
      <w:r>
        <w:rPr>
          <w:sz w:val="24"/>
          <w:szCs w:val="24"/>
        </w:rPr>
        <w:t xml:space="preserve">Introduction- In my introduction I will </w:t>
      </w:r>
      <w:r w:rsidR="00B323D0">
        <w:rPr>
          <w:sz w:val="24"/>
          <w:szCs w:val="24"/>
        </w:rPr>
        <w:t xml:space="preserve">define key terms and phrases that will be recurring in and are relevant to my essay such as </w:t>
      </w:r>
      <w:r w:rsidR="00B323D0">
        <w:rPr>
          <w:i/>
          <w:iCs/>
          <w:sz w:val="24"/>
          <w:szCs w:val="24"/>
        </w:rPr>
        <w:t>Incorporeal,</w:t>
      </w:r>
      <w:r w:rsidR="004E7F86">
        <w:rPr>
          <w:i/>
          <w:iCs/>
          <w:sz w:val="24"/>
          <w:szCs w:val="24"/>
        </w:rPr>
        <w:t xml:space="preserve"> Genus</w:t>
      </w:r>
      <w:r w:rsidR="004E7F86">
        <w:rPr>
          <w:rStyle w:val="FootnoteReference"/>
          <w:i/>
          <w:iCs/>
          <w:sz w:val="24"/>
          <w:szCs w:val="24"/>
        </w:rPr>
        <w:footnoteReference w:id="1"/>
      </w:r>
      <w:r w:rsidR="004E7F86">
        <w:rPr>
          <w:i/>
          <w:iCs/>
          <w:sz w:val="24"/>
          <w:szCs w:val="24"/>
        </w:rPr>
        <w:t>,</w:t>
      </w:r>
      <w:r w:rsidR="00B323D0">
        <w:rPr>
          <w:i/>
          <w:iCs/>
          <w:sz w:val="24"/>
          <w:szCs w:val="24"/>
        </w:rPr>
        <w:t xml:space="preserve"> Matter, Form, substance, </w:t>
      </w:r>
      <w:r w:rsidR="00B323D0">
        <w:rPr>
          <w:sz w:val="24"/>
          <w:szCs w:val="24"/>
        </w:rPr>
        <w:t xml:space="preserve">etc. I will also discuss the context surrounding the arguments given and the nature of the sources I will be using. </w:t>
      </w:r>
    </w:p>
    <w:p w:rsidR="0060042D" w:rsidRDefault="007842F8" w:rsidP="00961378">
      <w:pPr>
        <w:pStyle w:val="ListParagraph"/>
        <w:numPr>
          <w:ilvl w:val="0"/>
          <w:numId w:val="2"/>
        </w:numPr>
        <w:rPr>
          <w:sz w:val="24"/>
          <w:szCs w:val="24"/>
        </w:rPr>
      </w:pPr>
      <w:r>
        <w:rPr>
          <w:sz w:val="24"/>
          <w:szCs w:val="24"/>
        </w:rPr>
        <w:t xml:space="preserve">My first argument </w:t>
      </w:r>
      <w:r w:rsidR="00787102">
        <w:rPr>
          <w:sz w:val="24"/>
          <w:szCs w:val="24"/>
        </w:rPr>
        <w:t>will</w:t>
      </w:r>
      <w:r w:rsidR="005712A6">
        <w:rPr>
          <w:sz w:val="24"/>
          <w:szCs w:val="24"/>
        </w:rPr>
        <w:t xml:space="preserve"> set the groundwork for the others. It will </w:t>
      </w:r>
      <w:r w:rsidR="003B6586">
        <w:rPr>
          <w:sz w:val="24"/>
          <w:szCs w:val="24"/>
        </w:rPr>
        <w:t>be concerned with</w:t>
      </w:r>
      <w:r w:rsidR="005712A6">
        <w:rPr>
          <w:sz w:val="24"/>
          <w:szCs w:val="24"/>
        </w:rPr>
        <w:t xml:space="preserve"> argu</w:t>
      </w:r>
      <w:r w:rsidR="003B6586">
        <w:rPr>
          <w:sz w:val="24"/>
          <w:szCs w:val="24"/>
        </w:rPr>
        <w:t>ing</w:t>
      </w:r>
      <w:r w:rsidR="005712A6">
        <w:rPr>
          <w:sz w:val="24"/>
          <w:szCs w:val="24"/>
        </w:rPr>
        <w:t xml:space="preserve"> the necessity of incorporeal creatures as argued by Aquinas in </w:t>
      </w:r>
      <w:r w:rsidR="005712A6">
        <w:t>ST 1a, q. 50, a.1</w:t>
      </w:r>
      <w:r w:rsidR="005712A6">
        <w:t xml:space="preserve">, </w:t>
      </w:r>
      <w:r w:rsidR="005712A6" w:rsidRPr="00997B47">
        <w:rPr>
          <w:i/>
          <w:iCs/>
        </w:rPr>
        <w:t>resp.</w:t>
      </w:r>
      <w:r w:rsidR="005712A6">
        <w:t xml:space="preserve"> </w:t>
      </w:r>
      <w:r w:rsidR="003B6586">
        <w:rPr>
          <w:sz w:val="24"/>
          <w:szCs w:val="24"/>
        </w:rPr>
        <w:t xml:space="preserve">I am including this in order to </w:t>
      </w:r>
      <w:r w:rsidR="00DE66A8">
        <w:rPr>
          <w:sz w:val="24"/>
          <w:szCs w:val="24"/>
        </w:rPr>
        <w:t xml:space="preserve">set the framework of incorporeal creatures needing to exist if God made the universe with intellect and will. I will also include Cajetan’s two notes he makes on this section in his </w:t>
      </w:r>
      <w:r w:rsidR="00DE66A8">
        <w:rPr>
          <w:i/>
          <w:iCs/>
          <w:sz w:val="24"/>
          <w:szCs w:val="24"/>
        </w:rPr>
        <w:t xml:space="preserve">Summa </w:t>
      </w:r>
      <w:r w:rsidR="00DE66A8">
        <w:rPr>
          <w:sz w:val="24"/>
          <w:szCs w:val="24"/>
        </w:rPr>
        <w:t>commentary</w:t>
      </w:r>
      <w:r w:rsidR="006D171B">
        <w:rPr>
          <w:sz w:val="24"/>
          <w:szCs w:val="24"/>
        </w:rPr>
        <w:t>.</w:t>
      </w:r>
      <w:r w:rsidR="00DE66A8">
        <w:rPr>
          <w:rStyle w:val="FootnoteReference"/>
          <w:sz w:val="24"/>
          <w:szCs w:val="24"/>
        </w:rPr>
        <w:footnoteReference w:id="2"/>
      </w:r>
    </w:p>
    <w:p w:rsidR="00D55FC7" w:rsidRDefault="00FD6D8B" w:rsidP="00D55FC7">
      <w:pPr>
        <w:pStyle w:val="ListParagraph"/>
        <w:numPr>
          <w:ilvl w:val="0"/>
          <w:numId w:val="2"/>
        </w:numPr>
        <w:rPr>
          <w:sz w:val="24"/>
          <w:szCs w:val="24"/>
        </w:rPr>
      </w:pPr>
      <w:r>
        <w:rPr>
          <w:sz w:val="24"/>
          <w:szCs w:val="24"/>
        </w:rPr>
        <w:t xml:space="preserve">The paragraph following this will lay down the objections to angels being entirely incorporeal. </w:t>
      </w:r>
      <w:r w:rsidR="005C531D">
        <w:rPr>
          <w:sz w:val="24"/>
          <w:szCs w:val="24"/>
        </w:rPr>
        <w:t>It will draw on John Damascene</w:t>
      </w:r>
      <w:r w:rsidR="004A0D90">
        <w:rPr>
          <w:sz w:val="24"/>
          <w:szCs w:val="24"/>
        </w:rPr>
        <w:t>,</w:t>
      </w:r>
      <w:r w:rsidR="005C531D">
        <w:rPr>
          <w:rStyle w:val="FootnoteReference"/>
          <w:sz w:val="24"/>
          <w:szCs w:val="24"/>
        </w:rPr>
        <w:footnoteReference w:id="3"/>
      </w:r>
      <w:r w:rsidR="004A0D90">
        <w:rPr>
          <w:sz w:val="24"/>
          <w:szCs w:val="24"/>
        </w:rPr>
        <w:t xml:space="preserve"> Aristotle</w:t>
      </w:r>
      <w:r w:rsidR="00A41E83">
        <w:rPr>
          <w:sz w:val="24"/>
          <w:szCs w:val="24"/>
        </w:rPr>
        <w:t>,</w:t>
      </w:r>
      <w:r w:rsidR="004A0D90">
        <w:rPr>
          <w:rStyle w:val="FootnoteReference"/>
          <w:sz w:val="24"/>
          <w:szCs w:val="24"/>
        </w:rPr>
        <w:footnoteReference w:id="4"/>
      </w:r>
      <w:r w:rsidR="00A41E83">
        <w:rPr>
          <w:sz w:val="24"/>
          <w:szCs w:val="24"/>
        </w:rPr>
        <w:t xml:space="preserve"> and St Ambrose</w:t>
      </w:r>
      <w:r w:rsidR="00FF6CAD">
        <w:rPr>
          <w:sz w:val="24"/>
          <w:szCs w:val="24"/>
        </w:rPr>
        <w:t>.</w:t>
      </w:r>
      <w:r w:rsidR="00A41E83">
        <w:rPr>
          <w:rStyle w:val="FootnoteReference"/>
          <w:sz w:val="24"/>
          <w:szCs w:val="24"/>
        </w:rPr>
        <w:footnoteReference w:id="5"/>
      </w:r>
    </w:p>
    <w:p w:rsidR="004E7F86" w:rsidRPr="004E7F86" w:rsidRDefault="00F81F4B" w:rsidP="004E7F86">
      <w:pPr>
        <w:pStyle w:val="ListParagraph"/>
        <w:numPr>
          <w:ilvl w:val="0"/>
          <w:numId w:val="2"/>
        </w:numPr>
        <w:rPr>
          <w:sz w:val="24"/>
          <w:szCs w:val="24"/>
        </w:rPr>
      </w:pPr>
      <w:r>
        <w:rPr>
          <w:sz w:val="24"/>
          <w:szCs w:val="24"/>
        </w:rPr>
        <w:t>The next paragraph will draw from Aquinas’ responses to the objections to incorporeal angels and what this tells us about the wider nature of angels and their substance. Also, discussion on the quality of the</w:t>
      </w:r>
      <w:r w:rsidR="00433010">
        <w:rPr>
          <w:sz w:val="24"/>
          <w:szCs w:val="24"/>
        </w:rPr>
        <w:t xml:space="preserve"> objections and</w:t>
      </w:r>
      <w:r>
        <w:rPr>
          <w:sz w:val="24"/>
          <w:szCs w:val="24"/>
        </w:rPr>
        <w:t xml:space="preserve"> responses.</w:t>
      </w:r>
    </w:p>
    <w:p w:rsidR="004E7F86" w:rsidRDefault="004E7F86" w:rsidP="004E7F86">
      <w:pPr>
        <w:pStyle w:val="ListParagraph"/>
        <w:numPr>
          <w:ilvl w:val="0"/>
          <w:numId w:val="2"/>
        </w:numPr>
        <w:rPr>
          <w:sz w:val="24"/>
          <w:szCs w:val="24"/>
        </w:rPr>
      </w:pPr>
      <w:r>
        <w:rPr>
          <w:sz w:val="24"/>
          <w:szCs w:val="24"/>
        </w:rPr>
        <w:t xml:space="preserve">I will discuss the arguments for angels being composed of both matter </w:t>
      </w:r>
      <w:r>
        <w:rPr>
          <w:i/>
          <w:iCs/>
          <w:sz w:val="24"/>
          <w:szCs w:val="24"/>
        </w:rPr>
        <w:t xml:space="preserve">and </w:t>
      </w:r>
      <w:r>
        <w:rPr>
          <w:sz w:val="24"/>
          <w:szCs w:val="24"/>
        </w:rPr>
        <w:t>form. Again, u</w:t>
      </w:r>
      <w:r w:rsidR="00BA7548">
        <w:rPr>
          <w:sz w:val="24"/>
          <w:szCs w:val="24"/>
        </w:rPr>
        <w:t>tilising</w:t>
      </w:r>
      <w:r>
        <w:rPr>
          <w:sz w:val="24"/>
          <w:szCs w:val="24"/>
        </w:rPr>
        <w:t xml:space="preserve"> Aristotle</w:t>
      </w:r>
      <w:r w:rsidR="00BA7548">
        <w:rPr>
          <w:sz w:val="24"/>
          <w:szCs w:val="24"/>
        </w:rPr>
        <w:t>, Bo</w:t>
      </w:r>
      <w:r w:rsidR="00211C95">
        <w:rPr>
          <w:rFonts w:cstheme="minorHAnsi"/>
          <w:sz w:val="24"/>
          <w:szCs w:val="24"/>
        </w:rPr>
        <w:t>e</w:t>
      </w:r>
      <w:r w:rsidR="00BA7548">
        <w:rPr>
          <w:sz w:val="24"/>
          <w:szCs w:val="24"/>
        </w:rPr>
        <w:t>thius,</w:t>
      </w:r>
      <w:r w:rsidR="00BA7548">
        <w:rPr>
          <w:rStyle w:val="FootnoteReference"/>
          <w:sz w:val="24"/>
          <w:szCs w:val="24"/>
        </w:rPr>
        <w:footnoteReference w:id="6"/>
      </w:r>
      <w:r w:rsidR="00211C95">
        <w:rPr>
          <w:sz w:val="24"/>
          <w:szCs w:val="24"/>
        </w:rPr>
        <w:t xml:space="preserve"> as well as (like with paragraph III) Aquinas’ own arguments.</w:t>
      </w:r>
    </w:p>
    <w:p w:rsidR="00211C95" w:rsidRDefault="00211C95" w:rsidP="004E7F86">
      <w:pPr>
        <w:pStyle w:val="ListParagraph"/>
        <w:numPr>
          <w:ilvl w:val="0"/>
          <w:numId w:val="2"/>
        </w:numPr>
        <w:rPr>
          <w:sz w:val="24"/>
          <w:szCs w:val="24"/>
        </w:rPr>
      </w:pPr>
      <w:r>
        <w:rPr>
          <w:sz w:val="24"/>
          <w:szCs w:val="24"/>
        </w:rPr>
        <w:t>Like with Paragraph IV I will discuss Aquinas’ responses to these objections as well his own arguments for why angels must consist of only form.</w:t>
      </w:r>
    </w:p>
    <w:p w:rsidR="004E7F86" w:rsidRPr="004E7F86" w:rsidRDefault="004E7F86" w:rsidP="004E7F86">
      <w:pPr>
        <w:pStyle w:val="ListParagraph"/>
        <w:numPr>
          <w:ilvl w:val="0"/>
          <w:numId w:val="2"/>
        </w:numPr>
        <w:rPr>
          <w:sz w:val="24"/>
          <w:szCs w:val="24"/>
        </w:rPr>
      </w:pPr>
      <w:r>
        <w:rPr>
          <w:sz w:val="24"/>
          <w:szCs w:val="24"/>
        </w:rPr>
        <w:t xml:space="preserve">Conclusion- </w:t>
      </w:r>
      <w:r w:rsidR="000C440D">
        <w:rPr>
          <w:sz w:val="24"/>
          <w:szCs w:val="24"/>
        </w:rPr>
        <w:t>I will summarise Aquinas’ overall view of the nature and substance of angels. He believed that they were incorporeal vut not simple. Additionally</w:t>
      </w:r>
      <w:r w:rsidR="00372EDD">
        <w:rPr>
          <w:sz w:val="24"/>
          <w:szCs w:val="24"/>
        </w:rPr>
        <w:t>, I will analyse Aquinas’ overall text in both article one and two</w:t>
      </w:r>
      <w:r w:rsidR="000C440D">
        <w:rPr>
          <w:sz w:val="24"/>
          <w:szCs w:val="24"/>
        </w:rPr>
        <w:t xml:space="preserve"> </w:t>
      </w:r>
      <w:r w:rsidR="00372EDD">
        <w:rPr>
          <w:sz w:val="24"/>
          <w:szCs w:val="24"/>
        </w:rPr>
        <w:t>(</w:t>
      </w:r>
      <w:r w:rsidR="00372EDD">
        <w:t>ST 1a, q. 50, a.1</w:t>
      </w:r>
      <w:r w:rsidR="00372EDD">
        <w:t xml:space="preserve">-2). </w:t>
      </w:r>
      <w:r w:rsidR="00372EDD">
        <w:rPr>
          <w:sz w:val="24"/>
          <w:szCs w:val="24"/>
        </w:rPr>
        <w:t>One point I may make is that i</w:t>
      </w:r>
      <w:bookmarkStart w:id="0" w:name="_GoBack"/>
      <w:bookmarkEnd w:id="0"/>
      <w:r>
        <w:rPr>
          <w:sz w:val="24"/>
          <w:szCs w:val="24"/>
        </w:rPr>
        <w:t xml:space="preserve">n both </w:t>
      </w:r>
      <w:r w:rsidRPr="004E7F86">
        <w:rPr>
          <w:i/>
          <w:iCs/>
          <w:sz w:val="24"/>
          <w:szCs w:val="24"/>
        </w:rPr>
        <w:t>objection</w:t>
      </w:r>
      <w:r>
        <w:rPr>
          <w:sz w:val="24"/>
          <w:szCs w:val="24"/>
        </w:rPr>
        <w:t xml:space="preserve"> sections for the two articles Aquinas makes use of Aristotle yet draws upon a lot of his principles in other places. This seems problematic.</w:t>
      </w:r>
    </w:p>
    <w:sectPr w:rsidR="004E7F86" w:rsidRPr="004E7F8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5960" w:rsidRDefault="007A5960" w:rsidP="00633F95">
      <w:pPr>
        <w:spacing w:after="0" w:line="240" w:lineRule="auto"/>
      </w:pPr>
      <w:r>
        <w:separator/>
      </w:r>
    </w:p>
  </w:endnote>
  <w:endnote w:type="continuationSeparator" w:id="0">
    <w:p w:rsidR="007A5960" w:rsidRDefault="007A5960" w:rsidP="00633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3F95" w:rsidRDefault="00633F95">
    <w:pPr>
      <w:pStyle w:val="Footer"/>
    </w:pPr>
    <w:r>
      <w:t xml:space="preserve">Felix Whiteley-Bristow Comp 3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5960" w:rsidRDefault="007A5960" w:rsidP="00633F95">
      <w:pPr>
        <w:spacing w:after="0" w:line="240" w:lineRule="auto"/>
      </w:pPr>
      <w:r>
        <w:separator/>
      </w:r>
    </w:p>
  </w:footnote>
  <w:footnote w:type="continuationSeparator" w:id="0">
    <w:p w:rsidR="007A5960" w:rsidRDefault="007A5960" w:rsidP="00633F95">
      <w:pPr>
        <w:spacing w:after="0" w:line="240" w:lineRule="auto"/>
      </w:pPr>
      <w:r>
        <w:continuationSeparator/>
      </w:r>
    </w:p>
  </w:footnote>
  <w:footnote w:id="1">
    <w:p w:rsidR="004E7F86" w:rsidRPr="004E7F86" w:rsidRDefault="004E7F86">
      <w:pPr>
        <w:pStyle w:val="FootnoteText"/>
      </w:pPr>
      <w:r>
        <w:rPr>
          <w:rStyle w:val="FootnoteReference"/>
        </w:rPr>
        <w:footnoteRef/>
      </w:r>
      <w:r>
        <w:t xml:space="preserve"> Aristotle, </w:t>
      </w:r>
      <w:r>
        <w:rPr>
          <w:i/>
          <w:iCs/>
        </w:rPr>
        <w:t>Metaphysics VII</w:t>
      </w:r>
      <w:r>
        <w:t>, 2. 1043a19</w:t>
      </w:r>
    </w:p>
  </w:footnote>
  <w:footnote w:id="2">
    <w:p w:rsidR="00DE66A8" w:rsidRPr="00DE66A8" w:rsidRDefault="00DE66A8">
      <w:pPr>
        <w:pStyle w:val="FootnoteText"/>
      </w:pPr>
      <w:r>
        <w:rPr>
          <w:rStyle w:val="FootnoteReference"/>
        </w:rPr>
        <w:footnoteRef/>
      </w:r>
      <w:r>
        <w:t xml:space="preserve"> Cajetan’s Commentary on </w:t>
      </w:r>
      <w:r>
        <w:rPr>
          <w:i/>
          <w:iCs/>
        </w:rPr>
        <w:t>Summa Theologiae</w:t>
      </w:r>
      <w:r>
        <w:t xml:space="preserve"> </w:t>
      </w:r>
      <w:r w:rsidR="00B865BB">
        <w:t>1</w:t>
      </w:r>
      <w:r>
        <w:t xml:space="preserve">a, 50-64 (Leonine ed. of the </w:t>
      </w:r>
      <w:r>
        <w:rPr>
          <w:i/>
          <w:iCs/>
        </w:rPr>
        <w:t xml:space="preserve">Opera Omnia </w:t>
      </w:r>
      <w:r>
        <w:t>of St Thomas, vol. 5, 1889)</w:t>
      </w:r>
    </w:p>
  </w:footnote>
  <w:footnote w:id="3">
    <w:p w:rsidR="005C531D" w:rsidRPr="005C531D" w:rsidRDefault="005C531D">
      <w:pPr>
        <w:pStyle w:val="FootnoteText"/>
      </w:pPr>
      <w:r>
        <w:rPr>
          <w:rStyle w:val="FootnoteReference"/>
        </w:rPr>
        <w:footnoteRef/>
      </w:r>
      <w:r>
        <w:t xml:space="preserve"> </w:t>
      </w:r>
      <w:r>
        <w:rPr>
          <w:i/>
          <w:iCs/>
        </w:rPr>
        <w:t xml:space="preserve">De Fide </w:t>
      </w:r>
      <w:proofErr w:type="spellStart"/>
      <w:r>
        <w:rPr>
          <w:i/>
          <w:iCs/>
        </w:rPr>
        <w:t>Orthodoxa</w:t>
      </w:r>
      <w:proofErr w:type="spellEnd"/>
      <w:r>
        <w:rPr>
          <w:i/>
          <w:iCs/>
        </w:rPr>
        <w:t xml:space="preserve"> II, </w:t>
      </w:r>
      <w:r>
        <w:t>3. PG 94, 866</w:t>
      </w:r>
    </w:p>
  </w:footnote>
  <w:footnote w:id="4">
    <w:p w:rsidR="004A0D90" w:rsidRPr="004A0D90" w:rsidRDefault="004A0D90">
      <w:pPr>
        <w:pStyle w:val="FootnoteText"/>
      </w:pPr>
      <w:r>
        <w:rPr>
          <w:rStyle w:val="FootnoteReference"/>
        </w:rPr>
        <w:footnoteRef/>
      </w:r>
      <w:r>
        <w:t xml:space="preserve"> Aristotle, </w:t>
      </w:r>
      <w:r>
        <w:rPr>
          <w:i/>
          <w:iCs/>
        </w:rPr>
        <w:t xml:space="preserve">Physics VI, </w:t>
      </w:r>
      <w:r>
        <w:t>4. 234b</w:t>
      </w:r>
      <w:r w:rsidR="00A41E83">
        <w:t>10</w:t>
      </w:r>
    </w:p>
  </w:footnote>
  <w:footnote w:id="5">
    <w:p w:rsidR="00A41E83" w:rsidRPr="00A41E83" w:rsidRDefault="00A41E83">
      <w:pPr>
        <w:pStyle w:val="FootnoteText"/>
      </w:pPr>
      <w:r>
        <w:rPr>
          <w:rStyle w:val="FootnoteReference"/>
        </w:rPr>
        <w:footnoteRef/>
      </w:r>
      <w:r>
        <w:t xml:space="preserve"> </w:t>
      </w:r>
      <w:r>
        <w:rPr>
          <w:i/>
          <w:iCs/>
        </w:rPr>
        <w:t xml:space="preserve">De </w:t>
      </w:r>
      <w:proofErr w:type="spellStart"/>
      <w:r>
        <w:rPr>
          <w:i/>
          <w:iCs/>
        </w:rPr>
        <w:t>Spiritu</w:t>
      </w:r>
      <w:proofErr w:type="spellEnd"/>
      <w:r>
        <w:rPr>
          <w:i/>
          <w:iCs/>
        </w:rPr>
        <w:t xml:space="preserve"> Sancto I, </w:t>
      </w:r>
      <w:r>
        <w:t xml:space="preserve">7. PL </w:t>
      </w:r>
      <w:r w:rsidR="00B865BB">
        <w:t>16, 753.</w:t>
      </w:r>
    </w:p>
  </w:footnote>
  <w:footnote w:id="6">
    <w:p w:rsidR="00BA7548" w:rsidRPr="00BA7548" w:rsidRDefault="00BA7548">
      <w:pPr>
        <w:pStyle w:val="FootnoteText"/>
        <w:rPr>
          <w:i/>
          <w:iCs/>
        </w:rPr>
      </w:pPr>
      <w:r>
        <w:rPr>
          <w:rStyle w:val="FootnoteReference"/>
        </w:rPr>
        <w:footnoteRef/>
      </w:r>
      <w:r>
        <w:t xml:space="preserve"> </w:t>
      </w:r>
      <w:r>
        <w:rPr>
          <w:i/>
          <w:iCs/>
        </w:rPr>
        <w:t xml:space="preserve">De </w:t>
      </w:r>
      <w:proofErr w:type="spellStart"/>
      <w:r>
        <w:rPr>
          <w:i/>
          <w:iCs/>
        </w:rPr>
        <w:t>Trinititate</w:t>
      </w:r>
      <w:proofErr w:type="spellEnd"/>
      <w:r>
        <w:rPr>
          <w:i/>
          <w:iCs/>
        </w:rPr>
        <w:t xml:space="preserve"> 2. PL 64, 1250.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1963F7"/>
    <w:multiLevelType w:val="hybridMultilevel"/>
    <w:tmpl w:val="7040CC9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470BCB"/>
    <w:multiLevelType w:val="hybridMultilevel"/>
    <w:tmpl w:val="156AEDA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F95"/>
    <w:rsid w:val="000C440D"/>
    <w:rsid w:val="00211C95"/>
    <w:rsid w:val="002D0224"/>
    <w:rsid w:val="003066DB"/>
    <w:rsid w:val="00372EDD"/>
    <w:rsid w:val="003B6586"/>
    <w:rsid w:val="00433010"/>
    <w:rsid w:val="004A0D90"/>
    <w:rsid w:val="004C1843"/>
    <w:rsid w:val="004E7F86"/>
    <w:rsid w:val="00561CD0"/>
    <w:rsid w:val="005712A6"/>
    <w:rsid w:val="005C531D"/>
    <w:rsid w:val="005C6E6A"/>
    <w:rsid w:val="0060042D"/>
    <w:rsid w:val="00600E45"/>
    <w:rsid w:val="00633F95"/>
    <w:rsid w:val="006D171B"/>
    <w:rsid w:val="007842F8"/>
    <w:rsid w:val="00787102"/>
    <w:rsid w:val="007A5960"/>
    <w:rsid w:val="008106CA"/>
    <w:rsid w:val="009273A9"/>
    <w:rsid w:val="00961378"/>
    <w:rsid w:val="00984446"/>
    <w:rsid w:val="00997B47"/>
    <w:rsid w:val="00A41E83"/>
    <w:rsid w:val="00B10F58"/>
    <w:rsid w:val="00B323D0"/>
    <w:rsid w:val="00B865BB"/>
    <w:rsid w:val="00BA7548"/>
    <w:rsid w:val="00BD249A"/>
    <w:rsid w:val="00C01973"/>
    <w:rsid w:val="00D55FC7"/>
    <w:rsid w:val="00DE66A8"/>
    <w:rsid w:val="00EA2CCA"/>
    <w:rsid w:val="00F133DE"/>
    <w:rsid w:val="00F81F4B"/>
    <w:rsid w:val="00FD6D8B"/>
    <w:rsid w:val="00FF6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CE96E"/>
  <w15:chartTrackingRefBased/>
  <w15:docId w15:val="{7A3F0963-C47F-4BED-8190-90B9301C7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3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F95"/>
  </w:style>
  <w:style w:type="paragraph" w:styleId="Footer">
    <w:name w:val="footer"/>
    <w:basedOn w:val="Normal"/>
    <w:link w:val="FooterChar"/>
    <w:uiPriority w:val="99"/>
    <w:unhideWhenUsed/>
    <w:rsid w:val="00633F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F95"/>
  </w:style>
  <w:style w:type="paragraph" w:styleId="ListParagraph">
    <w:name w:val="List Paragraph"/>
    <w:basedOn w:val="Normal"/>
    <w:uiPriority w:val="34"/>
    <w:qFormat/>
    <w:rsid w:val="005C6E6A"/>
    <w:pPr>
      <w:ind w:left="720"/>
      <w:contextualSpacing/>
    </w:pPr>
  </w:style>
  <w:style w:type="paragraph" w:styleId="FootnoteText">
    <w:name w:val="footnote text"/>
    <w:basedOn w:val="Normal"/>
    <w:link w:val="FootnoteTextChar"/>
    <w:uiPriority w:val="99"/>
    <w:semiHidden/>
    <w:unhideWhenUsed/>
    <w:rsid w:val="00DE66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66A8"/>
    <w:rPr>
      <w:sz w:val="20"/>
      <w:szCs w:val="20"/>
    </w:rPr>
  </w:style>
  <w:style w:type="character" w:styleId="FootnoteReference">
    <w:name w:val="footnote reference"/>
    <w:basedOn w:val="DefaultParagraphFont"/>
    <w:uiPriority w:val="99"/>
    <w:semiHidden/>
    <w:unhideWhenUsed/>
    <w:rsid w:val="00DE66A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679DF7-5BDE-4DF8-B2F3-84E3CA8BF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1</Pages>
  <Words>315</Words>
  <Characters>1797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 (1901619)</dc:creator>
  <cp:keywords/>
  <dc:description/>
  <cp:lastModifiedBy>Felix Whiteley-bristow (1901619)</cp:lastModifiedBy>
  <cp:revision>29</cp:revision>
  <dcterms:created xsi:type="dcterms:W3CDTF">2020-02-28T16:28:00Z</dcterms:created>
  <dcterms:modified xsi:type="dcterms:W3CDTF">2020-02-28T22:39:00Z</dcterms:modified>
</cp:coreProperties>
</file>