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lang w:val="en-US" w:eastAsia="zh-CN"/>
        </w:rPr>
      </w:pPr>
    </w:p>
    <w:p>
      <w:pPr>
        <w:pStyle w:val="12"/>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114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pPr>
        <w:pStyle w:val="12"/>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5e66ef42-1773-4c8f-9cc3-1bb9555bfda7}"/>
          </w:placeholder>
          <w: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r>
            <w:rPr>
              <w:rFonts w:hint="eastAsia" w:asciiTheme="majorHAnsi" w:hAnsiTheme="majorHAnsi" w:eastAsiaTheme="majorEastAsia" w:cstheme="majorBidi"/>
              <w:caps/>
              <w:color w:val="5B9BD5" w:themeColor="accent1"/>
              <w:sz w:val="80"/>
              <w:szCs w:val="80"/>
              <w:lang w:eastAsia="zh-CN"/>
              <w14:textFill>
                <w14:solidFill>
                  <w14:schemeClr w14:val="accent1"/>
                </w14:solidFill>
              </w14:textFill>
            </w:rPr>
            <w:t>Wirral Fabrication Plc  and Defoe Brands</w:t>
          </w:r>
        </w:sdtContent>
      </w:sdt>
    </w:p>
    <w:sdt>
      <w:sdtPr>
        <w:rPr>
          <w:color w:val="5B9BD5" w:themeColor="accent1"/>
          <w:sz w:val="28"/>
          <w:szCs w:val="28"/>
          <w14:textFill>
            <w14:solidFill>
              <w14:schemeClr w14:val="accent1"/>
            </w14:solidFill>
          </w14:textFill>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2"/>
            <w:jc w:val="center"/>
            <w:rPr>
              <w:color w:val="5B9BD5" w:themeColor="accent1"/>
              <w:sz w:val="28"/>
              <w:szCs w:val="28"/>
              <w14:textFill>
                <w14:solidFill>
                  <w14:schemeClr w14:val="accent1"/>
                </w14:solidFill>
              </w14:textFill>
            </w:rPr>
          </w:pPr>
          <w:r>
            <w:rPr>
              <w:rFonts w:hint="eastAsia"/>
              <w:color w:val="5B9BD5" w:themeColor="accent1"/>
              <w:sz w:val="28"/>
              <w:szCs w:val="28"/>
              <w:lang w:eastAsia="zh-CN"/>
              <w14:textFill>
                <w14:solidFill>
                  <w14:schemeClr w14:val="accent1"/>
                </w14:solidFill>
              </w14:textFill>
            </w:rPr>
            <w:t>WEIJUN GAO 2304599</w:t>
          </w:r>
        </w:p>
      </w:sdtContent>
    </w:sdt>
    <w:p>
      <w:pPr>
        <w:pStyle w:val="12"/>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dataBinding w:prefixMappings="xmlns:ns0='http://schemas.microsoft.com/office/2006/coverPageProps' " w:xpath="/ns0:CoverPageProperties[1]/ns0:PublishDate[1]" w:storeItemID="{55AF091B-3C7A-41E3-B477-F2FDAA23CFDA}"/>
                              <w:date w:fullDate="2106-02-07T14:28:15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2"/>
                                  <w:spacing w:after="40"/>
                                  <w:jc w:val="center"/>
                                  <w:rPr>
                                    <w:caps/>
                                    <w:color w:val="5B9BD5" w:themeColor="accent1"/>
                                    <w:sz w:val="28"/>
                                    <w:szCs w:val="28"/>
                                    <w14:textFill>
                                      <w14:solidFill>
                                        <w14:schemeClr w14:val="accent1"/>
                                      </w14:solidFill>
                                    </w14:textFill>
                                  </w:rPr>
                                </w:pPr>
                                <w:r>
                                  <w:rPr>
                                    <w:rFonts w:hint="eastAsia"/>
                                    <w:caps/>
                                    <w:color w:val="5B9BD5" w:themeColor="accent1"/>
                                    <w:sz w:val="28"/>
                                    <w:szCs w:val="28"/>
                                    <w:lang w:val="en-US" w:eastAsia="zh-CN"/>
                                    <w14:textFill>
                                      <w14:solidFill>
                                        <w14:schemeClr w14:val="accent1"/>
                                      </w14:solidFill>
                                    </w14:textFill>
                                  </w:rPr>
                                  <w:t>February 7, 2106</w:t>
                                </w:r>
                              </w:p>
                            </w:sdtContent>
                          </w:sdt>
                          <w:p>
                            <w:pPr>
                              <w:pStyle w:val="12"/>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2"/>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6.45pt;width:451.3pt;mso-position-horizontal-relative:page;mso-position-vertical-relative:page;z-index:251659264;v-text-anchor:bottom;mso-width-relative:margin;mso-height-relative:page;mso-width-percent:1000;" filled="f" stroked="f" coordsize="21600,21600" o:gfxdata="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JMIHEjWAAAABAEAAA8AAAAAAAAAAQAgAAAAIgAAAGRycy9kb3ducmV2LnhtbFBLAQIUABQA&#10;AAAIAIdO4kBmP0cWKwIAAGcEAAAOAAAAAAAAAAEAIAAAACUBAABkcnMvZTJvRG9jLnhtbFBLBQYA&#10;AAAABgAGAFkBAADCBQ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dataBinding w:prefixMappings="xmlns:ns0='http://schemas.microsoft.com/office/2006/coverPageProps' " w:xpath="/ns0:CoverPageProperties[1]/ns0:PublishDate[1]" w:storeItemID="{55AF091B-3C7A-41E3-B477-F2FDAA23CFDA}"/>
                        <w:date w:fullDate="2106-02-07T14:28:15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2"/>
                            <w:spacing w:after="40"/>
                            <w:jc w:val="center"/>
                            <w:rPr>
                              <w:caps/>
                              <w:color w:val="5B9BD5" w:themeColor="accent1"/>
                              <w:sz w:val="28"/>
                              <w:szCs w:val="28"/>
                              <w14:textFill>
                                <w14:solidFill>
                                  <w14:schemeClr w14:val="accent1"/>
                                </w14:solidFill>
                              </w14:textFill>
                            </w:rPr>
                          </w:pPr>
                          <w:r>
                            <w:rPr>
                              <w:rFonts w:hint="eastAsia"/>
                              <w:caps/>
                              <w:color w:val="5B9BD5" w:themeColor="accent1"/>
                              <w:sz w:val="28"/>
                              <w:szCs w:val="28"/>
                              <w:lang w:val="en-US" w:eastAsia="zh-CN"/>
                              <w14:textFill>
                                <w14:solidFill>
                                  <w14:schemeClr w14:val="accent1"/>
                                </w14:solidFill>
                              </w14:textFill>
                            </w:rPr>
                            <w:t>February 7, 2106</w:t>
                          </w:r>
                        </w:p>
                      </w:sdtContent>
                    </w:sdt>
                    <w:p>
                      <w:pPr>
                        <w:pStyle w:val="12"/>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2"/>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165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sdt>
      <w:sdtPr>
        <w:rPr>
          <w:rFonts w:asciiTheme="minorHAnsi" w:hAnsiTheme="minorHAnsi" w:eastAsiaTheme="minorHAnsi" w:cstheme="minorBidi"/>
          <w:color w:val="auto"/>
          <w:sz w:val="22"/>
          <w:szCs w:val="22"/>
          <w:lang w:val="en-GB" w:eastAsia="en-US" w:bidi="ar-SA"/>
        </w:rPr>
        <w:id w:val="-1297214018"/>
        <w:docPartObj>
          <w:docPartGallery w:val="Table of Contents"/>
          <w:docPartUnique/>
        </w:docPartObj>
      </w:sdtPr>
      <w:sdtEndPr>
        <w:rPr>
          <w:rFonts w:asciiTheme="minorHAnsi" w:hAnsiTheme="minorHAnsi" w:eastAsiaTheme="minorHAnsi" w:cstheme="minorBidi"/>
          <w:b/>
          <w:bCs/>
          <w:color w:val="auto"/>
          <w:kern w:val="0"/>
          <w:sz w:val="22"/>
          <w:szCs w:val="22"/>
          <w:lang w:val="en-GB" w:eastAsia="en-US" w:bidi="ar-SA"/>
        </w:rPr>
      </w:sdtEndPr>
      <w:sdtContent>
        <w:p>
          <w:pPr>
            <w:pStyle w:val="13"/>
            <w:widowControl/>
            <w:spacing w:beforeLines="-2147483648" w:beforeAutospacing="0" w:afterLines="-2147483648" w:afterAutospacing="0"/>
            <w:jc w:val="left"/>
            <w:rPr>
              <w:b w:val="0"/>
              <w:kern w:val="0"/>
            </w:rPr>
          </w:pPr>
          <w:r>
            <w:rPr>
              <w:b w:val="0"/>
              <w:kern w:val="0"/>
            </w:rPr>
            <w:t>Table of Contents</w:t>
          </w:r>
        </w:p>
        <w:p>
          <w:pPr>
            <w:pStyle w:val="6"/>
            <w:tabs>
              <w:tab w:val="right" w:leader="dot" w:pos="8306"/>
            </w:tabs>
          </w:pPr>
          <w:r>
            <w:rPr>
              <w:kern w:val="0"/>
            </w:rPr>
            <w:fldChar w:fldCharType="begin"/>
          </w:r>
          <w:r>
            <w:rPr>
              <w:kern w:val="0"/>
            </w:rPr>
            <w:instrText xml:space="preserve"> TOC \o "1-3" \h \z \u </w:instrText>
          </w:r>
          <w:r>
            <w:rPr>
              <w:kern w:val="0"/>
            </w:rPr>
            <w:fldChar w:fldCharType="separate"/>
          </w:r>
          <w:r>
            <w:rPr>
              <w:kern w:val="0"/>
            </w:rPr>
            <w:fldChar w:fldCharType="begin"/>
          </w:r>
          <w:r>
            <w:rPr>
              <w:kern w:val="0"/>
            </w:rPr>
            <w:instrText xml:space="preserve"> HYPERLINK \l _Toc25872 </w:instrText>
          </w:r>
          <w:r>
            <w:rPr>
              <w:kern w:val="0"/>
            </w:rPr>
            <w:fldChar w:fldCharType="separate"/>
          </w:r>
          <w:r>
            <w:rPr>
              <w:rFonts w:hint="eastAsia"/>
              <w:lang w:val="en-US" w:eastAsia="zh-CN"/>
            </w:rPr>
            <w:t>Executive Summary</w:t>
          </w:r>
          <w:r>
            <w:tab/>
          </w:r>
          <w:r>
            <w:fldChar w:fldCharType="begin"/>
          </w:r>
          <w:r>
            <w:instrText xml:space="preserve"> PAGEREF _Toc25872 \h </w:instrText>
          </w:r>
          <w:r>
            <w:fldChar w:fldCharType="separate"/>
          </w:r>
          <w:r>
            <w:t>3</w:t>
          </w:r>
          <w:r>
            <w:fldChar w:fldCharType="end"/>
          </w:r>
          <w:r>
            <w:rPr>
              <w:kern w:val="0"/>
            </w:rPr>
            <w:fldChar w:fldCharType="end"/>
          </w:r>
        </w:p>
        <w:p>
          <w:pPr>
            <w:pStyle w:val="6"/>
            <w:tabs>
              <w:tab w:val="right" w:leader="dot" w:pos="8306"/>
            </w:tabs>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_Toc12327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Introduction</w:t>
          </w:r>
          <w:r>
            <w:tab/>
          </w:r>
          <w:r>
            <w:fldChar w:fldCharType="begin"/>
          </w:r>
          <w:r>
            <w:instrText xml:space="preserve"> PAGEREF _Toc12327 \h </w:instrText>
          </w:r>
          <w:r>
            <w:fldChar w:fldCharType="separate"/>
          </w:r>
          <w:r>
            <w:t>4</w:t>
          </w:r>
          <w:r>
            <w:fldChar w:fldCharType="end"/>
          </w:r>
          <w:r>
            <w:rPr>
              <w:rFonts w:asciiTheme="minorHAnsi" w:hAnsiTheme="minorHAnsi" w:eastAsiaTheme="minorHAnsi" w:cstheme="minorBidi"/>
              <w:bCs/>
              <w:kern w:val="0"/>
              <w:szCs w:val="22"/>
              <w:lang w:val="en-GB" w:eastAsia="en-US"/>
            </w:rPr>
            <w:fldChar w:fldCharType="end"/>
          </w:r>
        </w:p>
        <w:p>
          <w:pPr>
            <w:pStyle w:val="6"/>
            <w:tabs>
              <w:tab w:val="right" w:leader="dot" w:pos="8306"/>
            </w:tabs>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_Toc9132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Main findings</w:t>
          </w:r>
          <w:r>
            <w:tab/>
          </w:r>
          <w:r>
            <w:fldChar w:fldCharType="begin"/>
          </w:r>
          <w:r>
            <w:instrText xml:space="preserve"> PAGEREF _Toc9132 \h </w:instrText>
          </w:r>
          <w:r>
            <w:fldChar w:fldCharType="separate"/>
          </w:r>
          <w:r>
            <w:t>5</w:t>
          </w:r>
          <w:r>
            <w:fldChar w:fldCharType="end"/>
          </w:r>
          <w:r>
            <w:rPr>
              <w:rFonts w:asciiTheme="minorHAnsi" w:hAnsiTheme="minorHAnsi" w:eastAsiaTheme="minorHAnsi" w:cstheme="minorBidi"/>
              <w:bCs/>
              <w:kern w:val="0"/>
              <w:szCs w:val="22"/>
              <w:lang w:val="en-GB" w:eastAsia="en-US"/>
            </w:rPr>
            <w:fldChar w:fldCharType="end"/>
          </w:r>
        </w:p>
        <w:p>
          <w:pPr>
            <w:pStyle w:val="7"/>
            <w:tabs>
              <w:tab w:val="right" w:leader="dot" w:pos="8306"/>
            </w:tabs>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_Toc26730 </w:instrText>
          </w:r>
          <w:r>
            <w:rPr>
              <w:rFonts w:asciiTheme="minorHAnsi" w:hAnsiTheme="minorHAnsi" w:eastAsiaTheme="minorHAnsi" w:cstheme="minorBidi"/>
              <w:bCs/>
              <w:kern w:val="0"/>
              <w:szCs w:val="22"/>
              <w:lang w:val="en-GB" w:eastAsia="en-US"/>
            </w:rPr>
            <w:fldChar w:fldCharType="separate"/>
          </w:r>
          <w:r>
            <w:rPr>
              <w:rFonts w:hint="default"/>
              <w:lang w:val="en-US" w:eastAsia="zh-CN"/>
            </w:rPr>
            <w:t>P</w:t>
          </w:r>
          <w:r>
            <w:rPr>
              <w:rFonts w:hint="eastAsia"/>
              <w:lang w:val="en-US" w:eastAsia="zh-CN"/>
            </w:rPr>
            <w:t xml:space="preserve">ART </w:t>
          </w:r>
          <w:r>
            <w:rPr>
              <w:rFonts w:hint="default"/>
              <w:lang w:val="en-US" w:eastAsia="zh-CN"/>
            </w:rPr>
            <w:t>I</w:t>
          </w:r>
          <w:r>
            <w:tab/>
          </w:r>
          <w:r>
            <w:fldChar w:fldCharType="begin"/>
          </w:r>
          <w:r>
            <w:instrText xml:space="preserve"> PAGEREF _Toc26730 \h </w:instrText>
          </w:r>
          <w:r>
            <w:fldChar w:fldCharType="separate"/>
          </w:r>
          <w:r>
            <w:t>5</w:t>
          </w:r>
          <w:r>
            <w:fldChar w:fldCharType="end"/>
          </w:r>
          <w:r>
            <w:rPr>
              <w:rFonts w:asciiTheme="minorHAnsi" w:hAnsiTheme="minorHAnsi" w:eastAsiaTheme="minorHAnsi" w:cstheme="minorBidi"/>
              <w:bCs/>
              <w:kern w:val="0"/>
              <w:szCs w:val="22"/>
              <w:lang w:val="en-GB" w:eastAsia="en-US"/>
            </w:rPr>
            <w:fldChar w:fldCharType="end"/>
          </w:r>
        </w:p>
        <w:p>
          <w:pPr>
            <w:pStyle w:val="6"/>
            <w:tabs>
              <w:tab w:val="right" w:leader="dot" w:pos="8306"/>
            </w:tabs>
            <w:ind w:firstLine="220" w:firstLineChars="100"/>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_Toc9018 </w:instrText>
          </w:r>
          <w:r>
            <w:rPr>
              <w:rFonts w:asciiTheme="minorHAnsi" w:hAnsiTheme="minorHAnsi" w:eastAsiaTheme="minorHAnsi" w:cstheme="minorBidi"/>
              <w:bCs/>
              <w:kern w:val="0"/>
              <w:szCs w:val="22"/>
              <w:lang w:val="en-GB" w:eastAsia="en-US"/>
            </w:rPr>
            <w:fldChar w:fldCharType="separate"/>
          </w:r>
          <w:r>
            <w:rPr>
              <w:rFonts w:hint="eastAsia"/>
              <w:bCs w:val="0"/>
              <w:lang w:val="en-US" w:eastAsia="zh-CN"/>
            </w:rPr>
            <w:t>(A)</w:t>
          </w:r>
          <w:r>
            <w:rPr>
              <w:rFonts w:hint="default"/>
              <w:bCs w:val="0"/>
              <w:lang w:val="en-US" w:eastAsia="zh-CN"/>
            </w:rPr>
            <w:t>The divisional performance</w:t>
          </w:r>
          <w:r>
            <w:tab/>
          </w:r>
          <w:r>
            <w:fldChar w:fldCharType="begin"/>
          </w:r>
          <w:r>
            <w:instrText xml:space="preserve"> PAGEREF _Toc9018 \h </w:instrText>
          </w:r>
          <w:r>
            <w:fldChar w:fldCharType="separate"/>
          </w:r>
          <w:r>
            <w:t>5</w:t>
          </w:r>
          <w:r>
            <w:fldChar w:fldCharType="end"/>
          </w:r>
          <w:r>
            <w:rPr>
              <w:rFonts w:asciiTheme="minorHAnsi" w:hAnsiTheme="minorHAnsi" w:eastAsiaTheme="minorHAnsi" w:cstheme="minorBidi"/>
              <w:bCs/>
              <w:kern w:val="0"/>
              <w:szCs w:val="22"/>
              <w:lang w:val="en-GB" w:eastAsia="en-US"/>
            </w:rPr>
            <w:fldChar w:fldCharType="end"/>
          </w:r>
        </w:p>
        <w:p>
          <w:pPr>
            <w:pStyle w:val="5"/>
            <w:tabs>
              <w:tab w:val="right" w:leader="dot" w:pos="8306"/>
            </w:tabs>
            <w:ind w:left="0" w:leftChars="0" w:firstLine="210" w:firstLineChars="100"/>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_Toc25311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(B)</w:t>
          </w:r>
          <w:r>
            <w:rPr>
              <w:rFonts w:hint="default"/>
              <w:lang w:val="en-US" w:eastAsia="zh-CN"/>
            </w:rPr>
            <w:t>A transfer pricing system:</w:t>
          </w:r>
          <w:r>
            <w:tab/>
          </w:r>
          <w:r>
            <w:fldChar w:fldCharType="begin"/>
          </w:r>
          <w:r>
            <w:instrText xml:space="preserve"> PAGEREF _Toc25311 \h </w:instrText>
          </w:r>
          <w:r>
            <w:fldChar w:fldCharType="separate"/>
          </w:r>
          <w:r>
            <w:t>7</w:t>
          </w:r>
          <w:r>
            <w:fldChar w:fldCharType="end"/>
          </w:r>
          <w:r>
            <w:rPr>
              <w:rFonts w:asciiTheme="minorHAnsi" w:hAnsiTheme="minorHAnsi" w:eastAsiaTheme="minorHAnsi" w:cstheme="minorBidi"/>
              <w:bCs/>
              <w:kern w:val="0"/>
              <w:szCs w:val="22"/>
              <w:lang w:val="en-GB" w:eastAsia="en-US"/>
            </w:rPr>
            <w:fldChar w:fldCharType="end"/>
          </w:r>
        </w:p>
        <w:p>
          <w:pPr>
            <w:pStyle w:val="5"/>
            <w:tabs>
              <w:tab w:val="right" w:leader="dot" w:pos="8306"/>
            </w:tabs>
            <w:ind w:left="0" w:leftChars="0" w:firstLine="210" w:firstLineChars="100"/>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_Toc29217 </w:instrText>
          </w:r>
          <w:r>
            <w:rPr>
              <w:rFonts w:asciiTheme="minorHAnsi" w:hAnsiTheme="minorHAnsi" w:eastAsiaTheme="minorHAnsi" w:cstheme="minorBidi"/>
              <w:bCs/>
              <w:kern w:val="0"/>
              <w:szCs w:val="22"/>
              <w:lang w:val="en-GB" w:eastAsia="en-US"/>
            </w:rPr>
            <w:fldChar w:fldCharType="separate"/>
          </w:r>
          <w:r>
            <w:rPr>
              <w:rFonts w:hint="default"/>
              <w:lang w:val="en-US" w:eastAsia="zh-CN"/>
            </w:rPr>
            <w:t xml:space="preserve">(C) </w:t>
          </w:r>
          <w:r>
            <w:rPr>
              <w:rFonts w:hint="eastAsia"/>
              <w:lang w:val="en-US" w:eastAsia="zh-CN"/>
            </w:rPr>
            <w:t>T</w:t>
          </w:r>
          <w:r>
            <w:t>he potential impact of the introduction of the new executive information system at Wirral on performance management.</w:t>
          </w:r>
          <w:r>
            <w:tab/>
          </w:r>
          <w:r>
            <w:fldChar w:fldCharType="begin"/>
          </w:r>
          <w:r>
            <w:instrText xml:space="preserve"> PAGEREF _Toc29217 \h </w:instrText>
          </w:r>
          <w:r>
            <w:fldChar w:fldCharType="separate"/>
          </w:r>
          <w:r>
            <w:t>9</w:t>
          </w:r>
          <w:r>
            <w:fldChar w:fldCharType="end"/>
          </w:r>
          <w:r>
            <w:rPr>
              <w:rFonts w:asciiTheme="minorHAnsi" w:hAnsiTheme="minorHAnsi" w:eastAsiaTheme="minorHAnsi" w:cstheme="minorBidi"/>
              <w:bCs/>
              <w:kern w:val="0"/>
              <w:szCs w:val="22"/>
              <w:lang w:val="en-GB" w:eastAsia="en-US"/>
            </w:rPr>
            <w:fldChar w:fldCharType="end"/>
          </w:r>
        </w:p>
        <w:p>
          <w:pPr>
            <w:pStyle w:val="7"/>
            <w:tabs>
              <w:tab w:val="right" w:leader="dot" w:pos="8306"/>
            </w:tabs>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_Toc15991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PART II</w:t>
          </w:r>
          <w:r>
            <w:tab/>
          </w:r>
          <w:r>
            <w:fldChar w:fldCharType="begin"/>
          </w:r>
          <w:r>
            <w:instrText xml:space="preserve"> PAGEREF _Toc15991 \h </w:instrText>
          </w:r>
          <w:r>
            <w:fldChar w:fldCharType="separate"/>
          </w:r>
          <w:r>
            <w:t>10</w:t>
          </w:r>
          <w:r>
            <w:fldChar w:fldCharType="end"/>
          </w:r>
          <w:r>
            <w:rPr>
              <w:rFonts w:asciiTheme="minorHAnsi" w:hAnsiTheme="minorHAnsi" w:eastAsiaTheme="minorHAnsi" w:cstheme="minorBidi"/>
              <w:bCs/>
              <w:kern w:val="0"/>
              <w:szCs w:val="22"/>
              <w:lang w:val="en-GB" w:eastAsia="en-US"/>
            </w:rPr>
            <w:fldChar w:fldCharType="end"/>
          </w:r>
        </w:p>
        <w:p>
          <w:pPr>
            <w:pStyle w:val="5"/>
            <w:tabs>
              <w:tab w:val="right" w:leader="dot" w:pos="8306"/>
            </w:tabs>
            <w:ind w:left="0" w:leftChars="0" w:firstLine="420" w:firstLineChars="200"/>
          </w:pPr>
          <w:r>
            <w:rPr>
              <w:rFonts w:hint="eastAsia" w:asciiTheme="minorHAnsi" w:hAnsiTheme="minorHAnsi" w:cstheme="minorBidi"/>
              <w:bCs/>
              <w:kern w:val="0"/>
              <w:szCs w:val="22"/>
              <w:lang w:val="en-US" w:eastAsia="zh-CN"/>
            </w:rPr>
            <w:t>(A)</w:t>
          </w: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_Toc32018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The growth crisis facing the Defoe brand and the company</w:t>
          </w:r>
          <w:r>
            <w:tab/>
          </w:r>
          <w:r>
            <w:fldChar w:fldCharType="begin"/>
          </w:r>
          <w:r>
            <w:instrText xml:space="preserve"> PAGEREF _Toc32018 \h </w:instrText>
          </w:r>
          <w:r>
            <w:fldChar w:fldCharType="separate"/>
          </w:r>
          <w:r>
            <w:t>10</w:t>
          </w:r>
          <w:r>
            <w:fldChar w:fldCharType="end"/>
          </w:r>
          <w:r>
            <w:rPr>
              <w:rFonts w:asciiTheme="minorHAnsi" w:hAnsiTheme="minorHAnsi" w:eastAsiaTheme="minorHAnsi" w:cstheme="minorBidi"/>
              <w:bCs/>
              <w:kern w:val="0"/>
              <w:szCs w:val="22"/>
              <w:lang w:val="en-GB" w:eastAsia="en-US"/>
            </w:rPr>
            <w:fldChar w:fldCharType="end"/>
          </w:r>
        </w:p>
        <w:p>
          <w:pPr>
            <w:pStyle w:val="5"/>
            <w:tabs>
              <w:tab w:val="right" w:leader="dot" w:pos="8306"/>
            </w:tabs>
            <w:ind w:left="0" w:leftChars="0" w:firstLine="420" w:firstLineChars="200"/>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_Toc24730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(B)The balanced Scorecard</w:t>
          </w:r>
          <w:r>
            <w:tab/>
          </w:r>
          <w:r>
            <w:fldChar w:fldCharType="begin"/>
          </w:r>
          <w:r>
            <w:instrText xml:space="preserve"> PAGEREF _Toc24730 \h </w:instrText>
          </w:r>
          <w:r>
            <w:fldChar w:fldCharType="separate"/>
          </w:r>
          <w:r>
            <w:t>11</w:t>
          </w:r>
          <w:r>
            <w:fldChar w:fldCharType="end"/>
          </w:r>
          <w:r>
            <w:rPr>
              <w:rFonts w:asciiTheme="minorHAnsi" w:hAnsiTheme="minorHAnsi" w:eastAsiaTheme="minorHAnsi" w:cstheme="minorBidi"/>
              <w:bCs/>
              <w:kern w:val="0"/>
              <w:szCs w:val="22"/>
              <w:lang w:val="en-GB" w:eastAsia="en-US"/>
            </w:rPr>
            <w:fldChar w:fldCharType="end"/>
          </w:r>
        </w:p>
        <w:p>
          <w:pPr>
            <w:pStyle w:val="5"/>
            <w:tabs>
              <w:tab w:val="right" w:leader="dot" w:pos="8306"/>
            </w:tabs>
            <w:ind w:left="0" w:leftChars="0" w:firstLine="420" w:firstLineChars="200"/>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_Toc31079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(C) The need for business process re-engineering</w:t>
          </w:r>
          <w:r>
            <w:tab/>
          </w:r>
          <w:r>
            <w:fldChar w:fldCharType="begin"/>
          </w:r>
          <w:r>
            <w:instrText xml:space="preserve"> PAGEREF _Toc31079 \h </w:instrText>
          </w:r>
          <w:r>
            <w:fldChar w:fldCharType="separate"/>
          </w:r>
          <w:r>
            <w:t>13</w:t>
          </w:r>
          <w:r>
            <w:fldChar w:fldCharType="end"/>
          </w:r>
          <w:r>
            <w:rPr>
              <w:rFonts w:asciiTheme="minorHAnsi" w:hAnsiTheme="minorHAnsi" w:eastAsiaTheme="minorHAnsi" w:cstheme="minorBidi"/>
              <w:bCs/>
              <w:kern w:val="0"/>
              <w:szCs w:val="22"/>
              <w:lang w:val="en-GB" w:eastAsia="en-US"/>
            </w:rPr>
            <w:fldChar w:fldCharType="end"/>
          </w:r>
        </w:p>
        <w:p>
          <w:pPr>
            <w:pStyle w:val="6"/>
            <w:tabs>
              <w:tab w:val="right" w:leader="dot" w:pos="8306"/>
            </w:tabs>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_Toc16518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Conclusions:</w:t>
          </w:r>
          <w:r>
            <w:tab/>
          </w:r>
          <w:r>
            <w:fldChar w:fldCharType="begin"/>
          </w:r>
          <w:r>
            <w:instrText xml:space="preserve"> PAGEREF _Toc16518 \h </w:instrText>
          </w:r>
          <w:r>
            <w:fldChar w:fldCharType="separate"/>
          </w:r>
          <w:r>
            <w:t>15</w:t>
          </w:r>
          <w:r>
            <w:fldChar w:fldCharType="end"/>
          </w:r>
          <w:r>
            <w:rPr>
              <w:rFonts w:asciiTheme="minorHAnsi" w:hAnsiTheme="minorHAnsi" w:eastAsiaTheme="minorHAnsi" w:cstheme="minorBidi"/>
              <w:bCs/>
              <w:kern w:val="0"/>
              <w:szCs w:val="22"/>
              <w:lang w:val="en-GB" w:eastAsia="en-US"/>
            </w:rPr>
            <w:fldChar w:fldCharType="end"/>
          </w:r>
        </w:p>
        <w:p>
          <w:pPr>
            <w:pStyle w:val="6"/>
            <w:tabs>
              <w:tab w:val="right" w:leader="dot" w:pos="8306"/>
            </w:tabs>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_Toc25479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References</w:t>
          </w:r>
          <w:r>
            <w:tab/>
          </w:r>
          <w:r>
            <w:fldChar w:fldCharType="begin"/>
          </w:r>
          <w:r>
            <w:instrText xml:space="preserve"> PAGEREF _Toc25479 \h </w:instrText>
          </w:r>
          <w:r>
            <w:fldChar w:fldCharType="separate"/>
          </w:r>
          <w:r>
            <w:t>15</w:t>
          </w:r>
          <w:r>
            <w:fldChar w:fldCharType="end"/>
          </w:r>
          <w:r>
            <w:rPr>
              <w:rFonts w:asciiTheme="minorHAnsi" w:hAnsiTheme="minorHAnsi" w:eastAsiaTheme="minorHAnsi" w:cstheme="minorBidi"/>
              <w:bCs/>
              <w:kern w:val="0"/>
              <w:szCs w:val="22"/>
              <w:lang w:val="en-GB" w:eastAsia="en-US"/>
            </w:rPr>
            <w:fldChar w:fldCharType="end"/>
          </w:r>
        </w:p>
        <w:p>
          <w:pPr>
            <w:pStyle w:val="6"/>
            <w:tabs>
              <w:tab w:val="right" w:leader="dot" w:pos="8306"/>
            </w:tabs>
          </w:pPr>
          <w:r>
            <w:rPr>
              <w:rFonts w:asciiTheme="minorHAnsi" w:hAnsiTheme="minorHAnsi" w:eastAsiaTheme="minorHAnsi" w:cstheme="minorBidi"/>
              <w:bCs/>
              <w:kern w:val="0"/>
              <w:szCs w:val="22"/>
              <w:lang w:val="en-GB" w:eastAsia="en-US"/>
            </w:rPr>
            <w:fldChar w:fldCharType="begin"/>
          </w:r>
          <w:r>
            <w:rPr>
              <w:rFonts w:asciiTheme="minorHAnsi" w:hAnsiTheme="minorHAnsi" w:eastAsiaTheme="minorHAnsi" w:cstheme="minorBidi"/>
              <w:bCs/>
              <w:kern w:val="0"/>
              <w:szCs w:val="22"/>
              <w:lang w:val="en-GB" w:eastAsia="en-US"/>
            </w:rPr>
            <w:instrText xml:space="preserve"> HYPERLINK \l _Toc19102 </w:instrText>
          </w:r>
          <w:r>
            <w:rPr>
              <w:rFonts w:asciiTheme="minorHAnsi" w:hAnsiTheme="minorHAnsi" w:eastAsiaTheme="minorHAnsi" w:cstheme="minorBidi"/>
              <w:bCs/>
              <w:kern w:val="0"/>
              <w:szCs w:val="22"/>
              <w:lang w:val="en-GB" w:eastAsia="en-US"/>
            </w:rPr>
            <w:fldChar w:fldCharType="separate"/>
          </w:r>
          <w:r>
            <w:rPr>
              <w:rFonts w:hint="eastAsia"/>
              <w:lang w:val="en-US" w:eastAsia="zh-CN"/>
            </w:rPr>
            <w:t>Appendix</w:t>
          </w:r>
          <w:r>
            <w:tab/>
          </w:r>
          <w:r>
            <w:fldChar w:fldCharType="begin"/>
          </w:r>
          <w:r>
            <w:instrText xml:space="preserve"> PAGEREF _Toc19102 \h </w:instrText>
          </w:r>
          <w:r>
            <w:fldChar w:fldCharType="separate"/>
          </w:r>
          <w:r>
            <w:t>16</w:t>
          </w:r>
          <w:r>
            <w:fldChar w:fldCharType="end"/>
          </w:r>
          <w:r>
            <w:rPr>
              <w:rFonts w:asciiTheme="minorHAnsi" w:hAnsiTheme="minorHAnsi" w:eastAsiaTheme="minorHAnsi" w:cstheme="minorBidi"/>
              <w:bCs/>
              <w:kern w:val="0"/>
              <w:szCs w:val="22"/>
              <w:lang w:val="en-GB" w:eastAsia="en-US"/>
            </w:rPr>
            <w:fldChar w:fldCharType="end"/>
          </w:r>
        </w:p>
        <w:p>
          <w:pPr>
            <w:widowControl/>
            <w:spacing w:after="160" w:line="259" w:lineRule="auto"/>
            <w:jc w:val="left"/>
            <w:rPr>
              <w:rFonts w:asciiTheme="minorHAnsi" w:hAnsiTheme="minorHAnsi" w:eastAsiaTheme="minorHAnsi" w:cstheme="minorBidi"/>
              <w:kern w:val="0"/>
              <w:sz w:val="22"/>
              <w:szCs w:val="22"/>
              <w:lang w:val="en-GB" w:eastAsia="en-US"/>
            </w:rPr>
          </w:pPr>
          <w:r>
            <w:rPr>
              <w:rFonts w:asciiTheme="minorHAnsi" w:hAnsiTheme="minorHAnsi" w:eastAsiaTheme="minorHAnsi" w:cstheme="minorBidi"/>
              <w:bCs/>
              <w:kern w:val="0"/>
              <w:szCs w:val="22"/>
              <w:lang w:val="en-GB" w:eastAsia="en-US"/>
            </w:rPr>
            <w:fldChar w:fldCharType="end"/>
          </w:r>
        </w:p>
      </w:sdtContent>
    </w:sdt>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jc w:val="center"/>
        <w:rPr>
          <w:rFonts w:hint="default" w:ascii="Times New Roman" w:hAnsi="Times New Roman" w:cs="Times New Roman"/>
          <w:b/>
          <w:bCs/>
          <w:lang w:val="en-US" w:eastAsia="zh-CN"/>
        </w:rPr>
      </w:pPr>
    </w:p>
    <w:p>
      <w:pPr>
        <w:pStyle w:val="2"/>
        <w:bidi w:val="0"/>
        <w:rPr>
          <w:rFonts w:hint="eastAsia"/>
          <w:lang w:val="en-US" w:eastAsia="zh-CN"/>
        </w:rPr>
      </w:pPr>
      <w:bookmarkStart w:id="0" w:name="_Toc25872"/>
      <w:r>
        <w:rPr>
          <w:rFonts w:hint="eastAsia"/>
          <w:lang w:val="en-US" w:eastAsia="zh-CN"/>
        </w:rPr>
        <w:t>Executive Summary</w:t>
      </w:r>
      <w:bookmarkEnd w:id="0"/>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report is mainly focused on case study of two parts. </w:t>
      </w:r>
      <w:r>
        <w:rPr>
          <w:rFonts w:hint="default" w:ascii="Times New Roman" w:hAnsi="Times New Roman" w:cs="Times New Roman"/>
          <w:sz w:val="24"/>
          <w:szCs w:val="24"/>
          <w:lang w:val="en-US" w:eastAsia="zh-CN"/>
        </w:rPr>
        <w:t xml:space="preserve">For part </w:t>
      </w:r>
      <w:r>
        <w:rPr>
          <w:rFonts w:hint="eastAsia" w:ascii="Times New Roman" w:hAnsi="Times New Roman" w:cs="Times New Roman"/>
          <w:sz w:val="24"/>
          <w:szCs w:val="24"/>
          <w:lang w:val="en-US" w:eastAsia="zh-CN"/>
        </w:rPr>
        <w:t>I(Wirral Fabrication plc manufactures)</w:t>
      </w:r>
      <w:r>
        <w:rPr>
          <w:rFonts w:hint="default" w:ascii="Times New Roman" w:hAnsi="Times New Roman" w:cs="Times New Roman"/>
          <w:sz w:val="24"/>
          <w:szCs w:val="24"/>
          <w:lang w:val="en-US" w:eastAsia="zh-CN"/>
        </w:rPr>
        <w:t xml:space="preserve">, the purpose of this report is to make an in-depth assessment of the performance of the divisions at Wirral is required, along with a thorough analysis of the suggested indicators for evaluating divisional performance. Additionally, </w:t>
      </w:r>
      <w:r>
        <w:rPr>
          <w:rFonts w:hint="eastAsia" w:ascii="Times New Roman" w:hAnsi="Times New Roman" w:cs="Times New Roman"/>
          <w:sz w:val="24"/>
          <w:szCs w:val="24"/>
          <w:lang w:val="en-US" w:eastAsia="zh-CN"/>
        </w:rPr>
        <w:t xml:space="preserve">this report also </w:t>
      </w:r>
      <w:r>
        <w:rPr>
          <w:rFonts w:hint="default" w:ascii="Times New Roman" w:hAnsi="Times New Roman" w:cs="Times New Roman"/>
          <w:sz w:val="24"/>
          <w:szCs w:val="24"/>
          <w:lang w:val="en-US" w:eastAsia="zh-CN"/>
        </w:rPr>
        <w:t>provide</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an overview of the criteria that should be considered when designing a transfer pricing system, as well as a critical evaluation of the two methods proposed for calculating the transfer price between the service and M/S divisions. </w:t>
      </w:r>
      <w:r>
        <w:rPr>
          <w:rFonts w:hint="eastAsia" w:ascii="Times New Roman" w:hAnsi="Times New Roman" w:cs="Times New Roman"/>
          <w:sz w:val="24"/>
          <w:szCs w:val="24"/>
          <w:lang w:val="en-US" w:eastAsia="zh-CN"/>
        </w:rPr>
        <w:t>Moreover, this report</w:t>
      </w:r>
      <w:r>
        <w:rPr>
          <w:rFonts w:hint="default" w:ascii="Times New Roman" w:hAnsi="Times New Roman" w:cs="Times New Roman"/>
          <w:sz w:val="24"/>
          <w:szCs w:val="24"/>
          <w:lang w:val="en-US" w:eastAsia="zh-CN"/>
        </w:rPr>
        <w:t xml:space="preserve"> evaluate</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the potential effects that the implementation of the new executive information system at Wirral may have on performance management.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 for part II(Defoe company), this report focuses on the growth crisis facing the Defoe brand and the company, providing quantitative and qualitative performance analysis by using the balanced scoreboard. In addition, this report also discusses the need for business process re-engineering.</w:t>
      </w:r>
    </w:p>
    <w:p>
      <w:pPr>
        <w:rPr>
          <w:rFonts w:hint="default" w:ascii="Times New Roman" w:hAnsi="Times New Roman" w:cs="Times New Roman"/>
          <w:lang w:val="en-US" w:eastAsia="zh-CN"/>
        </w:rPr>
      </w:pPr>
    </w:p>
    <w:p>
      <w:pPr>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bidi w:val="0"/>
        <w:rPr>
          <w:rFonts w:hint="eastAsia"/>
          <w:lang w:val="en-US" w:eastAsia="zh-CN"/>
        </w:rPr>
      </w:pPr>
    </w:p>
    <w:p>
      <w:pPr>
        <w:bidi w:val="0"/>
        <w:rPr>
          <w:rFonts w:hint="eastAsia"/>
          <w:lang w:val="en-US" w:eastAsia="zh-CN"/>
        </w:rPr>
      </w:pPr>
    </w:p>
    <w:p>
      <w:pPr>
        <w:pStyle w:val="2"/>
        <w:bidi w:val="0"/>
        <w:rPr>
          <w:rFonts w:hint="eastAsia"/>
          <w:lang w:val="en-US" w:eastAsia="zh-CN"/>
        </w:rPr>
      </w:pPr>
      <w:bookmarkStart w:id="1" w:name="_Toc12327"/>
    </w:p>
    <w:p>
      <w:pPr>
        <w:bidi w:val="0"/>
        <w:rPr>
          <w:rFonts w:hint="eastAsia"/>
          <w:lang w:val="en-US" w:eastAsia="zh-CN"/>
        </w:rPr>
      </w:pPr>
    </w:p>
    <w:p>
      <w:pPr>
        <w:bidi w:val="0"/>
        <w:rPr>
          <w:rFonts w:hint="eastAsia"/>
          <w:lang w:val="en-US" w:eastAsia="zh-CN"/>
        </w:rPr>
      </w:pPr>
      <w:r>
        <w:rPr>
          <w:rFonts w:hint="eastAsia"/>
          <w:lang w:val="en-US" w:eastAsia="zh-CN"/>
        </w:rPr>
        <w:br w:type="textWrapping"/>
      </w:r>
    </w:p>
    <w:p>
      <w:pPr>
        <w:bidi w:val="0"/>
        <w:rPr>
          <w:rFonts w:hint="eastAsia"/>
          <w:lang w:val="en-US" w:eastAsia="zh-CN"/>
        </w:rPr>
      </w:pPr>
    </w:p>
    <w:p>
      <w:pPr>
        <w:pStyle w:val="2"/>
        <w:bidi w:val="0"/>
        <w:rPr>
          <w:rFonts w:hint="eastAsia"/>
          <w:lang w:val="en-US" w:eastAsia="zh-CN"/>
        </w:rPr>
      </w:pPr>
      <w:r>
        <w:rPr>
          <w:rFonts w:hint="eastAsia"/>
          <w:lang w:val="en-US" w:eastAsia="zh-CN"/>
        </w:rPr>
        <w:t>Introduction</w:t>
      </w:r>
      <w:bookmarkEnd w:id="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Wirral Fabrication plc manufactures automotive polishing machines for use in machinery warehouses and workshops. The company has been successful over the past five years, building and retaining a loyal customer base by producing high-quality machines with five-year warranties. The guarantee provides that Wirral will restore and repair any machine that fails during the guarantee period at no additional cost to the customer. In addition, Wirral always has enough spare parts in stock to provide a repair quote for any machine built in the last ten years.</w:t>
      </w: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Wirral is</w:t>
      </w:r>
      <w:r>
        <w:rPr>
          <w:rFonts w:hint="eastAsia" w:ascii="Times New Roman" w:hAnsi="Times New Roman" w:cs="Times New Roman"/>
          <w:sz w:val="24"/>
          <w:szCs w:val="24"/>
          <w:lang w:val="en-US" w:eastAsia="zh-CN"/>
        </w:rPr>
        <w:t xml:space="preserve"> now</w:t>
      </w:r>
      <w:r>
        <w:rPr>
          <w:rFonts w:hint="default" w:ascii="Times New Roman" w:hAnsi="Times New Roman" w:cs="Times New Roman"/>
          <w:sz w:val="24"/>
          <w:szCs w:val="24"/>
          <w:lang w:val="en-US" w:eastAsia="zh-CN"/>
        </w:rPr>
        <w:t xml:space="preserve"> divided into two divisions: Manufacturing/Sales (i.e. M/S) and Services. The Board of Directors is currently considering how to better coordinate the activities of the business areas for the benefit of the entire company.</w:t>
      </w:r>
      <w:r>
        <w:rPr>
          <w:rFonts w:hint="eastAsia"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Moreover, </w:t>
      </w:r>
      <w:r>
        <w:rPr>
          <w:rFonts w:hint="default" w:ascii="Times New Roman" w:hAnsi="Times New Roman" w:cs="Times New Roman"/>
          <w:sz w:val="24"/>
          <w:szCs w:val="24"/>
          <w:lang w:val="en-US" w:eastAsia="zh-CN"/>
        </w:rPr>
        <w:t>Defoe is a footwear brand owned by Defoe Footwear Limited, a private limited company. The company is a mid-sized footwear designer and retailer founded by Ms Jocelyn Jones in Tower Hamlets, London, shortly after the global financial crisis in 2010, supplying shoes, sandals, boots and accessories to an upper-middle class clientele. The company started as a small store proprietorship until it became profitable in 2013. In 2015, Jocelyn registered the company as a limited company. Ms Jocelyn Jones remains the sole owner of Defoe Footwear Limited. The number of employees increased from 1 in 2010 to 23 in 2023. The company's span of control is flat, with all employees reporting directly to Ms. Jocelyn Jones. The company is divided into four units</w:t>
      </w:r>
      <w:r>
        <w:rPr>
          <w:rFonts w:hint="eastAsia" w:ascii="Times New Roman" w:hAnsi="Times New Roman" w:cs="Times New Roman"/>
          <w:sz w:val="24"/>
          <w:szCs w:val="24"/>
          <w:lang w:val="en-US" w:eastAsia="zh-CN"/>
        </w:rPr>
        <w:t>.</w:t>
      </w:r>
    </w:p>
    <w:p>
      <w:pPr>
        <w:rPr>
          <w:rFonts w:hint="eastAsia" w:ascii="Times New Roman" w:hAnsi="Times New Roman" w:cs="Times New Roman"/>
          <w:sz w:val="24"/>
          <w:szCs w:val="24"/>
          <w:lang w:val="en-US" w:eastAsia="zh-CN"/>
        </w:rPr>
      </w:pPr>
    </w:p>
    <w:p>
      <w:pPr>
        <w:rPr>
          <w:rFonts w:hint="eastAsia"/>
          <w:lang w:val="en-US" w:eastAsia="zh-CN"/>
        </w:rPr>
      </w:pPr>
      <w:r>
        <w:rPr>
          <w:rFonts w:hint="eastAsia" w:ascii="Times New Roman" w:hAnsi="Times New Roman" w:cs="Times New Roman"/>
          <w:sz w:val="24"/>
          <w:szCs w:val="24"/>
          <w:lang w:val="en-US" w:eastAsia="zh-CN"/>
        </w:rPr>
        <w:t>In this report, we explore several of the key drivers and achievements of Wirral Fabrication plc and Defoe Footwear Limited, including divisional performance, transfer pricing systems, balanced scorecard implementation and business process reengineering (BPR). By analyzing these aspects, we aim to gain insights into how both companies optimize operations, increase efficiency and achieve sustainable growth in their respective industries.</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Keywords: Wirral, Defoe, Divisional performance, Transfer pricing system, Balanced scorecard, BPR.</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default"/>
          <w:lang w:val="en-US" w:eastAsia="zh-CN"/>
        </w:rPr>
      </w:pPr>
    </w:p>
    <w:p>
      <w:pPr>
        <w:pStyle w:val="2"/>
        <w:bidi w:val="0"/>
        <w:jc w:val="left"/>
        <w:rPr>
          <w:rFonts w:hint="default"/>
          <w:lang w:val="en-US" w:eastAsia="zh-CN"/>
        </w:rPr>
      </w:pPr>
      <w:bookmarkStart w:id="2" w:name="_Toc9132"/>
      <w:r>
        <w:rPr>
          <w:rFonts w:hint="eastAsia"/>
          <w:lang w:val="en-US" w:eastAsia="zh-CN"/>
        </w:rPr>
        <w:t>Main findings</w:t>
      </w:r>
      <w:bookmarkEnd w:id="2"/>
    </w:p>
    <w:p>
      <w:pPr>
        <w:pStyle w:val="3"/>
        <w:bidi w:val="0"/>
        <w:jc w:val="center"/>
        <w:rPr>
          <w:rFonts w:hint="default" w:ascii="Times New Roman" w:hAnsi="Times New Roman" w:cs="Times New Roman"/>
        </w:rPr>
      </w:pPr>
      <w:bookmarkStart w:id="3" w:name="_Toc26730"/>
      <w:r>
        <w:rPr>
          <w:rFonts w:hint="default"/>
          <w:lang w:val="en-US" w:eastAsia="zh-CN"/>
        </w:rPr>
        <w:t>Part I</w:t>
      </w:r>
      <w:bookmarkEnd w:id="3"/>
    </w:p>
    <w:p>
      <w:pPr>
        <w:pStyle w:val="2"/>
        <w:numPr>
          <w:ilvl w:val="0"/>
          <w:numId w:val="0"/>
        </w:numPr>
        <w:bidi w:val="0"/>
        <w:rPr>
          <w:rFonts w:hint="default"/>
          <w:b/>
          <w:bCs w:val="0"/>
          <w:lang w:val="en-US" w:eastAsia="zh-CN"/>
        </w:rPr>
      </w:pPr>
      <w:bookmarkStart w:id="4" w:name="_Toc9018"/>
      <w:r>
        <w:rPr>
          <w:rFonts w:hint="eastAsia"/>
          <w:b/>
          <w:bCs w:val="0"/>
          <w:lang w:val="en-US" w:eastAsia="zh-CN"/>
        </w:rPr>
        <w:t>(</w:t>
      </w:r>
      <w:r>
        <w:rPr>
          <w:rStyle w:val="14"/>
          <w:rFonts w:hint="eastAsia"/>
          <w:b/>
          <w:bCs w:val="0"/>
          <w:lang w:val="en-US" w:eastAsia="zh-CN"/>
        </w:rPr>
        <w:t>A)</w:t>
      </w:r>
      <w:r>
        <w:rPr>
          <w:rStyle w:val="14"/>
          <w:rFonts w:hint="default"/>
          <w:b/>
          <w:bCs w:val="0"/>
          <w:lang w:val="en-US" w:eastAsia="zh-CN"/>
        </w:rPr>
        <w:t>The divisional performance</w:t>
      </w:r>
      <w:bookmarkEnd w:id="4"/>
    </w:p>
    <w:p>
      <w:p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In this part, we mainly determine three indexes as the divisional performance examiner, they are:</w:t>
      </w:r>
    </w:p>
    <w:p>
      <w:pPr>
        <w:rPr>
          <w:rFonts w:hint="default" w:ascii="Times New Roman" w:hAnsi="Times New Roman" w:cs="Times New Roman"/>
          <w:b/>
          <w:bCs/>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ROI(return on investment)</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current</w:t>
      </w:r>
      <w:r>
        <w:rPr>
          <w:rFonts w:hint="default" w:ascii="Times New Roman" w:hAnsi="Times New Roman" w:cs="Times New Roman"/>
          <w:b w:val="0"/>
          <w:bCs w:val="0"/>
          <w:sz w:val="24"/>
          <w:szCs w:val="24"/>
          <w:lang w:val="en-US" w:eastAsia="zh-CN"/>
        </w:rPr>
        <w:t xml:space="preserve"> examiner</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RI</w:t>
      </w:r>
      <w:r>
        <w:rPr>
          <w:rFonts w:hint="eastAsia" w:ascii="Times New Roman" w:hAnsi="Times New Roman" w:cs="Times New Roman"/>
          <w:b/>
          <w:bCs/>
          <w:sz w:val="24"/>
          <w:szCs w:val="24"/>
          <w:lang w:val="en-US" w:eastAsia="zh-CN"/>
        </w:rPr>
        <w:t>(</w:t>
      </w:r>
      <w:r>
        <w:rPr>
          <w:rFonts w:hint="default" w:ascii="Times New Roman" w:hAnsi="Times New Roman" w:cs="Times New Roman"/>
          <w:b/>
          <w:bCs/>
          <w:sz w:val="24"/>
          <w:szCs w:val="24"/>
          <w:lang w:val="en-US" w:eastAsia="zh-CN"/>
        </w:rPr>
        <w:t>Residual Income</w:t>
      </w:r>
      <w:r>
        <w:rPr>
          <w:rFonts w:hint="eastAsia" w:ascii="Times New Roman" w:hAnsi="Times New Roman" w:cs="Times New Roman"/>
          <w:b/>
          <w:bCs/>
          <w:sz w:val="24"/>
          <w:szCs w:val="24"/>
          <w:lang w:val="en-US" w:eastAsia="zh-CN"/>
        </w:rPr>
        <w:t>)</w:t>
      </w:r>
      <w:r>
        <w:rPr>
          <w:rFonts w:hint="default" w:ascii="Times New Roman" w:hAnsi="Times New Roman" w:cs="Times New Roman"/>
          <w:b/>
          <w:bCs/>
          <w:sz w:val="24"/>
          <w:szCs w:val="24"/>
          <w:lang w:val="en-US" w:eastAsia="zh-CN"/>
        </w:rPr>
        <w:t>:</w:t>
      </w:r>
      <w:r>
        <w:rPr>
          <w:rFonts w:hint="default" w:ascii="Times New Roman" w:hAnsi="Times New Roman" w:cs="Times New Roman"/>
          <w:b w:val="0"/>
          <w:bCs w:val="0"/>
          <w:sz w:val="24"/>
          <w:szCs w:val="24"/>
          <w:lang w:val="en-US" w:eastAsia="zh-CN"/>
        </w:rPr>
        <w:t>as a new examiner</w:t>
      </w:r>
    </w:p>
    <w:p>
      <w:pPr>
        <w:rPr>
          <w:rFonts w:hint="default" w:ascii="Times New Roman" w:hAnsi="Times New Roman" w:cs="Times New Roman"/>
          <w:b w:val="0"/>
          <w:bCs w:val="0"/>
          <w:sz w:val="24"/>
          <w:szCs w:val="24"/>
          <w:lang w:val="en-US" w:eastAsia="zh-CN"/>
        </w:rPr>
      </w:pPr>
      <w:r>
        <w:rPr>
          <w:rFonts w:hint="default" w:ascii="Times New Roman Bold" w:hAnsi="Times New Roman Bold" w:cs="Times New Roman Bold"/>
          <w:b/>
          <w:bCs/>
          <w:sz w:val="24"/>
          <w:szCs w:val="24"/>
        </w:rPr>
        <w:t>(EVA</w:t>
      </w:r>
      <w:r>
        <w:rPr>
          <w:rFonts w:hint="default" w:ascii="Times New Roman Bold" w:hAnsi="Times New Roman Bold" w:cs="Times New Roman Bold"/>
          <w:b/>
          <w:bCs/>
          <w:sz w:val="24"/>
          <w:szCs w:val="24"/>
          <w:vertAlign w:val="superscript"/>
        </w:rPr>
        <w:t>TM</w:t>
      </w:r>
      <w:r>
        <w:rPr>
          <w:rFonts w:hint="default" w:ascii="Times New Roman Bold" w:hAnsi="Times New Roman Bold" w:cs="Times New Roman Bold"/>
          <w:b/>
          <w:bCs/>
          <w:sz w:val="24"/>
          <w:szCs w:val="24"/>
        </w:rPr>
        <w:t xml:space="preserve">) </w:t>
      </w:r>
      <w:r>
        <w:rPr>
          <w:rFonts w:hint="eastAsia" w:ascii="Times New Roman" w:hAnsi="Times New Roman" w:cs="Times New Roman"/>
          <w:b/>
          <w:bCs/>
          <w:sz w:val="24"/>
          <w:szCs w:val="24"/>
          <w:lang w:val="en-US" w:eastAsia="zh-CN"/>
        </w:rPr>
        <w:t>(</w:t>
      </w:r>
      <w:r>
        <w:rPr>
          <w:rFonts w:hint="default" w:ascii="Times New Roman" w:hAnsi="Times New Roman" w:cs="Times New Roman"/>
          <w:b/>
          <w:bCs/>
          <w:sz w:val="24"/>
          <w:szCs w:val="24"/>
        </w:rPr>
        <w:t>economic value added</w:t>
      </w:r>
      <w:r>
        <w:rPr>
          <w:rFonts w:hint="eastAsia"/>
          <w:b/>
          <w:bCs/>
          <w:sz w:val="24"/>
          <w:szCs w:val="24"/>
          <w:lang w:val="en-US" w:eastAsia="zh-CN"/>
        </w:rPr>
        <w:t>)</w:t>
      </w:r>
      <w:r>
        <w:rPr>
          <w:rFonts w:hint="default" w:ascii="Times New Roman" w:hAnsi="Times New Roman" w:cs="Times New Roman"/>
          <w:b w:val="0"/>
          <w:bCs w:val="0"/>
          <w:sz w:val="24"/>
          <w:szCs w:val="24"/>
          <w:lang w:val="en-US" w:eastAsia="zh-CN"/>
        </w:rPr>
        <w:t>:as a new examiner.</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1)</w:t>
      </w:r>
      <w:r>
        <w:rPr>
          <w:rFonts w:hint="default" w:ascii="Times New Roman" w:hAnsi="Times New Roman" w:cs="Times New Roman"/>
          <w:b/>
          <w:bCs/>
          <w:sz w:val="24"/>
          <w:szCs w:val="24"/>
          <w:lang w:val="en-US" w:eastAsia="zh-CN"/>
        </w:rPr>
        <w:t>ROI</w:t>
      </w:r>
      <w:r>
        <w:rPr>
          <w:rFonts w:hint="default" w:ascii="Times New Roman" w:hAnsi="Times New Roman" w:cs="Times New Roman"/>
          <w:sz w:val="24"/>
          <w:szCs w:val="24"/>
          <w:lang w:val="en-US" w:eastAsia="zh-CN"/>
        </w:rPr>
        <w:t>= Net profit/Total Investment*100%</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Where: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Net Profit is the income generated from the investment after deducting all expenses.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Total Investment is the total cost of the investment.</w:t>
      </w:r>
    </w:p>
    <w:p>
      <w:pPr>
        <w:rPr>
          <w:rFonts w:hint="default" w:ascii="Times New Roman" w:hAnsi="Times New Roman" w:cs="Times New Roman"/>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ROI for M/S:</w:t>
      </w:r>
      <w:r>
        <w:rPr>
          <w:rFonts w:hint="default" w:ascii="Times New Roman" w:hAnsi="Times New Roman" w:cs="Times New Roman"/>
          <w:b w:val="0"/>
          <w:bCs w:val="0"/>
          <w:sz w:val="24"/>
          <w:szCs w:val="24"/>
          <w:lang w:val="en-US" w:eastAsia="zh-CN"/>
        </w:rPr>
        <w:t xml:space="preserve"> (301-301*30%)/1294 *100%=16.28%</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ROI for Service</w:t>
      </w:r>
      <w:r>
        <w:rPr>
          <w:rFonts w:hint="default" w:ascii="Times New Roman" w:hAnsi="Times New Roman" w:cs="Times New Roman"/>
          <w:b w:val="0"/>
          <w:bCs w:val="0"/>
          <w:sz w:val="24"/>
          <w:szCs w:val="24"/>
          <w:lang w:val="en-US" w:eastAsia="zh-CN"/>
        </w:rPr>
        <w:t>:(5-5*30%)/38*100%=9.2%</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RI</w:t>
      </w:r>
      <w:r>
        <w:rPr>
          <w:rFonts w:hint="default" w:ascii="Times New Roman" w:hAnsi="Times New Roman" w:cs="Times New Roman"/>
          <w:b w:val="0"/>
          <w:bCs w:val="0"/>
          <w:sz w:val="24"/>
          <w:szCs w:val="24"/>
          <w:lang w:val="en-US" w:eastAsia="zh-CN"/>
        </w:rPr>
        <w:t>=</w:t>
      </w:r>
      <w:r>
        <w:rPr>
          <w:rFonts w:hint="default" w:ascii="Times New Roman" w:hAnsi="Times New Roman" w:cs="Times New Roman"/>
          <w:b/>
          <w:bCs/>
          <w:sz w:val="24"/>
          <w:szCs w:val="24"/>
          <w:lang w:val="en-US" w:eastAsia="zh-CN"/>
        </w:rPr>
        <w:t>Operating income - Desired income</w:t>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And </w:t>
      </w:r>
      <w:r>
        <w:rPr>
          <w:rFonts w:hint="default" w:ascii="Times New Roman" w:hAnsi="Times New Roman" w:cs="Times New Roman"/>
          <w:b w:val="0"/>
          <w:bCs w:val="0"/>
          <w:sz w:val="24"/>
          <w:szCs w:val="24"/>
          <w:lang w:val="en-US" w:eastAsia="zh-CN"/>
        </w:rPr>
        <w:t>in most cases:</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Desired income = Minimum required rate of return x Operating assets</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Note: Usually, the minimum required rate of return is equal to </w:t>
      </w:r>
      <w:r>
        <w:rPr>
          <w:rFonts w:hint="default" w:ascii="Times New Roman" w:hAnsi="Times New Roman" w:cs="Times New Roman"/>
          <w:b/>
          <w:bCs/>
          <w:sz w:val="24"/>
          <w:szCs w:val="24"/>
          <w:lang w:val="en-US" w:eastAsia="zh-CN"/>
        </w:rPr>
        <w:t>the cost of capital</w:t>
      </w:r>
      <w:r>
        <w:rPr>
          <w:rFonts w:hint="default" w:ascii="Times New Roman" w:hAnsi="Times New Roman" w:cs="Times New Roman"/>
          <w:b w:val="0"/>
          <w:bCs w:val="0"/>
          <w:sz w:val="24"/>
          <w:szCs w:val="24"/>
          <w:lang w:val="en-US" w:eastAsia="zh-CN"/>
        </w:rPr>
        <w:t>. The average of the operating assets is used when possible.</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iCs/>
          <w:sz w:val="24"/>
          <w:szCs w:val="24"/>
        </w:rPr>
      </w:pPr>
      <m:oMath>
        <m:r>
          <m:rPr/>
          <w:rPr>
            <w:rFonts w:hint="default" w:ascii="Cambria Math" w:hAnsi="Cambria Math" w:cs="Times New Roman"/>
            <w:sz w:val="24"/>
            <w:szCs w:val="24"/>
            <w:lang w:val="en-US" w:eastAsia="zh-CN"/>
          </w:rPr>
          <m:t>Operating profit margin</m:t>
        </m:r>
        <m:r>
          <m:rPr/>
          <w:rPr>
            <w:rFonts w:hint="default" w:ascii="Cambria Math" w:hAnsi="Cambria Math" w:cs="Times New Roman"/>
            <w:sz w:val="24"/>
            <w:szCs w:val="24"/>
            <w:lang w:val="en-US"/>
          </w:rPr>
          <m:t>=</m:t>
        </m:r>
        <m:r>
          <m:rPr/>
          <w:rPr>
            <w:rFonts w:hint="default" w:ascii="Cambria Math" w:hAnsi="Cambria Math" w:cs="Times New Roman"/>
            <w:sz w:val="24"/>
            <w:szCs w:val="24"/>
            <w:lang w:val="en-US" w:eastAsia="zh-CN"/>
          </w:rPr>
          <m:t>100%∗</m:t>
        </m:r>
        <m:f>
          <m:fPr>
            <m:ctrlPr>
              <w:rPr>
                <w:rFonts w:hint="default" w:ascii="Cambria Math" w:hAnsi="Cambria Math" w:cs="Times New Roman"/>
                <w:b w:val="0"/>
                <w:bCs w:val="0"/>
                <w:i/>
                <w:sz w:val="24"/>
                <w:szCs w:val="24"/>
                <w:lang w:val="en-US"/>
              </w:rPr>
            </m:ctrlPr>
          </m:fPr>
          <m:num>
            <m:r>
              <m:rPr/>
              <w:rPr>
                <w:rFonts w:hint="default" w:ascii="Cambria Math" w:hAnsi="Cambria Math" w:cs="Times New Roman"/>
                <w:sz w:val="24"/>
                <w:szCs w:val="24"/>
                <w:lang w:val="en-US" w:eastAsia="zh-CN"/>
              </w:rPr>
              <m:t>Operating profit</m:t>
            </m:r>
            <m:ctrlPr>
              <w:rPr>
                <w:rFonts w:hint="default" w:ascii="Cambria Math" w:hAnsi="Cambria Math" w:cs="Times New Roman"/>
                <w:b w:val="0"/>
                <w:bCs w:val="0"/>
                <w:i/>
                <w:sz w:val="24"/>
                <w:szCs w:val="24"/>
                <w:lang w:val="en-US"/>
              </w:rPr>
            </m:ctrlPr>
          </m:num>
          <m:den>
            <m:r>
              <m:rPr/>
              <w:rPr>
                <w:rFonts w:hint="default" w:ascii="Cambria Math" w:hAnsi="Cambria Math" w:cs="Times New Roman"/>
                <w:sz w:val="24"/>
                <w:szCs w:val="24"/>
                <w:lang w:val="en-US" w:eastAsia="zh-CN"/>
              </w:rPr>
              <m:t>Sales Revenue</m:t>
            </m:r>
            <m:ctrlPr>
              <w:rPr>
                <w:rFonts w:hint="default" w:ascii="Cambria Math" w:hAnsi="Cambria Math" w:cs="Times New Roman"/>
                <w:b w:val="0"/>
                <w:bCs w:val="0"/>
                <w:i/>
                <w:sz w:val="24"/>
                <w:szCs w:val="24"/>
                <w:lang w:val="en-US"/>
              </w:rPr>
            </m:ctrlPr>
          </m:den>
        </m:f>
      </m:oMath>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iCs/>
          <w:sz w:val="24"/>
          <w:szCs w:val="24"/>
        </w:rPr>
        <w:t xml:space="preserve"> </w:t>
      </w:r>
    </w:p>
    <w:p>
      <w:pPr>
        <w:rPr>
          <w:rFonts w:hint="default" w:ascii="Times New Roman" w:hAnsi="Times New Roman" w:cs="Times New Roman"/>
          <w:b w:val="0"/>
          <w:bCs w:val="0"/>
          <w:sz w:val="24"/>
          <w:szCs w:val="24"/>
          <w:lang w:val="en-US" w:eastAsia="zh-CN"/>
        </w:rPr>
      </w:pPr>
      <m:oMathPara>
        <m:oMathParaPr>
          <m:jc m:val="left"/>
        </m:oMathParaPr>
        <m:oMath>
          <m:r>
            <m:rPr/>
            <w:rPr>
              <w:rFonts w:hint="default" w:ascii="Cambria Math" w:hAnsi="Cambria Math" w:cs="Times New Roman"/>
              <w:sz w:val="24"/>
              <w:szCs w:val="24"/>
              <w:lang w:val="en-US" w:eastAsia="zh-CN"/>
            </w:rPr>
            <m:t>Operating assets</m:t>
          </m:r>
          <m:r>
            <m:rPr/>
            <w:rPr>
              <w:rFonts w:hint="default" w:ascii="Cambria Math" w:hAnsi="Cambria Math" w:cs="Times New Roman"/>
              <w:sz w:val="24"/>
              <w:szCs w:val="24"/>
              <w:lang w:val="en-US"/>
            </w:rPr>
            <m:t>=</m:t>
          </m:r>
          <m:f>
            <m:fPr>
              <m:ctrlPr>
                <w:rPr>
                  <w:rFonts w:hint="default" w:ascii="Cambria Math" w:hAnsi="Cambria Math" w:cs="Times New Roman"/>
                  <w:b w:val="0"/>
                  <w:bCs w:val="0"/>
                  <w:i/>
                  <w:sz w:val="24"/>
                  <w:szCs w:val="24"/>
                  <w:lang w:val="en-US"/>
                </w:rPr>
              </m:ctrlPr>
            </m:fPr>
            <m:num>
              <m:r>
                <m:rPr/>
                <w:rPr>
                  <w:rFonts w:hint="default" w:ascii="Cambria Math" w:hAnsi="Cambria Math" w:cs="Times New Roman"/>
                  <w:sz w:val="24"/>
                  <w:szCs w:val="24"/>
                  <w:lang w:val="en-US" w:eastAsia="zh-CN"/>
                </w:rPr>
                <m:t>Operating Costs</m:t>
              </m:r>
              <m:ctrlPr>
                <w:rPr>
                  <w:rFonts w:hint="default" w:ascii="Cambria Math" w:hAnsi="Cambria Math" w:cs="Times New Roman"/>
                  <w:b w:val="0"/>
                  <w:bCs w:val="0"/>
                  <w:i/>
                  <w:sz w:val="24"/>
                  <w:szCs w:val="24"/>
                  <w:lang w:val="en-US"/>
                </w:rPr>
              </m:ctrlPr>
            </m:num>
            <m:den>
              <m:r>
                <m:rPr/>
                <w:rPr>
                  <w:rFonts w:hint="default" w:ascii="Cambria Math" w:hAnsi="Cambria Math" w:cs="Times New Roman"/>
                  <w:sz w:val="24"/>
                  <w:szCs w:val="24"/>
                  <w:lang w:val="en-US" w:eastAsia="zh-CN"/>
                </w:rPr>
                <m:t>Operating Profit Margin</m:t>
              </m:r>
              <m:ctrlPr>
                <w:rPr>
                  <w:rFonts w:hint="default" w:ascii="Cambria Math" w:hAnsi="Cambria Math" w:cs="Times New Roman"/>
                  <w:b w:val="0"/>
                  <w:bCs w:val="0"/>
                  <w:i/>
                  <w:sz w:val="24"/>
                  <w:szCs w:val="24"/>
                  <w:lang w:val="en-US"/>
                </w:rPr>
              </m:ctrlPr>
            </m:den>
          </m:f>
        </m:oMath>
      </m:oMathPara>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RI for </w:t>
      </w:r>
      <w:r>
        <w:rPr>
          <w:rFonts w:hint="default" w:ascii="Times New Roman" w:hAnsi="Times New Roman" w:cs="Times New Roman"/>
          <w:b/>
          <w:bCs/>
          <w:sz w:val="24"/>
          <w:szCs w:val="24"/>
          <w:lang w:val="en-US" w:eastAsia="zh-CN"/>
        </w:rPr>
        <w:t>M/S</w:t>
      </w:r>
      <w:r>
        <w:rPr>
          <w:rFonts w:hint="default" w:ascii="Times New Roman" w:hAnsi="Times New Roman" w:cs="Times New Roman"/>
          <w:b w:val="0"/>
          <w:bCs w:val="0"/>
          <w:sz w:val="24"/>
          <w:szCs w:val="24"/>
          <w:lang w:val="en-US" w:eastAsia="zh-CN"/>
        </w:rPr>
        <w: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Operating profit margin=100%*(396/900)=0.44</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Operating assets=489/0.44=1111.36</w:t>
      </w:r>
      <w:r>
        <w:rPr>
          <w:rFonts w:hint="eastAsia" w:ascii="Times New Roman" w:hAnsi="Times New Roman" w:cs="Times New Roman"/>
          <w:b w:val="0"/>
          <w:bCs w:val="0"/>
          <w:sz w:val="24"/>
          <w:szCs w:val="24"/>
          <w:lang w:val="en-US" w:eastAsia="zh-CN"/>
        </w:rPr>
        <w:t>m</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RI</w:t>
      </w:r>
      <w:r>
        <w:rPr>
          <w:rFonts w:hint="eastAsia" w:ascii="Times New Roman" w:hAnsi="Times New Roman" w:cs="Times New Roman"/>
          <w:b/>
          <w:bCs/>
          <w:sz w:val="24"/>
          <w:szCs w:val="24"/>
          <w:lang w:val="en-US" w:eastAsia="zh-CN"/>
        </w:rPr>
        <w:t xml:space="preserve"> for M/S</w:t>
      </w:r>
      <w:r>
        <w:rPr>
          <w:rFonts w:hint="default" w:ascii="Times New Roman" w:hAnsi="Times New Roman" w:cs="Times New Roman"/>
          <w:b w:val="0"/>
          <w:bCs w:val="0"/>
          <w:sz w:val="24"/>
          <w:szCs w:val="24"/>
          <w:lang w:val="en-US" w:eastAsia="zh-CN"/>
        </w:rPr>
        <w:t>=396-9%*1111.36=295.98m</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RI for</w:t>
      </w:r>
      <w:r>
        <w:rPr>
          <w:rFonts w:hint="default" w:ascii="Times New Roman" w:hAnsi="Times New Roman" w:cs="Times New Roman"/>
          <w:b/>
          <w:bCs/>
          <w:sz w:val="24"/>
          <w:szCs w:val="24"/>
          <w:lang w:val="en-US" w:eastAsia="zh-CN"/>
        </w:rPr>
        <w:t xml:space="preserve"> Service</w:t>
      </w:r>
      <w:r>
        <w:rPr>
          <w:rFonts w:hint="default" w:ascii="Times New Roman" w:hAnsi="Times New Roman" w:cs="Times New Roman"/>
          <w:b w:val="0"/>
          <w:bCs w:val="0"/>
          <w:sz w:val="24"/>
          <w:szCs w:val="24"/>
          <w:lang w:val="en-US" w:eastAsia="zh-CN"/>
        </w:rPr>
        <w: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Operating profit margin=100%*(6/16)=0.375</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Operating assets=29.33, if we assume the notional cost of capital used is also 9% per year, then</w:t>
      </w:r>
    </w:p>
    <w:p>
      <w:pPr>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RI</w:t>
      </w:r>
      <w:r>
        <w:rPr>
          <w:rFonts w:hint="eastAsia" w:ascii="Times New Roman" w:hAnsi="Times New Roman" w:cs="Times New Roman"/>
          <w:b/>
          <w:bCs/>
          <w:sz w:val="24"/>
          <w:szCs w:val="24"/>
          <w:lang w:val="en-US" w:eastAsia="zh-CN"/>
        </w:rPr>
        <w:t xml:space="preserve"> for Service</w:t>
      </w:r>
      <w:r>
        <w:rPr>
          <w:rFonts w:hint="default" w:ascii="Times New Roman" w:hAnsi="Times New Roman" w:cs="Times New Roman"/>
          <w:sz w:val="24"/>
          <w:szCs w:val="24"/>
          <w:lang w:val="en-US" w:eastAsia="zh-CN"/>
        </w:rPr>
        <w:t>=6-29.33*9%=3.36m</w:t>
      </w:r>
    </w:p>
    <w:p>
      <w:pPr>
        <w:rPr>
          <w:rFonts w:hint="default" w:ascii="Times New Roman" w:hAnsi="Times New Roman" w:cs="Times New Roman"/>
          <w:sz w:val="24"/>
          <w:szCs w:val="24"/>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eastAsia" w:ascii="Times New Roman Bold" w:hAnsi="Times New Roman Bold" w:cs="Times New Roman Bold"/>
          <w:b/>
          <w:bCs/>
          <w:sz w:val="24"/>
          <w:szCs w:val="24"/>
          <w:lang w:val="en-US" w:eastAsia="zh-CN"/>
        </w:rPr>
        <w:t>3)</w:t>
      </w:r>
      <w:r>
        <w:rPr>
          <w:rFonts w:hint="default" w:ascii="Times New Roman Bold" w:hAnsi="Times New Roman Bold" w:cs="Times New Roman Bold"/>
          <w:b/>
          <w:bCs/>
          <w:sz w:val="24"/>
          <w:szCs w:val="24"/>
        </w:rPr>
        <w:t>(EVA</w:t>
      </w:r>
      <w:r>
        <w:rPr>
          <w:rFonts w:hint="default" w:ascii="Times New Roman Bold" w:hAnsi="Times New Roman Bold" w:cs="Times New Roman Bold"/>
          <w:b/>
          <w:bCs/>
          <w:sz w:val="24"/>
          <w:szCs w:val="24"/>
          <w:vertAlign w:val="superscript"/>
        </w:rPr>
        <w:t>TM</w:t>
      </w:r>
      <w:r>
        <w:rPr>
          <w:rFonts w:hint="default" w:ascii="Times New Roman Bold" w:hAnsi="Times New Roman Bold" w:cs="Times New Roman Bold"/>
          <w:b/>
          <w:bCs/>
          <w:sz w:val="24"/>
          <w:szCs w:val="24"/>
        </w:rPr>
        <w:t xml:space="preserve">) </w:t>
      </w:r>
      <w:r>
        <w:rPr>
          <w:rFonts w:hint="default" w:ascii="Times New Roman" w:hAnsi="Times New Roman" w:cs="Times New Roman"/>
          <w:b w:val="0"/>
          <w:bCs w:val="0"/>
          <w:sz w:val="24"/>
          <w:szCs w:val="24"/>
          <w:lang w:val="en-US" w:eastAsia="zh-CN"/>
        </w:rPr>
        <w:t>= Net Operating Profit After Tax (NOPAT)−(Capital Employed×Cost of Capital)</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Bold" w:hAnsi="Times New Roman Bold" w:cs="Times New Roman Bold"/>
          <w:b/>
          <w:bCs/>
          <w:sz w:val="24"/>
          <w:szCs w:val="24"/>
        </w:rPr>
        <w:t>(EVA</w:t>
      </w:r>
      <w:r>
        <w:rPr>
          <w:rFonts w:hint="default" w:ascii="Times New Roman Bold" w:hAnsi="Times New Roman Bold" w:cs="Times New Roman Bold"/>
          <w:b/>
          <w:bCs/>
          <w:sz w:val="24"/>
          <w:szCs w:val="24"/>
          <w:vertAlign w:val="superscript"/>
        </w:rPr>
        <w:t>TM</w:t>
      </w:r>
      <w:r>
        <w:rPr>
          <w:rFonts w:hint="default" w:ascii="Times New Roman Bold" w:hAnsi="Times New Roman Bold" w:cs="Times New Roman Bold"/>
          <w:b/>
          <w:bCs/>
          <w:sz w:val="24"/>
          <w:szCs w:val="24"/>
        </w:rPr>
        <w:t xml:space="preserve">) </w:t>
      </w:r>
      <w:r>
        <w:rPr>
          <w:rFonts w:hint="default" w:ascii="Times New Roman" w:hAnsi="Times New Roman" w:cs="Times New Roman"/>
          <w:b w:val="0"/>
          <w:bCs w:val="0"/>
          <w:sz w:val="24"/>
          <w:szCs w:val="24"/>
          <w:lang w:val="en-US" w:eastAsia="zh-CN"/>
        </w:rPr>
        <w:t>for M/S=396*(1-30%) -(1294*9%)=160.74m</w:t>
      </w:r>
    </w:p>
    <w:p>
      <w:pPr>
        <w:rPr>
          <w:rFonts w:hint="default" w:ascii="Times New Roman" w:hAnsi="Times New Roman" w:cs="Times New Roman"/>
          <w:b w:val="0"/>
          <w:bCs w:val="0"/>
          <w:sz w:val="24"/>
          <w:szCs w:val="24"/>
          <w:lang w:val="en-US" w:eastAsia="zh-CN"/>
        </w:rPr>
      </w:pPr>
      <w:r>
        <w:rPr>
          <w:rFonts w:hint="default" w:ascii="Times New Roman Bold" w:hAnsi="Times New Roman Bold" w:cs="Times New Roman Bold"/>
          <w:b/>
          <w:bCs/>
          <w:sz w:val="24"/>
          <w:szCs w:val="24"/>
        </w:rPr>
        <w:t>(EVA</w:t>
      </w:r>
      <w:r>
        <w:rPr>
          <w:rFonts w:hint="default" w:ascii="Times New Roman Bold" w:hAnsi="Times New Roman Bold" w:cs="Times New Roman Bold"/>
          <w:b/>
          <w:bCs/>
          <w:sz w:val="24"/>
          <w:szCs w:val="24"/>
          <w:vertAlign w:val="superscript"/>
        </w:rPr>
        <w:t>TM</w:t>
      </w:r>
      <w:r>
        <w:rPr>
          <w:rFonts w:hint="default" w:ascii="Times New Roman Bold" w:hAnsi="Times New Roman Bold" w:cs="Times New Roman Bold"/>
          <w:b/>
          <w:bCs/>
          <w:sz w:val="24"/>
          <w:szCs w:val="24"/>
        </w:rPr>
        <w:t xml:space="preserve">) </w:t>
      </w:r>
      <w:r>
        <w:rPr>
          <w:rFonts w:hint="default" w:ascii="Times New Roman" w:hAnsi="Times New Roman" w:cs="Times New Roman"/>
          <w:b w:val="0"/>
          <w:bCs w:val="0"/>
          <w:sz w:val="24"/>
          <w:szCs w:val="24"/>
          <w:lang w:val="en-US" w:eastAsia="zh-CN"/>
        </w:rPr>
        <w:t>for Service=6*(1-30%)-(38*9%)=0.78m</w:t>
      </w:r>
    </w:p>
    <w:p>
      <w:pPr>
        <w:rPr>
          <w:rFonts w:hint="default" w:ascii="Times New Roman" w:hAnsi="Times New Roman" w:cs="Times New Roman"/>
          <w:b w:val="0"/>
          <w:bCs w:val="0"/>
          <w:sz w:val="24"/>
          <w:szCs w:val="24"/>
          <w:lang w:val="en-US" w:eastAsia="zh-CN"/>
        </w:rPr>
      </w:pP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Conclusion:</w:t>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divisional performance can be shown with these following figures: Firstly, the</w:t>
      </w:r>
      <w:r>
        <w:rPr>
          <w:rFonts w:hint="default" w:ascii="Times New Roman" w:hAnsi="Times New Roman" w:cs="Times New Roman"/>
          <w:b w:val="0"/>
          <w:bCs w:val="0"/>
          <w:sz w:val="24"/>
          <w:szCs w:val="24"/>
          <w:lang w:val="en-US" w:eastAsia="zh-CN"/>
        </w:rPr>
        <w:t xml:space="preserve"> ROI. In this case, the Margin &amp; Sales (M/S) division boasts a higher ROI of 16.28% compared to the Service division's 9.2%. This discrepancy implies that the M/S division is able to generate superior returns on the assets it has invested, indicating potential efficiency and profitability advantages. However, it's important to note that ROI alone may not offer a comprehensive overview of performance since it overlooks factors like the cost of capital and the timing of cash flows. Therefore, while the M/S division may appear more profitable based on ROI, it is crucial to take into account other variables such as risk and capital intensity to obtain a holistic assessment.</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Secondly, the </w:t>
      </w:r>
      <w:r>
        <w:rPr>
          <w:rFonts w:hint="default" w:ascii="Times New Roman" w:hAnsi="Times New Roman" w:cs="Times New Roman"/>
          <w:b w:val="0"/>
          <w:bCs w:val="0"/>
          <w:sz w:val="24"/>
          <w:szCs w:val="24"/>
          <w:lang w:val="en-US" w:eastAsia="zh-CN"/>
        </w:rPr>
        <w:t xml:space="preserve">Residual Income (RI), which </w:t>
      </w:r>
      <w:r>
        <w:rPr>
          <w:rFonts w:hint="eastAsia" w:ascii="Times New Roman" w:hAnsi="Times New Roman" w:cs="Times New Roman"/>
          <w:b w:val="0"/>
          <w:bCs w:val="0"/>
          <w:sz w:val="24"/>
          <w:szCs w:val="24"/>
          <w:lang w:val="en-US" w:eastAsia="zh-CN"/>
        </w:rPr>
        <w:t>measures</w:t>
      </w:r>
      <w:r>
        <w:rPr>
          <w:rFonts w:hint="default" w:ascii="Times New Roman" w:hAnsi="Times New Roman" w:cs="Times New Roman"/>
          <w:b w:val="0"/>
          <w:bCs w:val="0"/>
          <w:sz w:val="24"/>
          <w:szCs w:val="24"/>
          <w:lang w:val="en-US" w:eastAsia="zh-CN"/>
        </w:rPr>
        <w:t xml:space="preserve"> the division's operating income </w:t>
      </w:r>
      <w:r>
        <w:rPr>
          <w:rFonts w:hint="eastAsia" w:ascii="Times New Roman" w:hAnsi="Times New Roman" w:cs="Times New Roman"/>
          <w:b w:val="0"/>
          <w:bCs w:val="0"/>
          <w:sz w:val="24"/>
          <w:szCs w:val="24"/>
          <w:lang w:val="en-US" w:eastAsia="zh-CN"/>
        </w:rPr>
        <w:t>exceeding</w:t>
      </w:r>
      <w:r>
        <w:rPr>
          <w:rFonts w:hint="default" w:ascii="Times New Roman" w:hAnsi="Times New Roman" w:cs="Times New Roman"/>
          <w:b w:val="0"/>
          <w:bCs w:val="0"/>
          <w:sz w:val="24"/>
          <w:szCs w:val="24"/>
          <w:lang w:val="en-US" w:eastAsia="zh-CN"/>
        </w:rPr>
        <w:t xml:space="preserve"> the division's minimum required return</w:t>
      </w:r>
      <w:r>
        <w:rPr>
          <w:rFonts w:hint="eastAsia" w:ascii="Times New Roman" w:hAnsi="Times New Roman" w:cs="Times New Roman"/>
          <w:b w:val="0"/>
          <w:bCs w:val="0"/>
          <w:sz w:val="24"/>
          <w:szCs w:val="24"/>
          <w:lang w:val="en-US" w:eastAsia="zh-CN"/>
        </w:rPr>
        <w:t xml:space="preserve">. Apparently, </w:t>
      </w:r>
      <w:r>
        <w:rPr>
          <w:rFonts w:hint="default" w:ascii="Times New Roman" w:hAnsi="Times New Roman" w:cs="Times New Roman"/>
          <w:b w:val="0"/>
          <w:bCs w:val="0"/>
          <w:sz w:val="24"/>
          <w:szCs w:val="24"/>
          <w:lang w:val="en-US" w:eastAsia="zh-CN"/>
        </w:rPr>
        <w:t xml:space="preserve">the M/S division exhibits a superior RI ($295.98 million) in contrast to the Service division ($3.36 million). This implies that the M/S division generates a greater amount of profit beyond its minimum required return, </w:t>
      </w:r>
      <w:r>
        <w:rPr>
          <w:rFonts w:hint="eastAsia" w:ascii="Times New Roman" w:hAnsi="Times New Roman" w:cs="Times New Roman"/>
          <w:b w:val="0"/>
          <w:bCs w:val="0"/>
          <w:sz w:val="24"/>
          <w:szCs w:val="24"/>
          <w:lang w:val="en-US" w:eastAsia="zh-CN"/>
        </w:rPr>
        <w:t>showing</w:t>
      </w:r>
      <w:r>
        <w:rPr>
          <w:rFonts w:hint="default" w:ascii="Times New Roman" w:hAnsi="Times New Roman" w:cs="Times New Roman"/>
          <w:b w:val="0"/>
          <w:bCs w:val="0"/>
          <w:sz w:val="24"/>
          <w:szCs w:val="24"/>
          <w:lang w:val="en-US" w:eastAsia="zh-CN"/>
        </w:rPr>
        <w:t xml:space="preserve"> a stronger performance in terms of generating excess income. </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Lastly, the</w:t>
      </w:r>
      <w:r>
        <w:rPr>
          <w:rFonts w:hint="default" w:ascii="Times New Roman" w:hAnsi="Times New Roman" w:cs="Times New Roman"/>
          <w:b w:val="0"/>
          <w:bCs w:val="0"/>
          <w:sz w:val="24"/>
          <w:szCs w:val="24"/>
          <w:lang w:val="en-US" w:eastAsia="zh-CN"/>
        </w:rPr>
        <w:t xml:space="preserve"> Economic Value Added (EVA). </w:t>
      </w:r>
      <w:r>
        <w:rPr>
          <w:rFonts w:hint="eastAsia" w:ascii="Times New Roman" w:hAnsi="Times New Roman" w:cs="Times New Roman"/>
          <w:b w:val="0"/>
          <w:bCs w:val="0"/>
          <w:sz w:val="24"/>
          <w:szCs w:val="24"/>
          <w:lang w:val="en-US" w:eastAsia="zh-CN"/>
        </w:rPr>
        <w:t xml:space="preserve">It </w:t>
      </w:r>
      <w:r>
        <w:rPr>
          <w:rFonts w:hint="default" w:ascii="Times New Roman" w:hAnsi="Times New Roman" w:cs="Times New Roman"/>
          <w:b w:val="0"/>
          <w:bCs w:val="0"/>
          <w:sz w:val="24"/>
          <w:szCs w:val="24"/>
          <w:lang w:val="en-US" w:eastAsia="zh-CN"/>
        </w:rPr>
        <w:t>deducts the cost of capital from the division's operating profits to assess its contribution to shareholder value.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It is evident that the M/S division outperforms the Service division in terms of EVA, with a significantly higher value of $160.74 million compared to $0.78 million. This indicates that the M/S division generates greater value for shareholders, taking into account the cost of capital. </w:t>
      </w:r>
      <w:r>
        <w:rPr>
          <w:rFonts w:hint="eastAsia" w:ascii="Times New Roman" w:hAnsi="Times New Roman" w:cs="Times New Roman"/>
          <w:b w:val="0"/>
          <w:bCs w:val="0"/>
          <w:sz w:val="24"/>
          <w:szCs w:val="24"/>
          <w:lang w:val="en-US" w:eastAsia="zh-CN"/>
        </w:rPr>
        <w:t>H</w:t>
      </w:r>
      <w:r>
        <w:rPr>
          <w:rFonts w:hint="default" w:ascii="Times New Roman" w:hAnsi="Times New Roman" w:cs="Times New Roman"/>
          <w:b w:val="0"/>
          <w:bCs w:val="0"/>
          <w:sz w:val="24"/>
          <w:szCs w:val="24"/>
          <w:lang w:val="en-US" w:eastAsia="zh-CN"/>
        </w:rPr>
        <w:t>owever,</w:t>
      </w:r>
      <w:r>
        <w:rPr>
          <w:rFonts w:hint="eastAsia" w:ascii="Times New Roman" w:hAnsi="Times New Roman" w:cs="Times New Roman"/>
          <w:b w:val="0"/>
          <w:bCs w:val="0"/>
          <w:sz w:val="24"/>
          <w:szCs w:val="24"/>
          <w:lang w:val="en-US" w:eastAsia="zh-CN"/>
        </w:rPr>
        <w:t xml:space="preserve"> we should also pay attention to that </w:t>
      </w:r>
      <w:r>
        <w:rPr>
          <w:rFonts w:hint="default" w:ascii="Times New Roman" w:hAnsi="Times New Roman" w:cs="Times New Roman"/>
          <w:b w:val="0"/>
          <w:bCs w:val="0"/>
          <w:sz w:val="24"/>
          <w:szCs w:val="24"/>
          <w:lang w:val="en-US" w:eastAsia="zh-CN"/>
        </w:rPr>
        <w:t xml:space="preserve">EVA </w:t>
      </w:r>
      <w:r>
        <w:rPr>
          <w:rFonts w:hint="eastAsia" w:ascii="Times New Roman" w:hAnsi="Times New Roman" w:cs="Times New Roman"/>
          <w:b w:val="0"/>
          <w:bCs w:val="0"/>
          <w:sz w:val="24"/>
          <w:szCs w:val="24"/>
          <w:lang w:val="en-US" w:eastAsia="zh-CN"/>
        </w:rPr>
        <w:t>focuses on</w:t>
      </w:r>
      <w:r>
        <w:rPr>
          <w:rFonts w:hint="default" w:ascii="Times New Roman" w:hAnsi="Times New Roman" w:cs="Times New Roman"/>
          <w:b w:val="0"/>
          <w:bCs w:val="0"/>
          <w:sz w:val="24"/>
          <w:szCs w:val="24"/>
          <w:lang w:val="en-US" w:eastAsia="zh-CN"/>
        </w:rPr>
        <w:t xml:space="preserve"> subjective evaluations of the cost of capital and may be influenced by assumptions made about the division's future performance.</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sum, the divisional performance analysis of Wirral Fabrication plc reveals significant differences across various financial metrics between the Profit &amp; Sales (M/S) and Services divisions. First, the M/S division has a significantly higher return on investment (ROI) compared to the services division, indicating its superior efficiency and profitability in generating returns on invested assets. Secondly, the residual income (RI) of the M/S division is significantly higher than that of the service division, highlighting its ability to generate excess revenue above the minimum return requirements. Finally, economic value added (EVA) analysis shows that the M/S division outperforms the service division in creating shareholder value after deducting the cost of capital. Still, it is also of importance to recognize that economic value added relies on subjective assessments of the cost of capital and may affect future performance assumptions. Overall, the data highlights that the M/S division performs better than Wirral Fabrication plc's Services division in generating returns, revenue and shareholder value.</w:t>
      </w:r>
    </w:p>
    <w:p>
      <w:pPr>
        <w:pStyle w:val="4"/>
        <w:bidi w:val="0"/>
        <w:rPr>
          <w:rFonts w:hint="default"/>
          <w:lang w:val="en-US" w:eastAsia="zh-CN"/>
        </w:rPr>
      </w:pPr>
      <w:bookmarkStart w:id="5" w:name="_Toc25311"/>
      <w:r>
        <w:rPr>
          <w:rFonts w:hint="eastAsia"/>
          <w:lang w:val="en-US" w:eastAsia="zh-CN"/>
        </w:rPr>
        <w:t>(B)</w:t>
      </w:r>
      <w:r>
        <w:rPr>
          <w:rFonts w:hint="default"/>
          <w:lang w:val="en-US" w:eastAsia="zh-CN"/>
        </w:rPr>
        <w:t>A transfer pricing system:</w:t>
      </w:r>
      <w:bookmarkEnd w:id="5"/>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A </w:t>
      </w:r>
      <w:r>
        <w:rPr>
          <w:rFonts w:hint="default" w:ascii="Times New Roman" w:hAnsi="Times New Roman" w:cs="Times New Roman"/>
          <w:b w:val="0"/>
          <w:bCs w:val="0"/>
          <w:sz w:val="24"/>
          <w:szCs w:val="24"/>
          <w:lang w:val="en-US" w:eastAsia="zh-CN"/>
        </w:rPr>
        <w:t xml:space="preserve">transfer pricing system requires </w:t>
      </w:r>
      <w:r>
        <w:rPr>
          <w:rFonts w:hint="eastAsia" w:ascii="Times New Roman" w:hAnsi="Times New Roman" w:cs="Times New Roman"/>
          <w:b w:val="0"/>
          <w:bCs w:val="0"/>
          <w:sz w:val="24"/>
          <w:szCs w:val="24"/>
          <w:lang w:val="en-US" w:eastAsia="zh-CN"/>
        </w:rPr>
        <w:t>the criteria</w:t>
      </w:r>
      <w:r>
        <w:rPr>
          <w:rFonts w:hint="default" w:ascii="Times New Roman" w:hAnsi="Times New Roman" w:cs="Times New Roman"/>
          <w:b w:val="0"/>
          <w:bCs w:val="0"/>
          <w:sz w:val="24"/>
          <w:szCs w:val="24"/>
          <w:lang w:val="en-US" w:eastAsia="zh-CN"/>
        </w:rPr>
        <w:t xml:space="preserve"> that balances </w:t>
      </w:r>
      <w:r>
        <w:rPr>
          <w:rFonts w:hint="default" w:ascii="Times New Roman" w:hAnsi="Times New Roman" w:cs="Times New Roman"/>
          <w:b/>
          <w:bCs/>
          <w:sz w:val="24"/>
          <w:szCs w:val="24"/>
          <w:lang w:val="en-US" w:eastAsia="zh-CN"/>
        </w:rPr>
        <w:t>regulatory compliance, transparency, strategic direction and operational efficiency.</w:t>
      </w:r>
      <w:r>
        <w:rPr>
          <w:rFonts w:hint="default" w:ascii="Times New Roman" w:hAnsi="Times New Roman" w:cs="Times New Roman"/>
          <w:b w:val="0"/>
          <w:bCs w:val="0"/>
          <w:sz w:val="24"/>
          <w:szCs w:val="24"/>
          <w:lang w:val="en-US" w:eastAsia="zh-CN"/>
        </w:rPr>
        <w:t xml:space="preserve"> First, compliance with tax regulations and transfer pricing policies is critical to mitigating the legal and financial risks associated with non-compliance. By aligning pricing practices with regulatory requirements from authorities such as the IRS or the OECD, companies can avoid potential audits, penalties, and </w:t>
      </w:r>
      <w:r>
        <w:rPr>
          <w:rFonts w:hint="eastAsia" w:ascii="Times New Roman" w:hAnsi="Times New Roman" w:cs="Times New Roman"/>
          <w:b w:val="0"/>
          <w:bCs w:val="0"/>
          <w:sz w:val="24"/>
          <w:szCs w:val="24"/>
          <w:lang w:val="en-US" w:eastAsia="zh-CN"/>
        </w:rPr>
        <w:t>reputation</w:t>
      </w:r>
      <w:r>
        <w:rPr>
          <w:rFonts w:hint="default" w:ascii="Times New Roman" w:hAnsi="Times New Roman" w:cs="Times New Roman"/>
          <w:b w:val="0"/>
          <w:bCs w:val="0"/>
          <w:sz w:val="24"/>
          <w:szCs w:val="24"/>
          <w:lang w:val="en-US" w:eastAsia="zh-CN"/>
        </w:rPr>
        <w:t xml:space="preserve"> damage. </w:t>
      </w:r>
      <w:r>
        <w:rPr>
          <w:rFonts w:hint="eastAsia" w:ascii="Times New Roman" w:hAnsi="Times New Roman" w:cs="Times New Roman"/>
          <w:b w:val="0"/>
          <w:bCs w:val="0"/>
          <w:sz w:val="24"/>
          <w:szCs w:val="24"/>
          <w:lang w:val="en-US" w:eastAsia="zh-CN"/>
        </w:rPr>
        <w:t xml:space="preserve">Secondly, </w:t>
      </w:r>
      <w:r>
        <w:rPr>
          <w:rFonts w:hint="default" w:ascii="Times New Roman" w:hAnsi="Times New Roman" w:cs="Times New Roman"/>
          <w:b/>
          <w:bCs/>
          <w:sz w:val="24"/>
          <w:szCs w:val="24"/>
          <w:lang w:val="en-US" w:eastAsia="zh-CN"/>
        </w:rPr>
        <w:t>Transparency</w:t>
      </w:r>
      <w:r>
        <w:rPr>
          <w:rFonts w:hint="default" w:ascii="Times New Roman" w:hAnsi="Times New Roman" w:cs="Times New Roman"/>
          <w:b w:val="0"/>
          <w:bCs w:val="0"/>
          <w:sz w:val="24"/>
          <w:szCs w:val="24"/>
          <w:lang w:val="en-US" w:eastAsia="zh-CN"/>
        </w:rPr>
        <w:t xml:space="preserve"> plays a vital role in building trust among stakeholders and ensuring accountability. </w:t>
      </w:r>
      <w:r>
        <w:rPr>
          <w:rFonts w:hint="eastAsia" w:ascii="Times New Roman" w:hAnsi="Times New Roman" w:cs="Times New Roman"/>
          <w:b w:val="0"/>
          <w:bCs w:val="0"/>
          <w:sz w:val="24"/>
          <w:szCs w:val="24"/>
          <w:lang w:val="en-US" w:eastAsia="zh-CN"/>
        </w:rPr>
        <w:t>The clear</w:t>
      </w:r>
      <w:r>
        <w:rPr>
          <w:rFonts w:hint="default" w:ascii="Times New Roman" w:hAnsi="Times New Roman" w:cs="Times New Roman"/>
          <w:b w:val="0"/>
          <w:bCs w:val="0"/>
          <w:sz w:val="24"/>
          <w:szCs w:val="24"/>
          <w:lang w:val="en-US" w:eastAsia="zh-CN"/>
        </w:rPr>
        <w:t xml:space="preserve"> pricing methodologies and rationales not only increases transparency but also helps resolve potential disputes or challenges in pricing agreements. </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Furthermore, </w:t>
      </w:r>
      <w:r>
        <w:rPr>
          <w:rFonts w:hint="eastAsia" w:ascii="Times New Roman" w:hAnsi="Times New Roman" w:cs="Times New Roman"/>
          <w:b/>
          <w:bCs/>
          <w:sz w:val="24"/>
          <w:szCs w:val="24"/>
          <w:lang w:val="en-US" w:eastAsia="zh-CN"/>
        </w:rPr>
        <w:t>the strategic direction.</w:t>
      </w:r>
      <w:r>
        <w:rPr>
          <w:rFonts w:hint="eastAsia" w:ascii="Times New Roman" w:hAnsi="Times New Roman" w:cs="Times New Roman"/>
          <w:b w:val="0"/>
          <w:bCs w:val="0"/>
          <w:sz w:val="24"/>
          <w:szCs w:val="24"/>
          <w:lang w:val="en-US" w:eastAsia="zh-CN"/>
        </w:rPr>
        <w:t xml:space="preserve"> An</w:t>
      </w:r>
      <w:r>
        <w:rPr>
          <w:rFonts w:hint="default" w:ascii="Times New Roman" w:hAnsi="Times New Roman" w:cs="Times New Roman"/>
          <w:b w:val="0"/>
          <w:bCs w:val="0"/>
          <w:sz w:val="24"/>
          <w:szCs w:val="24"/>
          <w:lang w:val="en-US" w:eastAsia="zh-CN"/>
        </w:rPr>
        <w:t xml:space="preserve"> effective transfer pricing system should </w:t>
      </w:r>
      <w:r>
        <w:rPr>
          <w:rFonts w:hint="eastAsia" w:ascii="Times New Roman" w:hAnsi="Times New Roman" w:cs="Times New Roman"/>
          <w:b w:val="0"/>
          <w:bCs w:val="0"/>
          <w:sz w:val="24"/>
          <w:szCs w:val="24"/>
          <w:lang w:val="en-US" w:eastAsia="zh-CN"/>
        </w:rPr>
        <w:t xml:space="preserve">be </w:t>
      </w:r>
      <w:r>
        <w:rPr>
          <w:rFonts w:hint="default" w:ascii="Times New Roman" w:hAnsi="Times New Roman" w:cs="Times New Roman"/>
          <w:b w:val="0"/>
          <w:bCs w:val="0"/>
          <w:sz w:val="24"/>
          <w:szCs w:val="24"/>
          <w:lang w:val="en-US" w:eastAsia="zh-CN"/>
        </w:rPr>
        <w:t>consistent with the organization's strategic goals while promoting value</w:t>
      </w:r>
      <w:r>
        <w:rPr>
          <w:rFonts w:hint="eastAsia" w:ascii="Times New Roman" w:hAnsi="Times New Roman" w:cs="Times New Roman"/>
          <w:b w:val="0"/>
          <w:bCs w:val="0"/>
          <w:sz w:val="24"/>
          <w:szCs w:val="24"/>
          <w:lang w:val="en-US" w:eastAsia="zh-CN"/>
        </w:rPr>
        <w:t xml:space="preserve"> in business. For instance, p</w:t>
      </w:r>
      <w:r>
        <w:rPr>
          <w:rFonts w:hint="default" w:ascii="Times New Roman" w:hAnsi="Times New Roman" w:cs="Times New Roman"/>
          <w:b w:val="0"/>
          <w:bCs w:val="0"/>
          <w:sz w:val="24"/>
          <w:szCs w:val="24"/>
          <w:lang w:val="en-US" w:eastAsia="zh-CN"/>
        </w:rPr>
        <w:t>erformance-based pricing metrics reward each unit's contribution to overall profitability, innovation and growth</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In addition,</w:t>
      </w:r>
      <w:r>
        <w:rPr>
          <w:rFonts w:hint="eastAsia" w:ascii="Times New Roman" w:hAnsi="Times New Roman" w:cs="Times New Roman"/>
          <w:b w:val="0"/>
          <w:bCs w:val="0"/>
          <w:sz w:val="24"/>
          <w:szCs w:val="24"/>
          <w:lang w:val="en-US" w:eastAsia="zh-CN"/>
        </w:rPr>
        <w:t xml:space="preserve"> the </w:t>
      </w:r>
      <w:r>
        <w:rPr>
          <w:rFonts w:hint="eastAsia" w:ascii="Times New Roman" w:hAnsi="Times New Roman" w:cs="Times New Roman"/>
          <w:b/>
          <w:bCs/>
          <w:sz w:val="24"/>
          <w:szCs w:val="24"/>
          <w:lang w:val="en-US" w:eastAsia="zh-CN"/>
        </w:rPr>
        <w:t>operational efficiency.</w:t>
      </w:r>
      <w:r>
        <w:rPr>
          <w:rFonts w:hint="default" w:ascii="Times New Roman" w:hAnsi="Times New Roman" w:cs="Times New Roman"/>
          <w:b/>
          <w:bCs/>
          <w:sz w:val="24"/>
          <w:szCs w:val="24"/>
          <w:lang w:val="en-US" w:eastAsia="zh-CN"/>
        </w:rPr>
        <w:t xml:space="preserve"> </w:t>
      </w:r>
      <w:r>
        <w:rPr>
          <w:rFonts w:hint="eastAsia" w:ascii="Times New Roman" w:hAnsi="Times New Roman" w:cs="Times New Roman"/>
          <w:b w:val="0"/>
          <w:bCs w:val="0"/>
          <w:sz w:val="24"/>
          <w:szCs w:val="24"/>
          <w:lang w:val="en-US" w:eastAsia="zh-CN"/>
        </w:rPr>
        <w:t>For example, f</w:t>
      </w:r>
      <w:r>
        <w:rPr>
          <w:rFonts w:hint="default" w:ascii="Times New Roman" w:hAnsi="Times New Roman" w:cs="Times New Roman"/>
          <w:b w:val="0"/>
          <w:bCs w:val="0"/>
          <w:sz w:val="24"/>
          <w:szCs w:val="24"/>
          <w:lang w:val="en-US" w:eastAsia="zh-CN"/>
        </w:rPr>
        <w:t>lexibility is critical to adapt to changes in market conditions, regulatory environment and business strategies</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 xml:space="preserve">As for consideration of </w:t>
      </w:r>
      <w:r>
        <w:rPr>
          <w:rFonts w:hint="default" w:ascii="Times New Roman" w:hAnsi="Times New Roman" w:cs="Times New Roman"/>
          <w:b w:val="0"/>
          <w:bCs w:val="0"/>
          <w:sz w:val="24"/>
          <w:szCs w:val="24"/>
          <w:lang w:val="en-US" w:eastAsia="zh-CN"/>
        </w:rPr>
        <w:t xml:space="preserve">these criteria, companies can develop </w:t>
      </w:r>
      <w:r>
        <w:rPr>
          <w:rFonts w:hint="eastAsia" w:ascii="Times New Roman" w:hAnsi="Times New Roman" w:cs="Times New Roman"/>
          <w:b w:val="0"/>
          <w:bCs w:val="0"/>
          <w:sz w:val="24"/>
          <w:szCs w:val="24"/>
          <w:lang w:val="en-US" w:eastAsia="zh-CN"/>
        </w:rPr>
        <w:t xml:space="preserve">a </w:t>
      </w:r>
      <w:r>
        <w:rPr>
          <w:rFonts w:hint="default" w:ascii="Times New Roman" w:hAnsi="Times New Roman" w:cs="Times New Roman"/>
          <w:b w:val="0"/>
          <w:bCs w:val="0"/>
          <w:sz w:val="24"/>
          <w:szCs w:val="24"/>
          <w:lang w:val="en-US" w:eastAsia="zh-CN"/>
        </w:rPr>
        <w:t xml:space="preserve">transfer pricing </w:t>
      </w:r>
      <w:r>
        <w:rPr>
          <w:rFonts w:hint="eastAsia" w:ascii="Times New Roman" w:hAnsi="Times New Roman" w:cs="Times New Roman"/>
          <w:b w:val="0"/>
          <w:bCs w:val="0"/>
          <w:sz w:val="24"/>
          <w:szCs w:val="24"/>
          <w:lang w:val="en-US" w:eastAsia="zh-CN"/>
        </w:rPr>
        <w:t>system</w:t>
      </w:r>
      <w:r>
        <w:rPr>
          <w:rFonts w:hint="default" w:ascii="Times New Roman" w:hAnsi="Times New Roman" w:cs="Times New Roman"/>
          <w:b w:val="0"/>
          <w:bCs w:val="0"/>
          <w:sz w:val="24"/>
          <w:szCs w:val="24"/>
          <w:lang w:val="en-US" w:eastAsia="zh-CN"/>
        </w:rPr>
        <w:t xml:space="preserve"> that not only comply with regulations, but also support strategic goals and drive value creation across the organization.</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bCs/>
          <w:sz w:val="24"/>
          <w:szCs w:val="24"/>
          <w:lang w:val="en-US" w:eastAsia="zh-CN"/>
        </w:rPr>
      </w:pPr>
    </w:p>
    <w:p>
      <w:pPr>
        <w:numPr>
          <w:ilvl w:val="0"/>
          <w:numId w:val="1"/>
        </w:num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w:t>
      </w:r>
      <w:r>
        <w:rPr>
          <w:rFonts w:hint="default" w:ascii="Times New Roman" w:hAnsi="Times New Roman" w:cs="Times New Roman"/>
          <w:b/>
          <w:bCs/>
          <w:sz w:val="24"/>
          <w:szCs w:val="24"/>
          <w:lang w:val="en-US" w:eastAsia="zh-CN"/>
        </w:rPr>
        <w:t>ost-plus pricing:</w:t>
      </w:r>
    </w:p>
    <w:p>
      <w:p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P</w:t>
      </w:r>
      <w:r>
        <w:rPr>
          <w:rFonts w:hint="default" w:ascii="Times New Roman" w:hAnsi="Times New Roman" w:cs="Times New Roman"/>
          <w:b/>
          <w:bCs/>
          <w:sz w:val="24"/>
          <w:szCs w:val="24"/>
          <w:lang w:val="en-US" w:eastAsia="zh-CN"/>
        </w:rPr>
        <w:t>rofit margin=Net income/Net sales</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For M/S, it’s (301-301*30%)/900=23.4%</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For Service, it’s (5-5*30%)/16=21.875%</w:t>
      </w:r>
    </w:p>
    <w:p>
      <w:pPr>
        <w:rPr>
          <w:rFonts w:hint="default" w:ascii="Times New Roman" w:hAnsi="Times New Roman" w:cs="Times New Roman"/>
          <w:b/>
          <w:bCs/>
          <w:sz w:val="24"/>
          <w:szCs w:val="24"/>
          <w:lang w:val="en-US" w:eastAsia="zh-CN"/>
        </w:rPr>
      </w:pPr>
    </w:p>
    <w:p>
      <w:pPr>
        <w:rPr>
          <w:rFonts w:hint="default" w:ascii="Times New Roman" w:hAnsi="Times New Roman" w:eastAsia="宋体" w:cs="Times New Roman"/>
          <w:b w:val="0"/>
          <w:bCs w:val="0"/>
          <w:sz w:val="24"/>
          <w:szCs w:val="24"/>
          <w:lang w:val="en-US" w:eastAsia="zh-CN"/>
        </w:rPr>
      </w:pPr>
      <w:r>
        <w:rPr>
          <w:rFonts w:hint="default" w:ascii="Times New Roman" w:hAnsi="Times New Roman" w:cs="Times New Roman"/>
          <w:b/>
          <w:bCs/>
          <w:sz w:val="24"/>
          <w:szCs w:val="24"/>
          <w:lang w:val="en-US" w:eastAsia="zh-CN"/>
        </w:rPr>
        <w:t xml:space="preserve">For M/S, </w:t>
      </w:r>
      <w:r>
        <w:rPr>
          <w:rFonts w:hint="default" w:ascii="Times New Roman" w:hAnsi="Times New Roman" w:cs="Times New Roman"/>
          <w:b w:val="0"/>
          <w:bCs w:val="0"/>
          <w:sz w:val="24"/>
          <w:szCs w:val="24"/>
          <w:lang w:val="en-US" w:eastAsia="zh-CN"/>
        </w:rPr>
        <w:t>the total amount it would charge Service:</w:t>
      </w:r>
      <w:r>
        <w:rPr>
          <w:rFonts w:hint="default" w:ascii="Times New Roman" w:hAnsi="Times New Roman" w:cs="Times New Roman"/>
          <w:b w:val="0"/>
          <w:bCs w:val="0"/>
          <w:sz w:val="24"/>
          <w:szCs w:val="24"/>
        </w:rPr>
        <w:t xml:space="preserve"> £95</w:t>
      </w:r>
      <w:r>
        <w:rPr>
          <w:rFonts w:hint="default" w:ascii="Times New Roman" w:hAnsi="Times New Roman" w:cs="Times New Roman"/>
          <w:b w:val="0"/>
          <w:bCs w:val="0"/>
          <w:sz w:val="24"/>
          <w:szCs w:val="24"/>
          <w:lang w:val="en-US" w:eastAsia="zh-CN"/>
        </w:rPr>
        <w:t>*580,000*0.06=£3,306,000.</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With 6% of these needs repair, the charge is up to: </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£95*6%*580,000=£3,306,000=</w:t>
      </w:r>
      <w:r>
        <w:rPr>
          <w:rFonts w:hint="default" w:ascii="Times New Roman" w:hAnsi="Times New Roman" w:cs="Times New Roman"/>
          <w:b/>
          <w:bCs/>
          <w:sz w:val="24"/>
          <w:szCs w:val="24"/>
          <w:lang w:val="en-US" w:eastAsia="zh-CN"/>
        </w:rPr>
        <w:t>£3.306m</w:t>
      </w:r>
    </w:p>
    <w:p>
      <w:pPr>
        <w:rPr>
          <w:rFonts w:hint="default" w:ascii="Times New Roman" w:hAnsi="Times New Roman" w:cs="Times New Roman"/>
          <w:b/>
          <w:bCs/>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Direct and Fixed costs(per repair):</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Labour cost: £18*4=£72</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Variable divisional cost: £11*4=£44</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Fixed divisional cost:£24*4=£96</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Total Production cost: </w:t>
      </w:r>
      <w:r>
        <w:rPr>
          <w:rFonts w:hint="default" w:ascii="Times New Roman" w:hAnsi="Times New Roman" w:cs="Times New Roman"/>
          <w:b w:val="0"/>
          <w:bCs w:val="0"/>
          <w:sz w:val="24"/>
          <w:szCs w:val="24"/>
          <w:lang w:val="en-US" w:eastAsia="zh-CN"/>
        </w:rPr>
        <w:t>£72+44+96=£116+96=</w:t>
      </w:r>
      <w:r>
        <w:rPr>
          <w:rFonts w:hint="default" w:ascii="Times New Roman" w:hAnsi="Times New Roman" w:cs="Times New Roman"/>
          <w:b/>
          <w:bCs/>
          <w:sz w:val="24"/>
          <w:szCs w:val="24"/>
          <w:lang w:val="en-US" w:eastAsia="zh-CN"/>
        </w:rPr>
        <w:t>£212</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 for Service sector, the profit margin is up to 21.875%.</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Then markup: 21.875%*£212=£46.375</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Transfer price:£212+46.375=£258.375</w:t>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otal amount: £258.375*580,000*0.06=8,991,450.</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val="0"/>
          <w:bCs w:val="0"/>
          <w:sz w:val="24"/>
          <w:szCs w:val="24"/>
          <w:lang w:val="en-US" w:eastAsia="zh-CN"/>
        </w:rPr>
        <w:t xml:space="preserve">Still, it charges </w:t>
      </w:r>
      <w:r>
        <w:rPr>
          <w:rFonts w:hint="default" w:ascii="Times New Roman" w:hAnsi="Times New Roman" w:cs="Times New Roman"/>
          <w:b w:val="0"/>
          <w:bCs w:val="0"/>
          <w:sz w:val="24"/>
          <w:szCs w:val="24"/>
        </w:rPr>
        <w:t>£10m</w:t>
      </w:r>
      <w:r>
        <w:rPr>
          <w:rFonts w:hint="default" w:ascii="Times New Roman" w:hAnsi="Times New Roman" w:cs="Times New Roman"/>
          <w:b w:val="0"/>
          <w:bCs w:val="0"/>
          <w:sz w:val="24"/>
          <w:szCs w:val="24"/>
          <w:lang w:val="en-US" w:eastAsia="zh-CN"/>
        </w:rPr>
        <w:t xml:space="preserve"> from M/S division.</w:t>
      </w:r>
    </w:p>
    <w:p>
      <w:pPr>
        <w:rPr>
          <w:rFonts w:hint="default" w:ascii="Times New Roman" w:hAnsi="Times New Roman" w:cs="Times New Roman"/>
          <w:b/>
          <w:bCs/>
          <w:sz w:val="24"/>
          <w:szCs w:val="24"/>
          <w:lang w:val="en-US" w:eastAsia="zh-CN"/>
        </w:rPr>
      </w:pPr>
      <w:r>
        <w:rPr>
          <w:rFonts w:hint="default" w:ascii="Times New Roman" w:hAnsi="Times New Roman" w:cs="Times New Roman"/>
          <w:sz w:val="24"/>
          <w:szCs w:val="24"/>
          <w:lang w:val="en-US" w:eastAsia="zh-CN"/>
        </w:rPr>
        <w:t>In conclusion, if do internal-amending, the M/S division needs to provide</w:t>
      </w:r>
      <w:r>
        <w:rPr>
          <w:rFonts w:hint="default" w:ascii="Times New Roman" w:hAnsi="Times New Roman" w:cs="Times New Roman"/>
          <w:b/>
          <w:bCs/>
          <w:sz w:val="24"/>
          <w:szCs w:val="24"/>
          <w:lang w:val="en-US" w:eastAsia="zh-CN"/>
        </w:rPr>
        <w:t xml:space="preserve"> </w:t>
      </w:r>
    </w:p>
    <w:p>
      <w:pPr>
        <w:rPr>
          <w:rFonts w:hint="default" w:ascii="Times New Roman" w:hAnsi="Times New Roman" w:eastAsia="宋体" w:cs="Times New Roman"/>
          <w:sz w:val="24"/>
          <w:szCs w:val="24"/>
          <w:lang w:val="en-US" w:eastAsia="zh-CN"/>
        </w:rPr>
      </w:pPr>
      <w:r>
        <w:rPr>
          <w:rFonts w:hint="default" w:ascii="Times New Roman" w:hAnsi="Times New Roman" w:cs="Times New Roman"/>
          <w:b/>
          <w:bCs/>
          <w:sz w:val="24"/>
          <w:szCs w:val="24"/>
        </w:rPr>
        <w:t>£10</w:t>
      </w:r>
      <w:r>
        <w:rPr>
          <w:rFonts w:hint="default" w:ascii="Times New Roman" w:hAnsi="Times New Roman" w:cs="Times New Roman"/>
          <w:b/>
          <w:bCs/>
          <w:sz w:val="24"/>
          <w:szCs w:val="24"/>
          <w:lang w:val="en-US" w:eastAsia="zh-CN"/>
        </w:rPr>
        <w:t>,000,000-(8,991,450-3,306,000)=</w:t>
      </w:r>
      <w:r>
        <w:rPr>
          <w:rFonts w:hint="default" w:ascii="Times New Roman" w:hAnsi="Times New Roman" w:cs="Times New Roman"/>
          <w:b/>
          <w:bCs/>
          <w:sz w:val="24"/>
          <w:szCs w:val="24"/>
        </w:rPr>
        <w:t>£</w:t>
      </w:r>
      <w:r>
        <w:rPr>
          <w:rFonts w:hint="default" w:ascii="Times New Roman" w:hAnsi="Times New Roman" w:cs="Times New Roman"/>
          <w:b/>
          <w:bCs/>
          <w:sz w:val="24"/>
          <w:szCs w:val="24"/>
          <w:lang w:val="en-US" w:eastAsia="zh-CN"/>
        </w:rPr>
        <w:t>4,314,550 to the service division.</w:t>
      </w:r>
    </w:p>
    <w:p>
      <w:pPr>
        <w:rPr>
          <w:rFonts w:hint="default" w:ascii="Times New Roman" w:hAnsi="Times New Roman" w:cs="Times New Roman"/>
          <w:sz w:val="24"/>
          <w:szCs w:val="24"/>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Note: The IT provide a flat price of £1800 per warranty service repair, which in total would be:</w:t>
      </w:r>
    </w:p>
    <w:p>
      <w:pPr>
        <w:rPr>
          <w:rFonts w:hint="default" w:ascii="Times New Roman" w:hAnsi="Times New Roman" w:eastAsia="宋体" w:cs="Times New Roman"/>
          <w:sz w:val="24"/>
          <w:szCs w:val="24"/>
          <w:lang w:val="en-US" w:eastAsia="zh-CN"/>
        </w:rPr>
      </w:pPr>
      <w:r>
        <w:rPr>
          <w:rFonts w:hint="eastAsia" w:ascii="Times New Roman" w:hAnsi="Times New Roman" w:cs="Times New Roman"/>
          <w:sz w:val="24"/>
          <w:szCs w:val="24"/>
          <w:lang w:val="en-US" w:eastAsia="zh-CN"/>
        </w:rPr>
        <w:t>£1800*6%*580,000=£62,640,000, which can afford the remaining internal-amending cost.</w:t>
      </w:r>
    </w:p>
    <w:p>
      <w:pPr>
        <w:rPr>
          <w:rFonts w:hint="default" w:ascii="Times New Roman" w:hAnsi="Times New Roman" w:eastAsia="宋体" w:cs="Times New Roman"/>
          <w:sz w:val="24"/>
          <w:szCs w:val="24"/>
          <w:lang w:val="en-US" w:eastAsia="zh-CN"/>
        </w:rPr>
      </w:pP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M</w:t>
      </w:r>
      <w:r>
        <w:rPr>
          <w:rFonts w:hint="default" w:ascii="Times New Roman" w:hAnsi="Times New Roman" w:cs="Times New Roman"/>
          <w:b/>
          <w:bCs/>
          <w:sz w:val="24"/>
          <w:szCs w:val="24"/>
          <w:lang w:val="en-US" w:eastAsia="zh-CN"/>
        </w:rPr>
        <w:t xml:space="preserve">arket-price based </w:t>
      </w:r>
      <w:r>
        <w:rPr>
          <w:rFonts w:hint="default" w:ascii="Times New Roman" w:hAnsi="Times New Roman" w:cs="Times New Roman"/>
          <w:sz w:val="24"/>
          <w:szCs w:val="24"/>
          <w:lang w:val="en-US" w:eastAsia="zh-CN"/>
        </w:rPr>
        <w:t>transfer pricing approach:</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Here’s the breakdown: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sz w:val="24"/>
          <w:szCs w:val="24"/>
          <w:lang w:val="en-US" w:eastAsia="zh-CN"/>
        </w:rPr>
        <w:t>The M/S charge</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rPr>
        <w:t xml:space="preserve">average </w:t>
      </w:r>
      <w:r>
        <w:rPr>
          <w:rFonts w:hint="default" w:ascii="Times New Roman" w:hAnsi="Times New Roman" w:cs="Times New Roman"/>
          <w:b/>
          <w:bCs/>
          <w:sz w:val="24"/>
          <w:szCs w:val="24"/>
        </w:rPr>
        <w:t>£95</w:t>
      </w:r>
      <w:r>
        <w:rPr>
          <w:rFonts w:hint="default" w:ascii="Times New Roman" w:hAnsi="Times New Roman" w:cs="Times New Roman"/>
          <w:b w:val="0"/>
          <w:bCs w:val="0"/>
          <w:sz w:val="24"/>
          <w:szCs w:val="24"/>
        </w:rPr>
        <w:t xml:space="preserve"> per repair</w:t>
      </w:r>
      <w:r>
        <w:rPr>
          <w:rFonts w:hint="default" w:ascii="Times New Roman" w:hAnsi="Times New Roman" w:cs="Times New Roman"/>
          <w:b w:val="0"/>
          <w:bCs w:val="0"/>
          <w:sz w:val="24"/>
          <w:szCs w:val="24"/>
          <w:lang w:val="en-US" w:eastAsia="zh-CN"/>
        </w:rPr>
        <w:t xml:space="preserve"> to the service division, with 6% of 580,000 units in total.</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Therefore, in total</w:t>
      </w:r>
      <w:r>
        <w:rPr>
          <w:rFonts w:hint="eastAsia" w:ascii="Times New Roman" w:hAnsi="Times New Roman" w:cs="Times New Roman"/>
          <w:b w:val="0"/>
          <w:bCs w:val="0"/>
          <w:sz w:val="24"/>
          <w:szCs w:val="24"/>
          <w:lang w:val="en-US" w:eastAsia="zh-CN"/>
        </w:rPr>
        <w:t xml:space="preserve"> it</w:t>
      </w:r>
      <w:r>
        <w:rPr>
          <w:rFonts w:hint="default" w:ascii="Times New Roman" w:hAnsi="Times New Roman" w:cs="Times New Roman"/>
          <w:b w:val="0"/>
          <w:bCs w:val="0"/>
          <w:sz w:val="24"/>
          <w:szCs w:val="24"/>
          <w:lang w:val="en-US" w:eastAsia="zh-CN"/>
        </w:rPr>
        <w:t xml:space="preserve"> is:</w:t>
      </w:r>
      <w:r>
        <w:rPr>
          <w:rFonts w:hint="default" w:ascii="Times New Roman" w:hAnsi="Times New Roman" w:cs="Times New Roman"/>
          <w:b w:val="0"/>
          <w:bCs w:val="0"/>
          <w:sz w:val="24"/>
          <w:szCs w:val="24"/>
        </w:rPr>
        <w:t>£95</w:t>
      </w:r>
      <w:r>
        <w:rPr>
          <w:rFonts w:hint="default" w:ascii="Times New Roman" w:hAnsi="Times New Roman" w:cs="Times New Roman"/>
          <w:b w:val="0"/>
          <w:bCs w:val="0"/>
          <w:sz w:val="24"/>
          <w:szCs w:val="24"/>
          <w:lang w:val="en-US" w:eastAsia="zh-CN"/>
        </w:rPr>
        <w:t>*580,000*6%=</w:t>
      </w:r>
      <w:r>
        <w:rPr>
          <w:rFonts w:hint="default" w:ascii="Times New Roman" w:hAnsi="Times New Roman" w:cs="Times New Roman"/>
          <w:b w:val="0"/>
          <w:bCs w:val="0"/>
          <w:sz w:val="24"/>
          <w:szCs w:val="24"/>
        </w:rPr>
        <w:t>£</w:t>
      </w:r>
      <w:r>
        <w:rPr>
          <w:rFonts w:hint="default" w:ascii="Times New Roman" w:hAnsi="Times New Roman" w:cs="Times New Roman"/>
          <w:b w:val="0"/>
          <w:bCs w:val="0"/>
          <w:sz w:val="24"/>
          <w:szCs w:val="24"/>
          <w:lang w:val="en-US" w:eastAsia="zh-CN"/>
        </w:rPr>
        <w:t>3,306,000</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Total charge for Service division is £212*580,000*6%=</w:t>
      </w:r>
      <w:r>
        <w:rPr>
          <w:rFonts w:hint="default" w:ascii="Times New Roman" w:hAnsi="Times New Roman" w:cs="Times New Roman"/>
          <w:b w:val="0"/>
          <w:bCs w:val="0"/>
          <w:sz w:val="24"/>
          <w:szCs w:val="24"/>
        </w:rPr>
        <w:t>£</w:t>
      </w:r>
      <w:r>
        <w:rPr>
          <w:rFonts w:hint="default" w:ascii="Times New Roman" w:hAnsi="Times New Roman" w:cs="Times New Roman"/>
          <w:b w:val="0"/>
          <w:bCs w:val="0"/>
          <w:sz w:val="24"/>
          <w:szCs w:val="24"/>
          <w:lang w:val="en-US" w:eastAsia="zh-CN"/>
        </w:rPr>
        <w:t>7,377,600</w:t>
      </w:r>
    </w:p>
    <w:p>
      <w:pPr>
        <w:rPr>
          <w:rFonts w:hint="default" w:ascii="Times New Roman" w:hAnsi="Times New Roman" w:cs="Times New Roman"/>
          <w:b/>
          <w:bCs/>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conclusion, if do internal-amending, the M/S division needs to provide</w:t>
      </w:r>
    </w:p>
    <w:p>
      <w:pPr>
        <w:rPr>
          <w:rFonts w:hint="default" w:ascii="Times New Roman" w:hAnsi="Times New Roman" w:eastAsia="宋体" w:cs="Times New Roman"/>
          <w:b w:val="0"/>
          <w:bCs w:val="0"/>
          <w:sz w:val="24"/>
          <w:szCs w:val="24"/>
          <w:lang w:val="en-US" w:eastAsia="zh-CN"/>
        </w:rPr>
      </w:pPr>
      <w:r>
        <w:rPr>
          <w:rFonts w:hint="default" w:ascii="Times New Roman" w:hAnsi="Times New Roman" w:cs="Times New Roman"/>
          <w:b/>
          <w:bCs/>
          <w:sz w:val="24"/>
          <w:szCs w:val="24"/>
        </w:rPr>
        <w:t>£10</w:t>
      </w:r>
      <w:r>
        <w:rPr>
          <w:rFonts w:hint="default" w:ascii="Times New Roman" w:hAnsi="Times New Roman" w:cs="Times New Roman"/>
          <w:b/>
          <w:bCs/>
          <w:sz w:val="24"/>
          <w:szCs w:val="24"/>
          <w:lang w:val="en-US" w:eastAsia="zh-CN"/>
        </w:rPr>
        <w:t>,000,000-(7,377,600-3,306,000)=</w:t>
      </w:r>
      <w:r>
        <w:rPr>
          <w:rFonts w:hint="default" w:ascii="Times New Roman" w:hAnsi="Times New Roman" w:cs="Times New Roman"/>
          <w:b/>
          <w:bCs/>
          <w:sz w:val="24"/>
          <w:szCs w:val="24"/>
        </w:rPr>
        <w:t>£</w:t>
      </w:r>
      <w:r>
        <w:rPr>
          <w:rFonts w:hint="default" w:ascii="Times New Roman" w:hAnsi="Times New Roman" w:cs="Times New Roman"/>
          <w:b/>
          <w:bCs/>
          <w:sz w:val="24"/>
          <w:szCs w:val="24"/>
          <w:lang w:val="en-US" w:eastAsia="zh-CN"/>
        </w:rPr>
        <w:t>5,928,000</w:t>
      </w:r>
      <w:r>
        <w:rPr>
          <w:rFonts w:hint="default" w:ascii="Times New Roman" w:hAnsi="Times New Roman" w:cs="Times New Roman"/>
          <w:b w:val="0"/>
          <w:bCs w:val="0"/>
          <w:sz w:val="24"/>
          <w:szCs w:val="24"/>
          <w:lang w:val="en-US" w:eastAsia="zh-CN"/>
        </w:rPr>
        <w:t xml:space="preserve"> to the service division.</w:t>
      </w:r>
    </w:p>
    <w:p>
      <w:pPr>
        <w:rPr>
          <w:rFonts w:hint="eastAsia"/>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Note: The IT provide a flat price of £1800 per warranty service repair, which in total would be:</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£1800*6%*580,000=£62,640,000</w:t>
      </w:r>
      <w:r>
        <w:rPr>
          <w:rFonts w:hint="eastAsia" w:ascii="Times New Roman" w:hAnsi="Times New Roman" w:cs="Times New Roman"/>
          <w:sz w:val="24"/>
          <w:szCs w:val="24"/>
          <w:lang w:val="en-US" w:eastAsia="zh-CN"/>
        </w:rPr>
        <w:t xml:space="preserve">, which can afford the remaining internal-amending cost（if the IT </w:t>
      </w:r>
      <w:r>
        <w:rPr>
          <w:rFonts w:hint="default" w:ascii="Times New Roman" w:hAnsi="Times New Roman" w:eastAsia="宋体" w:cs="Times New Roman"/>
          <w:sz w:val="24"/>
          <w:szCs w:val="24"/>
          <w:lang w:val="en-US" w:eastAsia="zh-CN"/>
        </w:rPr>
        <w:t>£1800</w:t>
      </w:r>
      <w:r>
        <w:rPr>
          <w:rFonts w:hint="eastAsia" w:ascii="Times New Roman" w:hAnsi="Times New Roman" w:cs="Times New Roman"/>
          <w:sz w:val="24"/>
          <w:szCs w:val="24"/>
          <w:lang w:val="en-US" w:eastAsia="zh-CN"/>
        </w:rPr>
        <w:t xml:space="preserve"> is treated as the market price)</w:t>
      </w:r>
    </w:p>
    <w:p>
      <w:pPr>
        <w:rPr>
          <w:rFonts w:hint="default" w:cs="Calibri"/>
          <w:b/>
          <w:bCs/>
          <w:sz w:val="21"/>
          <w:szCs w:val="21"/>
          <w:lang w:val="en-US" w:eastAsia="zh-CN"/>
        </w:rPr>
      </w:pP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Conclusion: </w:t>
      </w:r>
    </w:p>
    <w:p>
      <w:pPr>
        <w:rPr>
          <w:rFonts w:hint="eastAsia"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market price method, also known as the comparable uncontrolled price method (CUP), relies on external market benchmarks to determine transfer prices. Under this approach, transactions are priced based on current market prices for similar goods or services sold between unrelated parties. The market price approach aims to ensure that transactions reflect fair market value and are not affected by the relationship between the buyer and seller, by adjusting prices within the group based on external market conditions. Market price provides transparency and reduces the risk of disputes with tax authorities by showing that the transfer price is consistent with an arm's length transaction on the open market.</w:t>
      </w:r>
    </w:p>
    <w:p>
      <w:pPr>
        <w:rPr>
          <w:rFonts w:hint="eastAsia"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he cost-plus method,</w:t>
      </w:r>
      <w:r>
        <w:rPr>
          <w:rFonts w:hint="eastAsia" w:ascii="Times New Roman" w:hAnsi="Times New Roman" w:cs="Times New Roman"/>
          <w:b w:val="0"/>
          <w:bCs w:val="0"/>
          <w:sz w:val="24"/>
          <w:szCs w:val="24"/>
          <w:lang w:val="en-US" w:eastAsia="zh-CN"/>
        </w:rPr>
        <w:t xml:space="preserve"> however, has</w:t>
      </w:r>
      <w:r>
        <w:rPr>
          <w:rFonts w:hint="default" w:ascii="Times New Roman" w:hAnsi="Times New Roman" w:cs="Times New Roman"/>
          <w:b w:val="0"/>
          <w:bCs w:val="0"/>
          <w:sz w:val="24"/>
          <w:szCs w:val="24"/>
          <w:lang w:val="en-US" w:eastAsia="zh-CN"/>
        </w:rPr>
        <w:t xml:space="preserve"> a markup </w:t>
      </w:r>
      <w:r>
        <w:rPr>
          <w:rFonts w:hint="eastAsia" w:ascii="Times New Roman" w:hAnsi="Times New Roman" w:cs="Times New Roman"/>
          <w:b w:val="0"/>
          <w:bCs w:val="0"/>
          <w:sz w:val="24"/>
          <w:szCs w:val="24"/>
          <w:lang w:val="en-US" w:eastAsia="zh-CN"/>
        </w:rPr>
        <w:t>which is</w:t>
      </w:r>
      <w:r>
        <w:rPr>
          <w:rFonts w:hint="default" w:ascii="Times New Roman" w:hAnsi="Times New Roman" w:cs="Times New Roman"/>
          <w:b w:val="0"/>
          <w:bCs w:val="0"/>
          <w:sz w:val="24"/>
          <w:szCs w:val="24"/>
          <w:lang w:val="en-US" w:eastAsia="zh-CN"/>
        </w:rPr>
        <w:t xml:space="preserve"> added to the production costs to determine the transfer price. In this method, the sales price is calculated by adding a predetermined profit margin to the direct or indirect costs incurred in producing the goods or providing the services. The cost-plus method makes pricing decisions simple and straightforward, especially for companies with standardized products or services and well-defined production costs. </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According to the calculation, compared with the market price approaches, the cost-plus seems better in addressing the internal-amending objectives. If the IT </w:t>
      </w:r>
      <w:r>
        <w:rPr>
          <w:rFonts w:hint="default" w:ascii="Times New Roman" w:hAnsi="Times New Roman" w:eastAsia="宋体" w:cs="Times New Roman"/>
          <w:sz w:val="24"/>
          <w:szCs w:val="24"/>
          <w:lang w:val="en-US" w:eastAsia="zh-CN"/>
        </w:rPr>
        <w:t>£1800</w:t>
      </w:r>
      <w:r>
        <w:rPr>
          <w:rFonts w:hint="eastAsia" w:ascii="Times New Roman" w:hAnsi="Times New Roman" w:cs="Times New Roman"/>
          <w:sz w:val="24"/>
          <w:szCs w:val="24"/>
          <w:lang w:val="en-US" w:eastAsia="zh-CN"/>
        </w:rPr>
        <w:t xml:space="preserve"> is treated as the market price, the internal expense up to </w:t>
      </w:r>
      <w:r>
        <w:rPr>
          <w:rFonts w:hint="default" w:ascii="Times New Roman" w:hAnsi="Times New Roman" w:eastAsia="宋体" w:cs="Times New Roman"/>
          <w:sz w:val="24"/>
          <w:szCs w:val="24"/>
          <w:lang w:val="en-US" w:eastAsia="zh-CN"/>
        </w:rPr>
        <w:t>£1</w:t>
      </w:r>
      <w:r>
        <w:rPr>
          <w:rFonts w:hint="eastAsia" w:ascii="Times New Roman" w:hAnsi="Times New Roman" w:cs="Times New Roman"/>
          <w:sz w:val="24"/>
          <w:szCs w:val="24"/>
          <w:lang w:val="en-US" w:eastAsia="zh-CN"/>
        </w:rPr>
        <w:t>0m can therefore be amended.</w:t>
      </w:r>
    </w:p>
    <w:p>
      <w:pPr>
        <w:pStyle w:val="4"/>
        <w:numPr>
          <w:ilvl w:val="0"/>
          <w:numId w:val="2"/>
        </w:numPr>
        <w:bidi w:val="0"/>
        <w:rPr>
          <w:rFonts w:hint="default"/>
          <w:lang w:val="en-US" w:eastAsia="zh-CN"/>
        </w:rPr>
      </w:pPr>
      <w:bookmarkStart w:id="6" w:name="_Toc29217"/>
      <w:r>
        <w:rPr>
          <w:rFonts w:hint="eastAsia"/>
          <w:lang w:val="en-US" w:eastAsia="zh-CN"/>
        </w:rPr>
        <w:t>T</w:t>
      </w:r>
      <w:r>
        <w:t>he potential impact of the introduction of the new executive information system at Wirral on performance management.</w:t>
      </w:r>
      <w:bookmarkEnd w:id="6"/>
    </w:p>
    <w:p>
      <w:pPr>
        <w:rPr>
          <w:rFonts w:hint="default" w:ascii="Times New Roman Bold" w:hAnsi="Times New Roman Bold" w:cs="Times New Roman Bold"/>
          <w:b w:val="0"/>
          <w:bCs w:val="0"/>
          <w:sz w:val="24"/>
          <w:szCs w:val="24"/>
          <w:lang w:val="en-US" w:eastAsia="zh-CN"/>
        </w:rPr>
      </w:pP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The introduction of a new Executive Information System (EIS) in Wirral could have potential impacts on performance management:</w:t>
      </w:r>
    </w:p>
    <w:p>
      <w:pPr>
        <w:rPr>
          <w:rFonts w:hint="default" w:ascii="Times New Roman Bold" w:hAnsi="Times New Roman Bold" w:cs="Times New Roman Bold"/>
          <w:b/>
          <w:bCs/>
          <w:sz w:val="24"/>
          <w:szCs w:val="24"/>
          <w:lang w:val="en-US" w:eastAsia="zh-CN"/>
        </w:rPr>
      </w:pPr>
    </w:p>
    <w:p>
      <w:pPr>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Improved access to real-time data:</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An EIS will give managers access to real-time data from various company functions, including production, sales, service, finance and human resources.</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Managers can make more informed decisions based on current information, leading to better performance management.</w:t>
      </w:r>
    </w:p>
    <w:p>
      <w:pPr>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Improve decision-making:</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With access to comprehensive, integrated data, leaders can more effectively analyze performance metrics and identify areas for improvement or optimization.</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EIS can facilitate strategic decision-making by providing insights into key performance indicators and trends across different departments or locations.</w:t>
      </w:r>
    </w:p>
    <w:p>
      <w:pPr>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Increase transparency and accountability:</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The transparent and centralized nature of the EIS promotes accountability among managers and department heads.</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Performance indicators and targets can be monitored more closely, promoting a culture of accountability and driving performance improvements.</w:t>
      </w:r>
    </w:p>
    <w:p>
      <w:pPr>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Optimize reporting process:</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EIS automates the reporting process by consolidating data from multiple sources into a central database.</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Managers can create custom reports and dashboards to track performance metrics, eliminating manual data collection and analysis efforts.</w:t>
      </w:r>
    </w:p>
    <w:p>
      <w:pPr>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Aligned with strategic objectives:</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EIS supports the alignment of operational activities with strategic objectives.</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Leaders can more effectively monitor performance against strategic goals and adjust strategies as needed to achieve desired results.</w:t>
      </w:r>
    </w:p>
    <w:p>
      <w:pPr>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Improve communication and collaboration:</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EIS facilitates communication and collaboration between managers and department heads by providing a common platform for accessing and sharing performance data.</w:t>
      </w:r>
    </w:p>
    <w:p>
      <w:pPr>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Leaders can collaborate more effectively on performance improvement plans and strategic initiatives.</w:t>
      </w:r>
    </w:p>
    <w:p>
      <w:pPr>
        <w:rPr>
          <w:rFonts w:hint="default" w:ascii="Times New Roman Bold" w:hAnsi="Times New Roman Bold" w:cs="Times New Roman Bold"/>
          <w:b w:val="0"/>
          <w:bCs w:val="0"/>
          <w:sz w:val="24"/>
          <w:szCs w:val="24"/>
          <w:lang w:val="en-US" w:eastAsia="zh-CN"/>
        </w:rPr>
      </w:pPr>
    </w:p>
    <w:p>
      <w:pPr>
        <w:pStyle w:val="3"/>
        <w:bidi w:val="0"/>
        <w:jc w:val="center"/>
        <w:rPr>
          <w:rFonts w:hint="eastAsia"/>
          <w:lang w:val="en-US" w:eastAsia="zh-CN"/>
        </w:rPr>
      </w:pPr>
      <w:bookmarkStart w:id="7" w:name="_Toc15991"/>
      <w:r>
        <w:rPr>
          <w:rFonts w:hint="eastAsia"/>
          <w:lang w:val="en-US" w:eastAsia="zh-CN"/>
        </w:rPr>
        <w:t>PART 2</w:t>
      </w:r>
      <w:bookmarkEnd w:id="7"/>
    </w:p>
    <w:p>
      <w:pPr>
        <w:pStyle w:val="4"/>
        <w:bidi w:val="0"/>
        <w:rPr>
          <w:rFonts w:hint="default"/>
          <w:lang w:val="en-US" w:eastAsia="zh-CN"/>
        </w:rPr>
      </w:pPr>
      <w:bookmarkStart w:id="8" w:name="_Toc32018"/>
      <w:r>
        <w:rPr>
          <w:rFonts w:hint="eastAsia"/>
          <w:lang w:val="en-US" w:eastAsia="zh-CN"/>
        </w:rPr>
        <w:t>The growth crisis facing the Defoe brand and the company</w:t>
      </w:r>
      <w:bookmarkEnd w:id="8"/>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The crisis at Defoe Shoe Co., Ltd.</w:t>
      </w:r>
      <w:r>
        <w:rPr>
          <w:rFonts w:hint="eastAsia" w:ascii="Times New Roman Bold" w:hAnsi="Times New Roman Bold" w:cs="Times New Roman Bold"/>
          <w:b w:val="0"/>
          <w:bCs w:val="0"/>
          <w:sz w:val="24"/>
          <w:szCs w:val="24"/>
          <w:lang w:val="en-US" w:eastAsia="zh-CN"/>
        </w:rPr>
        <w:t xml:space="preserve"> marks</w:t>
      </w:r>
      <w:r>
        <w:rPr>
          <w:rFonts w:hint="default" w:ascii="Times New Roman Bold" w:hAnsi="Times New Roman Bold" w:cs="Times New Roman Bold"/>
          <w:b w:val="0"/>
          <w:bCs w:val="0"/>
          <w:sz w:val="24"/>
          <w:szCs w:val="24"/>
          <w:lang w:val="en-US" w:eastAsia="zh-CN"/>
        </w:rPr>
        <w:t xml:space="preserve"> the significance of </w:t>
      </w:r>
      <w:r>
        <w:rPr>
          <w:rFonts w:hint="eastAsia" w:ascii="Times New Roman Bold" w:hAnsi="Times New Roman Bold" w:cs="Times New Roman Bold"/>
          <w:b w:val="0"/>
          <w:bCs w:val="0"/>
          <w:sz w:val="24"/>
          <w:szCs w:val="24"/>
          <w:lang w:val="en-US" w:eastAsia="zh-CN"/>
        </w:rPr>
        <w:t xml:space="preserve">introducing a </w:t>
      </w:r>
      <w:r>
        <w:rPr>
          <w:rFonts w:hint="default" w:ascii="Times New Roman Bold" w:hAnsi="Times New Roman Bold" w:cs="Times New Roman Bold"/>
          <w:b w:val="0"/>
          <w:bCs w:val="0"/>
          <w:sz w:val="24"/>
          <w:szCs w:val="24"/>
          <w:lang w:val="en-US" w:eastAsia="zh-CN"/>
        </w:rPr>
        <w:t>resource-based view (RBV) theory, as emphasized by Barney (1991). According to this theory, a firm's competitive advantage and performance are determined by its unique resources and capabilities. Defoe possesses valuable design and manufacturing expertise that has been accumulated over many years, setting its products apart in the market. By effectively utilizing these resources, Defoe can mitigate the impact of external challenges, such as disruptions in the supply chain. The RBV also emphasizes the need for continuous investment and development of resources to achieve long-term competitive advantage, as stated by Penrose (1959). Therefore, it is crucial for Defoe to prioritize research and development investments in order to innovate its product offering and maintain relevance in the ever-changing footwear industry.</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 xml:space="preserve">Moreover, the </w:t>
      </w:r>
      <w:r>
        <w:rPr>
          <w:rFonts w:hint="default" w:ascii="Times New Roman Bold" w:hAnsi="Times New Roman Bold" w:cs="Times New Roman Bold"/>
          <w:b w:val="0"/>
          <w:bCs w:val="0"/>
          <w:sz w:val="24"/>
          <w:szCs w:val="24"/>
          <w:lang w:val="en-US" w:eastAsia="zh-CN"/>
        </w:rPr>
        <w:t xml:space="preserve">Transaction Cost Economics (TCE) theory provides valuable insights into Defoe's decision-making process and organizational structure, </w:t>
      </w:r>
      <w:r>
        <w:rPr>
          <w:rFonts w:hint="eastAsia" w:ascii="Times New Roman Bold" w:hAnsi="Times New Roman Bold" w:cs="Times New Roman Bold"/>
          <w:b w:val="0"/>
          <w:bCs w:val="0"/>
          <w:sz w:val="24"/>
          <w:szCs w:val="24"/>
          <w:lang w:val="en-US" w:eastAsia="zh-CN"/>
        </w:rPr>
        <w:t>especially</w:t>
      </w:r>
      <w:r>
        <w:rPr>
          <w:rFonts w:hint="default" w:ascii="Times New Roman Bold" w:hAnsi="Times New Roman Bold" w:cs="Times New Roman Bold"/>
          <w:b w:val="0"/>
          <w:bCs w:val="0"/>
          <w:sz w:val="24"/>
          <w:szCs w:val="24"/>
          <w:lang w:val="en-US" w:eastAsia="zh-CN"/>
        </w:rPr>
        <w:t xml:space="preserve"> in relation to managing the costs associated with purchasing.</w:t>
      </w:r>
      <w:r>
        <w:rPr>
          <w:rFonts w:hint="eastAsia" w:ascii="Times New Roman Bold" w:hAnsi="Times New Roman Bold" w:cs="Times New Roman Bold"/>
          <w:b w:val="0"/>
          <w:bCs w:val="0"/>
          <w:sz w:val="24"/>
          <w:szCs w:val="24"/>
          <w:lang w:val="en-US" w:eastAsia="zh-CN"/>
        </w:rPr>
        <w:t xml:space="preserve"> </w:t>
      </w:r>
      <w:r>
        <w:rPr>
          <w:rFonts w:hint="default" w:ascii="Times New Roman Bold" w:hAnsi="Times New Roman Bold" w:cs="Times New Roman Bold"/>
          <w:b w:val="0"/>
          <w:bCs w:val="0"/>
          <w:sz w:val="24"/>
          <w:szCs w:val="24"/>
          <w:lang w:val="en-US" w:eastAsia="zh-CN"/>
        </w:rPr>
        <w:t xml:space="preserve">Defoe's choice between sourcing from Japan and exploring other potential suppliers is influenced by transaction cost considerations, such as procurement expenses, delivery timelines, and supplier relationships. </w:t>
      </w:r>
      <w:r>
        <w:rPr>
          <w:rFonts w:hint="eastAsia" w:ascii="Times New Roman Bold" w:hAnsi="Times New Roman Bold" w:cs="Times New Roman Bold"/>
          <w:b w:val="0"/>
          <w:bCs w:val="0"/>
          <w:sz w:val="24"/>
          <w:szCs w:val="24"/>
          <w:lang w:val="en-US" w:eastAsia="zh-CN"/>
        </w:rPr>
        <w:t>It is mentioned that Defoe can source raw materials for less than half of the current prices from Brzail and other countries, as well as the current lead time. Therefore, it is of significance to</w:t>
      </w:r>
      <w:r>
        <w:rPr>
          <w:rFonts w:hint="default" w:ascii="Times New Roman Bold" w:hAnsi="Times New Roman Bold" w:cs="Times New Roman Bold"/>
          <w:b w:val="0"/>
          <w:bCs w:val="0"/>
          <w:sz w:val="24"/>
          <w:szCs w:val="24"/>
          <w:lang w:val="en-US" w:eastAsia="zh-CN"/>
        </w:rPr>
        <w:t xml:space="preserve"> carefully evaluat</w:t>
      </w:r>
      <w:r>
        <w:rPr>
          <w:rFonts w:hint="eastAsia" w:ascii="Times New Roman Bold" w:hAnsi="Times New Roman Bold" w:cs="Times New Roman Bold"/>
          <w:b w:val="0"/>
          <w:bCs w:val="0"/>
          <w:sz w:val="24"/>
          <w:szCs w:val="24"/>
          <w:lang w:val="en-US" w:eastAsia="zh-CN"/>
        </w:rPr>
        <w:t>e</w:t>
      </w:r>
      <w:r>
        <w:rPr>
          <w:rFonts w:hint="default" w:ascii="Times New Roman Bold" w:hAnsi="Times New Roman Bold" w:cs="Times New Roman Bold"/>
          <w:b w:val="0"/>
          <w:bCs w:val="0"/>
          <w:sz w:val="24"/>
          <w:szCs w:val="24"/>
          <w:lang w:val="en-US" w:eastAsia="zh-CN"/>
        </w:rPr>
        <w:t xml:space="preserve"> these costs</w:t>
      </w:r>
      <w:r>
        <w:rPr>
          <w:rFonts w:hint="eastAsia" w:ascii="Times New Roman Bold" w:hAnsi="Times New Roman Bold" w:cs="Times New Roman Bold"/>
          <w:b w:val="0"/>
          <w:bCs w:val="0"/>
          <w:sz w:val="24"/>
          <w:szCs w:val="24"/>
          <w:lang w:val="en-US" w:eastAsia="zh-CN"/>
        </w:rPr>
        <w:t xml:space="preserve">. By doing so, </w:t>
      </w:r>
      <w:r>
        <w:rPr>
          <w:rFonts w:hint="default" w:ascii="Times New Roman Bold" w:hAnsi="Times New Roman Bold" w:cs="Times New Roman Bold"/>
          <w:b w:val="0"/>
          <w:bCs w:val="0"/>
          <w:sz w:val="24"/>
          <w:szCs w:val="24"/>
          <w:lang w:val="en-US" w:eastAsia="zh-CN"/>
        </w:rPr>
        <w:t xml:space="preserve">Defoe can determine the most economically efficient purchasing strategy. </w:t>
      </w:r>
      <w:r>
        <w:rPr>
          <w:rFonts w:hint="eastAsia" w:ascii="Times New Roman Bold" w:hAnsi="Times New Roman Bold" w:cs="Times New Roman Bold"/>
          <w:b w:val="0"/>
          <w:bCs w:val="0"/>
          <w:sz w:val="24"/>
          <w:szCs w:val="24"/>
          <w:lang w:val="en-US" w:eastAsia="zh-CN"/>
        </w:rPr>
        <w:t xml:space="preserve">Additionally, </w:t>
      </w:r>
      <w:r>
        <w:rPr>
          <w:rFonts w:hint="default" w:ascii="Times New Roman Bold" w:hAnsi="Times New Roman Bold" w:cs="Times New Roman Bold"/>
          <w:b w:val="0"/>
          <w:bCs w:val="0"/>
          <w:sz w:val="24"/>
          <w:szCs w:val="24"/>
          <w:lang w:val="en-US" w:eastAsia="zh-CN"/>
        </w:rPr>
        <w:t>TCE highlights the significance of effective supplier relationship management and contract administration in minimizing transaction costs and ensuring the smooth functioning of the supply chain, as emphasized by Coase (1937). Therefore, it is crucial for Defoe to prioritize the establishment of long-term partnerships with reliable suppliers, as this will help mitigate risks and optimize the overall efficiency of the supply chain.</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 xml:space="preserve">The theory known as the market-based view (MBV) </w:t>
      </w:r>
      <w:r>
        <w:rPr>
          <w:rFonts w:hint="eastAsia" w:ascii="Times New Roman Bold" w:hAnsi="Times New Roman Bold" w:cs="Times New Roman Bold"/>
          <w:b w:val="0"/>
          <w:bCs w:val="0"/>
          <w:sz w:val="24"/>
          <w:szCs w:val="24"/>
          <w:lang w:val="en-US" w:eastAsia="zh-CN"/>
        </w:rPr>
        <w:t xml:space="preserve">focuses on </w:t>
      </w:r>
      <w:r>
        <w:rPr>
          <w:rFonts w:hint="default" w:ascii="Times New Roman Bold" w:hAnsi="Times New Roman Bold" w:cs="Times New Roman Bold"/>
          <w:b w:val="0"/>
          <w:bCs w:val="0"/>
          <w:sz w:val="24"/>
          <w:szCs w:val="24"/>
          <w:lang w:val="en-US" w:eastAsia="zh-CN"/>
        </w:rPr>
        <w:t xml:space="preserve">comprehending the dynamics of the market, customer preferences, and competitive forces in order to make strategic decisions (Day, 1994). The current crisis faced by Defoe, influenced by various factors such as Brexit and the COVID-19 pandemic, </w:t>
      </w:r>
      <w:r>
        <w:rPr>
          <w:rFonts w:hint="eastAsia" w:ascii="Times New Roman Bold" w:hAnsi="Times New Roman Bold" w:cs="Times New Roman Bold"/>
          <w:b w:val="0"/>
          <w:bCs w:val="0"/>
          <w:sz w:val="24"/>
          <w:szCs w:val="24"/>
          <w:lang w:val="en-US" w:eastAsia="zh-CN"/>
        </w:rPr>
        <w:t xml:space="preserve">leads to the discussion of </w:t>
      </w:r>
      <w:r>
        <w:rPr>
          <w:rFonts w:hint="default" w:ascii="Times New Roman Bold" w:hAnsi="Times New Roman Bold" w:cs="Times New Roman Bold"/>
          <w:b w:val="0"/>
          <w:bCs w:val="0"/>
          <w:sz w:val="24"/>
          <w:szCs w:val="24"/>
          <w:lang w:val="en-US" w:eastAsia="zh-CN"/>
        </w:rPr>
        <w:t xml:space="preserve">the necessity of adapting to evolving market conditions and changes in consumer behavior. </w:t>
      </w:r>
      <w:r>
        <w:rPr>
          <w:rFonts w:hint="eastAsia" w:ascii="Times New Roman Bold" w:hAnsi="Times New Roman Bold" w:cs="Times New Roman Bold"/>
          <w:b w:val="0"/>
          <w:bCs w:val="0"/>
          <w:sz w:val="24"/>
          <w:szCs w:val="24"/>
          <w:lang w:val="en-US" w:eastAsia="zh-CN"/>
        </w:rPr>
        <w:t xml:space="preserve">The </w:t>
      </w:r>
      <w:r>
        <w:rPr>
          <w:rFonts w:hint="default" w:ascii="Times New Roman Bold" w:hAnsi="Times New Roman Bold" w:cs="Times New Roman Bold"/>
          <w:b w:val="0"/>
          <w:bCs w:val="0"/>
          <w:sz w:val="24"/>
          <w:szCs w:val="24"/>
          <w:lang w:val="en-US" w:eastAsia="zh-CN"/>
        </w:rPr>
        <w:t xml:space="preserve">market analysis enables Defoe to identify emerging trends and opportunities for growth. </w:t>
      </w:r>
      <w:r>
        <w:rPr>
          <w:rFonts w:hint="eastAsia" w:ascii="Times New Roman Bold" w:hAnsi="Times New Roman Bold" w:cs="Times New Roman Bold"/>
          <w:b w:val="0"/>
          <w:bCs w:val="0"/>
          <w:sz w:val="24"/>
          <w:szCs w:val="24"/>
          <w:lang w:val="en-US" w:eastAsia="zh-CN"/>
        </w:rPr>
        <w:t xml:space="preserve">As </w:t>
      </w:r>
      <w:r>
        <w:rPr>
          <w:rFonts w:hint="default" w:ascii="Times New Roman Bold" w:hAnsi="Times New Roman Bold" w:cs="Times New Roman Bold"/>
          <w:b w:val="0"/>
          <w:bCs w:val="0"/>
          <w:sz w:val="24"/>
          <w:szCs w:val="24"/>
          <w:lang w:val="en-US" w:eastAsia="zh-CN"/>
        </w:rPr>
        <w:t>MBV</w:t>
      </w:r>
      <w:r>
        <w:rPr>
          <w:rFonts w:hint="eastAsia" w:ascii="Times New Roman Bold" w:hAnsi="Times New Roman Bold" w:cs="Times New Roman Bold"/>
          <w:b w:val="0"/>
          <w:bCs w:val="0"/>
          <w:sz w:val="24"/>
          <w:szCs w:val="24"/>
          <w:lang w:val="en-US" w:eastAsia="zh-CN"/>
        </w:rPr>
        <w:t xml:space="preserve"> also</w:t>
      </w:r>
      <w:r>
        <w:rPr>
          <w:rFonts w:hint="default" w:ascii="Times New Roman Bold" w:hAnsi="Times New Roman Bold" w:cs="Times New Roman Bold"/>
          <w:b w:val="0"/>
          <w:bCs w:val="0"/>
          <w:sz w:val="24"/>
          <w:szCs w:val="24"/>
          <w:lang w:val="en-US" w:eastAsia="zh-CN"/>
        </w:rPr>
        <w:t xml:space="preserve"> highlights the significance of creating customer value and </w:t>
      </w:r>
      <w:r>
        <w:rPr>
          <w:rFonts w:hint="eastAsia" w:ascii="Times New Roman Bold" w:hAnsi="Times New Roman Bold" w:cs="Times New Roman Bold"/>
          <w:b w:val="0"/>
          <w:bCs w:val="0"/>
          <w:sz w:val="24"/>
          <w:szCs w:val="24"/>
          <w:lang w:val="en-US" w:eastAsia="zh-CN"/>
        </w:rPr>
        <w:t>differences</w:t>
      </w:r>
      <w:r>
        <w:rPr>
          <w:rFonts w:hint="default" w:ascii="Times New Roman Bold" w:hAnsi="Times New Roman Bold" w:cs="Times New Roman Bold"/>
          <w:b w:val="0"/>
          <w:bCs w:val="0"/>
          <w:sz w:val="24"/>
          <w:szCs w:val="24"/>
          <w:lang w:val="en-US" w:eastAsia="zh-CN"/>
        </w:rPr>
        <w:t xml:space="preserve"> in order to sustain a competitive edge (Porter, 1980)</w:t>
      </w:r>
      <w:r>
        <w:rPr>
          <w:rFonts w:hint="eastAsia" w:ascii="Times New Roman Bold" w:hAnsi="Times New Roman Bold" w:cs="Times New Roman Bold"/>
          <w:b w:val="0"/>
          <w:bCs w:val="0"/>
          <w:sz w:val="24"/>
          <w:szCs w:val="24"/>
          <w:lang w:val="en-US" w:eastAsia="zh-CN"/>
        </w:rPr>
        <w:t xml:space="preserve">, </w:t>
      </w:r>
      <w:r>
        <w:rPr>
          <w:rFonts w:hint="default" w:ascii="Times New Roman Bold" w:hAnsi="Times New Roman Bold" w:cs="Times New Roman Bold"/>
          <w:b w:val="0"/>
          <w:bCs w:val="0"/>
          <w:sz w:val="24"/>
          <w:szCs w:val="24"/>
          <w:lang w:val="en-US" w:eastAsia="zh-CN"/>
        </w:rPr>
        <w:t>Defoe should provid</w:t>
      </w:r>
      <w:r>
        <w:rPr>
          <w:rFonts w:hint="eastAsia" w:ascii="Times New Roman Bold" w:hAnsi="Times New Roman Bold" w:cs="Times New Roman Bold"/>
          <w:b w:val="0"/>
          <w:bCs w:val="0"/>
          <w:sz w:val="24"/>
          <w:szCs w:val="24"/>
          <w:lang w:val="en-US" w:eastAsia="zh-CN"/>
        </w:rPr>
        <w:t>e</w:t>
      </w:r>
      <w:r>
        <w:rPr>
          <w:rFonts w:hint="default" w:ascii="Times New Roman Bold" w:hAnsi="Times New Roman Bold" w:cs="Times New Roman Bold"/>
          <w:b w:val="0"/>
          <w:bCs w:val="0"/>
          <w:sz w:val="24"/>
          <w:szCs w:val="24"/>
          <w:lang w:val="en-US" w:eastAsia="zh-CN"/>
        </w:rPr>
        <w:t xml:space="preserve"> a distinctive value proposition to its target customers through initiatives such as product innovation, branding, and enhancing the customer experience.</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S</w:t>
      </w:r>
      <w:r>
        <w:rPr>
          <w:rFonts w:hint="default" w:ascii="Times New Roman Bold" w:hAnsi="Times New Roman Bold" w:cs="Times New Roman Bold"/>
          <w:b w:val="0"/>
          <w:bCs w:val="0"/>
          <w:sz w:val="24"/>
          <w:szCs w:val="24"/>
          <w:lang w:val="en-US" w:eastAsia="zh-CN"/>
        </w:rPr>
        <w:t>trategic cost management (SCM) presents a comprehensive framework for enhancing competitiveness and performance through effective cost management (Shank &amp; Govindarajan, 1993)</w:t>
      </w:r>
      <w:r>
        <w:rPr>
          <w:rFonts w:hint="eastAsia" w:ascii="Times New Roman Bold" w:hAnsi="Times New Roman Bold" w:cs="Times New Roman Bold"/>
          <w:b w:val="0"/>
          <w:bCs w:val="0"/>
          <w:sz w:val="24"/>
          <w:szCs w:val="24"/>
          <w:lang w:val="en-US" w:eastAsia="zh-CN"/>
        </w:rPr>
        <w:t xml:space="preserve">, while it also emphasizes the importance of aligning cost management initiatives with strategic objectives to ensure that efforts to reduce costs are in line with overall business goals (Cadez &amp; Guilding, 2008). </w:t>
      </w:r>
      <w:r>
        <w:rPr>
          <w:rFonts w:hint="default" w:ascii="Times New Roman Bold" w:hAnsi="Times New Roman Bold" w:cs="Times New Roman Bold"/>
          <w:b w:val="0"/>
          <w:bCs w:val="0"/>
          <w:sz w:val="24"/>
          <w:szCs w:val="24"/>
          <w:lang w:val="en-US" w:eastAsia="zh-CN"/>
        </w:rPr>
        <w:t xml:space="preserve">The Defoe crisis </w:t>
      </w:r>
      <w:r>
        <w:rPr>
          <w:rFonts w:hint="eastAsia" w:ascii="Times New Roman Bold" w:hAnsi="Times New Roman Bold" w:cs="Times New Roman Bold"/>
          <w:b w:val="0"/>
          <w:bCs w:val="0"/>
          <w:sz w:val="24"/>
          <w:szCs w:val="24"/>
          <w:lang w:val="en-US" w:eastAsia="zh-CN"/>
        </w:rPr>
        <w:t>shows</w:t>
      </w:r>
      <w:r>
        <w:rPr>
          <w:rFonts w:hint="default" w:ascii="Times New Roman Bold" w:hAnsi="Times New Roman Bold" w:cs="Times New Roman Bold"/>
          <w:b w:val="0"/>
          <w:bCs w:val="0"/>
          <w:sz w:val="24"/>
          <w:szCs w:val="24"/>
          <w:lang w:val="en-US" w:eastAsia="zh-CN"/>
        </w:rPr>
        <w:t xml:space="preserve"> the significance of strategic cost management in addressing challenges related to procurement costs, currency fluctuations, and evolving market dynamics. By conducting a </w:t>
      </w:r>
      <w:r>
        <w:rPr>
          <w:rFonts w:hint="eastAsia" w:ascii="Times New Roman Bold" w:hAnsi="Times New Roman Bold" w:cs="Times New Roman Bold"/>
          <w:b w:val="0"/>
          <w:bCs w:val="0"/>
          <w:sz w:val="24"/>
          <w:szCs w:val="24"/>
          <w:lang w:val="en-US" w:eastAsia="zh-CN"/>
        </w:rPr>
        <w:t>detailed</w:t>
      </w:r>
      <w:r>
        <w:rPr>
          <w:rFonts w:hint="default" w:ascii="Times New Roman Bold" w:hAnsi="Times New Roman Bold" w:cs="Times New Roman Bold"/>
          <w:b w:val="0"/>
          <w:bCs w:val="0"/>
          <w:sz w:val="24"/>
          <w:szCs w:val="24"/>
          <w:lang w:val="en-US" w:eastAsia="zh-CN"/>
        </w:rPr>
        <w:t xml:space="preserve"> analysis of cost drivers throughout the value chain, DeFoe can identify potential areas for cost reduction and value creation. Therefore, DeFoe should develop cost management strategies that support its strategic priorities, such as fostering product innovation and expanding into new markets.</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In sum, Defoe Shoe Co., Ltd. is currently facing a growth crisis that has been worsened by external challenges like Brexit and the COVID-19 pandemic. Additionally, the company is struggling to adjust to changing market conditions and shifts in consumer behavior. This crisis emphasizes the importance of implementing strategic theories such as the resource-based view (RBV), Transaction Cost Economics (TCE), market-based view (MBV), and strategic cost management (SCM) to navigate through uncertainties. Defoe must prioritize investments in research and development to bring innovation to its product offerings, carefully assess transaction costs related to sourcing decisions, establish enduring partnerships with dependable suppliers, and create unique value propositions for customers. By aligning cost management strategies with strategic goals and implementing its distinct resources, Defoe may overcome the growth crisis and maintain long-term competitiveness in the footwear industry.</w:t>
      </w:r>
    </w:p>
    <w:p>
      <w:pPr>
        <w:pStyle w:val="4"/>
        <w:bidi w:val="0"/>
        <w:rPr>
          <w:rFonts w:hint="eastAsia"/>
          <w:lang w:val="en-US" w:eastAsia="zh-CN"/>
        </w:rPr>
      </w:pPr>
      <w:bookmarkStart w:id="9" w:name="_Toc24730"/>
      <w:r>
        <w:rPr>
          <w:rFonts w:hint="eastAsia"/>
          <w:lang w:val="en-US" w:eastAsia="zh-CN"/>
        </w:rPr>
        <w:t>(b)The balanced Scorecard</w:t>
      </w:r>
      <w:bookmarkEnd w:id="9"/>
    </w:p>
    <w:p>
      <w:pPr>
        <w:jc w:val="center"/>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The balanced Scorecard</w:t>
      </w: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Financial perspective:</w:t>
      </w: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bCs/>
          <w:sz w:val="24"/>
          <w:szCs w:val="24"/>
          <w:lang w:val="en-US" w:eastAsia="zh-CN"/>
        </w:rPr>
        <w:t>Working capital trends:</w:t>
      </w:r>
      <w:r>
        <w:rPr>
          <w:rFonts w:hint="default" w:ascii="Times New Roman Bold" w:hAnsi="Times New Roman Bold" w:cs="Times New Roman Bold"/>
          <w:b w:val="0"/>
          <w:bCs w:val="0"/>
          <w:sz w:val="24"/>
          <w:szCs w:val="24"/>
          <w:lang w:val="en-US" w:eastAsia="zh-CN"/>
        </w:rPr>
        <w:t xml:space="preserve"> Working capital has dropped significantly from £145,000 in 2019</w:t>
      </w:r>
      <w:r>
        <w:rPr>
          <w:rFonts w:hint="eastAsia" w:ascii="Times New Roman Bold" w:hAnsi="Times New Roman Bold" w:cs="Times New Roman Bold"/>
          <w:b w:val="0"/>
          <w:bCs w:val="0"/>
          <w:sz w:val="24"/>
          <w:szCs w:val="24"/>
          <w:lang w:val="en-US" w:eastAsia="zh-CN"/>
        </w:rPr>
        <w:t xml:space="preserve">, </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 xml:space="preserve">195,000 in 2020 and </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 xml:space="preserve">205,000 in 2021 </w:t>
      </w:r>
      <w:r>
        <w:rPr>
          <w:rFonts w:hint="default" w:ascii="Times New Roman Bold" w:hAnsi="Times New Roman Bold" w:cs="Times New Roman Bold"/>
          <w:b w:val="0"/>
          <w:bCs w:val="0"/>
          <w:sz w:val="24"/>
          <w:szCs w:val="24"/>
          <w:lang w:val="en-US" w:eastAsia="zh-CN"/>
        </w:rPr>
        <w:t>to £72,000 in 2022 (expected). This decline indicates potential liquidity issues or inefficiencies in managing current assets and liabilities.</w:t>
      </w: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bCs/>
          <w:sz w:val="24"/>
          <w:szCs w:val="24"/>
          <w:lang w:val="en-US" w:eastAsia="zh-CN"/>
        </w:rPr>
        <w:t xml:space="preserve">Profitability </w:t>
      </w:r>
      <w:r>
        <w:rPr>
          <w:rFonts w:hint="default" w:ascii="Times New Roman Bold" w:hAnsi="Times New Roman Bold" w:cs="Times New Roman Bold"/>
          <w:b/>
          <w:bCs/>
          <w:sz w:val="24"/>
          <w:szCs w:val="24"/>
          <w:lang w:val="en-US" w:eastAsia="zh-CN"/>
        </w:rPr>
        <w:t>trend:</w:t>
      </w:r>
      <w:r>
        <w:rPr>
          <w:rFonts w:hint="eastAsia" w:ascii="Times New Roman Bold" w:hAnsi="Times New Roman Bold" w:cs="Times New Roman Bold"/>
          <w:b/>
          <w:bCs/>
          <w:sz w:val="24"/>
          <w:szCs w:val="24"/>
          <w:lang w:val="en-US" w:eastAsia="zh-CN"/>
        </w:rPr>
        <w:t xml:space="preserve"> </w:t>
      </w:r>
      <w:r>
        <w:rPr>
          <w:rFonts w:hint="eastAsia" w:ascii="Times New Roman Bold" w:hAnsi="Times New Roman Bold" w:cs="Times New Roman Bold"/>
          <w:b w:val="0"/>
          <w:bCs w:val="0"/>
          <w:sz w:val="24"/>
          <w:szCs w:val="24"/>
          <w:lang w:val="en-US" w:eastAsia="zh-CN"/>
        </w:rPr>
        <w:t xml:space="preserve">Profit after tax </w:t>
      </w:r>
      <w:r>
        <w:rPr>
          <w:rFonts w:hint="default" w:ascii="Times New Roman Bold" w:hAnsi="Times New Roman Bold" w:cs="Times New Roman Bold"/>
          <w:b w:val="0"/>
          <w:bCs w:val="0"/>
          <w:sz w:val="24"/>
          <w:szCs w:val="24"/>
          <w:lang w:val="en-US" w:eastAsia="zh-CN"/>
        </w:rPr>
        <w:t>fell from £</w:t>
      </w:r>
      <w:r>
        <w:rPr>
          <w:rFonts w:hint="eastAsia" w:ascii="Times New Roman Bold" w:hAnsi="Times New Roman Bold" w:cs="Times New Roman Bold"/>
          <w:b w:val="0"/>
          <w:bCs w:val="0"/>
          <w:sz w:val="24"/>
          <w:szCs w:val="24"/>
          <w:lang w:val="en-US" w:eastAsia="zh-CN"/>
        </w:rPr>
        <w:t>243,000</w:t>
      </w:r>
      <w:r>
        <w:rPr>
          <w:rFonts w:hint="default" w:ascii="Times New Roman Bold" w:hAnsi="Times New Roman Bold" w:cs="Times New Roman Bold"/>
          <w:b w:val="0"/>
          <w:bCs w:val="0"/>
          <w:sz w:val="24"/>
          <w:szCs w:val="24"/>
          <w:lang w:val="en-US" w:eastAsia="zh-CN"/>
        </w:rPr>
        <w:t xml:space="preserve"> in 2019 to </w:t>
      </w:r>
      <w:r>
        <w:rPr>
          <w:rFonts w:hint="eastAsia" w:ascii="Times New Roman Bold" w:hAnsi="Times New Roman Bold" w:cs="Times New Roman Bold"/>
          <w:b w:val="0"/>
          <w:bCs w:val="0"/>
          <w:sz w:val="24"/>
          <w:szCs w:val="24"/>
          <w:lang w:val="en-US" w:eastAsia="zh-CN"/>
        </w:rPr>
        <w:t xml:space="preserve">a predicted loss of </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160,000 in 2022.</w:t>
      </w:r>
      <w:r>
        <w:rPr>
          <w:rFonts w:hint="default" w:ascii="Times New Roman Bold" w:hAnsi="Times New Roman Bold" w:cs="Times New Roman Bold"/>
          <w:b w:val="0"/>
          <w:bCs w:val="0"/>
          <w:sz w:val="24"/>
          <w:szCs w:val="24"/>
          <w:lang w:val="en-US" w:eastAsia="zh-CN"/>
        </w:rPr>
        <w:t xml:space="preserve"> The decline in profitability </w:t>
      </w:r>
      <w:r>
        <w:rPr>
          <w:rFonts w:hint="eastAsia" w:ascii="Times New Roman Bold" w:hAnsi="Times New Roman Bold" w:cs="Times New Roman Bold"/>
          <w:b w:val="0"/>
          <w:bCs w:val="0"/>
          <w:sz w:val="24"/>
          <w:szCs w:val="24"/>
          <w:lang w:val="en-US" w:eastAsia="zh-CN"/>
        </w:rPr>
        <w:t>probably</w:t>
      </w:r>
      <w:r>
        <w:rPr>
          <w:rFonts w:hint="default" w:ascii="Times New Roman Bold" w:hAnsi="Times New Roman Bold" w:cs="Times New Roman Bold"/>
          <w:b w:val="0"/>
          <w:bCs w:val="0"/>
          <w:sz w:val="24"/>
          <w:szCs w:val="24"/>
          <w:lang w:val="en-US" w:eastAsia="zh-CN"/>
        </w:rPr>
        <w:t xml:space="preserve"> raise</w:t>
      </w:r>
      <w:r>
        <w:rPr>
          <w:rFonts w:hint="eastAsia" w:ascii="Times New Roman Bold" w:hAnsi="Times New Roman Bold" w:cs="Times New Roman Bold"/>
          <w:b w:val="0"/>
          <w:bCs w:val="0"/>
          <w:sz w:val="24"/>
          <w:szCs w:val="24"/>
          <w:lang w:val="en-US" w:eastAsia="zh-CN"/>
        </w:rPr>
        <w:t>s</w:t>
      </w:r>
      <w:r>
        <w:rPr>
          <w:rFonts w:hint="default" w:ascii="Times New Roman Bold" w:hAnsi="Times New Roman Bold" w:cs="Times New Roman Bold"/>
          <w:b w:val="0"/>
          <w:bCs w:val="0"/>
          <w:sz w:val="24"/>
          <w:szCs w:val="24"/>
          <w:lang w:val="en-US" w:eastAsia="zh-CN"/>
        </w:rPr>
        <w:t xml:space="preserve"> concerns about the company's ability to generate sustainable returns.</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bCs/>
          <w:sz w:val="24"/>
          <w:szCs w:val="24"/>
          <w:lang w:val="en-US" w:eastAsia="zh-CN"/>
        </w:rPr>
        <w:t xml:space="preserve">ROI trend: </w:t>
      </w:r>
      <w:r>
        <w:rPr>
          <w:rFonts w:hint="eastAsia" w:ascii="Times New Roman Bold" w:hAnsi="Times New Roman Bold" w:cs="Times New Roman Bold"/>
          <w:b w:val="0"/>
          <w:bCs w:val="0"/>
          <w:sz w:val="24"/>
          <w:szCs w:val="24"/>
          <w:lang w:val="en-US" w:eastAsia="zh-CN"/>
        </w:rPr>
        <w:t>The ROI during the year 2019 to 2022 is 34.71%, 32.4%, 10.06% and -57.14%(projected) respectively, showing an initial improvement followed by a significant decline(especially in the forecast of 2022). This trend illustrates the challenges of maintaining profitability and efficiency during this period and highlights the importance of identifying and addressing potential issues in company</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s investment strategies.</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Customer perspective:</w:t>
      </w: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bCs/>
          <w:sz w:val="24"/>
          <w:szCs w:val="24"/>
          <w:lang w:val="en-US" w:eastAsia="zh-CN"/>
        </w:rPr>
        <w:t>Sales composition</w:t>
      </w:r>
      <w:r>
        <w:rPr>
          <w:rFonts w:hint="default" w:ascii="Times New Roman Bold" w:hAnsi="Times New Roman Bold" w:cs="Times New Roman Bold"/>
          <w:b w:val="0"/>
          <w:bCs w:val="0"/>
          <w:sz w:val="24"/>
          <w:szCs w:val="24"/>
          <w:lang w:val="en-US" w:eastAsia="zh-CN"/>
        </w:rPr>
        <w:t>: Sales composition shows an increasing share of sales in London</w:t>
      </w:r>
      <w:r>
        <w:rPr>
          <w:rFonts w:hint="eastAsia" w:ascii="Times New Roman Bold" w:hAnsi="Times New Roman Bold" w:cs="Times New Roman Bold"/>
          <w:b w:val="0"/>
          <w:bCs w:val="0"/>
          <w:sz w:val="24"/>
          <w:szCs w:val="24"/>
          <w:lang w:val="en-US" w:eastAsia="zh-CN"/>
        </w:rPr>
        <w:t>(from 17% in 2019 to 34% in 2022), and rest of England as well as Wales face similar situation. However, there</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 xml:space="preserve">s </w:t>
      </w:r>
      <w:r>
        <w:rPr>
          <w:rFonts w:hint="default" w:ascii="Times New Roman Bold" w:hAnsi="Times New Roman Bold" w:cs="Times New Roman Bold"/>
          <w:b w:val="0"/>
          <w:bCs w:val="0"/>
          <w:sz w:val="24"/>
          <w:szCs w:val="24"/>
          <w:lang w:val="en-US" w:eastAsia="zh-CN"/>
        </w:rPr>
        <w:t>a decreasing share in the rest of Europe. This suggests a possible shift in market focus and customer preferences.</w:t>
      </w:r>
    </w:p>
    <w:p>
      <w:pPr>
        <w:jc w:val="both"/>
        <w:rPr>
          <w:rFonts w:hint="eastAsia" w:ascii="Times New Roman Bold" w:hAnsi="Times New Roman Bold" w:cs="Times New Roman Bold"/>
          <w:b w:val="0"/>
          <w:bCs w:val="0"/>
          <w:sz w:val="24"/>
          <w:szCs w:val="24"/>
          <w:lang w:val="en-US" w:eastAsia="zh-CN"/>
        </w:rPr>
      </w:pPr>
      <w:r>
        <w:rPr>
          <w:rFonts w:hint="default" w:ascii="Times New Roman Bold" w:hAnsi="Times New Roman Bold" w:cs="Times New Roman Bold"/>
          <w:b/>
          <w:bCs/>
          <w:sz w:val="24"/>
          <w:szCs w:val="24"/>
          <w:lang w:val="en-US" w:eastAsia="zh-CN"/>
        </w:rPr>
        <w:t>London Market Share</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 xml:space="preserve"> Generally speaking,</w:t>
      </w:r>
      <w:r>
        <w:rPr>
          <w:rFonts w:hint="default" w:ascii="Times New Roman Bold" w:hAnsi="Times New Roman Bold" w:cs="Times New Roman Bold"/>
          <w:b w:val="0"/>
          <w:bCs w:val="0"/>
          <w:sz w:val="24"/>
          <w:szCs w:val="24"/>
          <w:lang w:val="en-US" w:eastAsia="zh-CN"/>
        </w:rPr>
        <w:t xml:space="preserve"> Defoe’</w:t>
      </w:r>
      <w:r>
        <w:rPr>
          <w:rFonts w:hint="eastAsia" w:ascii="Times New Roman Bold" w:hAnsi="Times New Roman Bold" w:cs="Times New Roman Bold"/>
          <w:b w:val="0"/>
          <w:bCs w:val="0"/>
          <w:sz w:val="24"/>
          <w:szCs w:val="24"/>
          <w:lang w:val="en-US" w:eastAsia="zh-CN"/>
        </w:rPr>
        <w:t>s London</w:t>
      </w:r>
      <w:r>
        <w:rPr>
          <w:rFonts w:hint="default" w:ascii="Times New Roman Bold" w:hAnsi="Times New Roman Bold" w:cs="Times New Roman Bold"/>
          <w:b w:val="0"/>
          <w:bCs w:val="0"/>
          <w:sz w:val="24"/>
          <w:szCs w:val="24"/>
          <w:lang w:val="en-US" w:eastAsia="zh-CN"/>
        </w:rPr>
        <w:t xml:space="preserve"> market share of </w:t>
      </w:r>
      <w:r>
        <w:rPr>
          <w:rFonts w:hint="eastAsia" w:ascii="Times New Roman Bold" w:hAnsi="Times New Roman Bold" w:cs="Times New Roman Bold"/>
          <w:b w:val="0"/>
          <w:bCs w:val="0"/>
          <w:sz w:val="24"/>
          <w:szCs w:val="24"/>
          <w:lang w:val="en-US" w:eastAsia="zh-CN"/>
        </w:rPr>
        <w:t>shoe</w:t>
      </w:r>
      <w:r>
        <w:rPr>
          <w:rFonts w:hint="default" w:ascii="Times New Roman Bold" w:hAnsi="Times New Roman Bold" w:cs="Times New Roman Bold"/>
          <w:b w:val="0"/>
          <w:bCs w:val="0"/>
          <w:sz w:val="24"/>
          <w:szCs w:val="24"/>
          <w:lang w:val="en-US" w:eastAsia="zh-CN"/>
        </w:rPr>
        <w:t xml:space="preserve"> sales in London has </w:t>
      </w:r>
      <w:r>
        <w:rPr>
          <w:rFonts w:hint="eastAsia" w:ascii="Times New Roman Bold" w:hAnsi="Times New Roman Bold" w:cs="Times New Roman Bold"/>
          <w:b w:val="0"/>
          <w:bCs w:val="0"/>
          <w:sz w:val="24"/>
          <w:szCs w:val="24"/>
          <w:lang w:val="en-US" w:eastAsia="zh-CN"/>
        </w:rPr>
        <w:t xml:space="preserve">been on a declining trend, </w:t>
      </w:r>
      <w:r>
        <w:rPr>
          <w:rFonts w:hint="default" w:ascii="Times New Roman Bold" w:hAnsi="Times New Roman Bold" w:cs="Times New Roman Bold"/>
          <w:b w:val="0"/>
          <w:bCs w:val="0"/>
          <w:sz w:val="24"/>
          <w:szCs w:val="24"/>
          <w:lang w:val="en-US" w:eastAsia="zh-CN"/>
        </w:rPr>
        <w:t>from 2.00% in 2019 to an estimated 0.25% in 2022. This indicates a loss of competitiveness in the London market.</w:t>
      </w:r>
      <w:r>
        <w:rPr>
          <w:rFonts w:hint="eastAsia" w:ascii="Times New Roman Bold" w:hAnsi="Times New Roman Bold" w:cs="Times New Roman Bold"/>
          <w:b w:val="0"/>
          <w:bCs w:val="0"/>
          <w:sz w:val="24"/>
          <w:szCs w:val="24"/>
          <w:lang w:val="en-US" w:eastAsia="zh-CN"/>
        </w:rPr>
        <w:t xml:space="preserve"> Moreover, the growing share of handbags may indicate that Defoe will introduce its new business on Handbags. Ms.Jocelyn may consider the options of expanding to the other sectors.</w:t>
      </w: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bCs/>
          <w:sz w:val="24"/>
          <w:szCs w:val="24"/>
          <w:lang w:val="en-US" w:eastAsia="zh-CN"/>
        </w:rPr>
        <w:t>Customer satisfaction</w:t>
      </w:r>
      <w:r>
        <w:rPr>
          <w:rFonts w:hint="eastAsia" w:ascii="Times New Roman Bold" w:hAnsi="Times New Roman Bold" w:cs="Times New Roman Bold"/>
          <w:b/>
          <w:bCs/>
          <w:sz w:val="24"/>
          <w:szCs w:val="24"/>
          <w:lang w:val="en-US" w:eastAsia="zh-CN"/>
        </w:rPr>
        <w:t xml:space="preserve"> Index</w:t>
      </w:r>
      <w:r>
        <w:rPr>
          <w:rFonts w:hint="default" w:ascii="Times New Roman Bold" w:hAnsi="Times New Roman Bold" w:cs="Times New Roman Bold"/>
          <w:b w:val="0"/>
          <w:bCs w:val="0"/>
          <w:sz w:val="24"/>
          <w:szCs w:val="24"/>
          <w:lang w:val="en-US" w:eastAsia="zh-CN"/>
        </w:rPr>
        <w:t>: Customer satisfaction continues to improve, from 69% in 2019 to 82% in 2021. This demonstrates proactive customer service and relationship management efforts.</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Internal business process perspective:</w:t>
      </w: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bCs/>
          <w:sz w:val="24"/>
          <w:szCs w:val="24"/>
          <w:lang w:val="en-US" w:eastAsia="zh-CN"/>
        </w:rPr>
        <w:t>Process cost</w:t>
      </w:r>
      <w:r>
        <w:rPr>
          <w:rFonts w:hint="default" w:ascii="Times New Roman Bold" w:hAnsi="Times New Roman Bold" w:cs="Times New Roman Bold"/>
          <w:b/>
          <w:bCs/>
          <w:sz w:val="24"/>
          <w:szCs w:val="24"/>
          <w:lang w:val="en-US" w:eastAsia="zh-CN"/>
        </w:rPr>
        <w:t xml:space="preserve">: </w:t>
      </w:r>
      <w:r>
        <w:rPr>
          <w:rFonts w:hint="eastAsia" w:ascii="Times New Roman Bold" w:hAnsi="Times New Roman Bold" w:cs="Times New Roman Bold"/>
          <w:b w:val="0"/>
          <w:bCs w:val="0"/>
          <w:sz w:val="24"/>
          <w:szCs w:val="24"/>
          <w:lang w:val="en-US" w:eastAsia="zh-CN"/>
        </w:rPr>
        <w:t>The cost of sales has faced a rise in 2020 and then the drop in both 2021 and 2022,</w:t>
      </w:r>
      <w:r>
        <w:rPr>
          <w:rFonts w:hint="default" w:ascii="Times New Roman Bold" w:hAnsi="Times New Roman Bold" w:cs="Times New Roman Bold"/>
          <w:b w:val="0"/>
          <w:bCs w:val="0"/>
          <w:sz w:val="24"/>
          <w:szCs w:val="24"/>
          <w:lang w:val="en-US" w:eastAsia="zh-CN"/>
        </w:rPr>
        <w:t xml:space="preserve"> indicating possible efficiencies in the production or purchasing process.</w:t>
      </w: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bCs/>
          <w:sz w:val="24"/>
          <w:szCs w:val="24"/>
          <w:lang w:val="en-US" w:eastAsia="zh-CN"/>
        </w:rPr>
        <w:t xml:space="preserve">Operating </w:t>
      </w:r>
      <w:r>
        <w:rPr>
          <w:rFonts w:hint="eastAsia" w:ascii="Times New Roman Bold" w:hAnsi="Times New Roman Bold" w:cs="Times New Roman Bold"/>
          <w:b/>
          <w:bCs/>
          <w:sz w:val="24"/>
          <w:szCs w:val="24"/>
          <w:lang w:val="en-US" w:eastAsia="zh-CN"/>
        </w:rPr>
        <w:t>expenses</w:t>
      </w:r>
      <w:r>
        <w:rPr>
          <w:rFonts w:hint="default" w:ascii="Times New Roman Bold" w:hAnsi="Times New Roman Bold" w:cs="Times New Roman Bold"/>
          <w:b w:val="0"/>
          <w:bCs w:val="0"/>
          <w:sz w:val="24"/>
          <w:szCs w:val="24"/>
          <w:lang w:val="en-US" w:eastAsia="zh-CN"/>
        </w:rPr>
        <w:t>: Operating costs remained stable, but the decline in gross profit points to the need for cost management and operational efficiency improvements.</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Learning and growth perspective:</w:t>
      </w: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bCs/>
          <w:sz w:val="24"/>
          <w:szCs w:val="24"/>
          <w:lang w:val="en-US" w:eastAsia="zh-CN"/>
        </w:rPr>
        <w:t>Employee Retention</w:t>
      </w:r>
      <w:r>
        <w:rPr>
          <w:rFonts w:hint="default" w:ascii="Times New Roman Bold" w:hAnsi="Times New Roman Bold" w:cs="Times New Roman Bold"/>
          <w:b w:val="0"/>
          <w:bCs w:val="0"/>
          <w:sz w:val="24"/>
          <w:szCs w:val="24"/>
          <w:lang w:val="en-US" w:eastAsia="zh-CN"/>
        </w:rPr>
        <w:t xml:space="preserve">: Employee retention has increased over the years, </w:t>
      </w:r>
      <w:r>
        <w:rPr>
          <w:rFonts w:hint="eastAsia" w:ascii="Times New Roman Bold" w:hAnsi="Times New Roman Bold" w:cs="Times New Roman Bold"/>
          <w:b w:val="0"/>
          <w:bCs w:val="0"/>
          <w:sz w:val="24"/>
          <w:szCs w:val="24"/>
          <w:lang w:val="en-US" w:eastAsia="zh-CN"/>
        </w:rPr>
        <w:t xml:space="preserve">from 82% in 2019 to 89% in 2021, </w:t>
      </w:r>
      <w:r>
        <w:rPr>
          <w:rFonts w:hint="default" w:ascii="Times New Roman Bold" w:hAnsi="Times New Roman Bold" w:cs="Times New Roman Bold"/>
          <w:b w:val="0"/>
          <w:bCs w:val="0"/>
          <w:sz w:val="24"/>
          <w:szCs w:val="24"/>
          <w:lang w:val="en-US" w:eastAsia="zh-CN"/>
        </w:rPr>
        <w:t>reflecting positive trends in employee satisfaction and engagement.</w:t>
      </w: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bCs/>
          <w:sz w:val="24"/>
          <w:szCs w:val="24"/>
          <w:lang w:val="en-US" w:eastAsia="zh-CN"/>
        </w:rPr>
        <w:t>Error rate in jobs done</w:t>
      </w:r>
      <w:r>
        <w:rPr>
          <w:rFonts w:hint="eastAsia" w:ascii="Times New Roman Bold" w:hAnsi="Times New Roman Bold" w:cs="Times New Roman Bold"/>
          <w:b w:val="0"/>
          <w:bCs w:val="0"/>
          <w:sz w:val="24"/>
          <w:szCs w:val="24"/>
          <w:lang w:val="en-US" w:eastAsia="zh-CN"/>
        </w:rPr>
        <w:t>: The rate has improved significantly, from 111% in 2019 to only 4% in 2021, which indicates the progress made in Employee</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s expertise and operational efficiency.</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bCs/>
          <w:sz w:val="24"/>
          <w:szCs w:val="24"/>
          <w:lang w:val="en-US" w:eastAsia="zh-CN"/>
        </w:rPr>
        <w:t>Number of CPDs attended per employee per year</w:t>
      </w:r>
      <w:r>
        <w:rPr>
          <w:rFonts w:hint="eastAsia" w:ascii="Times New Roman Bold" w:hAnsi="Times New Roman Bold" w:cs="Times New Roman Bold"/>
          <w:b w:val="0"/>
          <w:bCs w:val="0"/>
          <w:sz w:val="24"/>
          <w:szCs w:val="24"/>
          <w:lang w:val="en-US" w:eastAsia="zh-CN"/>
        </w:rPr>
        <w:t>: This index is also on the rise, which reflects employees</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 xml:space="preserve"> active engagement in their professional development as well as the improved performance and innovation.</w:t>
      </w: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bCs/>
          <w:sz w:val="24"/>
          <w:szCs w:val="24"/>
          <w:lang w:val="en-US" w:eastAsia="zh-CN"/>
        </w:rPr>
        <w:t xml:space="preserve">Average </w:t>
      </w:r>
      <w:r>
        <w:rPr>
          <w:rFonts w:hint="eastAsia" w:ascii="Times New Roman Bold" w:hAnsi="Times New Roman Bold" w:cs="Times New Roman Bold"/>
          <w:b/>
          <w:bCs/>
          <w:sz w:val="24"/>
          <w:szCs w:val="24"/>
          <w:lang w:val="en-US" w:eastAsia="zh-CN"/>
        </w:rPr>
        <w:t>job</w:t>
      </w:r>
      <w:r>
        <w:rPr>
          <w:rFonts w:hint="default" w:ascii="Times New Roman Bold" w:hAnsi="Times New Roman Bold" w:cs="Times New Roman Bold"/>
          <w:b/>
          <w:bCs/>
          <w:sz w:val="24"/>
          <w:szCs w:val="24"/>
          <w:lang w:val="en-US" w:eastAsia="zh-CN"/>
        </w:rPr>
        <w:t xml:space="preserve"> completion time</w:t>
      </w:r>
      <w:r>
        <w:rPr>
          <w:rFonts w:hint="default" w:ascii="Times New Roman Bold" w:hAnsi="Times New Roman Bold" w:cs="Times New Roman Bold"/>
          <w:b w:val="0"/>
          <w:bCs w:val="0"/>
          <w:sz w:val="24"/>
          <w:szCs w:val="24"/>
          <w:lang w:val="en-US" w:eastAsia="zh-CN"/>
        </w:rPr>
        <w:t xml:space="preserve">: Average </w:t>
      </w:r>
      <w:r>
        <w:rPr>
          <w:rFonts w:hint="eastAsia" w:ascii="Times New Roman Bold" w:hAnsi="Times New Roman Bold" w:cs="Times New Roman Bold"/>
          <w:b w:val="0"/>
          <w:bCs w:val="0"/>
          <w:sz w:val="24"/>
          <w:szCs w:val="24"/>
          <w:lang w:val="en-US" w:eastAsia="zh-CN"/>
        </w:rPr>
        <w:t xml:space="preserve">job </w:t>
      </w:r>
      <w:r>
        <w:rPr>
          <w:rFonts w:hint="default" w:ascii="Times New Roman Bold" w:hAnsi="Times New Roman Bold" w:cs="Times New Roman Bold"/>
          <w:b w:val="0"/>
          <w:bCs w:val="0"/>
          <w:sz w:val="24"/>
          <w:szCs w:val="24"/>
          <w:lang w:val="en-US" w:eastAsia="zh-CN"/>
        </w:rPr>
        <w:t>completion time has significantly improved from 14 days in 2019 to 7 days in 2021, indicating improvements in operational efficiency and productivity.</w:t>
      </w:r>
    </w:p>
    <w:p>
      <w:pPr>
        <w:jc w:val="both"/>
        <w:rPr>
          <w:rFonts w:hint="eastAsia"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In sum, the company's performance presents a complex perspective when viewed from both the qualitative and quantitative facets. Financially, there are clear obstacles such as decreasing working capital, profitability, and return on investment, which indicate potential problems with liquidity and maintaining efficiency. However, from the customer standpoint, the company's strategic shift towards the London market shows a proactive response to changing market dynamics, although there are challenges in terms of declining market share. Internally, there are notable fluctuations in process costs and a need for better cost management, but there are also positive trends in employee retention, expertise, and operational efficiency, suggesting potential for long-term growth. Overall, despite facing financial and market challenges, the company exhibits promising signs of improvement in internal processes and employee engagement, which could contribute to future sustainability and growth.</w:t>
      </w:r>
    </w:p>
    <w:p>
      <w:pPr>
        <w:pStyle w:val="4"/>
        <w:bidi w:val="0"/>
        <w:rPr>
          <w:rFonts w:hint="default"/>
          <w:lang w:val="en-US" w:eastAsia="zh-CN"/>
        </w:rPr>
      </w:pPr>
      <w:bookmarkStart w:id="10" w:name="_Toc31079"/>
      <w:r>
        <w:rPr>
          <w:rFonts w:hint="eastAsia"/>
          <w:lang w:val="en-US" w:eastAsia="zh-CN"/>
        </w:rPr>
        <w:t>(c) The need for business process re-engineering</w:t>
      </w:r>
      <w:bookmarkEnd w:id="10"/>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 xml:space="preserve">The decision-making process for Defoe Footwear is intricate and diverse, given the circumstances </w:t>
      </w:r>
      <w:r>
        <w:rPr>
          <w:rFonts w:hint="eastAsia" w:ascii="Times New Roman Bold" w:hAnsi="Times New Roman Bold" w:cs="Times New Roman Bold"/>
          <w:b w:val="0"/>
          <w:bCs w:val="0"/>
          <w:sz w:val="24"/>
          <w:szCs w:val="24"/>
          <w:lang w:val="en-US" w:eastAsia="zh-CN"/>
        </w:rPr>
        <w:t>in the case study</w:t>
      </w:r>
      <w:r>
        <w:rPr>
          <w:rFonts w:hint="default" w:ascii="Times New Roman Bold" w:hAnsi="Times New Roman Bold" w:cs="Times New Roman Bold"/>
          <w:b w:val="0"/>
          <w:bCs w:val="0"/>
          <w:sz w:val="24"/>
          <w:szCs w:val="24"/>
          <w:lang w:val="en-US" w:eastAsia="zh-CN"/>
        </w:rPr>
        <w:t>. At this critical point, the company faces the dilemma of either preserving its luxury brand strategy or transitioning to penetration pricing in order to maintain its market share. Furthermore, t</w:t>
      </w:r>
      <w:r>
        <w:rPr>
          <w:rFonts w:hint="eastAsia" w:ascii="Times New Roman Bold" w:hAnsi="Times New Roman Bold" w:cs="Times New Roman Bold"/>
          <w:b w:val="0"/>
          <w:bCs w:val="0"/>
          <w:sz w:val="24"/>
          <w:szCs w:val="24"/>
          <w:lang w:val="en-US" w:eastAsia="zh-CN"/>
        </w:rPr>
        <w:t>here</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s a growing</w:t>
      </w:r>
      <w:r>
        <w:rPr>
          <w:rFonts w:hint="default" w:ascii="Times New Roman Bold" w:hAnsi="Times New Roman Bold" w:cs="Times New Roman Bold"/>
          <w:b w:val="0"/>
          <w:bCs w:val="0"/>
          <w:sz w:val="24"/>
          <w:szCs w:val="24"/>
          <w:lang w:val="en-US" w:eastAsia="zh-CN"/>
        </w:rPr>
        <w:t xml:space="preserve"> need to </w:t>
      </w:r>
      <w:r>
        <w:rPr>
          <w:rFonts w:hint="eastAsia" w:ascii="Times New Roman Bold" w:hAnsi="Times New Roman Bold" w:cs="Times New Roman Bold"/>
          <w:b w:val="0"/>
          <w:bCs w:val="0"/>
          <w:sz w:val="24"/>
          <w:szCs w:val="24"/>
          <w:lang w:val="en-US" w:eastAsia="zh-CN"/>
        </w:rPr>
        <w:t>consider</w:t>
      </w:r>
      <w:r>
        <w:rPr>
          <w:rFonts w:hint="default" w:ascii="Times New Roman Bold" w:hAnsi="Times New Roman Bold" w:cs="Times New Roman Bold"/>
          <w:b w:val="0"/>
          <w:bCs w:val="0"/>
          <w:sz w:val="24"/>
          <w:szCs w:val="24"/>
          <w:lang w:val="en-US" w:eastAsia="zh-CN"/>
        </w:rPr>
        <w:t xml:space="preserve"> the possibility of venturing into new market segments, including handbags, purses &amp; wallets, and retail fashion. Additionally, exploring opportunities for diversification through joint ventures, such as the collaboration with Barnaby Holdings Ltd, is also on the table.</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Given the potential alterations and expansions that may occur, it is evident that Defoe Footwear requires a thorough implementation of business process re</w:t>
      </w:r>
      <w:r>
        <w:rPr>
          <w:rFonts w:hint="eastAsia" w:ascii="Times New Roman Bold" w:hAnsi="Times New Roman Bold" w:cs="Times New Roman Bold"/>
          <w:b w:val="0"/>
          <w:bCs w:val="0"/>
          <w:sz w:val="24"/>
          <w:szCs w:val="24"/>
          <w:lang w:val="en-US" w:eastAsia="zh-CN"/>
        </w:rPr>
        <w:t>-</w:t>
      </w:r>
      <w:r>
        <w:rPr>
          <w:rFonts w:hint="default" w:ascii="Times New Roman Bold" w:hAnsi="Times New Roman Bold" w:cs="Times New Roman Bold"/>
          <w:b w:val="0"/>
          <w:bCs w:val="0"/>
          <w:sz w:val="24"/>
          <w:szCs w:val="24"/>
          <w:lang w:val="en-US" w:eastAsia="zh-CN"/>
        </w:rPr>
        <w:t>engineering (BPR). BPR</w:t>
      </w:r>
      <w:r>
        <w:rPr>
          <w:rFonts w:hint="eastAsia" w:ascii="Times New Roman Bold" w:hAnsi="Times New Roman Bold" w:cs="Times New Roman Bold"/>
          <w:b w:val="0"/>
          <w:bCs w:val="0"/>
          <w:sz w:val="24"/>
          <w:szCs w:val="24"/>
          <w:lang w:val="en-US" w:eastAsia="zh-CN"/>
        </w:rPr>
        <w:t xml:space="preserve"> is known as </w:t>
      </w:r>
      <w:r>
        <w:rPr>
          <w:rFonts w:hint="default" w:ascii="Times New Roman Bold" w:hAnsi="Times New Roman Bold" w:cs="Times New Roman Bold"/>
          <w:b w:val="0"/>
          <w:bCs w:val="0"/>
          <w:sz w:val="24"/>
          <w:szCs w:val="24"/>
          <w:lang w:val="en-US" w:eastAsia="zh-CN"/>
        </w:rPr>
        <w:t>a complete overhaul of existing business processes in order to achieve substantial enhancements in key areas such as cost, quality, service, and efficiency (Hammer &amp; Champy, 1993).</w:t>
      </w:r>
    </w:p>
    <w:p>
      <w:pPr>
        <w:jc w:val="both"/>
        <w:rPr>
          <w:rFonts w:hint="default" w:ascii="Times New Roman Bold" w:hAnsi="Times New Roman Bold" w:cs="Times New Roman Bold"/>
          <w:b w:val="0"/>
          <w:bCs w:val="0"/>
          <w:sz w:val="24"/>
          <w:szCs w:val="24"/>
          <w:lang w:val="en-US" w:eastAsia="zh-CN"/>
        </w:rPr>
      </w:pP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In order to achieve</w:t>
      </w:r>
      <w:r>
        <w:rPr>
          <w:rFonts w:hint="default" w:ascii="Times New Roman Bold" w:hAnsi="Times New Roman Bold" w:cs="Times New Roman Bold"/>
          <w:b w:val="0"/>
          <w:bCs w:val="0"/>
          <w:sz w:val="24"/>
          <w:szCs w:val="24"/>
          <w:lang w:val="en-US" w:eastAsia="zh-CN"/>
        </w:rPr>
        <w:t xml:space="preserve"> smooth coordination and alignment with the company's overall goals, the incorporation of new product lines calls for the establishment of efficient protocols spanning design, production, promotion, and distribution channels. As the information presented in Appendix 2</w:t>
      </w:r>
      <w:r>
        <w:rPr>
          <w:rFonts w:hint="eastAsia" w:ascii="Times New Roman Bold" w:hAnsi="Times New Roman Bold" w:cs="Times New Roman Bold"/>
          <w:b w:val="0"/>
          <w:bCs w:val="0"/>
          <w:sz w:val="24"/>
          <w:szCs w:val="24"/>
          <w:lang w:val="en-US" w:eastAsia="zh-CN"/>
        </w:rPr>
        <w:t xml:space="preserve"> shows</w:t>
      </w:r>
      <w:r>
        <w:rPr>
          <w:rFonts w:hint="default" w:ascii="Times New Roman Bold" w:hAnsi="Times New Roman Bold" w:cs="Times New Roman Bold"/>
          <w:b w:val="0"/>
          <w:bCs w:val="0"/>
          <w:sz w:val="24"/>
          <w:szCs w:val="24"/>
          <w:lang w:val="en-US" w:eastAsia="zh-CN"/>
        </w:rPr>
        <w:t>, the market share for handbags has exhibited a consistent rise, climbing from 0.01% in 2020 to 0.03% in 2022. In this context, Business Process Re</w:t>
      </w:r>
      <w:r>
        <w:rPr>
          <w:rFonts w:hint="eastAsia" w:ascii="Times New Roman Bold" w:hAnsi="Times New Roman Bold" w:cs="Times New Roman Bold"/>
          <w:b w:val="0"/>
          <w:bCs w:val="0"/>
          <w:sz w:val="24"/>
          <w:szCs w:val="24"/>
          <w:lang w:val="en-US" w:eastAsia="zh-CN"/>
        </w:rPr>
        <w:t>-</w:t>
      </w:r>
      <w:r>
        <w:rPr>
          <w:rFonts w:hint="default" w:ascii="Times New Roman Bold" w:hAnsi="Times New Roman Bold" w:cs="Times New Roman Bold"/>
          <w:b w:val="0"/>
          <w:bCs w:val="0"/>
          <w:sz w:val="24"/>
          <w:szCs w:val="24"/>
          <w:lang w:val="en-US" w:eastAsia="zh-CN"/>
        </w:rPr>
        <w:t xml:space="preserve">engineering (BPR) </w:t>
      </w:r>
      <w:r>
        <w:rPr>
          <w:rFonts w:hint="eastAsia" w:ascii="Times New Roman Bold" w:hAnsi="Times New Roman Bold" w:cs="Times New Roman Bold"/>
          <w:b w:val="0"/>
          <w:bCs w:val="0"/>
          <w:sz w:val="24"/>
          <w:szCs w:val="24"/>
          <w:lang w:val="en-US" w:eastAsia="zh-CN"/>
        </w:rPr>
        <w:t>is of significance as it considers the opportunity in new sectors. From the Appendix 2, we could tell that shoe sales in 2022(projected) may suffer a huge loss, which means the potential re-direction is needed for Defoe company.</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The</w:t>
      </w:r>
      <w:r>
        <w:rPr>
          <w:rFonts w:hint="default" w:ascii="Times New Roman Bold" w:hAnsi="Times New Roman Bold" w:cs="Times New Roman Bold"/>
          <w:b w:val="0"/>
          <w:bCs w:val="0"/>
          <w:sz w:val="24"/>
          <w:szCs w:val="24"/>
          <w:lang w:val="en-US" w:eastAsia="zh-CN"/>
        </w:rPr>
        <w:t xml:space="preserve"> transition to penetration pricing, a comprehensive evaluation of pricing strategies, sales approaches, and distribution channels is</w:t>
      </w:r>
      <w:r>
        <w:rPr>
          <w:rFonts w:hint="eastAsia" w:ascii="Times New Roman Bold" w:hAnsi="Times New Roman Bold" w:cs="Times New Roman Bold"/>
          <w:b w:val="0"/>
          <w:bCs w:val="0"/>
          <w:sz w:val="24"/>
          <w:szCs w:val="24"/>
          <w:lang w:val="en-US" w:eastAsia="zh-CN"/>
        </w:rPr>
        <w:t xml:space="preserve"> of</w:t>
      </w:r>
      <w:r>
        <w:rPr>
          <w:rFonts w:hint="default" w:ascii="Times New Roman Bold" w:hAnsi="Times New Roman Bold" w:cs="Times New Roman Bold"/>
          <w:b w:val="0"/>
          <w:bCs w:val="0"/>
          <w:sz w:val="24"/>
          <w:szCs w:val="24"/>
          <w:lang w:val="en-US" w:eastAsia="zh-CN"/>
        </w:rPr>
        <w:t xml:space="preserve"> necess</w:t>
      </w:r>
      <w:r>
        <w:rPr>
          <w:rFonts w:hint="eastAsia" w:ascii="Times New Roman Bold" w:hAnsi="Times New Roman Bold" w:cs="Times New Roman Bold"/>
          <w:b w:val="0"/>
          <w:bCs w:val="0"/>
          <w:sz w:val="24"/>
          <w:szCs w:val="24"/>
          <w:lang w:val="en-US" w:eastAsia="zh-CN"/>
        </w:rPr>
        <w:t>ity</w:t>
      </w:r>
      <w:r>
        <w:rPr>
          <w:rFonts w:hint="default" w:ascii="Times New Roman Bold" w:hAnsi="Times New Roman Bold" w:cs="Times New Roman Bold"/>
          <w:b w:val="0"/>
          <w:bCs w:val="0"/>
          <w:sz w:val="24"/>
          <w:szCs w:val="24"/>
          <w:lang w:val="en-US" w:eastAsia="zh-CN"/>
        </w:rPr>
        <w:t xml:space="preserve">. </w:t>
      </w:r>
      <w:r>
        <w:rPr>
          <w:rFonts w:hint="eastAsia" w:ascii="Times New Roman Bold" w:hAnsi="Times New Roman Bold" w:cs="Times New Roman Bold"/>
          <w:b w:val="0"/>
          <w:bCs w:val="0"/>
          <w:sz w:val="24"/>
          <w:szCs w:val="24"/>
          <w:lang w:val="en-US" w:eastAsia="zh-CN"/>
        </w:rPr>
        <w:t xml:space="preserve">As </w:t>
      </w:r>
      <w:r>
        <w:rPr>
          <w:rFonts w:hint="default" w:ascii="Times New Roman Bold" w:hAnsi="Times New Roman Bold" w:cs="Times New Roman Bold"/>
          <w:b w:val="0"/>
          <w:bCs w:val="0"/>
          <w:sz w:val="24"/>
          <w:szCs w:val="24"/>
          <w:lang w:val="en-US" w:eastAsia="zh-CN"/>
        </w:rPr>
        <w:t>Business process re</w:t>
      </w:r>
      <w:r>
        <w:rPr>
          <w:rFonts w:hint="eastAsia" w:ascii="Times New Roman Bold" w:hAnsi="Times New Roman Bold" w:cs="Times New Roman Bold"/>
          <w:b w:val="0"/>
          <w:bCs w:val="0"/>
          <w:sz w:val="24"/>
          <w:szCs w:val="24"/>
          <w:lang w:val="en-US" w:eastAsia="zh-CN"/>
        </w:rPr>
        <w:t>-</w:t>
      </w:r>
      <w:r>
        <w:rPr>
          <w:rFonts w:hint="default" w:ascii="Times New Roman Bold" w:hAnsi="Times New Roman Bold" w:cs="Times New Roman Bold"/>
          <w:b w:val="0"/>
          <w:bCs w:val="0"/>
          <w:sz w:val="24"/>
          <w:szCs w:val="24"/>
          <w:lang w:val="en-US" w:eastAsia="zh-CN"/>
        </w:rPr>
        <w:t>engineering (BPR) provides a systematic method to enhance</w:t>
      </w:r>
      <w:r>
        <w:rPr>
          <w:rFonts w:hint="eastAsia" w:ascii="Times New Roman Bold" w:hAnsi="Times New Roman Bold" w:cs="Times New Roman Bold"/>
          <w:b w:val="0"/>
          <w:bCs w:val="0"/>
          <w:sz w:val="24"/>
          <w:szCs w:val="24"/>
          <w:lang w:val="en-US" w:eastAsia="zh-CN"/>
        </w:rPr>
        <w:t xml:space="preserve"> procedures like sales approaches(Kotler &amp; Armstrong, 2008)</w:t>
      </w:r>
      <w:r>
        <w:rPr>
          <w:rFonts w:hint="default" w:ascii="Times New Roman Bold" w:hAnsi="Times New Roman Bold" w:cs="Times New Roman Bold"/>
          <w:b w:val="0"/>
          <w:bCs w:val="0"/>
          <w:sz w:val="24"/>
          <w:szCs w:val="24"/>
          <w:lang w:val="en-US" w:eastAsia="zh-CN"/>
        </w:rPr>
        <w:t xml:space="preserve">, </w:t>
      </w:r>
      <w:r>
        <w:rPr>
          <w:rFonts w:hint="eastAsia" w:ascii="Times New Roman Bold" w:hAnsi="Times New Roman Bold" w:cs="Times New Roman Bold"/>
          <w:b w:val="0"/>
          <w:bCs w:val="0"/>
          <w:sz w:val="24"/>
          <w:szCs w:val="24"/>
          <w:lang w:val="en-US" w:eastAsia="zh-CN"/>
        </w:rPr>
        <w:t>it is encouraged that</w:t>
      </w:r>
      <w:r>
        <w:rPr>
          <w:rFonts w:hint="default" w:ascii="Times New Roman Bold" w:hAnsi="Times New Roman Bold" w:cs="Times New Roman Bold"/>
          <w:b w:val="0"/>
          <w:bCs w:val="0"/>
          <w:sz w:val="24"/>
          <w:szCs w:val="24"/>
          <w:lang w:val="en-US" w:eastAsia="zh-CN"/>
        </w:rPr>
        <w:t xml:space="preserve"> Defoe Footwear to successfully adopt and maintain its new pricing strategy while maximizing profits</w:t>
      </w:r>
      <w:r>
        <w:rPr>
          <w:rFonts w:hint="eastAsia" w:ascii="Times New Roman Bold" w:hAnsi="Times New Roman Bold" w:cs="Times New Roman Bold"/>
          <w:b w:val="0"/>
          <w:bCs w:val="0"/>
          <w:sz w:val="24"/>
          <w:szCs w:val="24"/>
          <w:lang w:val="en-US" w:eastAsia="zh-CN"/>
        </w:rPr>
        <w:t>.</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However, embarking</w:t>
      </w:r>
      <w:r>
        <w:rPr>
          <w:rFonts w:hint="default" w:ascii="Times New Roman Bold" w:hAnsi="Times New Roman Bold" w:cs="Times New Roman Bold"/>
          <w:b w:val="0"/>
          <w:bCs w:val="0"/>
          <w:sz w:val="24"/>
          <w:szCs w:val="24"/>
          <w:lang w:val="en-US" w:eastAsia="zh-CN"/>
        </w:rPr>
        <w:t xml:space="preserve"> on joint ventures and diversification ventures involves </w:t>
      </w:r>
      <w:r>
        <w:rPr>
          <w:rFonts w:hint="eastAsia" w:ascii="Times New Roman Bold" w:hAnsi="Times New Roman Bold" w:cs="Times New Roman Bold"/>
          <w:b w:val="0"/>
          <w:bCs w:val="0"/>
          <w:sz w:val="24"/>
          <w:szCs w:val="24"/>
          <w:lang w:val="en-US" w:eastAsia="zh-CN"/>
        </w:rPr>
        <w:t xml:space="preserve">getting </w:t>
      </w:r>
      <w:r>
        <w:rPr>
          <w:rFonts w:hint="default" w:ascii="Times New Roman Bold" w:hAnsi="Times New Roman Bold" w:cs="Times New Roman Bold"/>
          <w:b w:val="0"/>
          <w:bCs w:val="0"/>
          <w:sz w:val="24"/>
          <w:szCs w:val="24"/>
          <w:lang w:val="en-US" w:eastAsia="zh-CN"/>
        </w:rPr>
        <w:t>into unfamiliar domains that demand distinct operational necessities. As indicated by the data presented in Appendix 2, the market share for shoe sales has been steadily decreasing from 2.00% in 2019 to a projected 0.25% in 2022. BPR offers a structure for modifying current processes or creating new ones to effectively address the intricacies associated with these ventures, thereby minimizing risks and optimizing returns.</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 xml:space="preserve">According to Hill (2008), </w:t>
      </w:r>
      <w:r>
        <w:rPr>
          <w:rFonts w:hint="default" w:ascii="Times New Roman Bold" w:hAnsi="Times New Roman Bold" w:cs="Times New Roman Bold"/>
          <w:b w:val="0"/>
          <w:bCs w:val="0"/>
          <w:sz w:val="24"/>
          <w:szCs w:val="24"/>
          <w:lang w:val="en-US" w:eastAsia="zh-CN"/>
        </w:rPr>
        <w:t>“Business process reengineering (BPR) plays a crucial role in this endeavor by enabling the creation of flexible and versatile processes that can effectively function in various geographical settings</w:t>
      </w:r>
      <w:r>
        <w:rPr>
          <w:rFonts w:hint="eastAsia" w:ascii="Times New Roman Bold" w:hAnsi="Times New Roman Bold" w:cs="Times New Roman Bold"/>
          <w:b w:val="0"/>
          <w:bCs w:val="0"/>
          <w:sz w:val="24"/>
          <w:szCs w:val="24"/>
          <w:lang w:val="en-US" w:eastAsia="zh-CN"/>
        </w:rPr>
        <w:t>.</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 xml:space="preserve"> </w:t>
      </w:r>
      <w:r>
        <w:rPr>
          <w:rFonts w:hint="default" w:ascii="Times New Roman Bold" w:hAnsi="Times New Roman Bold" w:cs="Times New Roman Bold"/>
          <w:b w:val="0"/>
          <w:bCs w:val="0"/>
          <w:sz w:val="24"/>
          <w:szCs w:val="24"/>
          <w:lang w:val="en-US" w:eastAsia="zh-CN"/>
        </w:rPr>
        <w:t xml:space="preserve">In order to achieve global growth, it is imperative to establish procedures for international sales, distribution, and marketing, while also considering unique market characteristics and regulatory demands. </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 xml:space="preserve">The Five Forces framework developed by Michael Porter provides a valuable tool for analyzing the competitive dynamics within an industry (Porter, 1980). </w:t>
      </w:r>
      <w:r>
        <w:rPr>
          <w:rFonts w:hint="eastAsia" w:ascii="Times New Roman Bold" w:hAnsi="Times New Roman Bold" w:cs="Times New Roman Bold"/>
          <w:b w:val="0"/>
          <w:bCs w:val="0"/>
          <w:sz w:val="24"/>
          <w:szCs w:val="24"/>
          <w:lang w:val="en-US" w:eastAsia="zh-CN"/>
        </w:rPr>
        <w:t>The five forces are as follows, namely the Bargaining power of buyers, Bargaining power of suppliers, Threat of new entrants, Threat of substitutes and Intensity of competitive rivalry. According to Porter</w:t>
      </w:r>
      <w:r>
        <w:rPr>
          <w:rFonts w:hint="default" w:ascii="Times New Roman Bold" w:hAnsi="Times New Roman Bold" w:cs="Times New Roman Bold"/>
          <w:b w:val="0"/>
          <w:bCs w:val="0"/>
          <w:sz w:val="24"/>
          <w:szCs w:val="24"/>
          <w:lang w:val="en-US" w:eastAsia="zh-CN"/>
        </w:rPr>
        <w:t>’</w:t>
      </w:r>
      <w:r>
        <w:rPr>
          <w:rFonts w:hint="eastAsia" w:ascii="Times New Roman Bold" w:hAnsi="Times New Roman Bold" w:cs="Times New Roman Bold"/>
          <w:b w:val="0"/>
          <w:bCs w:val="0"/>
          <w:sz w:val="24"/>
          <w:szCs w:val="24"/>
          <w:lang w:val="en-US" w:eastAsia="zh-CN"/>
        </w:rPr>
        <w:t xml:space="preserve">s Five Forces, </w:t>
      </w:r>
      <w:r>
        <w:rPr>
          <w:rFonts w:hint="default" w:ascii="Times New Roman Bold" w:hAnsi="Times New Roman Bold" w:cs="Times New Roman Bold"/>
          <w:b w:val="0"/>
          <w:bCs w:val="0"/>
          <w:sz w:val="24"/>
          <w:szCs w:val="24"/>
          <w:lang w:val="en-US" w:eastAsia="zh-CN"/>
        </w:rPr>
        <w:t>Defoe Footwear must first address the significant bargaining power of buyers by differentiating its products in order to maintain profitability. Additionally, the company should carefully manage supplier relationships and sourcing channels to minimize cost and quality risks. Furthermore, Defoe Footwear should prioritize continuous innovation to counter the threat of substitutes</w:t>
      </w:r>
      <w:r>
        <w:rPr>
          <w:rFonts w:hint="eastAsia" w:ascii="Times New Roman Bold" w:hAnsi="Times New Roman Bold" w:cs="Times New Roman Bold"/>
          <w:b w:val="0"/>
          <w:bCs w:val="0"/>
          <w:sz w:val="24"/>
          <w:szCs w:val="24"/>
          <w:lang w:val="en-US" w:eastAsia="zh-CN"/>
        </w:rPr>
        <w:t xml:space="preserve">. As for </w:t>
      </w:r>
      <w:r>
        <w:rPr>
          <w:rFonts w:hint="default" w:ascii="Times New Roman Bold" w:hAnsi="Times New Roman Bold" w:cs="Times New Roman Bold"/>
          <w:b w:val="0"/>
          <w:bCs w:val="0"/>
          <w:sz w:val="24"/>
          <w:szCs w:val="24"/>
          <w:lang w:val="en-US" w:eastAsia="zh-CN"/>
        </w:rPr>
        <w:t xml:space="preserve"> navigat</w:t>
      </w:r>
      <w:r>
        <w:rPr>
          <w:rFonts w:hint="eastAsia" w:ascii="Times New Roman Bold" w:hAnsi="Times New Roman Bold" w:cs="Times New Roman Bold"/>
          <w:b w:val="0"/>
          <w:bCs w:val="0"/>
          <w:sz w:val="24"/>
          <w:szCs w:val="24"/>
          <w:lang w:val="en-US" w:eastAsia="zh-CN"/>
        </w:rPr>
        <w:t>ing</w:t>
      </w:r>
      <w:r>
        <w:rPr>
          <w:rFonts w:hint="default" w:ascii="Times New Roman Bold" w:hAnsi="Times New Roman Bold" w:cs="Times New Roman Bold"/>
          <w:b w:val="0"/>
          <w:bCs w:val="0"/>
          <w:sz w:val="24"/>
          <w:szCs w:val="24"/>
          <w:lang w:val="en-US" w:eastAsia="zh-CN"/>
        </w:rPr>
        <w:t xml:space="preserve"> the intense competition in the industry, the company can focus on </w:t>
      </w:r>
      <w:r>
        <w:rPr>
          <w:rFonts w:hint="eastAsia" w:ascii="Times New Roman Bold" w:hAnsi="Times New Roman Bold" w:cs="Times New Roman Bold"/>
          <w:b w:val="0"/>
          <w:bCs w:val="0"/>
          <w:sz w:val="24"/>
          <w:szCs w:val="24"/>
          <w:lang w:val="en-US" w:eastAsia="zh-CN"/>
        </w:rPr>
        <w:t xml:space="preserve">distinctive </w:t>
      </w:r>
      <w:r>
        <w:rPr>
          <w:rFonts w:hint="default" w:ascii="Times New Roman Bold" w:hAnsi="Times New Roman Bold" w:cs="Times New Roman Bold"/>
          <w:b w:val="0"/>
          <w:bCs w:val="0"/>
          <w:sz w:val="24"/>
          <w:szCs w:val="24"/>
          <w:lang w:val="en-US" w:eastAsia="zh-CN"/>
        </w:rPr>
        <w:t xml:space="preserve">strategies and strategic alliances, such as the proposed collaboration with Barnaby Holdings Ltd, to strengthen its position in the market and </w:t>
      </w:r>
      <w:r>
        <w:rPr>
          <w:rFonts w:hint="eastAsia" w:ascii="Times New Roman Bold" w:hAnsi="Times New Roman Bold" w:cs="Times New Roman Bold"/>
          <w:b w:val="0"/>
          <w:bCs w:val="0"/>
          <w:sz w:val="24"/>
          <w:szCs w:val="24"/>
          <w:lang w:val="en-US" w:eastAsia="zh-CN"/>
        </w:rPr>
        <w:t>keep</w:t>
      </w:r>
      <w:r>
        <w:rPr>
          <w:rFonts w:hint="default" w:ascii="Times New Roman Bold" w:hAnsi="Times New Roman Bold" w:cs="Times New Roman Bold"/>
          <w:b w:val="0"/>
          <w:bCs w:val="0"/>
          <w:sz w:val="24"/>
          <w:szCs w:val="24"/>
          <w:lang w:val="en-US" w:eastAsia="zh-CN"/>
        </w:rPr>
        <w:t xml:space="preserve"> </w:t>
      </w:r>
      <w:r>
        <w:rPr>
          <w:rFonts w:hint="eastAsia" w:ascii="Times New Roman Bold" w:hAnsi="Times New Roman Bold" w:cs="Times New Roman Bold"/>
          <w:b w:val="0"/>
          <w:bCs w:val="0"/>
          <w:sz w:val="24"/>
          <w:szCs w:val="24"/>
          <w:lang w:val="en-US" w:eastAsia="zh-CN"/>
        </w:rPr>
        <w:t>its competitiveness.</w:t>
      </w: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p>
    <w:p>
      <w:pPr>
        <w:jc w:val="both"/>
        <w:rPr>
          <w:rFonts w:hint="default" w:ascii="Times New Roman Bold" w:hAnsi="Times New Roman Bold" w:cs="Times New Roman Bold"/>
          <w:b w:val="0"/>
          <w:bCs w:val="0"/>
          <w:sz w:val="24"/>
          <w:szCs w:val="24"/>
          <w:lang w:val="en-US" w:eastAsia="zh-CN"/>
        </w:rPr>
      </w:pPr>
      <w:r>
        <w:rPr>
          <w:rFonts w:hint="default" w:ascii="Times New Roman Bold" w:hAnsi="Times New Roman Bold" w:cs="Times New Roman Bold"/>
          <w:b w:val="0"/>
          <w:bCs w:val="0"/>
          <w:sz w:val="24"/>
          <w:szCs w:val="24"/>
          <w:lang w:val="en-US" w:eastAsia="zh-CN"/>
        </w:rPr>
        <w:t xml:space="preserve">In sum, the strategic decisions facing Defoe Footwear </w:t>
      </w:r>
      <w:r>
        <w:rPr>
          <w:rFonts w:hint="eastAsia" w:ascii="Times New Roman Bold" w:hAnsi="Times New Roman Bold" w:cs="Times New Roman Bold"/>
          <w:b w:val="0"/>
          <w:bCs w:val="0"/>
          <w:sz w:val="24"/>
          <w:szCs w:val="24"/>
          <w:lang w:val="en-US" w:eastAsia="zh-CN"/>
        </w:rPr>
        <w:t>highlight</w:t>
      </w:r>
      <w:r>
        <w:rPr>
          <w:rFonts w:hint="default" w:ascii="Times New Roman Bold" w:hAnsi="Times New Roman Bold" w:cs="Times New Roman Bold"/>
          <w:b w:val="0"/>
          <w:bCs w:val="0"/>
          <w:sz w:val="24"/>
          <w:szCs w:val="24"/>
          <w:lang w:val="en-US" w:eastAsia="zh-CN"/>
        </w:rPr>
        <w:t xml:space="preserve"> the critical importance of implementing business process redesign (BPR) principles. In a rapidly </w:t>
      </w:r>
      <w:r>
        <w:rPr>
          <w:rFonts w:hint="eastAsia" w:ascii="Times New Roman Bold" w:hAnsi="Times New Roman Bold" w:cs="Times New Roman Bold"/>
          <w:b w:val="0"/>
          <w:bCs w:val="0"/>
          <w:sz w:val="24"/>
          <w:szCs w:val="24"/>
          <w:lang w:val="en-US" w:eastAsia="zh-CN"/>
        </w:rPr>
        <w:t xml:space="preserve">growing and </w:t>
      </w:r>
      <w:r>
        <w:rPr>
          <w:rFonts w:hint="default" w:ascii="Times New Roman Bold" w:hAnsi="Times New Roman Bold" w:cs="Times New Roman Bold"/>
          <w:b w:val="0"/>
          <w:bCs w:val="0"/>
          <w:sz w:val="24"/>
          <w:szCs w:val="24"/>
          <w:lang w:val="en-US" w:eastAsia="zh-CN"/>
        </w:rPr>
        <w:t xml:space="preserve">evolving industry characterized by changing consumer preferences, technological advancements and global market dynamics, Defoe </w:t>
      </w:r>
      <w:r>
        <w:rPr>
          <w:rFonts w:hint="eastAsia" w:ascii="Times New Roman Bold" w:hAnsi="Times New Roman Bold" w:cs="Times New Roman Bold"/>
          <w:b w:val="0"/>
          <w:bCs w:val="0"/>
          <w:sz w:val="24"/>
          <w:szCs w:val="24"/>
          <w:lang w:val="en-US" w:eastAsia="zh-CN"/>
        </w:rPr>
        <w:t>needs to</w:t>
      </w:r>
      <w:r>
        <w:rPr>
          <w:rFonts w:hint="default" w:ascii="Times New Roman Bold" w:hAnsi="Times New Roman Bold" w:cs="Times New Roman Bold"/>
          <w:b w:val="0"/>
          <w:bCs w:val="0"/>
          <w:sz w:val="24"/>
          <w:szCs w:val="24"/>
          <w:lang w:val="en-US" w:eastAsia="zh-CN"/>
        </w:rPr>
        <w:t xml:space="preserve"> adapt quickly to remain </w:t>
      </w:r>
      <w:r>
        <w:rPr>
          <w:rFonts w:hint="eastAsia" w:ascii="Times New Roman Bold" w:hAnsi="Times New Roman Bold" w:cs="Times New Roman Bold"/>
          <w:b w:val="0"/>
          <w:bCs w:val="0"/>
          <w:sz w:val="24"/>
          <w:szCs w:val="24"/>
          <w:lang w:val="en-US" w:eastAsia="zh-CN"/>
        </w:rPr>
        <w:t xml:space="preserve">its </w:t>
      </w:r>
      <w:r>
        <w:rPr>
          <w:rFonts w:hint="default" w:ascii="Times New Roman Bold" w:hAnsi="Times New Roman Bold" w:cs="Times New Roman Bold"/>
          <w:b w:val="0"/>
          <w:bCs w:val="0"/>
          <w:sz w:val="24"/>
          <w:szCs w:val="24"/>
          <w:lang w:val="en-US" w:eastAsia="zh-CN"/>
        </w:rPr>
        <w:t>competitive</w:t>
      </w:r>
      <w:r>
        <w:rPr>
          <w:rFonts w:hint="eastAsia" w:ascii="Times New Roman Bold" w:hAnsi="Times New Roman Bold" w:cs="Times New Roman Bold"/>
          <w:b w:val="0"/>
          <w:bCs w:val="0"/>
          <w:sz w:val="24"/>
          <w:szCs w:val="24"/>
          <w:lang w:val="en-US" w:eastAsia="zh-CN"/>
        </w:rPr>
        <w:t>ness</w:t>
      </w:r>
      <w:r>
        <w:rPr>
          <w:rFonts w:hint="default" w:ascii="Times New Roman Bold" w:hAnsi="Times New Roman Bold" w:cs="Times New Roman Bold"/>
          <w:b w:val="0"/>
          <w:bCs w:val="0"/>
          <w:sz w:val="24"/>
          <w:szCs w:val="24"/>
          <w:lang w:val="en-US" w:eastAsia="zh-CN"/>
        </w:rPr>
        <w:t xml:space="preserve">. By adopting BPR, companies can systematically analyze and modify existing business processes to ensure consistency with strategic goals and be able to respond to market changes </w:t>
      </w:r>
      <w:r>
        <w:rPr>
          <w:rFonts w:hint="eastAsia" w:ascii="Times New Roman Bold" w:hAnsi="Times New Roman Bold" w:cs="Times New Roman Bold"/>
          <w:b w:val="0"/>
          <w:bCs w:val="0"/>
          <w:sz w:val="24"/>
          <w:szCs w:val="24"/>
          <w:lang w:val="en-US" w:eastAsia="zh-CN"/>
        </w:rPr>
        <w:t xml:space="preserve">in time. </w:t>
      </w:r>
      <w:r>
        <w:rPr>
          <w:rFonts w:hint="default" w:ascii="Times New Roman Bold" w:hAnsi="Times New Roman Bold" w:cs="Times New Roman Bold"/>
          <w:b w:val="0"/>
          <w:bCs w:val="0"/>
          <w:sz w:val="24"/>
          <w:szCs w:val="24"/>
          <w:lang w:val="en-US" w:eastAsia="zh-CN"/>
        </w:rPr>
        <w:t>Additionally, BPR enables Defoe to streamline operations, increase efficiency and drive innovation in all areas of the business, from design and production to sales and customer service. Through BPR, Defoe can seize new opportunities, respond effectively to challenges, and solidify its position as a preeminent player in the global footwear market.</w:t>
      </w:r>
    </w:p>
    <w:p>
      <w:pPr>
        <w:jc w:val="both"/>
        <w:rPr>
          <w:rFonts w:hint="default" w:ascii="Times New Roman Bold" w:hAnsi="Times New Roman Bold" w:cs="Times New Roman Bold"/>
          <w:b w:val="0"/>
          <w:bCs w:val="0"/>
          <w:sz w:val="24"/>
          <w:szCs w:val="24"/>
          <w:lang w:val="en-US" w:eastAsia="zh-CN"/>
        </w:rPr>
      </w:pPr>
    </w:p>
    <w:p>
      <w:pPr>
        <w:pStyle w:val="2"/>
        <w:bidi w:val="0"/>
        <w:rPr>
          <w:rFonts w:hint="eastAsia"/>
          <w:lang w:val="en-US" w:eastAsia="zh-CN"/>
        </w:rPr>
      </w:pPr>
      <w:bookmarkStart w:id="11" w:name="_Toc16518"/>
      <w:r>
        <w:rPr>
          <w:rFonts w:hint="eastAsia"/>
          <w:lang w:val="en-US" w:eastAsia="zh-CN"/>
        </w:rPr>
        <w:t>Conclusions:</w:t>
      </w:r>
      <w:bookmarkEnd w:id="11"/>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Wirral, the Profit &amp; Sales (M/S) division has shown strong performance compared to the Services division, with high Return on Investment (ROI), substantial Residual Income (RI) and substantial Economic Value Added (EVA) ) and other strong indicators. These financial metrics highlight the efficiency with which the M/S segment utilizes its assets and its ability to create value for shareholders. In addition, the article discusses design criteria for transfer pricing systems, the potential impact of introducing new management information systems, and provides insights into improving the efficiency and coordination of operations within a company.</w:t>
      </w:r>
    </w:p>
    <w:p>
      <w:pPr>
        <w:rPr>
          <w:rFonts w:hint="eastAsia" w:ascii="Times New Roman" w:hAnsi="Times New Roman" w:cs="Times New Roman"/>
          <w:sz w:val="24"/>
          <w:szCs w:val="24"/>
          <w:lang w:val="en-US" w:eastAsia="zh-CN"/>
        </w:rPr>
      </w:pPr>
    </w:p>
    <w:p>
      <w:pPr>
        <w:rPr>
          <w:rFonts w:hint="default"/>
          <w:lang w:val="en-US" w:eastAsia="zh-CN"/>
        </w:rPr>
      </w:pPr>
      <w:r>
        <w:rPr>
          <w:rFonts w:hint="eastAsia" w:ascii="Times New Roman" w:hAnsi="Times New Roman" w:cs="Times New Roman"/>
          <w:sz w:val="24"/>
          <w:szCs w:val="24"/>
          <w:lang w:val="en-US" w:eastAsia="zh-CN"/>
        </w:rPr>
        <w:t>On the other hand, Defoe is facing a growth crisis in all aspects of its operations, including supply chain, raw material procurement, gross profit, and annual sales. The application of theories such as RBV, TCE, MBV and SCM reveals possible strategies to address these challenges and cope with market uncertainty. Furthermore, the use of the balanced scorecard allows for a comprehensive assessment of a company's quantitative and qualitative performance, thereby facilitating informed decision-making. In addition, in terms of the policy diversification, expansion and restructuring, the importance of business process re-</w:t>
      </w:r>
      <w:bookmarkStart w:id="14" w:name="_GoBack"/>
      <w:bookmarkEnd w:id="14"/>
      <w:r>
        <w:rPr>
          <w:rFonts w:hint="eastAsia" w:ascii="Times New Roman" w:hAnsi="Times New Roman" w:cs="Times New Roman"/>
          <w:sz w:val="24"/>
          <w:szCs w:val="24"/>
          <w:lang w:val="en-US" w:eastAsia="zh-CN"/>
        </w:rPr>
        <w:t>engineering (BPR) cannot be neglected. BPR provides the means to achieve significant improvements in key areas such as cost, quality, service and efficiency, which are critical to Defoe's future growth and competitiveness.</w:t>
      </w:r>
    </w:p>
    <w:p>
      <w:pPr>
        <w:pStyle w:val="2"/>
        <w:bidi w:val="0"/>
        <w:rPr>
          <w:rFonts w:hint="eastAsia" w:ascii="Times New Roman Bold" w:hAnsi="Times New Roman Bold" w:cs="Times New Roman Bold"/>
          <w:b/>
          <w:bCs/>
          <w:sz w:val="24"/>
          <w:szCs w:val="24"/>
          <w:lang w:val="en-US" w:eastAsia="zh-CN"/>
        </w:rPr>
      </w:pPr>
      <w:bookmarkStart w:id="12" w:name="_Toc25479"/>
      <w:r>
        <w:rPr>
          <w:rFonts w:hint="eastAsia"/>
          <w:lang w:val="en-US" w:eastAsia="zh-CN"/>
        </w:rPr>
        <w:t>References</w:t>
      </w:r>
      <w:bookmarkEnd w:id="12"/>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Barney, J. B. (1991). Firm Resources and Sustained Competitive Advantage. Journal of Management, 17(1), 99–120.</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Cadez, S., &amp; Guilding, C. (2008). An Exploratory Investigation of an Integrated Contingency Model of Strategic Management Accounting. Accounting, Organizations and Society, 33(7-8), 836–863.</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Coase, R. H. (1937). The Nature of the Firm. Economica, 4(16), 386–405.</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Day, G. S. (1994). The Capabilities of Market-Driven Organizations. Journal of Marketing, 58(4), 37–52.</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Hammer, M., &amp; Champy, J. (1993). Reengineering the Corporation: A Manifesto for Business Revolution.</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Hill, T. (2008). International Business: Competing in the Global Marketplace.</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Kaplan, R. S., &amp; Norton, D. P. (1996). The Balanced Scorecard: Translating Strategy into Action. Boston: Harvard Business Review Press.</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Kotler, P., &amp; Armstrong, G. (2008). Principles of Marketing.</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Mintzberg, H. (1994). The Rise and Fall of Strategic Planning: Reconceiving Roles for Planning, Plans, Planners. New York: Free Press.</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Porter, M. E. (1980). Competitive Strategy: Techniques for Analyzing Industries and Competitors. Free Press.</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Rumelt, R. P. (1991). How Much Does Industry Matter? Strategic Management Journal, 12(3), 167–185.</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Shank, J. K., &amp; Govindarajan, V. (1993). Strategic Cost Management: The Value Chain Perspective. Journal of Management Accounting Research, 5, 179–197.</w:t>
      </w:r>
    </w:p>
    <w:p>
      <w:pPr>
        <w:jc w:val="both"/>
        <w:rPr>
          <w:rFonts w:hint="default" w:ascii="Times New Roman Bold" w:hAnsi="Times New Roman Bold" w:cs="Times New Roman Bold"/>
          <w:b/>
          <w:bCs/>
          <w:sz w:val="24"/>
          <w:szCs w:val="24"/>
          <w:lang w:val="en-US" w:eastAsia="zh-CN"/>
        </w:rPr>
      </w:pPr>
      <w:r>
        <w:rPr>
          <w:rFonts w:hint="eastAsia" w:ascii="Times New Roman Bold" w:hAnsi="Times New Roman Bold" w:cs="Times New Roman Bold"/>
          <w:b w:val="0"/>
          <w:bCs w:val="0"/>
          <w:sz w:val="24"/>
          <w:szCs w:val="24"/>
          <w:lang w:val="en-US" w:eastAsia="zh-CN"/>
        </w:rPr>
        <w:t>Williamson, O. E. (1985). The Economic Institutions of Capitalism. New York: Free Press.</w:t>
      </w:r>
    </w:p>
    <w:p>
      <w:pPr>
        <w:jc w:val="both"/>
        <w:rPr>
          <w:rFonts w:hint="eastAsia" w:ascii="Times New Roman Bold" w:hAnsi="Times New Roman Bold" w:cs="Times New Roman Bold"/>
          <w:b/>
          <w:bCs/>
          <w:sz w:val="24"/>
          <w:szCs w:val="24"/>
          <w:lang w:val="en-US" w:eastAsia="zh-CN"/>
        </w:rPr>
      </w:pPr>
    </w:p>
    <w:p>
      <w:pPr>
        <w:pStyle w:val="2"/>
        <w:bidi w:val="0"/>
        <w:rPr>
          <w:rFonts w:hint="eastAsia"/>
          <w:lang w:val="en-US" w:eastAsia="zh-CN"/>
        </w:rPr>
      </w:pPr>
    </w:p>
    <w:p>
      <w:pPr>
        <w:pStyle w:val="2"/>
        <w:bidi w:val="0"/>
        <w:rPr>
          <w:rFonts w:hint="eastAsia" w:ascii="Times New Roman Bold" w:hAnsi="Times New Roman Bold" w:cs="Times New Roman Bold"/>
          <w:b/>
          <w:bCs/>
          <w:sz w:val="24"/>
          <w:szCs w:val="24"/>
          <w:lang w:val="en-US" w:eastAsia="zh-CN"/>
        </w:rPr>
      </w:pPr>
      <w:bookmarkStart w:id="13" w:name="_Toc19102"/>
      <w:r>
        <w:rPr>
          <w:rFonts w:hint="eastAsia"/>
          <w:lang w:val="en-US" w:eastAsia="zh-CN"/>
        </w:rPr>
        <w:t>Appendix</w:t>
      </w:r>
      <w:bookmarkEnd w:id="13"/>
    </w:p>
    <w:p>
      <w:pPr>
        <w:jc w:val="both"/>
        <w:rPr>
          <w:rFonts w:hint="eastAsia" w:ascii="Times New Roman Bold" w:hAnsi="Times New Roman Bold" w:cs="Times New Roman Bold"/>
          <w:b/>
          <w:bCs/>
          <w:sz w:val="24"/>
          <w:szCs w:val="24"/>
          <w:lang w:val="en-US" w:eastAsia="zh-CN"/>
        </w:rPr>
      </w:pPr>
      <w:r>
        <w:rPr>
          <w:rFonts w:hint="eastAsia" w:ascii="Times New Roman Bold" w:hAnsi="Times New Roman Bold" w:cs="Times New Roman Bold"/>
          <w:b/>
          <w:bCs/>
          <w:sz w:val="24"/>
          <w:szCs w:val="24"/>
          <w:lang w:val="en-US" w:eastAsia="zh-CN"/>
        </w:rPr>
        <w:t>Part II:</w:t>
      </w:r>
    </w:p>
    <w:p>
      <w:pPr>
        <w:jc w:val="both"/>
        <w:rPr>
          <w:rFonts w:hint="eastAsia" w:ascii="Times New Roman Bold" w:hAnsi="Times New Roman Bold" w:cs="Times New Roman Bold"/>
          <w:b/>
          <w:bCs/>
          <w:sz w:val="24"/>
          <w:szCs w:val="24"/>
          <w:lang w:val="en-US" w:eastAsia="zh-CN"/>
        </w:rPr>
      </w:pPr>
    </w:p>
    <w:p>
      <w:pPr>
        <w:jc w:val="both"/>
        <w:rPr>
          <w:rFonts w:hint="eastAsia" w:ascii="Times New Roman Bold" w:hAnsi="Times New Roman Bold" w:cs="Times New Roman Bold"/>
          <w:b/>
          <w:bCs/>
          <w:sz w:val="24"/>
          <w:szCs w:val="24"/>
          <w:lang w:val="en-US" w:eastAsia="zh-CN"/>
        </w:rPr>
      </w:pPr>
      <w:r>
        <w:rPr>
          <w:rFonts w:hint="eastAsia" w:ascii="Times New Roman Bold" w:hAnsi="Times New Roman Bold" w:cs="Times New Roman Bold"/>
          <w:b/>
          <w:bCs/>
          <w:sz w:val="24"/>
          <w:szCs w:val="24"/>
          <w:lang w:val="en-US" w:eastAsia="zh-CN"/>
        </w:rPr>
        <w:t>ROI trend:</w:t>
      </w:r>
    </w:p>
    <w:p>
      <w:pPr>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ROI</w:t>
      </w:r>
      <w:r>
        <w:rPr>
          <w:rFonts w:hint="default" w:ascii="Times New Roman" w:hAnsi="Times New Roman" w:cs="Times New Roman"/>
          <w:sz w:val="24"/>
          <w:szCs w:val="24"/>
          <w:lang w:val="en-US" w:eastAsia="zh-CN"/>
        </w:rPr>
        <w:t>= Net profit/Total Investment*100%</w:t>
      </w:r>
    </w:p>
    <w:p>
      <w:pPr>
        <w:jc w:val="both"/>
        <w:rPr>
          <w:rFonts w:hint="eastAsia"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 xml:space="preserve">Then 2019:243/700=34.71%, 2020:301/930=32.4%, </w:t>
      </w:r>
    </w:p>
    <w:p>
      <w:pPr>
        <w:jc w:val="both"/>
        <w:rPr>
          <w:rFonts w:hint="default" w:ascii="Times New Roman Bold" w:hAnsi="Times New Roman Bold" w:cs="Times New Roman Bold"/>
          <w:b w:val="0"/>
          <w:bCs w:val="0"/>
          <w:sz w:val="24"/>
          <w:szCs w:val="24"/>
          <w:lang w:val="en-US" w:eastAsia="zh-CN"/>
        </w:rPr>
      </w:pPr>
      <w:r>
        <w:rPr>
          <w:rFonts w:hint="eastAsia" w:ascii="Times New Roman Bold" w:hAnsi="Times New Roman Bold" w:cs="Times New Roman Bold"/>
          <w:b w:val="0"/>
          <w:bCs w:val="0"/>
          <w:sz w:val="24"/>
          <w:szCs w:val="24"/>
          <w:lang w:val="en-US" w:eastAsia="zh-CN"/>
        </w:rPr>
        <w:t>2021: 86/855=10.06%; 2022(projected):-160/280=-57.14%</w:t>
      </w:r>
    </w:p>
    <w:p>
      <w:pPr>
        <w:jc w:val="both"/>
        <w:rPr>
          <w:rFonts w:hint="default" w:ascii="Times New Roman Bold" w:hAnsi="Times New Roman Bold" w:cs="Times New Roman Bold"/>
          <w:b/>
          <w:bCs/>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imes">
    <w:altName w:val="Times New Roman"/>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200247B" w:usb2="00000009" w:usb3="00000000" w:csb0="200001FF" w:csb1="00000000"/>
  </w:font>
  <w:font w:name="Times New Roman Bold">
    <w:altName w:val="Times New Roman"/>
    <w:panose1 w:val="02020603050405020304"/>
    <w:charset w:val="00"/>
    <w:family w:val="auto"/>
    <w:pitch w:val="default"/>
    <w:sig w:usb0="00000000" w:usb1="00000000" w:usb2="00000009" w:usb3="00000000" w:csb0="400001FF" w:csb1="FFFF0000"/>
  </w:font>
  <w:font w:name="Cambria Math">
    <w:panose1 w:val="02040503050406030204"/>
    <w:charset w:val="00"/>
    <w:family w:val="roman"/>
    <w:pitch w:val="default"/>
    <w:sig w:usb0="E00006FF" w:usb1="420024FF" w:usb2="0200000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3042821"/>
    <w:multiLevelType w:val="singleLevel"/>
    <w:tmpl w:val="B3042821"/>
    <w:lvl w:ilvl="0" w:tentative="0">
      <w:start w:val="3"/>
      <w:numFmt w:val="upperLetter"/>
      <w:suff w:val="space"/>
      <w:lvlText w:val="(%1)"/>
      <w:lvlJc w:val="left"/>
    </w:lvl>
  </w:abstractNum>
  <w:abstractNum w:abstractNumId="1">
    <w:nsid w:val="02463263"/>
    <w:multiLevelType w:val="singleLevel"/>
    <w:tmpl w:val="02463263"/>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kzNjNmMjI2MGNiZTA5M2FlMTczZWIwYjBlODIwNTUifQ=="/>
  </w:docVars>
  <w:rsids>
    <w:rsidRoot w:val="00000000"/>
    <w:rsid w:val="02040ADD"/>
    <w:rsid w:val="06514C09"/>
    <w:rsid w:val="07462294"/>
    <w:rsid w:val="087921F6"/>
    <w:rsid w:val="09371E95"/>
    <w:rsid w:val="0C6A432F"/>
    <w:rsid w:val="11187F86"/>
    <w:rsid w:val="13854144"/>
    <w:rsid w:val="14D7277E"/>
    <w:rsid w:val="162C08A7"/>
    <w:rsid w:val="16F969DB"/>
    <w:rsid w:val="1840688C"/>
    <w:rsid w:val="22352283"/>
    <w:rsid w:val="234E4553"/>
    <w:rsid w:val="23A61C99"/>
    <w:rsid w:val="26751DF6"/>
    <w:rsid w:val="277F4CDB"/>
    <w:rsid w:val="283F26BC"/>
    <w:rsid w:val="2CA13945"/>
    <w:rsid w:val="2D5A582E"/>
    <w:rsid w:val="2FE1152C"/>
    <w:rsid w:val="325A081E"/>
    <w:rsid w:val="33134E71"/>
    <w:rsid w:val="34476B80"/>
    <w:rsid w:val="361B02C4"/>
    <w:rsid w:val="364336F6"/>
    <w:rsid w:val="3C1E0B0E"/>
    <w:rsid w:val="3D51281E"/>
    <w:rsid w:val="3E0D0E3B"/>
    <w:rsid w:val="3E371A14"/>
    <w:rsid w:val="405E60BD"/>
    <w:rsid w:val="418F72B8"/>
    <w:rsid w:val="46694F98"/>
    <w:rsid w:val="46E92835"/>
    <w:rsid w:val="46F81F5C"/>
    <w:rsid w:val="48BB76E5"/>
    <w:rsid w:val="49752C37"/>
    <w:rsid w:val="4D693BB4"/>
    <w:rsid w:val="4F1821E0"/>
    <w:rsid w:val="4FB70C06"/>
    <w:rsid w:val="5140583D"/>
    <w:rsid w:val="54F46459"/>
    <w:rsid w:val="556B436C"/>
    <w:rsid w:val="58BF6DDA"/>
    <w:rsid w:val="5B10566E"/>
    <w:rsid w:val="5BFD2097"/>
    <w:rsid w:val="5C657C3C"/>
    <w:rsid w:val="5F88570A"/>
    <w:rsid w:val="628506F0"/>
    <w:rsid w:val="65BC7EB3"/>
    <w:rsid w:val="69EE301F"/>
    <w:rsid w:val="6BDD159D"/>
    <w:rsid w:val="6CC4275D"/>
    <w:rsid w:val="6D014DB7"/>
    <w:rsid w:val="6DB427D1"/>
    <w:rsid w:val="78CD4747"/>
    <w:rsid w:val="7BD23315"/>
    <w:rsid w:val="7CC55E61"/>
    <w:rsid w:val="7E857F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Calibri" w:hAnsi="Calibri" w:eastAsia="宋体" w:cs="Times New Roman"/>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eastAsia="Times"/>
      <w:b/>
      <w:kern w:val="44"/>
      <w:sz w:val="28"/>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b/>
      <w:sz w:val="24"/>
    </w:rPr>
  </w:style>
  <w:style w:type="paragraph" w:styleId="4">
    <w:name w:val="heading 3"/>
    <w:basedOn w:val="1"/>
    <w:next w:val="1"/>
    <w:link w:val="14"/>
    <w:unhideWhenUsed/>
    <w:qFormat/>
    <w:uiPriority w:val="0"/>
    <w:pPr>
      <w:keepNext/>
      <w:keepLines/>
      <w:spacing w:before="260" w:beforeLines="0" w:beforeAutospacing="0" w:after="260" w:afterLines="0" w:afterAutospacing="0" w:line="413" w:lineRule="auto"/>
      <w:outlineLvl w:val="2"/>
    </w:pPr>
    <w:rPr>
      <w:rFonts w:ascii="Times New Roman" w:hAnsi="Times New Roman"/>
      <w:b/>
      <w:sz w:val="21"/>
    </w:rPr>
  </w:style>
  <w:style w:type="character" w:default="1" w:styleId="10">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next w:val="1"/>
    <w:unhideWhenUsed/>
    <w:qFormat/>
    <w:uiPriority w:val="39"/>
    <w:pPr>
      <w:spacing w:after="100" w:line="259" w:lineRule="auto"/>
    </w:pPr>
    <w:rPr>
      <w:rFonts w:asciiTheme="minorHAnsi" w:hAnsiTheme="minorHAnsi" w:eastAsiaTheme="minorHAnsi" w:cstheme="minorBidi"/>
      <w:sz w:val="22"/>
      <w:szCs w:val="22"/>
      <w:lang w:val="en-GB" w:eastAsia="en-US" w:bidi="ar-SA"/>
    </w:rPr>
  </w:style>
  <w:style w:type="paragraph" w:styleId="7">
    <w:name w:val="toc 2"/>
    <w:next w:val="1"/>
    <w:unhideWhenUsed/>
    <w:qFormat/>
    <w:uiPriority w:val="39"/>
    <w:pPr>
      <w:spacing w:after="100" w:line="259" w:lineRule="auto"/>
      <w:ind w:left="220"/>
    </w:pPr>
    <w:rPr>
      <w:rFonts w:asciiTheme="minorHAnsi" w:hAnsiTheme="minorHAnsi" w:eastAsiaTheme="minorHAnsi" w:cstheme="minorBidi"/>
      <w:sz w:val="22"/>
      <w:szCs w:val="22"/>
      <w:lang w:val="en-GB" w:eastAsia="en-US" w:bidi="ar-SA"/>
    </w:rPr>
  </w:style>
  <w:style w:type="table" w:styleId="9">
    <w:name w:val="Table Grid"/>
    <w:basedOn w:val="8"/>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Hyperlink"/>
    <w:autoRedefine/>
    <w:unhideWhenUsed/>
    <w:qFormat/>
    <w:uiPriority w:val="99"/>
    <w:rPr>
      <w:color w:val="0563C1" w:themeColor="hyperlink"/>
      <w:u w:val="single"/>
      <w14:textFill>
        <w14:solidFill>
          <w14:schemeClr w14:val="hlink"/>
        </w14:solidFill>
      </w14:textFill>
    </w:rPr>
  </w:style>
  <w:style w:type="paragraph" w:styleId="12">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13">
    <w:name w:val="TOC Heading"/>
    <w:next w:val="1"/>
    <w:autoRedefine/>
    <w:unhideWhenUsed/>
    <w:qFormat/>
    <w:uiPriority w:val="39"/>
    <w:pPr>
      <w:keepNext/>
      <w:keepLines/>
      <w:spacing w:before="240" w:after="0" w:line="259" w:lineRule="auto"/>
      <w:outlineLvl w:val="9"/>
    </w:pPr>
    <w:rPr>
      <w:rFonts w:asciiTheme="majorHAnsi" w:hAnsiTheme="majorHAnsi" w:eastAsiaTheme="majorEastAsia" w:cstheme="majorBidi"/>
      <w:color w:val="2E75B6" w:themeColor="accent1" w:themeShade="BF"/>
      <w:sz w:val="32"/>
      <w:szCs w:val="32"/>
      <w:lang w:val="en-US" w:eastAsia="en-US" w:bidi="ar-SA"/>
    </w:rPr>
  </w:style>
  <w:style w:type="character" w:customStyle="1" w:styleId="14">
    <w:name w:val="标题 3 Char"/>
    <w:link w:val="4"/>
    <w:autoRedefine/>
    <w:qFormat/>
    <w:uiPriority w:val="0"/>
    <w:rPr>
      <w:rFonts w:ascii="Times New Roman" w:hAnsi="Times New Roman"/>
      <w:b/>
      <w:sz w:val="21"/>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5e66ef42-1773-4c8f-9cc3-1bb9555bfda7}"/>
        <w:style w:val=""/>
        <w:category>
          <w:name w:val="General"/>
          <w:gallery w:val="placeholder"/>
        </w:category>
        <w:types>
          <w:type w:val="bbPlcHdr"/>
        </w:types>
        <w:behaviors>
          <w:behavior w:val="content"/>
        </w:behaviors>
        <w:description w:val=""/>
        <w:guid w:val="{5e66ef42-1773-4c8f-9cc3-1bb9555bfda7}"/>
      </w:docPartPr>
      <w:docPartBody>
        <w:p>
          <w:pPr>
            <w:pStyle w:val="1"/>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style w:type="paragraph" w:customStyle="1" w:styleId="1">
    <w:name w:val="DCBCB7F12FD741FCBCDF0AE63ED3B4BF"/>
    <w:autoRedefine/>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2</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2024-04-21T08:57:00Z</dcterms:created>
  <dc:creator>ITX</dc:creator>
  <cp:lastModifiedBy>吟游诗人</cp:lastModifiedBy>
  <dcterms:modified xsi:type="dcterms:W3CDTF">2024-04-26T08:05:04Z</dcterms:modified>
  <dc:subject>WEIJUN GAO 2304599</dc:subject>
  <dc:title>Wirral Fabrication Plc  and Defoe Brands</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6E4348C9B1A04DBEAAFD49CB3738D237_13</vt:lpwstr>
  </property>
</Properties>
</file>