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5403D" w:rsidRPr="006B5D4C" w:rsidRDefault="00FC7173" w:rsidP="006B5D4C">
      <w:pPr>
        <w:spacing w:line="360" w:lineRule="auto"/>
        <w:ind w:left="1800"/>
        <w:jc w:val="both"/>
        <w:rPr>
          <w:rFonts w:ascii="Arial" w:hAnsi="Arial" w:cs="Arial"/>
          <w:sz w:val="24"/>
          <w:szCs w:val="24"/>
          <w:lang w:val="en-US"/>
        </w:rPr>
      </w:pPr>
      <w:r w:rsidRPr="006B5D4C">
        <w:rPr>
          <w:rFonts w:ascii="Arial" w:hAnsi="Arial" w:cs="Arial"/>
          <w:sz w:val="24"/>
          <w:szCs w:val="24"/>
          <w:lang w:val="en-US"/>
        </w:rPr>
        <w:t>Personnel Resourcing and Development 2 (Proposal)</w:t>
      </w:r>
    </w:p>
    <w:p w:rsidR="006B5D4C" w:rsidRDefault="006B5D4C" w:rsidP="006B5D4C">
      <w:pPr>
        <w:spacing w:line="360" w:lineRule="auto"/>
        <w:ind w:left="360"/>
        <w:jc w:val="both"/>
        <w:rPr>
          <w:rFonts w:ascii="Arial" w:hAnsi="Arial" w:cs="Arial"/>
          <w:sz w:val="24"/>
          <w:szCs w:val="24"/>
          <w:lang w:val="en-US"/>
        </w:rPr>
      </w:pPr>
    </w:p>
    <w:p w:rsidR="006B5D4C" w:rsidRDefault="006B5D4C" w:rsidP="006B5D4C">
      <w:pPr>
        <w:spacing w:line="360" w:lineRule="auto"/>
        <w:ind w:left="360"/>
        <w:jc w:val="both"/>
        <w:rPr>
          <w:rFonts w:ascii="Arial" w:hAnsi="Arial" w:cs="Arial"/>
          <w:sz w:val="24"/>
          <w:szCs w:val="24"/>
          <w:lang w:val="en-US"/>
        </w:rPr>
      </w:pPr>
    </w:p>
    <w:p w:rsidR="0085403D" w:rsidRPr="006B5D4C" w:rsidRDefault="006B5D4C"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Student name: </w:t>
      </w:r>
      <w:proofErr w:type="spellStart"/>
      <w:r w:rsidRPr="006B5D4C">
        <w:rPr>
          <w:rFonts w:ascii="Arial" w:hAnsi="Arial" w:cs="Arial"/>
          <w:sz w:val="24"/>
          <w:szCs w:val="24"/>
          <w:lang w:val="en-US"/>
        </w:rPr>
        <w:t>Oana</w:t>
      </w:r>
      <w:proofErr w:type="spellEnd"/>
      <w:r w:rsidRPr="006B5D4C">
        <w:rPr>
          <w:rFonts w:ascii="Arial" w:hAnsi="Arial" w:cs="Arial"/>
          <w:sz w:val="24"/>
          <w:szCs w:val="24"/>
          <w:lang w:val="en-US"/>
        </w:rPr>
        <w:t xml:space="preserve"> </w:t>
      </w:r>
      <w:proofErr w:type="spellStart"/>
      <w:r w:rsidRPr="006B5D4C">
        <w:rPr>
          <w:rFonts w:ascii="Arial" w:hAnsi="Arial" w:cs="Arial"/>
          <w:sz w:val="24"/>
          <w:szCs w:val="24"/>
          <w:lang w:val="en-US"/>
        </w:rPr>
        <w:t>Akbiyik</w:t>
      </w:r>
      <w:proofErr w:type="spellEnd"/>
    </w:p>
    <w:p w:rsidR="006B5D4C" w:rsidRPr="006B5D4C" w:rsidRDefault="006B5D4C"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Module code: BMIH5005</w:t>
      </w:r>
    </w:p>
    <w:p w:rsidR="006B5D4C" w:rsidRPr="006B5D4C" w:rsidRDefault="006B5D4C"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Lecturer name: Kathryn Roberts</w:t>
      </w:r>
    </w:p>
    <w:p w:rsidR="0085403D" w:rsidRPr="006B5D4C" w:rsidRDefault="0085403D" w:rsidP="006B5D4C">
      <w:pPr>
        <w:spacing w:line="360" w:lineRule="auto"/>
        <w:ind w:left="360"/>
        <w:jc w:val="both"/>
        <w:rPr>
          <w:rFonts w:ascii="Arial" w:hAnsi="Arial" w:cs="Arial"/>
          <w:sz w:val="24"/>
          <w:szCs w:val="24"/>
          <w:lang w:val="en-US"/>
        </w:rPr>
      </w:pPr>
    </w:p>
    <w:p w:rsidR="0085403D" w:rsidRPr="006B5D4C" w:rsidRDefault="00F56A6D"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Table of content: </w:t>
      </w:r>
    </w:p>
    <w:p w:rsidR="0085403D" w:rsidRPr="006B5D4C" w:rsidRDefault="00F56A6D"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Introduction </w:t>
      </w:r>
    </w:p>
    <w:p w:rsidR="008040C4" w:rsidRPr="006B5D4C" w:rsidRDefault="008040C4" w:rsidP="006B5D4C">
      <w:pPr>
        <w:spacing w:line="360" w:lineRule="auto"/>
        <w:ind w:left="360"/>
        <w:jc w:val="both"/>
        <w:rPr>
          <w:rFonts w:ascii="Arial" w:hAnsi="Arial" w:cs="Arial"/>
          <w:sz w:val="24"/>
          <w:szCs w:val="24"/>
          <w:lang w:val="en-US"/>
        </w:rPr>
      </w:pPr>
      <w:r w:rsidRPr="006B5D4C">
        <w:rPr>
          <w:rFonts w:ascii="Arial" w:hAnsi="Arial" w:cs="Arial"/>
          <w:sz w:val="24"/>
          <w:szCs w:val="24"/>
        </w:rPr>
        <w:t>A variety of definitions of engagement</w:t>
      </w:r>
    </w:p>
    <w:p w:rsidR="0085403D" w:rsidRPr="006B5D4C" w:rsidRDefault="00F56A6D"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Complex problems with Phoenicia Hotel's Hotel Management</w:t>
      </w:r>
    </w:p>
    <w:p w:rsidR="0085403D" w:rsidRPr="006B5D4C" w:rsidRDefault="00F56A6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Objecti</w:t>
      </w:r>
      <w:r w:rsidR="0085403D" w:rsidRPr="006B5D4C">
        <w:rPr>
          <w:rFonts w:ascii="Arial" w:hAnsi="Arial" w:cs="Arial"/>
          <w:color w:val="555555"/>
          <w:sz w:val="24"/>
          <w:szCs w:val="24"/>
          <w:shd w:val="clear" w:color="auto" w:fill="FFFFFF"/>
        </w:rPr>
        <w:t>ve of the research</w:t>
      </w:r>
    </w:p>
    <w:p w:rsidR="0085403D" w:rsidRPr="006B5D4C" w:rsidRDefault="00F56A6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METHODOLOGY</w:t>
      </w:r>
    </w:p>
    <w:p w:rsidR="0085403D" w:rsidRPr="006B5D4C" w:rsidRDefault="00F56A6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Literature review</w:t>
      </w:r>
    </w:p>
    <w:p w:rsidR="0085403D" w:rsidRPr="006B5D4C" w:rsidRDefault="00F56A6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DATA ORGANIZATION AND ANALYSIS</w:t>
      </w:r>
    </w:p>
    <w:p w:rsidR="0085403D" w:rsidRPr="006B5D4C" w:rsidRDefault="00F56A6D" w:rsidP="006B5D4C">
      <w:pPr>
        <w:spacing w:line="360" w:lineRule="auto"/>
        <w:ind w:left="360"/>
        <w:jc w:val="both"/>
        <w:rPr>
          <w:rFonts w:ascii="Arial" w:hAnsi="Arial" w:cs="Arial"/>
          <w:sz w:val="24"/>
          <w:szCs w:val="24"/>
        </w:rPr>
      </w:pPr>
      <w:r w:rsidRPr="006B5D4C">
        <w:rPr>
          <w:rFonts w:ascii="Arial" w:hAnsi="Arial" w:cs="Arial"/>
          <w:sz w:val="24"/>
          <w:szCs w:val="24"/>
        </w:rPr>
        <w:t>Self-Role-Expression Approach to Engagement</w:t>
      </w:r>
    </w:p>
    <w:p w:rsidR="0085403D" w:rsidRPr="006B5D4C" w:rsidRDefault="00F56A6D" w:rsidP="006B5D4C">
      <w:pPr>
        <w:spacing w:line="360" w:lineRule="auto"/>
        <w:ind w:left="360"/>
        <w:jc w:val="both"/>
        <w:rPr>
          <w:rFonts w:ascii="Arial" w:hAnsi="Arial" w:cs="Arial"/>
          <w:sz w:val="24"/>
          <w:szCs w:val="24"/>
        </w:rPr>
      </w:pPr>
      <w:r w:rsidRPr="006B5D4C">
        <w:rPr>
          <w:rFonts w:ascii="Arial" w:hAnsi="Arial" w:cs="Arial"/>
          <w:sz w:val="24"/>
          <w:szCs w:val="24"/>
        </w:rPr>
        <w:t>Construct-Level Relationships</w:t>
      </w:r>
    </w:p>
    <w:p w:rsidR="0085403D" w:rsidRPr="006B5D4C" w:rsidRDefault="00F56A6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SUMMARY AND CONCLUSION</w:t>
      </w:r>
    </w:p>
    <w:p w:rsidR="0085403D" w:rsidRPr="006B5D4C" w:rsidRDefault="0085403D" w:rsidP="006B5D4C">
      <w:pPr>
        <w:spacing w:line="360" w:lineRule="auto"/>
        <w:ind w:left="360"/>
        <w:jc w:val="both"/>
        <w:rPr>
          <w:rFonts w:ascii="Arial" w:hAnsi="Arial" w:cs="Arial"/>
          <w:sz w:val="24"/>
          <w:szCs w:val="24"/>
        </w:rPr>
      </w:pPr>
      <w:r w:rsidRPr="006B5D4C">
        <w:rPr>
          <w:rFonts w:ascii="Arial" w:hAnsi="Arial" w:cs="Arial"/>
          <w:color w:val="555555"/>
          <w:sz w:val="24"/>
          <w:szCs w:val="24"/>
          <w:shd w:val="clear" w:color="auto" w:fill="FFFFFF"/>
        </w:rPr>
        <w:t>References</w:t>
      </w:r>
    </w:p>
    <w:p w:rsidR="00F56A6D" w:rsidRPr="006B5D4C" w:rsidRDefault="00F56A6D" w:rsidP="006B5D4C">
      <w:pPr>
        <w:spacing w:line="360" w:lineRule="auto"/>
        <w:jc w:val="both"/>
        <w:rPr>
          <w:rFonts w:ascii="Arial" w:hAnsi="Arial" w:cs="Arial"/>
          <w:sz w:val="24"/>
          <w:szCs w:val="24"/>
          <w:lang w:val="en-US"/>
        </w:rPr>
      </w:pPr>
    </w:p>
    <w:p w:rsidR="0085403D" w:rsidRPr="006B5D4C" w:rsidRDefault="0085403D" w:rsidP="006B5D4C">
      <w:pPr>
        <w:spacing w:line="360" w:lineRule="auto"/>
        <w:jc w:val="both"/>
        <w:rPr>
          <w:rFonts w:ascii="Arial" w:hAnsi="Arial" w:cs="Arial"/>
          <w:sz w:val="24"/>
          <w:szCs w:val="24"/>
          <w:lang w:val="en-US"/>
        </w:rPr>
      </w:pPr>
    </w:p>
    <w:p w:rsidR="0085403D" w:rsidRDefault="0085403D" w:rsidP="006B5D4C">
      <w:pPr>
        <w:spacing w:line="360" w:lineRule="auto"/>
        <w:jc w:val="both"/>
        <w:rPr>
          <w:rFonts w:ascii="Arial" w:hAnsi="Arial" w:cs="Arial"/>
          <w:sz w:val="24"/>
          <w:szCs w:val="24"/>
          <w:lang w:val="en-US"/>
        </w:rPr>
      </w:pPr>
    </w:p>
    <w:p w:rsidR="006B5D4C" w:rsidRPr="006B5D4C" w:rsidRDefault="006B5D4C" w:rsidP="006B5D4C">
      <w:pPr>
        <w:spacing w:line="360" w:lineRule="auto"/>
        <w:jc w:val="both"/>
        <w:rPr>
          <w:rFonts w:ascii="Arial" w:hAnsi="Arial" w:cs="Arial"/>
          <w:sz w:val="24"/>
          <w:szCs w:val="24"/>
          <w:lang w:val="en-US"/>
        </w:rPr>
      </w:pPr>
    </w:p>
    <w:p w:rsidR="00FC7173" w:rsidRPr="006B5D4C" w:rsidRDefault="00FC7173"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lastRenderedPageBreak/>
        <w:t>Introduction:</w:t>
      </w:r>
    </w:p>
    <w:p w:rsidR="00FC7173" w:rsidRPr="006B5D4C" w:rsidRDefault="00FC7173"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The Phoenicia Grand Hotel is situated in Bucharest in a prime area for those who want to discover the city while on vacation or if they are there for business. It is situated in a lovely area of the city, close to many of the top destinations for leisure or business. The Phoenicia Grand Hotel is about 3 km from the </w:t>
      </w:r>
      <w:proofErr w:type="spellStart"/>
      <w:r w:rsidRPr="006B5D4C">
        <w:rPr>
          <w:rFonts w:ascii="Arial" w:hAnsi="Arial" w:cs="Arial"/>
          <w:sz w:val="24"/>
          <w:szCs w:val="24"/>
          <w:lang w:val="en-US"/>
        </w:rPr>
        <w:t>Romexpo</w:t>
      </w:r>
      <w:proofErr w:type="spellEnd"/>
      <w:r w:rsidRPr="006B5D4C">
        <w:rPr>
          <w:rFonts w:ascii="Arial" w:hAnsi="Arial" w:cs="Arial"/>
          <w:sz w:val="24"/>
          <w:szCs w:val="24"/>
          <w:lang w:val="en-US"/>
        </w:rPr>
        <w:t xml:space="preserve"> Exhibition Center, and a short stroll will take you to the lovely </w:t>
      </w:r>
      <w:proofErr w:type="spellStart"/>
      <w:r w:rsidRPr="006B5D4C">
        <w:rPr>
          <w:rFonts w:ascii="Arial" w:hAnsi="Arial" w:cs="Arial"/>
          <w:sz w:val="24"/>
          <w:szCs w:val="24"/>
          <w:lang w:val="en-US"/>
        </w:rPr>
        <w:t>Herastrau</w:t>
      </w:r>
      <w:proofErr w:type="spellEnd"/>
      <w:r w:rsidRPr="006B5D4C">
        <w:rPr>
          <w:rFonts w:ascii="Arial" w:hAnsi="Arial" w:cs="Arial"/>
          <w:sz w:val="24"/>
          <w:szCs w:val="24"/>
          <w:lang w:val="en-US"/>
        </w:rPr>
        <w:t xml:space="preserve"> Park, a great place for running and leisurely strolls. The distance to the Henri </w:t>
      </w:r>
      <w:proofErr w:type="spellStart"/>
      <w:r w:rsidRPr="006B5D4C">
        <w:rPr>
          <w:rFonts w:ascii="Arial" w:hAnsi="Arial" w:cs="Arial"/>
          <w:sz w:val="24"/>
          <w:szCs w:val="24"/>
          <w:lang w:val="en-US"/>
        </w:rPr>
        <w:t>Coandă</w:t>
      </w:r>
      <w:proofErr w:type="spellEnd"/>
      <w:r w:rsidRPr="006B5D4C">
        <w:rPr>
          <w:rFonts w:ascii="Arial" w:hAnsi="Arial" w:cs="Arial"/>
          <w:sz w:val="24"/>
          <w:szCs w:val="24"/>
          <w:lang w:val="en-US"/>
        </w:rPr>
        <w:t xml:space="preserve"> International Airport is only ten minutes by car. </w:t>
      </w:r>
    </w:p>
    <w:p w:rsidR="00FC7173" w:rsidRPr="006B5D4C" w:rsidRDefault="00FC7173"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This hotel has 10 conference rooms that can be used for internal meetings, workshops, trainings, congresses, educational events or fairs.</w:t>
      </w:r>
    </w:p>
    <w:p w:rsidR="00FC7173" w:rsidRPr="006B5D4C" w:rsidRDefault="00FC7173"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Employee engagement:</w:t>
      </w:r>
    </w:p>
    <w:p w:rsidR="004E124D" w:rsidRPr="006B5D4C" w:rsidRDefault="004E124D"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The Gallup Organization was the first </w:t>
      </w:r>
      <w:proofErr w:type="spellStart"/>
      <w:r w:rsidRPr="006B5D4C">
        <w:rPr>
          <w:rFonts w:ascii="Arial" w:hAnsi="Arial" w:cs="Arial"/>
          <w:sz w:val="24"/>
          <w:szCs w:val="24"/>
          <w:lang w:val="en-US"/>
        </w:rPr>
        <w:t>organisation</w:t>
      </w:r>
      <w:proofErr w:type="spellEnd"/>
      <w:r w:rsidRPr="006B5D4C">
        <w:rPr>
          <w:rFonts w:ascii="Arial" w:hAnsi="Arial" w:cs="Arial"/>
          <w:sz w:val="24"/>
          <w:szCs w:val="24"/>
          <w:lang w:val="en-US"/>
        </w:rPr>
        <w:t xml:space="preserve"> to advocate for the commercial engagement notion. According to Buckin</w:t>
      </w:r>
      <w:r w:rsidR="00F0023F" w:rsidRPr="006B5D4C">
        <w:rPr>
          <w:rFonts w:ascii="Arial" w:hAnsi="Arial" w:cs="Arial"/>
          <w:sz w:val="24"/>
          <w:szCs w:val="24"/>
          <w:lang w:val="en-US"/>
        </w:rPr>
        <w:t xml:space="preserve">gham and Coffman (1999), Gallup </w:t>
      </w:r>
      <w:r w:rsidRPr="006B5D4C">
        <w:rPr>
          <w:rFonts w:ascii="Arial" w:hAnsi="Arial" w:cs="Arial"/>
          <w:sz w:val="24"/>
          <w:szCs w:val="24"/>
          <w:lang w:val="en-US"/>
        </w:rPr>
        <w:t>spent a considerable lot of time crafting the Gallup survey's questions.</w:t>
      </w:r>
    </w:p>
    <w:p w:rsidR="004E124D" w:rsidRPr="006B5D4C" w:rsidRDefault="004E124D"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Staff engagement was linked to productivity, profitability, employee retention, and customer service in a workplace audit.</w:t>
      </w:r>
      <w:r w:rsidR="00F0023F" w:rsidRPr="006B5D4C">
        <w:rPr>
          <w:rFonts w:ascii="Arial" w:hAnsi="Arial" w:cs="Arial"/>
          <w:sz w:val="24"/>
          <w:szCs w:val="24"/>
          <w:lang w:val="en-US"/>
        </w:rPr>
        <w:t xml:space="preserve"> </w:t>
      </w:r>
    </w:p>
    <w:p w:rsidR="00223EE8" w:rsidRPr="006B5D4C" w:rsidRDefault="00F0023F"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In order to increase one's sense of professional efficacy, engagement was further defined as an enthusiastic state of involvement with personally gratifying tasks. Researchers with an emphasis on job involvement (Avery, McKay, &amp; Wilson, 2007; May, Gibson, &amp; Harter, 2004; </w:t>
      </w:r>
      <w:proofErr w:type="spellStart"/>
      <w:r w:rsidRPr="006B5D4C">
        <w:rPr>
          <w:rFonts w:ascii="Arial" w:hAnsi="Arial" w:cs="Arial"/>
          <w:sz w:val="24"/>
          <w:szCs w:val="24"/>
          <w:lang w:val="en-US"/>
        </w:rPr>
        <w:t>Rothbard</w:t>
      </w:r>
      <w:proofErr w:type="spellEnd"/>
      <w:r w:rsidRPr="006B5D4C">
        <w:rPr>
          <w:rFonts w:ascii="Arial" w:hAnsi="Arial" w:cs="Arial"/>
          <w:sz w:val="24"/>
          <w:szCs w:val="24"/>
          <w:lang w:val="en-US"/>
        </w:rPr>
        <w:t>, 2001) identified engagement as how people employ and expend themselves physically, cognitively, and emotionally during role performance, following the reasoning stated by Kahn (1990, 1992).</w:t>
      </w:r>
      <w:r w:rsidR="006B5D4C" w:rsidRPr="006B5D4C">
        <w:rPr>
          <w:rFonts w:ascii="Arial" w:hAnsi="Arial" w:cs="Arial"/>
          <w:sz w:val="24"/>
          <w:szCs w:val="24"/>
          <w:lang w:val="en-US"/>
        </w:rPr>
        <w:t xml:space="preserve"> </w:t>
      </w:r>
    </w:p>
    <w:p w:rsidR="006B5D4C" w:rsidRPr="006B5D4C" w:rsidRDefault="006B5D4C"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Engagement also can be </w:t>
      </w:r>
      <w:proofErr w:type="gramStart"/>
      <w:r w:rsidRPr="006B5D4C">
        <w:rPr>
          <w:rFonts w:ascii="Arial" w:hAnsi="Arial" w:cs="Arial"/>
          <w:sz w:val="24"/>
          <w:szCs w:val="24"/>
          <w:lang w:val="en-US"/>
        </w:rPr>
        <w:t>define</w:t>
      </w:r>
      <w:proofErr w:type="gramEnd"/>
      <w:r w:rsidRPr="006B5D4C">
        <w:rPr>
          <w:rFonts w:ascii="Arial" w:hAnsi="Arial" w:cs="Arial"/>
          <w:sz w:val="24"/>
          <w:szCs w:val="24"/>
          <w:lang w:val="en-US"/>
        </w:rPr>
        <w:t xml:space="preserve"> like: </w:t>
      </w:r>
      <w:r w:rsidRPr="006B5D4C">
        <w:rPr>
          <w:rFonts w:ascii="Arial" w:hAnsi="Arial" w:cs="Arial"/>
          <w:sz w:val="24"/>
          <w:szCs w:val="24"/>
        </w:rPr>
        <w:t>“an energetic state of involvement, personally fulfilling activities that enhance one’s sense of personal efficacy” (Maslach &amp; Leiter, 2008, p. 498)</w:t>
      </w:r>
    </w:p>
    <w:p w:rsidR="00FC7173" w:rsidRPr="006B5D4C" w:rsidRDefault="00DA39E3"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Complex problems with Phoenicia Hotel's Hotel Management: </w:t>
      </w:r>
    </w:p>
    <w:p w:rsidR="00D92CC8" w:rsidRPr="006B5D4C" w:rsidRDefault="00D92CC8" w:rsidP="006B5D4C">
      <w:pPr>
        <w:spacing w:line="360" w:lineRule="auto"/>
        <w:ind w:left="360"/>
        <w:jc w:val="both"/>
        <w:rPr>
          <w:rFonts w:ascii="Arial" w:hAnsi="Arial" w:cs="Arial"/>
          <w:sz w:val="24"/>
          <w:szCs w:val="24"/>
          <w:lang w:val="en-US"/>
        </w:rPr>
      </w:pPr>
      <w:r w:rsidRPr="006B5D4C">
        <w:rPr>
          <w:rFonts w:ascii="Arial" w:hAnsi="Arial" w:cs="Arial"/>
          <w:sz w:val="24"/>
          <w:szCs w:val="24"/>
          <w:lang w:val="en-US"/>
        </w:rPr>
        <w:t xml:space="preserve">Most hotels in </w:t>
      </w:r>
      <w:proofErr w:type="gramStart"/>
      <w:r w:rsidRPr="006B5D4C">
        <w:rPr>
          <w:rFonts w:ascii="Arial" w:hAnsi="Arial" w:cs="Arial"/>
          <w:sz w:val="24"/>
          <w:szCs w:val="24"/>
          <w:lang w:val="en-US"/>
        </w:rPr>
        <w:t>Romania,</w:t>
      </w:r>
      <w:proofErr w:type="gramEnd"/>
      <w:r w:rsidRPr="006B5D4C">
        <w:rPr>
          <w:rFonts w:ascii="Arial" w:hAnsi="Arial" w:cs="Arial"/>
          <w:sz w:val="24"/>
          <w:szCs w:val="24"/>
          <w:lang w:val="en-US"/>
        </w:rPr>
        <w:t xml:space="preserve"> and even those from around the world are experiencing a staffing shortage as a result of the outbreak.</w:t>
      </w:r>
      <w:r w:rsidR="0035520D" w:rsidRPr="006B5D4C">
        <w:rPr>
          <w:rFonts w:ascii="Arial" w:hAnsi="Arial" w:cs="Arial"/>
          <w:sz w:val="24"/>
          <w:szCs w:val="24"/>
          <w:lang w:val="en-US"/>
        </w:rPr>
        <w:t xml:space="preserve"> </w:t>
      </w:r>
    </w:p>
    <w:p w:rsidR="0035520D" w:rsidRPr="006B5D4C" w:rsidRDefault="0035520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lastRenderedPageBreak/>
        <w:t>The Phoenicia Hotel called on the agency to have the neccessary staff for all the events organized within the hotel. This is a momentary , very expensive solution and therefore the management must find o solution</w:t>
      </w:r>
      <w:r w:rsidR="00FD31A7" w:rsidRPr="006B5D4C">
        <w:rPr>
          <w:rFonts w:ascii="Arial" w:hAnsi="Arial" w:cs="Arial"/>
          <w:color w:val="555555"/>
          <w:sz w:val="24"/>
          <w:szCs w:val="24"/>
          <w:shd w:val="clear" w:color="auto" w:fill="FFFFFF"/>
        </w:rPr>
        <w:t xml:space="preserve"> how to keep and motivate employees.</w:t>
      </w:r>
    </w:p>
    <w:p w:rsidR="00234FD4" w:rsidRPr="006B5D4C" w:rsidRDefault="0035520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 xml:space="preserve">Many business leaders have begun volunteering for employee engagement programmes as a result of the above positive engagement outcomes since they boost staff performance, lower staff turnover, and enhance employee well-being </w:t>
      </w:r>
      <w:r w:rsidR="00D92CC8" w:rsidRPr="006B5D4C">
        <w:rPr>
          <w:rFonts w:ascii="Arial" w:hAnsi="Arial" w:cs="Arial"/>
          <w:color w:val="555555"/>
          <w:sz w:val="24"/>
          <w:szCs w:val="24"/>
          <w:shd w:val="clear" w:color="auto" w:fill="FFFFFF"/>
        </w:rPr>
        <w:t>(Wright and Cropanzano, 2000; Taris et al., 2003; Griffith, 2004; Michie and West, 2004; Macey and Schneider, 2008b; Robinson et al., 2004; Hakanen, 2008) and helps to accomplish ultimate business goals.</w:t>
      </w:r>
      <w:r w:rsidRPr="006B5D4C">
        <w:rPr>
          <w:rFonts w:ascii="Arial" w:hAnsi="Arial" w:cs="Arial"/>
          <w:sz w:val="24"/>
          <w:szCs w:val="24"/>
        </w:rPr>
        <w:t xml:space="preserve"> </w:t>
      </w:r>
      <w:r w:rsidRPr="006B5D4C">
        <w:rPr>
          <w:rFonts w:ascii="Arial" w:hAnsi="Arial" w:cs="Arial"/>
          <w:color w:val="555555"/>
          <w:sz w:val="24"/>
          <w:szCs w:val="24"/>
          <w:shd w:val="clear" w:color="auto" w:fill="FFFFFF"/>
        </w:rPr>
        <w:t>In a globalised market for free agents, information has become an organisational commodity,</w:t>
      </w:r>
      <w:r w:rsidR="00D92CC8" w:rsidRPr="006B5D4C">
        <w:rPr>
          <w:rFonts w:ascii="Arial" w:hAnsi="Arial" w:cs="Arial"/>
          <w:color w:val="555555"/>
          <w:sz w:val="24"/>
          <w:szCs w:val="24"/>
          <w:shd w:val="clear" w:color="auto" w:fill="FFFFFF"/>
        </w:rPr>
        <w:t xml:space="preserve"> (Kroth &amp; Keeler, 2009; Pink, 2001) </w:t>
      </w:r>
      <w:r w:rsidRPr="006B5D4C">
        <w:rPr>
          <w:rFonts w:ascii="Arial" w:hAnsi="Arial" w:cs="Arial"/>
          <w:color w:val="555555"/>
          <w:sz w:val="24"/>
          <w:szCs w:val="24"/>
          <w:shd w:val="clear" w:color="auto" w:fill="FFFFFF"/>
        </w:rPr>
        <w:t xml:space="preserve">and employee engagement has emerged as the undisputed top source of sustained competitive advantage at all levels, according to modern corporations. </w:t>
      </w:r>
      <w:r w:rsidR="00D92CC8" w:rsidRPr="006B5D4C">
        <w:rPr>
          <w:rFonts w:ascii="Arial" w:hAnsi="Arial" w:cs="Arial"/>
          <w:color w:val="555555"/>
          <w:sz w:val="24"/>
          <w:szCs w:val="24"/>
          <w:shd w:val="clear" w:color="auto" w:fill="FFFFFF"/>
        </w:rPr>
        <w:t>(Schwartz, 2011</w:t>
      </w:r>
      <w:r w:rsidRPr="006B5D4C">
        <w:rPr>
          <w:rFonts w:ascii="Arial" w:hAnsi="Arial" w:cs="Arial"/>
          <w:color w:val="555555"/>
          <w:sz w:val="24"/>
          <w:szCs w:val="24"/>
          <w:shd w:val="clear" w:color="auto" w:fill="FFFFFF"/>
        </w:rPr>
        <w:t>).Therefore, increasing employee engagement is becoming a part of the ongoing evolution and the only emphasis of the firms in order to become a socially responsible corporate citizen.</w:t>
      </w:r>
    </w:p>
    <w:p w:rsidR="00223EE8" w:rsidRPr="006B5D4C" w:rsidRDefault="00223EE8"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Objective of the research</w:t>
      </w:r>
    </w:p>
    <w:p w:rsidR="00223EE8" w:rsidRPr="006B5D4C" w:rsidRDefault="00223EE8"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Human Resources Development</w:t>
      </w:r>
    </w:p>
    <w:p w:rsidR="00810432" w:rsidRPr="006B5D4C" w:rsidRDefault="00810432"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To increase the power of productivity</w:t>
      </w:r>
    </w:p>
    <w:p w:rsidR="00810432" w:rsidRPr="006B5D4C" w:rsidRDefault="00810432"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To asseas and improve the organization a work climate</w:t>
      </w:r>
    </w:p>
    <w:p w:rsidR="00223EE8" w:rsidRPr="006B5D4C" w:rsidRDefault="00223EE8"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Implications for practice</w:t>
      </w:r>
    </w:p>
    <w:p w:rsidR="002551AD" w:rsidRPr="006B5D4C" w:rsidRDefault="00234BA9" w:rsidP="006B5D4C">
      <w:pPr>
        <w:spacing w:line="360" w:lineRule="auto"/>
        <w:ind w:left="360"/>
        <w:jc w:val="both"/>
        <w:rPr>
          <w:rFonts w:ascii="Arial" w:hAnsi="Arial" w:cs="Arial"/>
          <w:color w:val="555555"/>
          <w:sz w:val="24"/>
          <w:szCs w:val="24"/>
          <w:shd w:val="clear" w:color="auto" w:fill="FFFFFF"/>
        </w:rPr>
      </w:pPr>
      <w:r>
        <w:rPr>
          <w:rFonts w:ascii="Arial" w:hAnsi="Arial" w:cs="Arial"/>
          <w:color w:val="555555"/>
          <w:sz w:val="24"/>
          <w:szCs w:val="24"/>
          <w:shd w:val="clear" w:color="auto" w:fill="FFFFFF"/>
        </w:rPr>
        <w:t>Methodology</w:t>
      </w:r>
      <w:r w:rsidR="002551AD" w:rsidRPr="006B5D4C">
        <w:rPr>
          <w:rFonts w:ascii="Arial" w:hAnsi="Arial" w:cs="Arial"/>
          <w:color w:val="555555"/>
          <w:sz w:val="24"/>
          <w:szCs w:val="24"/>
          <w:shd w:val="clear" w:color="auto" w:fill="FFFFFF"/>
        </w:rPr>
        <w:t>:</w:t>
      </w:r>
    </w:p>
    <w:p w:rsidR="002551AD" w:rsidRPr="006B5D4C" w:rsidRDefault="00FF7181" w:rsidP="006B5D4C">
      <w:pPr>
        <w:spacing w:line="360" w:lineRule="auto"/>
        <w:ind w:left="360"/>
        <w:jc w:val="both"/>
        <w:rPr>
          <w:rFonts w:ascii="Arial" w:hAnsi="Arial" w:cs="Arial"/>
          <w:color w:val="555555"/>
          <w:sz w:val="24"/>
          <w:szCs w:val="24"/>
          <w:shd w:val="clear" w:color="auto" w:fill="FFFFFF"/>
        </w:rPr>
      </w:pPr>
      <w:r w:rsidRPr="00FF7181">
        <w:rPr>
          <w:rFonts w:ascii="Arial" w:hAnsi="Arial" w:cs="Arial"/>
          <w:color w:val="555555"/>
          <w:sz w:val="24"/>
          <w:szCs w:val="24"/>
          <w:shd w:val="clear" w:color="auto" w:fill="FFFFFF"/>
        </w:rPr>
        <w:t>The integrated literature review is a method for obtaining data from several new disciplines. It is a unique form of research that results in fresh knowledge. 2005 (Torraco).</w:t>
      </w:r>
      <w:r>
        <w:rPr>
          <w:rFonts w:ascii="Arial" w:hAnsi="Arial" w:cs="Arial"/>
          <w:color w:val="555555"/>
          <w:sz w:val="24"/>
          <w:szCs w:val="24"/>
          <w:shd w:val="clear" w:color="auto" w:fill="FFFFFF"/>
        </w:rPr>
        <w:t xml:space="preserve"> </w:t>
      </w:r>
      <w:bookmarkStart w:id="0" w:name="_GoBack"/>
      <w:bookmarkEnd w:id="0"/>
      <w:r w:rsidR="002551AD" w:rsidRPr="006B5D4C">
        <w:rPr>
          <w:rFonts w:ascii="Arial" w:hAnsi="Arial" w:cs="Arial"/>
          <w:color w:val="555555"/>
          <w:sz w:val="24"/>
          <w:szCs w:val="24"/>
          <w:shd w:val="clear" w:color="auto" w:fill="FFFFFF"/>
        </w:rPr>
        <w:t>Given that employee engagement is a new term and is viewed differently in different contexts, an integrated literature evaluation is advised.</w:t>
      </w:r>
    </w:p>
    <w:p w:rsidR="006B5D4C" w:rsidRDefault="006B5D4C" w:rsidP="006B5D4C">
      <w:pPr>
        <w:spacing w:line="360" w:lineRule="auto"/>
        <w:ind w:left="360"/>
        <w:jc w:val="both"/>
        <w:rPr>
          <w:rFonts w:ascii="Arial" w:hAnsi="Arial" w:cs="Arial"/>
          <w:color w:val="555555"/>
          <w:sz w:val="24"/>
          <w:szCs w:val="24"/>
          <w:shd w:val="clear" w:color="auto" w:fill="FFFFFF"/>
        </w:rPr>
      </w:pPr>
    </w:p>
    <w:p w:rsidR="006B5D4C" w:rsidRDefault="006B5D4C" w:rsidP="006B5D4C">
      <w:pPr>
        <w:spacing w:line="360" w:lineRule="auto"/>
        <w:ind w:left="360"/>
        <w:jc w:val="both"/>
        <w:rPr>
          <w:rFonts w:ascii="Arial" w:hAnsi="Arial" w:cs="Arial"/>
          <w:color w:val="555555"/>
          <w:sz w:val="24"/>
          <w:szCs w:val="24"/>
          <w:shd w:val="clear" w:color="auto" w:fill="FFFFFF"/>
        </w:rPr>
      </w:pPr>
    </w:p>
    <w:p w:rsidR="001E1634" w:rsidRPr="006B5D4C" w:rsidRDefault="001E163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lastRenderedPageBreak/>
        <w:t xml:space="preserve">Literature review: </w:t>
      </w:r>
    </w:p>
    <w:p w:rsidR="0049242B" w:rsidRDefault="001E1634" w:rsidP="006B5D4C">
      <w:pPr>
        <w:spacing w:line="360" w:lineRule="auto"/>
        <w:ind w:left="360"/>
        <w:jc w:val="both"/>
        <w:rPr>
          <w:rFonts w:ascii="Arial" w:hAnsi="Arial" w:cs="Arial"/>
          <w:sz w:val="24"/>
          <w:szCs w:val="24"/>
        </w:rPr>
      </w:pPr>
      <w:r w:rsidRPr="006B5D4C">
        <w:rPr>
          <w:rFonts w:ascii="Arial" w:hAnsi="Arial" w:cs="Arial"/>
          <w:color w:val="555555"/>
          <w:sz w:val="24"/>
          <w:szCs w:val="24"/>
          <w:shd w:val="clear" w:color="auto" w:fill="FFFFFF"/>
        </w:rPr>
        <w:t>According to a review of the research, engagement and work-life balance are related. Workplace relationships have been demonstrated to have an effect on "meaningfulness," which is related to engagement. According to Locke and Taylor (1991), those who have positive interpersonal interactions with their coworkers find their jobs to be more meaningful. Regardless of demographic factors, management style, job design, and employee voice influence the level of engagement among employees.</w:t>
      </w:r>
      <w:r w:rsidR="0049242B" w:rsidRPr="0049242B">
        <w:t xml:space="preserve"> </w:t>
      </w:r>
      <w:r w:rsidR="0049242B" w:rsidRPr="0049242B">
        <w:rPr>
          <w:rFonts w:ascii="Arial" w:hAnsi="Arial" w:cs="Arial"/>
          <w:color w:val="555555"/>
          <w:sz w:val="24"/>
          <w:szCs w:val="24"/>
          <w:shd w:val="clear" w:color="auto" w:fill="FFFFFF"/>
        </w:rPr>
        <w:t>Two-way communication, good line management, a focus on professional growth, effective internal cooperation, a commitment to employee well-being, visible commitment by managers at all levels, and clear, accessible HR policies and practises are just a few ways to increase employee engagement in an organisation, according to HR experts consulted by the Institute for Employment Studies (IES) in 2003. These elements are comparable to those that are typically found in literature and are essential for businesses to have an interested workforce.</w:t>
      </w:r>
      <w:r w:rsidR="0049242B">
        <w:rPr>
          <w:rFonts w:ascii="Arial" w:hAnsi="Arial" w:cs="Arial"/>
          <w:color w:val="555555"/>
          <w:sz w:val="24"/>
          <w:szCs w:val="24"/>
          <w:shd w:val="clear" w:color="auto" w:fill="FFFFFF"/>
        </w:rPr>
        <w:t xml:space="preserve"> </w:t>
      </w:r>
      <w:r w:rsidR="0049242B">
        <w:rPr>
          <w:rFonts w:ascii="Arial" w:hAnsi="Arial" w:cs="Arial"/>
          <w:sz w:val="24"/>
          <w:szCs w:val="24"/>
        </w:rPr>
        <w:t>(</w:t>
      </w:r>
      <w:r w:rsidR="0049242B" w:rsidRPr="006B5D4C">
        <w:rPr>
          <w:rFonts w:ascii="Arial" w:hAnsi="Arial" w:cs="Arial"/>
          <w:color w:val="555555"/>
          <w:sz w:val="24"/>
          <w:szCs w:val="24"/>
          <w:shd w:val="clear" w:color="auto" w:fill="FFFFFF"/>
        </w:rPr>
        <w:t>W</w:t>
      </w:r>
      <w:r w:rsidR="0049242B">
        <w:rPr>
          <w:rFonts w:ascii="Arial" w:hAnsi="Arial" w:cs="Arial"/>
          <w:color w:val="555555"/>
          <w:sz w:val="24"/>
          <w:szCs w:val="24"/>
          <w:shd w:val="clear" w:color="auto" w:fill="FFFFFF"/>
        </w:rPr>
        <w:t xml:space="preserve">right, T. A., &amp; Cropanzano, R. </w:t>
      </w:r>
      <w:r w:rsidR="0049242B" w:rsidRPr="006B5D4C">
        <w:rPr>
          <w:rFonts w:ascii="Arial" w:hAnsi="Arial" w:cs="Arial"/>
          <w:color w:val="555555"/>
          <w:sz w:val="24"/>
          <w:szCs w:val="24"/>
          <w:shd w:val="clear" w:color="auto" w:fill="FFFFFF"/>
        </w:rPr>
        <w:t>2000).</w:t>
      </w:r>
    </w:p>
    <w:p w:rsidR="002551AD" w:rsidRPr="006B5D4C" w:rsidRDefault="002551A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 xml:space="preserve">DATA ORGANIZATION AND ANALYSIS: </w:t>
      </w:r>
    </w:p>
    <w:p w:rsidR="001E1634" w:rsidRPr="006B5D4C" w:rsidRDefault="002551A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Ways to better analyse</w:t>
      </w:r>
      <w:r w:rsidR="001E1634" w:rsidRPr="006B5D4C">
        <w:rPr>
          <w:rFonts w:ascii="Arial" w:hAnsi="Arial" w:cs="Arial"/>
          <w:color w:val="555555"/>
          <w:sz w:val="24"/>
          <w:szCs w:val="24"/>
          <w:shd w:val="clear" w:color="auto" w:fill="FFFFFF"/>
        </w:rPr>
        <w:t xml:space="preserve"> employee engagement results is to conduct a drivers analysis, segment the results, to combine multiple surveys into one, employees needs to feel accountable and part of the process, managers shpuld be actively involve.</w:t>
      </w:r>
    </w:p>
    <w:p w:rsidR="00810432" w:rsidRPr="006B5D4C" w:rsidRDefault="00551D9D" w:rsidP="006B5D4C">
      <w:pPr>
        <w:spacing w:line="360" w:lineRule="auto"/>
        <w:ind w:left="360"/>
        <w:jc w:val="both"/>
        <w:rPr>
          <w:rFonts w:ascii="Arial" w:hAnsi="Arial" w:cs="Arial"/>
          <w:sz w:val="24"/>
          <w:szCs w:val="24"/>
        </w:rPr>
      </w:pPr>
      <w:r w:rsidRPr="006B5D4C">
        <w:rPr>
          <w:rFonts w:ascii="Arial" w:hAnsi="Arial" w:cs="Arial"/>
          <w:sz w:val="24"/>
          <w:szCs w:val="24"/>
        </w:rPr>
        <w:t>Self-Role-Expression Approach to Engagement</w:t>
      </w:r>
    </w:p>
    <w:p w:rsidR="00551D9D" w:rsidRPr="006B5D4C" w:rsidRDefault="00FF7181" w:rsidP="006B5D4C">
      <w:pPr>
        <w:spacing w:line="360" w:lineRule="auto"/>
        <w:ind w:left="360"/>
        <w:jc w:val="both"/>
        <w:rPr>
          <w:rFonts w:ascii="Arial" w:hAnsi="Arial" w:cs="Arial"/>
          <w:sz w:val="24"/>
          <w:szCs w:val="24"/>
        </w:rPr>
      </w:pPr>
      <w:r w:rsidRPr="00FF7181">
        <w:rPr>
          <w:rFonts w:ascii="Arial" w:hAnsi="Arial" w:cs="Arial"/>
          <w:sz w:val="24"/>
          <w:szCs w:val="24"/>
        </w:rPr>
        <w:t>A self-expression-based method of engagement Using affective, cognitive, and physical expression, Kahn (1990) defined engagement as the "harnessing of the organisational members' selve</w:t>
      </w:r>
      <w:r>
        <w:rPr>
          <w:rFonts w:ascii="Arial" w:hAnsi="Arial" w:cs="Arial"/>
          <w:sz w:val="24"/>
          <w:szCs w:val="24"/>
        </w:rPr>
        <w:t>s in their job duties" (p. 694)</w:t>
      </w:r>
      <w:r w:rsidR="00551D9D" w:rsidRPr="006B5D4C">
        <w:rPr>
          <w:rFonts w:ascii="Arial" w:hAnsi="Arial" w:cs="Arial"/>
          <w:sz w:val="24"/>
          <w:szCs w:val="24"/>
        </w:rPr>
        <w:t>. Affective expressions of involvement include expressing excitement about one's job and developing an empathy for others.</w:t>
      </w:r>
      <w:r w:rsidR="002A070A" w:rsidRPr="002A070A">
        <w:t xml:space="preserve"> </w:t>
      </w:r>
      <w:r w:rsidR="002A070A" w:rsidRPr="002A070A">
        <w:rPr>
          <w:rFonts w:ascii="Arial" w:hAnsi="Arial" w:cs="Arial"/>
          <w:sz w:val="24"/>
          <w:szCs w:val="24"/>
        </w:rPr>
        <w:t>Cognitive expressions of the binding of the self in one's job role include awareness, active thinking and information monitoring, cognitively linking unrelated puzzle pieces when solving issues, inquiring and expressing real curiosity, and being concentrated and en</w:t>
      </w:r>
      <w:r w:rsidR="002A070A">
        <w:rPr>
          <w:rFonts w:ascii="Arial" w:hAnsi="Arial" w:cs="Arial"/>
          <w:sz w:val="24"/>
          <w:szCs w:val="24"/>
        </w:rPr>
        <w:t>grossed during role performance</w:t>
      </w:r>
      <w:r w:rsidR="00551D9D" w:rsidRPr="006B5D4C">
        <w:rPr>
          <w:rFonts w:ascii="Arial" w:hAnsi="Arial" w:cs="Arial"/>
          <w:sz w:val="24"/>
          <w:szCs w:val="24"/>
        </w:rPr>
        <w:t>.</w:t>
      </w:r>
      <w:r w:rsidRPr="00FF7181">
        <w:t xml:space="preserve"> </w:t>
      </w:r>
      <w:r w:rsidRPr="00FF7181">
        <w:rPr>
          <w:rFonts w:ascii="Arial" w:hAnsi="Arial" w:cs="Arial"/>
          <w:sz w:val="24"/>
          <w:szCs w:val="24"/>
        </w:rPr>
        <w:t xml:space="preserve">The last but not least kind of bodily expression is active, energetic movement. As part </w:t>
      </w:r>
      <w:r w:rsidRPr="00FF7181">
        <w:rPr>
          <w:rFonts w:ascii="Arial" w:hAnsi="Arial" w:cs="Arial"/>
          <w:sz w:val="24"/>
          <w:szCs w:val="24"/>
        </w:rPr>
        <w:lastRenderedPageBreak/>
        <w:t>of Goffman's (1961) role theory, which contends that people differ in the degree to which they are attached to their roles and that a person's performance in a role reveals how attached or detached they are, Kahn (1990) framed involvement.</w:t>
      </w:r>
      <w:r w:rsidR="00551D9D" w:rsidRPr="006B5D4C">
        <w:rPr>
          <w:rFonts w:ascii="Arial" w:hAnsi="Arial" w:cs="Arial"/>
          <w:sz w:val="24"/>
          <w:szCs w:val="24"/>
        </w:rPr>
        <w:t>. People are engaged when they experience three psychological conditions: availability, meaningfulness, and safety,  (Hackman &amp; Oldham, 1980),(Alderfer, 1972</w:t>
      </w:r>
      <w:r>
        <w:rPr>
          <w:rFonts w:ascii="Arial" w:hAnsi="Arial" w:cs="Arial"/>
          <w:sz w:val="24"/>
          <w:szCs w:val="24"/>
        </w:rPr>
        <w:t>)</w:t>
      </w:r>
      <w:r w:rsidRPr="00FF7181">
        <w:rPr>
          <w:rFonts w:ascii="Arial" w:hAnsi="Arial" w:cs="Arial"/>
          <w:sz w:val="24"/>
          <w:szCs w:val="24"/>
        </w:rPr>
        <w:t xml:space="preserve"> in accordance with a theoretical framework created by Kahn based on interpersonal/group theories and motivational theories including the existence</w:t>
      </w:r>
      <w:r>
        <w:rPr>
          <w:rFonts w:ascii="Arial" w:hAnsi="Arial" w:cs="Arial"/>
          <w:sz w:val="24"/>
          <w:szCs w:val="24"/>
        </w:rPr>
        <w:t>, relatedness</w:t>
      </w:r>
      <w:r w:rsidRPr="00FF7181">
        <w:rPr>
          <w:rFonts w:ascii="Arial" w:hAnsi="Arial" w:cs="Arial"/>
          <w:sz w:val="24"/>
          <w:szCs w:val="24"/>
        </w:rPr>
        <w:t xml:space="preserve"> and</w:t>
      </w:r>
      <w:r>
        <w:rPr>
          <w:rFonts w:ascii="Arial" w:hAnsi="Arial" w:cs="Arial"/>
          <w:sz w:val="24"/>
          <w:szCs w:val="24"/>
        </w:rPr>
        <w:t xml:space="preserve"> the job characteristics theory</w:t>
      </w:r>
      <w:r w:rsidR="00551D9D" w:rsidRPr="006B5D4C">
        <w:rPr>
          <w:rFonts w:ascii="Arial" w:hAnsi="Arial" w:cs="Arial"/>
          <w:sz w:val="24"/>
          <w:szCs w:val="24"/>
        </w:rPr>
        <w:t>. According to Kahn, engagement is a single idea that is expressed by the harmonious union of affect, cognition, and conduct.</w:t>
      </w:r>
    </w:p>
    <w:p w:rsidR="002551AD" w:rsidRPr="006B5D4C" w:rsidRDefault="00EF45FF" w:rsidP="006B5D4C">
      <w:pPr>
        <w:spacing w:line="360" w:lineRule="auto"/>
        <w:ind w:left="360"/>
        <w:jc w:val="both"/>
        <w:rPr>
          <w:rFonts w:ascii="Arial" w:hAnsi="Arial" w:cs="Arial"/>
          <w:sz w:val="24"/>
          <w:szCs w:val="24"/>
        </w:rPr>
      </w:pPr>
      <w:r w:rsidRPr="006B5D4C">
        <w:rPr>
          <w:rFonts w:ascii="Arial" w:hAnsi="Arial" w:cs="Arial"/>
          <w:sz w:val="24"/>
          <w:szCs w:val="24"/>
        </w:rPr>
        <w:t xml:space="preserve">Construct-Level Relationships: </w:t>
      </w:r>
    </w:p>
    <w:p w:rsidR="00EF45FF" w:rsidRPr="006B5D4C" w:rsidRDefault="00236032" w:rsidP="006B5D4C">
      <w:pPr>
        <w:spacing w:line="360" w:lineRule="auto"/>
        <w:ind w:left="360"/>
        <w:jc w:val="both"/>
        <w:rPr>
          <w:rFonts w:ascii="Arial" w:hAnsi="Arial" w:cs="Arial"/>
          <w:sz w:val="24"/>
          <w:szCs w:val="24"/>
          <w:shd w:val="clear" w:color="auto" w:fill="FFFFFF"/>
        </w:rPr>
      </w:pPr>
      <w:r w:rsidRPr="006B5D4C">
        <w:rPr>
          <w:rFonts w:ascii="Arial" w:hAnsi="Arial" w:cs="Arial"/>
          <w:sz w:val="24"/>
          <w:szCs w:val="24"/>
        </w:rPr>
        <w:t>Engaging people in an interactive learning process changes their perceptions of relationships and communication and increases their capacity to establish positive working relationships.</w:t>
      </w:r>
      <w:r w:rsidR="00297565" w:rsidRPr="006B5D4C">
        <w:rPr>
          <w:rFonts w:ascii="Arial" w:hAnsi="Arial" w:cs="Arial"/>
          <w:sz w:val="24"/>
          <w:szCs w:val="24"/>
        </w:rPr>
        <w:t xml:space="preserve"> Once participants have acknowledged the value of strong connections at work and have agreed to contribute to their development, they must examine their own objectives. Managers can ask the participants what is important to them, what they want to accomplish at work, and who the key individuals are that they must work with in order to achieve their goals. This aids in giving relationship-building a strategic perspective. Also, </w:t>
      </w:r>
      <w:r w:rsidR="00297565" w:rsidRPr="006B5D4C">
        <w:rPr>
          <w:rFonts w:ascii="Arial" w:hAnsi="Arial" w:cs="Arial"/>
          <w:sz w:val="24"/>
          <w:szCs w:val="24"/>
          <w:shd w:val="clear" w:color="auto" w:fill="FFFFFF"/>
        </w:rPr>
        <w:t>trust is so important for constructive work relations.</w:t>
      </w:r>
    </w:p>
    <w:p w:rsidR="001E1634" w:rsidRPr="006B5D4C" w:rsidRDefault="001E163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SUMMARY AND CONCLUSION:</w:t>
      </w:r>
    </w:p>
    <w:p w:rsidR="002551AD" w:rsidRPr="006B5D4C" w:rsidRDefault="005A5AB8" w:rsidP="006B5D4C">
      <w:pPr>
        <w:spacing w:line="360" w:lineRule="auto"/>
        <w:ind w:left="360"/>
        <w:jc w:val="both"/>
        <w:rPr>
          <w:rFonts w:ascii="Arial" w:hAnsi="Arial" w:cs="Arial"/>
          <w:sz w:val="24"/>
          <w:szCs w:val="24"/>
          <w:shd w:val="clear" w:color="auto" w:fill="FFFFFF"/>
        </w:rPr>
      </w:pPr>
      <w:r w:rsidRPr="006B5D4C">
        <w:rPr>
          <w:rFonts w:ascii="Arial" w:hAnsi="Arial" w:cs="Arial"/>
          <w:color w:val="555555"/>
          <w:sz w:val="24"/>
          <w:szCs w:val="24"/>
          <w:shd w:val="clear" w:color="auto" w:fill="FFFFFF"/>
        </w:rPr>
        <w:t>Based on the recommandation of the Hr Manager</w:t>
      </w:r>
      <w:r w:rsidRPr="006B5D4C">
        <w:rPr>
          <w:rFonts w:ascii="Arial" w:hAnsi="Arial" w:cs="Arial"/>
          <w:sz w:val="24"/>
          <w:szCs w:val="24"/>
          <w:shd w:val="clear" w:color="auto" w:fill="FFFFFF"/>
        </w:rPr>
        <w:t xml:space="preserve">, the human resources departament of the Phoenicia Hotel, should take </w:t>
      </w:r>
      <w:r w:rsidR="00F56A6D" w:rsidRPr="006B5D4C">
        <w:rPr>
          <w:rFonts w:ascii="Arial" w:hAnsi="Arial" w:cs="Arial"/>
          <w:sz w:val="24"/>
          <w:szCs w:val="24"/>
          <w:shd w:val="clear" w:color="auto" w:fill="FFFFFF"/>
        </w:rPr>
        <w:t>into account the plan for assesing employee engagement and retaining the skill staffin the bussiness operation. Literature review, construct level relathionships, data and analyses can show the real proportion of employeesretantion expectations for engagement as well as their level of satisfaction.</w:t>
      </w:r>
    </w:p>
    <w:p w:rsidR="00551D9D" w:rsidRPr="006B5D4C" w:rsidRDefault="00551D9D" w:rsidP="006B5D4C">
      <w:pPr>
        <w:spacing w:line="360" w:lineRule="auto"/>
        <w:jc w:val="both"/>
        <w:rPr>
          <w:rFonts w:ascii="Arial" w:hAnsi="Arial" w:cs="Arial"/>
          <w:sz w:val="24"/>
          <w:szCs w:val="24"/>
        </w:rPr>
      </w:pPr>
    </w:p>
    <w:p w:rsidR="00551D9D" w:rsidRDefault="00551D9D" w:rsidP="006B5D4C">
      <w:pPr>
        <w:spacing w:line="360" w:lineRule="auto"/>
        <w:jc w:val="both"/>
        <w:rPr>
          <w:rFonts w:ascii="Arial" w:hAnsi="Arial" w:cs="Arial"/>
          <w:color w:val="555555"/>
          <w:sz w:val="24"/>
          <w:szCs w:val="24"/>
          <w:shd w:val="clear" w:color="auto" w:fill="FFFFFF"/>
        </w:rPr>
      </w:pPr>
    </w:p>
    <w:p w:rsidR="006B5D4C" w:rsidRDefault="006B5D4C" w:rsidP="006B5D4C">
      <w:pPr>
        <w:spacing w:line="360" w:lineRule="auto"/>
        <w:jc w:val="both"/>
        <w:rPr>
          <w:rFonts w:ascii="Arial" w:hAnsi="Arial" w:cs="Arial"/>
          <w:color w:val="555555"/>
          <w:sz w:val="24"/>
          <w:szCs w:val="24"/>
          <w:shd w:val="clear" w:color="auto" w:fill="FFFFFF"/>
        </w:rPr>
      </w:pPr>
    </w:p>
    <w:p w:rsidR="006B5D4C" w:rsidRPr="006B5D4C" w:rsidRDefault="006B5D4C" w:rsidP="006B5D4C">
      <w:pPr>
        <w:spacing w:line="360" w:lineRule="auto"/>
        <w:jc w:val="both"/>
        <w:rPr>
          <w:rFonts w:ascii="Arial" w:hAnsi="Arial" w:cs="Arial"/>
          <w:color w:val="555555"/>
          <w:sz w:val="24"/>
          <w:szCs w:val="24"/>
          <w:shd w:val="clear" w:color="auto" w:fill="FFFFFF"/>
        </w:rPr>
      </w:pPr>
    </w:p>
    <w:p w:rsidR="00551D9D"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References:</w:t>
      </w:r>
    </w:p>
    <w:p w:rsidR="00F0023F" w:rsidRPr="006B5D4C" w:rsidRDefault="00F0023F"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sz w:val="24"/>
          <w:szCs w:val="24"/>
        </w:rPr>
        <w:t>Avery, D. R., McKay, P. F., &amp; Wilson, D. C. (2007). Engaging the aging workforce: The relationship between perceived age similarity, satisfaction with coworkers, and employee engagement. Journal of Applied Psychology, 92, 1542-1556.</w:t>
      </w:r>
    </w:p>
    <w:p w:rsidR="00EF45FF" w:rsidRPr="006B5D4C" w:rsidRDefault="00EF45FF" w:rsidP="006B5D4C">
      <w:pPr>
        <w:spacing w:line="360" w:lineRule="auto"/>
        <w:ind w:left="360"/>
        <w:jc w:val="both"/>
        <w:rPr>
          <w:rFonts w:ascii="Arial" w:hAnsi="Arial" w:cs="Arial"/>
          <w:sz w:val="24"/>
          <w:szCs w:val="24"/>
        </w:rPr>
      </w:pPr>
      <w:r w:rsidRPr="006B5D4C">
        <w:rPr>
          <w:rFonts w:ascii="Arial" w:hAnsi="Arial" w:cs="Arial"/>
          <w:sz w:val="24"/>
          <w:szCs w:val="24"/>
        </w:rPr>
        <w:t>Alderfer, C. P. (1972). Existence, relatedness, and growth: Human needs in organizational settings. New York, NY: The Free Press.</w:t>
      </w:r>
    </w:p>
    <w:p w:rsidR="00F0023F" w:rsidRPr="006B5D4C" w:rsidRDefault="00F0023F"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sz w:val="24"/>
          <w:szCs w:val="24"/>
        </w:rPr>
        <w:t>Buckingham, M., &amp; Coffman, C. (1999). First, break all the rules: What the world’s greatest managers do differently. New York: Simon &amp; Schuster</w:t>
      </w:r>
    </w:p>
    <w:p w:rsidR="00234FD4"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Griffith, J. (2004). Relation of principal transformational leadership to school staff job satisfaction, staff turnover, and school performance. Journal of Educational Administration, 42(3), 333-356.</w:t>
      </w:r>
    </w:p>
    <w:p w:rsidR="00234FD4"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Hakanen, J. J., Schaufeli, W. B., &amp; Ahola, K. (2008). The Job Demands-Resources model: A three-year cross-lagged study of burnout, depression, commitment, and work engagement. Work &amp; Stress, 22(3), 224-241.</w:t>
      </w:r>
    </w:p>
    <w:p w:rsidR="00EF45FF" w:rsidRPr="006B5D4C" w:rsidRDefault="00EF45FF"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sz w:val="24"/>
          <w:szCs w:val="24"/>
        </w:rPr>
        <w:t>Hackman, J., &amp; Oldham, G. R. (1980). Work redesign. Reading, MA: Addison Wesley.</w:t>
      </w:r>
    </w:p>
    <w:p w:rsidR="00EF45FF" w:rsidRPr="006B5D4C" w:rsidRDefault="00EF45FF"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sz w:val="24"/>
          <w:szCs w:val="24"/>
        </w:rPr>
        <w:t>Kahn, W. A. (1990). Psychological conditions of personal engagement and disengagement at work. Academy of Management Journal, 33, 692–724. http://dx.doi.org/10.2307/256287</w:t>
      </w:r>
    </w:p>
    <w:p w:rsidR="00234FD4"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Kroth, M., &amp; Keeler, C. (2009). Caring as a managerial strategy. Human Resource Development Review, 8(4), 506-531.</w:t>
      </w:r>
    </w:p>
    <w:p w:rsidR="001E1634" w:rsidRPr="006B5D4C" w:rsidRDefault="001E163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Locke, E. A., &amp; Taylor, M. S. (1991). Stress, coping, and the meaning of work.</w:t>
      </w:r>
    </w:p>
    <w:p w:rsidR="00234FD4"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Macey, W. H., &amp; Schneider, B. (2008b). Engaged in engagement: We are delighted we did it. Industrial and Organizational Psychology, 1(1), 76-83.</w:t>
      </w:r>
    </w:p>
    <w:p w:rsidR="006B5D4C" w:rsidRPr="006B5D4C" w:rsidRDefault="006B5D4C"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sz w:val="24"/>
          <w:szCs w:val="24"/>
        </w:rPr>
        <w:t>Maslach, C., &amp; Leiter, M. P. (2008). Early predictors of job burnout and engagement. Journal of Applied Psychology, 93, 498-512.</w:t>
      </w:r>
    </w:p>
    <w:p w:rsidR="00234FD4"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lastRenderedPageBreak/>
        <w:t>Michie, S., &amp; West, M. A. (2004). Managing people and performance: an evidence based framework applied to health service organizations. International journal of management reviews, 5(2), 91-111.</w:t>
      </w:r>
    </w:p>
    <w:p w:rsidR="00234FD4"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Pink, D. H. (2001). Free Agent Nation: How Americans New Independent Workers Are Transforming the Way We Live. Business Plus.</w:t>
      </w:r>
    </w:p>
    <w:p w:rsidR="00234FD4"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Robinson, D., Hooker, H., &amp; Hayday, S. (2007). Engagement: The continuing story. Institute for Employment Studies.</w:t>
      </w:r>
    </w:p>
    <w:p w:rsidR="00F0023F" w:rsidRPr="006B5D4C" w:rsidRDefault="00F0023F"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sz w:val="24"/>
          <w:szCs w:val="24"/>
        </w:rPr>
        <w:t>Rothbard, N. P. (2001). Enriching or depleting? The dynamics of engagement in work and family roles. Administrative Science Quarterly, 46, 655-684</w:t>
      </w:r>
    </w:p>
    <w:p w:rsidR="003747EC" w:rsidRPr="006B5D4C" w:rsidRDefault="003747EC"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Schwartz, T. (2011). What it takes to be a great employer. Retrieved from http://blogs .hbr.org/schwartz/2011/01/what-it-takes-to-be-a-great-em.html</w:t>
      </w:r>
    </w:p>
    <w:p w:rsidR="00810432" w:rsidRPr="006B5D4C" w:rsidRDefault="00234FD4"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Taris, T. W., Horn, J. E. V., Schaufeli, W. B., &amp; Schreurs, P. J. (2004). Inequity, burnout and psychological withdrawal among teachers: A dynamic exchange model. Anxiety, Stress &amp; Coping, 17(1), 103-122.</w:t>
      </w:r>
    </w:p>
    <w:p w:rsidR="002551AD" w:rsidRPr="006B5D4C" w:rsidRDefault="002551AD" w:rsidP="006B5D4C">
      <w:pPr>
        <w:spacing w:line="360" w:lineRule="auto"/>
        <w:ind w:left="360"/>
        <w:jc w:val="both"/>
        <w:rPr>
          <w:rFonts w:ascii="Arial" w:hAnsi="Arial" w:cs="Arial"/>
          <w:color w:val="555555"/>
          <w:sz w:val="24"/>
          <w:szCs w:val="24"/>
          <w:shd w:val="clear" w:color="auto" w:fill="FFFFFF"/>
        </w:rPr>
      </w:pPr>
      <w:r w:rsidRPr="006B5D4C">
        <w:rPr>
          <w:rFonts w:ascii="Arial" w:hAnsi="Arial" w:cs="Arial"/>
          <w:color w:val="555555"/>
          <w:sz w:val="24"/>
          <w:szCs w:val="24"/>
          <w:shd w:val="clear" w:color="auto" w:fill="FFFFFF"/>
        </w:rPr>
        <w:t>Torraco, R. J. (2005). Writing integrative literature reviews: Guidelines and examples. Human Resource Development Review, 4(3), 356-367.</w:t>
      </w:r>
    </w:p>
    <w:p w:rsidR="00234FD4" w:rsidRPr="006B5D4C" w:rsidRDefault="00234FD4" w:rsidP="006B5D4C">
      <w:pPr>
        <w:spacing w:line="360" w:lineRule="auto"/>
        <w:ind w:left="360"/>
        <w:jc w:val="both"/>
        <w:rPr>
          <w:rFonts w:ascii="Arial" w:hAnsi="Arial" w:cs="Arial"/>
          <w:sz w:val="24"/>
          <w:szCs w:val="24"/>
          <w:lang w:val="en-US"/>
        </w:rPr>
      </w:pPr>
      <w:r w:rsidRPr="006B5D4C">
        <w:rPr>
          <w:rFonts w:ascii="Arial" w:hAnsi="Arial" w:cs="Arial"/>
          <w:color w:val="555555"/>
          <w:sz w:val="24"/>
          <w:szCs w:val="24"/>
          <w:shd w:val="clear" w:color="auto" w:fill="FFFFFF"/>
        </w:rPr>
        <w:t>Wright, T. A., &amp; Cropanzano, R. (2000). Psychological well-being and job satisfaction as predictors of job performance. Journal of occupational health psychology, 5(1), 84.</w:t>
      </w:r>
    </w:p>
    <w:sectPr w:rsidR="00234FD4" w:rsidRPr="006B5D4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EE"/>
    <w:family w:val="swiss"/>
    <w:pitch w:val="variable"/>
    <w:sig w:usb0="E0002AFF" w:usb1="C0007843" w:usb2="00000009" w:usb3="00000000" w:csb0="000001FF" w:csb1="00000000"/>
  </w:font>
  <w:font w:name="Times New Roman">
    <w:panose1 w:val="02020603050405020304"/>
    <w:charset w:val="EE"/>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4D0408"/>
    <w:multiLevelType w:val="hybridMultilevel"/>
    <w:tmpl w:val="91D8B50A"/>
    <w:lvl w:ilvl="0" w:tplc="DBA865B8">
      <w:start w:val="1"/>
      <w:numFmt w:val="bullet"/>
      <w:lvlText w:val="•"/>
      <w:lvlJc w:val="left"/>
      <w:pPr>
        <w:tabs>
          <w:tab w:val="num" w:pos="720"/>
        </w:tabs>
        <w:ind w:left="720" w:hanging="360"/>
      </w:pPr>
      <w:rPr>
        <w:rFonts w:ascii="Arial" w:hAnsi="Arial" w:hint="default"/>
      </w:rPr>
    </w:lvl>
    <w:lvl w:ilvl="1" w:tplc="CEB823B6" w:tentative="1">
      <w:start w:val="1"/>
      <w:numFmt w:val="bullet"/>
      <w:lvlText w:val="•"/>
      <w:lvlJc w:val="left"/>
      <w:pPr>
        <w:tabs>
          <w:tab w:val="num" w:pos="1440"/>
        </w:tabs>
        <w:ind w:left="1440" w:hanging="360"/>
      </w:pPr>
      <w:rPr>
        <w:rFonts w:ascii="Arial" w:hAnsi="Arial" w:hint="default"/>
      </w:rPr>
    </w:lvl>
    <w:lvl w:ilvl="2" w:tplc="7480E506" w:tentative="1">
      <w:start w:val="1"/>
      <w:numFmt w:val="bullet"/>
      <w:lvlText w:val="•"/>
      <w:lvlJc w:val="left"/>
      <w:pPr>
        <w:tabs>
          <w:tab w:val="num" w:pos="2160"/>
        </w:tabs>
        <w:ind w:left="2160" w:hanging="360"/>
      </w:pPr>
      <w:rPr>
        <w:rFonts w:ascii="Arial" w:hAnsi="Arial" w:hint="default"/>
      </w:rPr>
    </w:lvl>
    <w:lvl w:ilvl="3" w:tplc="DC7E6320" w:tentative="1">
      <w:start w:val="1"/>
      <w:numFmt w:val="bullet"/>
      <w:lvlText w:val="•"/>
      <w:lvlJc w:val="left"/>
      <w:pPr>
        <w:tabs>
          <w:tab w:val="num" w:pos="2880"/>
        </w:tabs>
        <w:ind w:left="2880" w:hanging="360"/>
      </w:pPr>
      <w:rPr>
        <w:rFonts w:ascii="Arial" w:hAnsi="Arial" w:hint="default"/>
      </w:rPr>
    </w:lvl>
    <w:lvl w:ilvl="4" w:tplc="324875B4" w:tentative="1">
      <w:start w:val="1"/>
      <w:numFmt w:val="bullet"/>
      <w:lvlText w:val="•"/>
      <w:lvlJc w:val="left"/>
      <w:pPr>
        <w:tabs>
          <w:tab w:val="num" w:pos="3600"/>
        </w:tabs>
        <w:ind w:left="3600" w:hanging="360"/>
      </w:pPr>
      <w:rPr>
        <w:rFonts w:ascii="Arial" w:hAnsi="Arial" w:hint="default"/>
      </w:rPr>
    </w:lvl>
    <w:lvl w:ilvl="5" w:tplc="FDD4358A" w:tentative="1">
      <w:start w:val="1"/>
      <w:numFmt w:val="bullet"/>
      <w:lvlText w:val="•"/>
      <w:lvlJc w:val="left"/>
      <w:pPr>
        <w:tabs>
          <w:tab w:val="num" w:pos="4320"/>
        </w:tabs>
        <w:ind w:left="4320" w:hanging="360"/>
      </w:pPr>
      <w:rPr>
        <w:rFonts w:ascii="Arial" w:hAnsi="Arial" w:hint="default"/>
      </w:rPr>
    </w:lvl>
    <w:lvl w:ilvl="6" w:tplc="44328C2E" w:tentative="1">
      <w:start w:val="1"/>
      <w:numFmt w:val="bullet"/>
      <w:lvlText w:val="•"/>
      <w:lvlJc w:val="left"/>
      <w:pPr>
        <w:tabs>
          <w:tab w:val="num" w:pos="5040"/>
        </w:tabs>
        <w:ind w:left="5040" w:hanging="360"/>
      </w:pPr>
      <w:rPr>
        <w:rFonts w:ascii="Arial" w:hAnsi="Arial" w:hint="default"/>
      </w:rPr>
    </w:lvl>
    <w:lvl w:ilvl="7" w:tplc="2B66505C" w:tentative="1">
      <w:start w:val="1"/>
      <w:numFmt w:val="bullet"/>
      <w:lvlText w:val="•"/>
      <w:lvlJc w:val="left"/>
      <w:pPr>
        <w:tabs>
          <w:tab w:val="num" w:pos="5760"/>
        </w:tabs>
        <w:ind w:left="5760" w:hanging="360"/>
      </w:pPr>
      <w:rPr>
        <w:rFonts w:ascii="Arial" w:hAnsi="Arial" w:hint="default"/>
      </w:rPr>
    </w:lvl>
    <w:lvl w:ilvl="8" w:tplc="3A681982" w:tentative="1">
      <w:start w:val="1"/>
      <w:numFmt w:val="bullet"/>
      <w:lvlText w:val="•"/>
      <w:lvlJc w:val="left"/>
      <w:pPr>
        <w:tabs>
          <w:tab w:val="num" w:pos="6480"/>
        </w:tabs>
        <w:ind w:left="6480" w:hanging="360"/>
      </w:pPr>
      <w:rPr>
        <w:rFonts w:ascii="Arial" w:hAnsi="Arial" w:hint="default"/>
      </w:rPr>
    </w:lvl>
  </w:abstractNum>
  <w:abstractNum w:abstractNumId="1">
    <w:nsid w:val="209F2C81"/>
    <w:multiLevelType w:val="hybridMultilevel"/>
    <w:tmpl w:val="2E282496"/>
    <w:lvl w:ilvl="0" w:tplc="EF9E1D0C">
      <w:start w:val="1"/>
      <w:numFmt w:val="bullet"/>
      <w:lvlText w:val="•"/>
      <w:lvlJc w:val="left"/>
      <w:pPr>
        <w:tabs>
          <w:tab w:val="num" w:pos="720"/>
        </w:tabs>
        <w:ind w:left="720" w:hanging="360"/>
      </w:pPr>
      <w:rPr>
        <w:rFonts w:ascii="Arial" w:hAnsi="Arial" w:hint="default"/>
      </w:rPr>
    </w:lvl>
    <w:lvl w:ilvl="1" w:tplc="B1CC721A" w:tentative="1">
      <w:start w:val="1"/>
      <w:numFmt w:val="bullet"/>
      <w:lvlText w:val="•"/>
      <w:lvlJc w:val="left"/>
      <w:pPr>
        <w:tabs>
          <w:tab w:val="num" w:pos="1440"/>
        </w:tabs>
        <w:ind w:left="1440" w:hanging="360"/>
      </w:pPr>
      <w:rPr>
        <w:rFonts w:ascii="Arial" w:hAnsi="Arial" w:hint="default"/>
      </w:rPr>
    </w:lvl>
    <w:lvl w:ilvl="2" w:tplc="D72E9ADA" w:tentative="1">
      <w:start w:val="1"/>
      <w:numFmt w:val="bullet"/>
      <w:lvlText w:val="•"/>
      <w:lvlJc w:val="left"/>
      <w:pPr>
        <w:tabs>
          <w:tab w:val="num" w:pos="2160"/>
        </w:tabs>
        <w:ind w:left="2160" w:hanging="360"/>
      </w:pPr>
      <w:rPr>
        <w:rFonts w:ascii="Arial" w:hAnsi="Arial" w:hint="default"/>
      </w:rPr>
    </w:lvl>
    <w:lvl w:ilvl="3" w:tplc="2CA89350" w:tentative="1">
      <w:start w:val="1"/>
      <w:numFmt w:val="bullet"/>
      <w:lvlText w:val="•"/>
      <w:lvlJc w:val="left"/>
      <w:pPr>
        <w:tabs>
          <w:tab w:val="num" w:pos="2880"/>
        </w:tabs>
        <w:ind w:left="2880" w:hanging="360"/>
      </w:pPr>
      <w:rPr>
        <w:rFonts w:ascii="Arial" w:hAnsi="Arial" w:hint="default"/>
      </w:rPr>
    </w:lvl>
    <w:lvl w:ilvl="4" w:tplc="E73A2524" w:tentative="1">
      <w:start w:val="1"/>
      <w:numFmt w:val="bullet"/>
      <w:lvlText w:val="•"/>
      <w:lvlJc w:val="left"/>
      <w:pPr>
        <w:tabs>
          <w:tab w:val="num" w:pos="3600"/>
        </w:tabs>
        <w:ind w:left="3600" w:hanging="360"/>
      </w:pPr>
      <w:rPr>
        <w:rFonts w:ascii="Arial" w:hAnsi="Arial" w:hint="default"/>
      </w:rPr>
    </w:lvl>
    <w:lvl w:ilvl="5" w:tplc="47E817C6" w:tentative="1">
      <w:start w:val="1"/>
      <w:numFmt w:val="bullet"/>
      <w:lvlText w:val="•"/>
      <w:lvlJc w:val="left"/>
      <w:pPr>
        <w:tabs>
          <w:tab w:val="num" w:pos="4320"/>
        </w:tabs>
        <w:ind w:left="4320" w:hanging="360"/>
      </w:pPr>
      <w:rPr>
        <w:rFonts w:ascii="Arial" w:hAnsi="Arial" w:hint="default"/>
      </w:rPr>
    </w:lvl>
    <w:lvl w:ilvl="6" w:tplc="65527C72" w:tentative="1">
      <w:start w:val="1"/>
      <w:numFmt w:val="bullet"/>
      <w:lvlText w:val="•"/>
      <w:lvlJc w:val="left"/>
      <w:pPr>
        <w:tabs>
          <w:tab w:val="num" w:pos="5040"/>
        </w:tabs>
        <w:ind w:left="5040" w:hanging="360"/>
      </w:pPr>
      <w:rPr>
        <w:rFonts w:ascii="Arial" w:hAnsi="Arial" w:hint="default"/>
      </w:rPr>
    </w:lvl>
    <w:lvl w:ilvl="7" w:tplc="8DA09C9E" w:tentative="1">
      <w:start w:val="1"/>
      <w:numFmt w:val="bullet"/>
      <w:lvlText w:val="•"/>
      <w:lvlJc w:val="left"/>
      <w:pPr>
        <w:tabs>
          <w:tab w:val="num" w:pos="5760"/>
        </w:tabs>
        <w:ind w:left="5760" w:hanging="360"/>
      </w:pPr>
      <w:rPr>
        <w:rFonts w:ascii="Arial" w:hAnsi="Arial" w:hint="default"/>
      </w:rPr>
    </w:lvl>
    <w:lvl w:ilvl="8" w:tplc="C6368184" w:tentative="1">
      <w:start w:val="1"/>
      <w:numFmt w:val="bullet"/>
      <w:lvlText w:val="•"/>
      <w:lvlJc w:val="left"/>
      <w:pPr>
        <w:tabs>
          <w:tab w:val="num" w:pos="6480"/>
        </w:tabs>
        <w:ind w:left="6480" w:hanging="360"/>
      </w:pPr>
      <w:rPr>
        <w:rFonts w:ascii="Arial" w:hAnsi="Arial" w:hint="default"/>
      </w:rPr>
    </w:lvl>
  </w:abstractNum>
  <w:abstractNum w:abstractNumId="2">
    <w:nsid w:val="2A45591A"/>
    <w:multiLevelType w:val="hybridMultilevel"/>
    <w:tmpl w:val="1DAA76F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nsid w:val="376A0CC1"/>
    <w:multiLevelType w:val="hybridMultilevel"/>
    <w:tmpl w:val="1A54914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nsid w:val="62FA6C46"/>
    <w:multiLevelType w:val="hybridMultilevel"/>
    <w:tmpl w:val="23C48EB2"/>
    <w:lvl w:ilvl="0" w:tplc="DE5E7DCC">
      <w:start w:val="1"/>
      <w:numFmt w:val="bullet"/>
      <w:lvlText w:val="•"/>
      <w:lvlJc w:val="left"/>
      <w:pPr>
        <w:tabs>
          <w:tab w:val="num" w:pos="720"/>
        </w:tabs>
        <w:ind w:left="720" w:hanging="360"/>
      </w:pPr>
      <w:rPr>
        <w:rFonts w:ascii="Arial" w:hAnsi="Arial" w:hint="default"/>
      </w:rPr>
    </w:lvl>
    <w:lvl w:ilvl="1" w:tplc="59D6D424" w:tentative="1">
      <w:start w:val="1"/>
      <w:numFmt w:val="bullet"/>
      <w:lvlText w:val="•"/>
      <w:lvlJc w:val="left"/>
      <w:pPr>
        <w:tabs>
          <w:tab w:val="num" w:pos="1440"/>
        </w:tabs>
        <w:ind w:left="1440" w:hanging="360"/>
      </w:pPr>
      <w:rPr>
        <w:rFonts w:ascii="Arial" w:hAnsi="Arial" w:hint="default"/>
      </w:rPr>
    </w:lvl>
    <w:lvl w:ilvl="2" w:tplc="0DE68584" w:tentative="1">
      <w:start w:val="1"/>
      <w:numFmt w:val="bullet"/>
      <w:lvlText w:val="•"/>
      <w:lvlJc w:val="left"/>
      <w:pPr>
        <w:tabs>
          <w:tab w:val="num" w:pos="2160"/>
        </w:tabs>
        <w:ind w:left="2160" w:hanging="360"/>
      </w:pPr>
      <w:rPr>
        <w:rFonts w:ascii="Arial" w:hAnsi="Arial" w:hint="default"/>
      </w:rPr>
    </w:lvl>
    <w:lvl w:ilvl="3" w:tplc="A46EC38C" w:tentative="1">
      <w:start w:val="1"/>
      <w:numFmt w:val="bullet"/>
      <w:lvlText w:val="•"/>
      <w:lvlJc w:val="left"/>
      <w:pPr>
        <w:tabs>
          <w:tab w:val="num" w:pos="2880"/>
        </w:tabs>
        <w:ind w:left="2880" w:hanging="360"/>
      </w:pPr>
      <w:rPr>
        <w:rFonts w:ascii="Arial" w:hAnsi="Arial" w:hint="default"/>
      </w:rPr>
    </w:lvl>
    <w:lvl w:ilvl="4" w:tplc="4A2E27E2" w:tentative="1">
      <w:start w:val="1"/>
      <w:numFmt w:val="bullet"/>
      <w:lvlText w:val="•"/>
      <w:lvlJc w:val="left"/>
      <w:pPr>
        <w:tabs>
          <w:tab w:val="num" w:pos="3600"/>
        </w:tabs>
        <w:ind w:left="3600" w:hanging="360"/>
      </w:pPr>
      <w:rPr>
        <w:rFonts w:ascii="Arial" w:hAnsi="Arial" w:hint="default"/>
      </w:rPr>
    </w:lvl>
    <w:lvl w:ilvl="5" w:tplc="6DD05CA4" w:tentative="1">
      <w:start w:val="1"/>
      <w:numFmt w:val="bullet"/>
      <w:lvlText w:val="•"/>
      <w:lvlJc w:val="left"/>
      <w:pPr>
        <w:tabs>
          <w:tab w:val="num" w:pos="4320"/>
        </w:tabs>
        <w:ind w:left="4320" w:hanging="360"/>
      </w:pPr>
      <w:rPr>
        <w:rFonts w:ascii="Arial" w:hAnsi="Arial" w:hint="default"/>
      </w:rPr>
    </w:lvl>
    <w:lvl w:ilvl="6" w:tplc="521ED684" w:tentative="1">
      <w:start w:val="1"/>
      <w:numFmt w:val="bullet"/>
      <w:lvlText w:val="•"/>
      <w:lvlJc w:val="left"/>
      <w:pPr>
        <w:tabs>
          <w:tab w:val="num" w:pos="5040"/>
        </w:tabs>
        <w:ind w:left="5040" w:hanging="360"/>
      </w:pPr>
      <w:rPr>
        <w:rFonts w:ascii="Arial" w:hAnsi="Arial" w:hint="default"/>
      </w:rPr>
    </w:lvl>
    <w:lvl w:ilvl="7" w:tplc="0A6417A4" w:tentative="1">
      <w:start w:val="1"/>
      <w:numFmt w:val="bullet"/>
      <w:lvlText w:val="•"/>
      <w:lvlJc w:val="left"/>
      <w:pPr>
        <w:tabs>
          <w:tab w:val="num" w:pos="5760"/>
        </w:tabs>
        <w:ind w:left="5760" w:hanging="360"/>
      </w:pPr>
      <w:rPr>
        <w:rFonts w:ascii="Arial" w:hAnsi="Arial" w:hint="default"/>
      </w:rPr>
    </w:lvl>
    <w:lvl w:ilvl="8" w:tplc="3B661D44" w:tentative="1">
      <w:start w:val="1"/>
      <w:numFmt w:val="bullet"/>
      <w:lvlText w:val="•"/>
      <w:lvlJc w:val="left"/>
      <w:pPr>
        <w:tabs>
          <w:tab w:val="num" w:pos="6480"/>
        </w:tabs>
        <w:ind w:left="6480" w:hanging="360"/>
      </w:pPr>
      <w:rPr>
        <w:rFonts w:ascii="Arial" w:hAnsi="Arial" w:hint="default"/>
      </w:rPr>
    </w:lvl>
  </w:abstractNum>
  <w:abstractNum w:abstractNumId="5">
    <w:nsid w:val="6C5303F4"/>
    <w:multiLevelType w:val="multilevel"/>
    <w:tmpl w:val="B302E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5EE7CEC"/>
    <w:multiLevelType w:val="hybridMultilevel"/>
    <w:tmpl w:val="8D7C5164"/>
    <w:lvl w:ilvl="0" w:tplc="D4B6DFFE">
      <w:start w:val="1"/>
      <w:numFmt w:val="bullet"/>
      <w:lvlText w:val="•"/>
      <w:lvlJc w:val="left"/>
      <w:pPr>
        <w:tabs>
          <w:tab w:val="num" w:pos="720"/>
        </w:tabs>
        <w:ind w:left="720" w:hanging="360"/>
      </w:pPr>
      <w:rPr>
        <w:rFonts w:ascii="Arial" w:hAnsi="Arial" w:hint="default"/>
      </w:rPr>
    </w:lvl>
    <w:lvl w:ilvl="1" w:tplc="BFEA1ADA" w:tentative="1">
      <w:start w:val="1"/>
      <w:numFmt w:val="bullet"/>
      <w:lvlText w:val="•"/>
      <w:lvlJc w:val="left"/>
      <w:pPr>
        <w:tabs>
          <w:tab w:val="num" w:pos="1440"/>
        </w:tabs>
        <w:ind w:left="1440" w:hanging="360"/>
      </w:pPr>
      <w:rPr>
        <w:rFonts w:ascii="Arial" w:hAnsi="Arial" w:hint="default"/>
      </w:rPr>
    </w:lvl>
    <w:lvl w:ilvl="2" w:tplc="871A5544" w:tentative="1">
      <w:start w:val="1"/>
      <w:numFmt w:val="bullet"/>
      <w:lvlText w:val="•"/>
      <w:lvlJc w:val="left"/>
      <w:pPr>
        <w:tabs>
          <w:tab w:val="num" w:pos="2160"/>
        </w:tabs>
        <w:ind w:left="2160" w:hanging="360"/>
      </w:pPr>
      <w:rPr>
        <w:rFonts w:ascii="Arial" w:hAnsi="Arial" w:hint="default"/>
      </w:rPr>
    </w:lvl>
    <w:lvl w:ilvl="3" w:tplc="9D1A70A6" w:tentative="1">
      <w:start w:val="1"/>
      <w:numFmt w:val="bullet"/>
      <w:lvlText w:val="•"/>
      <w:lvlJc w:val="left"/>
      <w:pPr>
        <w:tabs>
          <w:tab w:val="num" w:pos="2880"/>
        </w:tabs>
        <w:ind w:left="2880" w:hanging="360"/>
      </w:pPr>
      <w:rPr>
        <w:rFonts w:ascii="Arial" w:hAnsi="Arial" w:hint="default"/>
      </w:rPr>
    </w:lvl>
    <w:lvl w:ilvl="4" w:tplc="084E04E8" w:tentative="1">
      <w:start w:val="1"/>
      <w:numFmt w:val="bullet"/>
      <w:lvlText w:val="•"/>
      <w:lvlJc w:val="left"/>
      <w:pPr>
        <w:tabs>
          <w:tab w:val="num" w:pos="3600"/>
        </w:tabs>
        <w:ind w:left="3600" w:hanging="360"/>
      </w:pPr>
      <w:rPr>
        <w:rFonts w:ascii="Arial" w:hAnsi="Arial" w:hint="default"/>
      </w:rPr>
    </w:lvl>
    <w:lvl w:ilvl="5" w:tplc="A74ED9C6" w:tentative="1">
      <w:start w:val="1"/>
      <w:numFmt w:val="bullet"/>
      <w:lvlText w:val="•"/>
      <w:lvlJc w:val="left"/>
      <w:pPr>
        <w:tabs>
          <w:tab w:val="num" w:pos="4320"/>
        </w:tabs>
        <w:ind w:left="4320" w:hanging="360"/>
      </w:pPr>
      <w:rPr>
        <w:rFonts w:ascii="Arial" w:hAnsi="Arial" w:hint="default"/>
      </w:rPr>
    </w:lvl>
    <w:lvl w:ilvl="6" w:tplc="179881BC" w:tentative="1">
      <w:start w:val="1"/>
      <w:numFmt w:val="bullet"/>
      <w:lvlText w:val="•"/>
      <w:lvlJc w:val="left"/>
      <w:pPr>
        <w:tabs>
          <w:tab w:val="num" w:pos="5040"/>
        </w:tabs>
        <w:ind w:left="5040" w:hanging="360"/>
      </w:pPr>
      <w:rPr>
        <w:rFonts w:ascii="Arial" w:hAnsi="Arial" w:hint="default"/>
      </w:rPr>
    </w:lvl>
    <w:lvl w:ilvl="7" w:tplc="6FAED7CE" w:tentative="1">
      <w:start w:val="1"/>
      <w:numFmt w:val="bullet"/>
      <w:lvlText w:val="•"/>
      <w:lvlJc w:val="left"/>
      <w:pPr>
        <w:tabs>
          <w:tab w:val="num" w:pos="5760"/>
        </w:tabs>
        <w:ind w:left="5760" w:hanging="360"/>
      </w:pPr>
      <w:rPr>
        <w:rFonts w:ascii="Arial" w:hAnsi="Arial" w:hint="default"/>
      </w:rPr>
    </w:lvl>
    <w:lvl w:ilvl="8" w:tplc="7C88EB44"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4"/>
  </w:num>
  <w:num w:numId="3">
    <w:abstractNumId w:val="0"/>
  </w:num>
  <w:num w:numId="4">
    <w:abstractNumId w:val="1"/>
  </w:num>
  <w:num w:numId="5">
    <w:abstractNumId w:val="5"/>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4491"/>
    <w:rsid w:val="00003334"/>
    <w:rsid w:val="001E1634"/>
    <w:rsid w:val="00223EE8"/>
    <w:rsid w:val="00234BA9"/>
    <w:rsid w:val="00234FD4"/>
    <w:rsid w:val="00236032"/>
    <w:rsid w:val="002551AD"/>
    <w:rsid w:val="00297565"/>
    <w:rsid w:val="002A070A"/>
    <w:rsid w:val="002F43BD"/>
    <w:rsid w:val="0035520D"/>
    <w:rsid w:val="003747EC"/>
    <w:rsid w:val="0049242B"/>
    <w:rsid w:val="004E124D"/>
    <w:rsid w:val="00551D9D"/>
    <w:rsid w:val="00594491"/>
    <w:rsid w:val="005A5AB8"/>
    <w:rsid w:val="006B5D4C"/>
    <w:rsid w:val="008040C4"/>
    <w:rsid w:val="00810432"/>
    <w:rsid w:val="0085403D"/>
    <w:rsid w:val="00D92CC8"/>
    <w:rsid w:val="00DA39E3"/>
    <w:rsid w:val="00EF45FF"/>
    <w:rsid w:val="00F0023F"/>
    <w:rsid w:val="00F56A6D"/>
    <w:rsid w:val="00FC7173"/>
    <w:rsid w:val="00FD31A7"/>
    <w:rsid w:val="00FF718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7173"/>
    <w:pPr>
      <w:spacing w:after="0" w:line="240" w:lineRule="auto"/>
      <w:ind w:left="720"/>
      <w:contextualSpacing/>
    </w:pPr>
    <w:rPr>
      <w:rFonts w:ascii="Times New Roman" w:eastAsia="Times New Roman" w:hAnsi="Times New Roman" w:cs="Times New Roman"/>
      <w:sz w:val="24"/>
      <w:szCs w:val="24"/>
      <w:lang w:eastAsia="ro-RO"/>
    </w:rPr>
  </w:style>
  <w:style w:type="character" w:styleId="Hyperlink">
    <w:name w:val="Hyperlink"/>
    <w:basedOn w:val="DefaultParagraphFont"/>
    <w:uiPriority w:val="99"/>
    <w:semiHidden/>
    <w:unhideWhenUsed/>
    <w:rsid w:val="00810432"/>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7173"/>
    <w:pPr>
      <w:spacing w:after="0" w:line="240" w:lineRule="auto"/>
      <w:ind w:left="720"/>
      <w:contextualSpacing/>
    </w:pPr>
    <w:rPr>
      <w:rFonts w:ascii="Times New Roman" w:eastAsia="Times New Roman" w:hAnsi="Times New Roman" w:cs="Times New Roman"/>
      <w:sz w:val="24"/>
      <w:szCs w:val="24"/>
      <w:lang w:eastAsia="ro-RO"/>
    </w:rPr>
  </w:style>
  <w:style w:type="character" w:styleId="Hyperlink">
    <w:name w:val="Hyperlink"/>
    <w:basedOn w:val="DefaultParagraphFont"/>
    <w:uiPriority w:val="99"/>
    <w:semiHidden/>
    <w:unhideWhenUsed/>
    <w:rsid w:val="0081043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194906">
      <w:bodyDiv w:val="1"/>
      <w:marLeft w:val="0"/>
      <w:marRight w:val="0"/>
      <w:marTop w:val="0"/>
      <w:marBottom w:val="0"/>
      <w:divBdr>
        <w:top w:val="none" w:sz="0" w:space="0" w:color="auto"/>
        <w:left w:val="none" w:sz="0" w:space="0" w:color="auto"/>
        <w:bottom w:val="none" w:sz="0" w:space="0" w:color="auto"/>
        <w:right w:val="none" w:sz="0" w:space="0" w:color="auto"/>
      </w:divBdr>
      <w:divsChild>
        <w:div w:id="1592809181">
          <w:marLeft w:val="446"/>
          <w:marRight w:val="0"/>
          <w:marTop w:val="96"/>
          <w:marBottom w:val="120"/>
          <w:divBdr>
            <w:top w:val="none" w:sz="0" w:space="0" w:color="auto"/>
            <w:left w:val="none" w:sz="0" w:space="0" w:color="auto"/>
            <w:bottom w:val="none" w:sz="0" w:space="0" w:color="auto"/>
            <w:right w:val="none" w:sz="0" w:space="0" w:color="auto"/>
          </w:divBdr>
        </w:div>
      </w:divsChild>
    </w:div>
    <w:div w:id="273948072">
      <w:bodyDiv w:val="1"/>
      <w:marLeft w:val="0"/>
      <w:marRight w:val="0"/>
      <w:marTop w:val="0"/>
      <w:marBottom w:val="0"/>
      <w:divBdr>
        <w:top w:val="none" w:sz="0" w:space="0" w:color="auto"/>
        <w:left w:val="none" w:sz="0" w:space="0" w:color="auto"/>
        <w:bottom w:val="none" w:sz="0" w:space="0" w:color="auto"/>
        <w:right w:val="none" w:sz="0" w:space="0" w:color="auto"/>
      </w:divBdr>
    </w:div>
    <w:div w:id="384566126">
      <w:bodyDiv w:val="1"/>
      <w:marLeft w:val="0"/>
      <w:marRight w:val="0"/>
      <w:marTop w:val="0"/>
      <w:marBottom w:val="0"/>
      <w:divBdr>
        <w:top w:val="none" w:sz="0" w:space="0" w:color="auto"/>
        <w:left w:val="none" w:sz="0" w:space="0" w:color="auto"/>
        <w:bottom w:val="none" w:sz="0" w:space="0" w:color="auto"/>
        <w:right w:val="none" w:sz="0" w:space="0" w:color="auto"/>
      </w:divBdr>
      <w:divsChild>
        <w:div w:id="1223365684">
          <w:marLeft w:val="446"/>
          <w:marRight w:val="0"/>
          <w:marTop w:val="77"/>
          <w:marBottom w:val="120"/>
          <w:divBdr>
            <w:top w:val="none" w:sz="0" w:space="0" w:color="auto"/>
            <w:left w:val="none" w:sz="0" w:space="0" w:color="auto"/>
            <w:bottom w:val="none" w:sz="0" w:space="0" w:color="auto"/>
            <w:right w:val="none" w:sz="0" w:space="0" w:color="auto"/>
          </w:divBdr>
        </w:div>
        <w:div w:id="1970431464">
          <w:marLeft w:val="446"/>
          <w:marRight w:val="0"/>
          <w:marTop w:val="77"/>
          <w:marBottom w:val="120"/>
          <w:divBdr>
            <w:top w:val="none" w:sz="0" w:space="0" w:color="auto"/>
            <w:left w:val="none" w:sz="0" w:space="0" w:color="auto"/>
            <w:bottom w:val="none" w:sz="0" w:space="0" w:color="auto"/>
            <w:right w:val="none" w:sz="0" w:space="0" w:color="auto"/>
          </w:divBdr>
        </w:div>
      </w:divsChild>
    </w:div>
    <w:div w:id="1063794809">
      <w:bodyDiv w:val="1"/>
      <w:marLeft w:val="0"/>
      <w:marRight w:val="0"/>
      <w:marTop w:val="0"/>
      <w:marBottom w:val="0"/>
      <w:divBdr>
        <w:top w:val="none" w:sz="0" w:space="0" w:color="auto"/>
        <w:left w:val="none" w:sz="0" w:space="0" w:color="auto"/>
        <w:bottom w:val="none" w:sz="0" w:space="0" w:color="auto"/>
        <w:right w:val="none" w:sz="0" w:space="0" w:color="auto"/>
      </w:divBdr>
      <w:divsChild>
        <w:div w:id="293216400">
          <w:marLeft w:val="446"/>
          <w:marRight w:val="0"/>
          <w:marTop w:val="91"/>
          <w:marBottom w:val="120"/>
          <w:divBdr>
            <w:top w:val="none" w:sz="0" w:space="0" w:color="auto"/>
            <w:left w:val="none" w:sz="0" w:space="0" w:color="auto"/>
            <w:bottom w:val="none" w:sz="0" w:space="0" w:color="auto"/>
            <w:right w:val="none" w:sz="0" w:space="0" w:color="auto"/>
          </w:divBdr>
        </w:div>
      </w:divsChild>
    </w:div>
    <w:div w:id="1270891629">
      <w:bodyDiv w:val="1"/>
      <w:marLeft w:val="0"/>
      <w:marRight w:val="0"/>
      <w:marTop w:val="0"/>
      <w:marBottom w:val="0"/>
      <w:divBdr>
        <w:top w:val="none" w:sz="0" w:space="0" w:color="auto"/>
        <w:left w:val="none" w:sz="0" w:space="0" w:color="auto"/>
        <w:bottom w:val="none" w:sz="0" w:space="0" w:color="auto"/>
        <w:right w:val="none" w:sz="0" w:space="0" w:color="auto"/>
      </w:divBdr>
      <w:divsChild>
        <w:div w:id="550655487">
          <w:marLeft w:val="446"/>
          <w:marRight w:val="0"/>
          <w:marTop w:val="91"/>
          <w:marBottom w:val="120"/>
          <w:divBdr>
            <w:top w:val="none" w:sz="0" w:space="0" w:color="auto"/>
            <w:left w:val="none" w:sz="0" w:space="0" w:color="auto"/>
            <w:bottom w:val="none" w:sz="0" w:space="0" w:color="auto"/>
            <w:right w:val="none" w:sz="0" w:space="0" w:color="auto"/>
          </w:divBdr>
        </w:div>
      </w:divsChild>
    </w:div>
    <w:div w:id="1621767153">
      <w:bodyDiv w:val="1"/>
      <w:marLeft w:val="0"/>
      <w:marRight w:val="0"/>
      <w:marTop w:val="0"/>
      <w:marBottom w:val="0"/>
      <w:divBdr>
        <w:top w:val="none" w:sz="0" w:space="0" w:color="auto"/>
        <w:left w:val="none" w:sz="0" w:space="0" w:color="auto"/>
        <w:bottom w:val="none" w:sz="0" w:space="0" w:color="auto"/>
        <w:right w:val="none" w:sz="0" w:space="0" w:color="auto"/>
      </w:divBdr>
    </w:div>
    <w:div w:id="1663005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293</TotalTime>
  <Pages>7</Pages>
  <Words>1605</Words>
  <Characters>9314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Veronique</dc:creator>
  <cp:lastModifiedBy>Veronique</cp:lastModifiedBy>
  <cp:revision>6</cp:revision>
  <dcterms:created xsi:type="dcterms:W3CDTF">2022-11-04T10:44:00Z</dcterms:created>
  <dcterms:modified xsi:type="dcterms:W3CDTF">2022-11-04T17:47:00Z</dcterms:modified>
</cp:coreProperties>
</file>