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Calibri" w:hAnsi="Calibri" w:cs="Calibri"/>
          <w:b/>
          <w:bCs/>
          <w:sz w:val="48"/>
          <w:szCs w:val="48"/>
        </w:rPr>
      </w:pPr>
      <w:bookmarkStart w:id="0" w:name="_Hlk97815378"/>
      <w:bookmarkEnd w:id="0"/>
      <w:r>
        <w:rPr>
          <w:rFonts w:ascii="Calibri" w:hAnsi="Calibri" w:cs="Calibri"/>
          <w:b/>
          <w:bCs/>
          <w:sz w:val="48"/>
          <w:szCs w:val="48"/>
        </w:rPr>
        <w:drawing>
          <wp:inline distT="0" distB="0" distL="0" distR="0">
            <wp:extent cx="5633085" cy="2212975"/>
            <wp:effectExtent l="0" t="0" r="5715" b="1206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rPr>
          <w:rFonts w:ascii="Calibri" w:hAnsi="Calibri" w:cs="Calibri"/>
          <w:b/>
          <w:bCs/>
          <w:sz w:val="48"/>
          <w:szCs w:val="48"/>
        </w:rPr>
      </w:pPr>
    </w:p>
    <w:p>
      <w:pPr>
        <w:spacing w:line="360" w:lineRule="auto"/>
        <w:jc w:val="center"/>
        <w:rPr>
          <w:rFonts w:hint="default" w:ascii="Times New Roman" w:hAnsi="Times New Roman" w:eastAsiaTheme="minorEastAsia"/>
          <w:b/>
          <w:bCs/>
          <w:i w:val="0"/>
          <w:sz w:val="36"/>
          <w:szCs w:val="36"/>
          <w:lang w:val="en-US" w:eastAsia="zh-CN"/>
        </w:rPr>
      </w:pPr>
      <w:r>
        <w:rPr>
          <w:rFonts w:hint="default" w:ascii="Times New Roman" w:hAnsi="Times New Roman" w:eastAsiaTheme="minorEastAsia"/>
          <w:b/>
          <w:bCs/>
          <w:i w:val="0"/>
          <w:sz w:val="36"/>
          <w:szCs w:val="36"/>
          <w:lang w:val="en-US" w:eastAsia="zh-CN"/>
        </w:rPr>
        <w:t>Analysis of Marriott Hotel</w:t>
      </w:r>
    </w:p>
    <w:p>
      <w:pPr>
        <w:spacing w:line="360" w:lineRule="auto"/>
        <w:jc w:val="both"/>
        <w:rPr>
          <w:rFonts w:ascii="Times New Roman" w:hAnsi="Times New Roman"/>
          <w:i w:val="0"/>
          <w:sz w:val="24"/>
          <w:szCs w:val="24"/>
        </w:rPr>
      </w:pPr>
    </w:p>
    <w:p>
      <w:pPr>
        <w:spacing w:line="360" w:lineRule="auto"/>
        <w:jc w:val="center"/>
        <w:rPr>
          <w:rFonts w:hint="eastAsia" w:ascii="Times New Roman" w:hAnsi="Times New Roman"/>
          <w:b/>
          <w:bCs/>
          <w:i w:val="0"/>
          <w:sz w:val="36"/>
          <w:szCs w:val="36"/>
        </w:rPr>
      </w:pPr>
      <w:r>
        <w:rPr>
          <w:rFonts w:hint="eastAsia" w:ascii="Times New Roman" w:hAnsi="Times New Roman"/>
          <w:b/>
          <w:bCs/>
          <w:i w:val="0"/>
          <w:sz w:val="36"/>
          <w:szCs w:val="36"/>
        </w:rPr>
        <w:t>Strategic Marketing (BMBM6016)</w:t>
      </w:r>
    </w:p>
    <w:p>
      <w:pPr>
        <w:spacing w:line="360" w:lineRule="auto"/>
        <w:ind w:firstLine="2530" w:firstLineChars="700"/>
        <w:jc w:val="both"/>
        <w:rPr>
          <w:rFonts w:hint="default" w:ascii="Times New Roman" w:hAnsi="Times New Roman"/>
          <w:i w:val="0"/>
          <w:sz w:val="24"/>
          <w:szCs w:val="24"/>
          <w:lang w:val="en-US"/>
        </w:rPr>
      </w:pPr>
      <w:r>
        <w:rPr>
          <w:rFonts w:hint="eastAsia" w:ascii="Times New Roman" w:hAnsi="Times New Roman" w:eastAsia="宋体" w:cs="Times New Roman"/>
          <w:b/>
          <w:bCs/>
          <w:i w:val="0"/>
          <w:iCs/>
          <w:sz w:val="36"/>
          <w:szCs w:val="36"/>
          <w:lang w:val="en-US" w:eastAsia="zh-CN"/>
        </w:rPr>
        <w:t>Huang junjie 2100359</w:t>
      </w:r>
    </w:p>
    <w:p>
      <w:pPr>
        <w:spacing w:line="360" w:lineRule="auto"/>
        <w:jc w:val="center"/>
        <w:rPr>
          <w:rFonts w:hint="eastAsia" w:ascii="Times New Roman" w:hAnsi="Times New Roman"/>
          <w:b/>
          <w:bCs/>
          <w:i w:val="0"/>
          <w:sz w:val="36"/>
          <w:szCs w:val="36"/>
        </w:rPr>
      </w:pPr>
      <w:r>
        <w:rPr>
          <w:rFonts w:hint="eastAsia" w:ascii="Times New Roman" w:hAnsi="Times New Roman"/>
          <w:b/>
          <w:bCs/>
          <w:i w:val="0"/>
          <w:sz w:val="36"/>
          <w:szCs w:val="36"/>
        </w:rPr>
        <w:t>Lisa Knight</w:t>
      </w:r>
    </w:p>
    <w:p>
      <w:pPr>
        <w:spacing w:line="360" w:lineRule="auto"/>
        <w:jc w:val="center"/>
        <w:rPr>
          <w:rFonts w:hint="eastAsia" w:ascii="Times New Roman" w:hAnsi="Times New Roman"/>
          <w:b/>
          <w:bCs/>
          <w:i w:val="0"/>
          <w:sz w:val="36"/>
          <w:szCs w:val="36"/>
        </w:rPr>
      </w:pPr>
    </w:p>
    <w:p>
      <w:pPr>
        <w:spacing w:line="360" w:lineRule="auto"/>
        <w:jc w:val="center"/>
        <w:rPr>
          <w:rFonts w:hint="eastAsia" w:ascii="Times New Roman" w:hAnsi="Times New Roman"/>
          <w:b/>
          <w:bCs/>
          <w:i w:val="0"/>
          <w:sz w:val="36"/>
          <w:szCs w:val="36"/>
        </w:rPr>
      </w:pPr>
    </w:p>
    <w:p>
      <w:pPr>
        <w:spacing w:line="360" w:lineRule="auto"/>
        <w:jc w:val="center"/>
        <w:rPr>
          <w:rFonts w:hint="eastAsia" w:ascii="Times New Roman" w:hAnsi="Times New Roman"/>
          <w:b/>
          <w:bCs/>
          <w:i w:val="0"/>
          <w:sz w:val="36"/>
          <w:szCs w:val="36"/>
        </w:rPr>
      </w:pPr>
    </w:p>
    <w:p>
      <w:pPr>
        <w:spacing w:line="360" w:lineRule="auto"/>
        <w:jc w:val="center"/>
        <w:rPr>
          <w:rFonts w:hint="eastAsia" w:ascii="Times New Roman" w:hAnsi="Times New Roman"/>
          <w:b/>
          <w:bCs/>
          <w:i w:val="0"/>
          <w:sz w:val="36"/>
          <w:szCs w:val="36"/>
        </w:rPr>
      </w:pPr>
    </w:p>
    <w:p>
      <w:pPr>
        <w:spacing w:line="360" w:lineRule="auto"/>
        <w:jc w:val="center"/>
        <w:rPr>
          <w:rFonts w:hint="eastAsia" w:ascii="Times New Roman" w:hAnsi="Times New Roman"/>
          <w:b/>
          <w:bCs/>
          <w:i w:val="0"/>
          <w:sz w:val="36"/>
          <w:szCs w:val="36"/>
        </w:rPr>
      </w:pPr>
    </w:p>
    <w:p>
      <w:pPr>
        <w:spacing w:line="360" w:lineRule="auto"/>
        <w:jc w:val="center"/>
        <w:rPr>
          <w:rFonts w:hint="eastAsia" w:ascii="Times New Roman" w:hAnsi="Times New Roman"/>
          <w:b/>
          <w:bCs/>
          <w:i w:val="0"/>
          <w:sz w:val="36"/>
          <w:szCs w:val="36"/>
        </w:rPr>
      </w:pPr>
    </w:p>
    <w:p>
      <w:pPr>
        <w:spacing w:line="360" w:lineRule="auto"/>
        <w:jc w:val="center"/>
        <w:rPr>
          <w:rFonts w:hint="eastAsia" w:ascii="Times New Roman" w:hAnsi="Times New Roman"/>
          <w:b/>
          <w:bCs/>
          <w:i w:val="0"/>
          <w:sz w:val="36"/>
          <w:szCs w:val="36"/>
        </w:rPr>
      </w:pPr>
    </w:p>
    <w:p>
      <w:pPr>
        <w:spacing w:line="360" w:lineRule="auto"/>
        <w:jc w:val="center"/>
        <w:rPr>
          <w:rFonts w:hint="eastAsia" w:ascii="Times New Roman" w:hAnsi="Times New Roman"/>
          <w:b/>
          <w:bCs/>
          <w:i w:val="0"/>
          <w:sz w:val="36"/>
          <w:szCs w:val="36"/>
        </w:rPr>
      </w:pPr>
    </w:p>
    <w:p>
      <w:pPr>
        <w:spacing w:line="360" w:lineRule="auto"/>
        <w:jc w:val="center"/>
        <w:rPr>
          <w:rFonts w:hint="eastAsia" w:ascii="Times New Roman" w:hAnsi="Times New Roman"/>
          <w:b/>
          <w:bCs/>
          <w:i w:val="0"/>
          <w:sz w:val="36"/>
          <w:szCs w:val="36"/>
        </w:rPr>
      </w:pPr>
    </w:p>
    <w:p>
      <w:pPr>
        <w:spacing w:line="360" w:lineRule="auto"/>
        <w:jc w:val="center"/>
        <w:rPr>
          <w:rFonts w:hint="eastAsia" w:ascii="Times New Roman" w:hAnsi="Times New Roman"/>
          <w:b/>
          <w:bCs/>
          <w:i w:val="0"/>
          <w:sz w:val="36"/>
          <w:szCs w:val="36"/>
        </w:rPr>
      </w:pPr>
    </w:p>
    <w:p>
      <w:pPr>
        <w:spacing w:after="312" w:afterLines="100" w:line="360" w:lineRule="auto"/>
        <w:jc w:val="center"/>
        <w:rPr>
          <w:rFonts w:ascii="Times New Roman" w:hAnsi="Times New Roman" w:cs="Times New Roman"/>
          <w:sz w:val="24"/>
        </w:rPr>
      </w:pPr>
    </w:p>
    <w:p>
      <w:pPr>
        <w:spacing w:after="312" w:afterLines="100" w:line="360" w:lineRule="auto"/>
        <w:jc w:val="center"/>
        <w:rPr>
          <w:rFonts w:ascii="Times New Roman" w:hAnsi="Times New Roman" w:cs="Times New Roman"/>
          <w:sz w:val="24"/>
        </w:rPr>
      </w:pPr>
    </w:p>
    <w:p>
      <w:pPr>
        <w:spacing w:after="312" w:afterLines="100" w:line="360" w:lineRule="auto"/>
        <w:jc w:val="center"/>
        <w:rPr>
          <w:rFonts w:ascii="Times New Roman" w:hAnsi="Times New Roman" w:cs="Times New Roman"/>
          <w:sz w:val="24"/>
        </w:rPr>
      </w:pPr>
    </w:p>
    <w:p>
      <w:pPr>
        <w:spacing w:after="312" w:afterLines="100" w:line="360" w:lineRule="auto"/>
        <w:jc w:val="center"/>
        <w:rPr>
          <w:rFonts w:ascii="Times New Roman" w:hAnsi="Times New Roman" w:cs="Times New Roman"/>
          <w:sz w:val="24"/>
        </w:rPr>
      </w:pPr>
    </w:p>
    <w:p>
      <w:pPr>
        <w:spacing w:after="312" w:afterLines="100" w:line="360" w:lineRule="auto"/>
        <w:jc w:val="center"/>
        <w:rPr>
          <w:rFonts w:ascii="Times New Roman" w:hAnsi="Times New Roman" w:cs="Times New Roman"/>
          <w:b/>
          <w:bCs/>
          <w:sz w:val="28"/>
          <w:szCs w:val="28"/>
        </w:rPr>
      </w:pPr>
      <w:r>
        <w:rPr>
          <w:rFonts w:ascii="Times New Roman" w:hAnsi="Times New Roman" w:cs="Times New Roman"/>
          <w:b/>
          <w:bCs/>
          <w:sz w:val="28"/>
          <w:szCs w:val="28"/>
        </w:rPr>
        <w:t>Module Code: BMBM6016</w:t>
      </w:r>
    </w:p>
    <w:p>
      <w:pPr>
        <w:spacing w:after="312" w:afterLines="100" w:line="360" w:lineRule="auto"/>
        <w:jc w:val="center"/>
        <w:rPr>
          <w:rFonts w:hint="default" w:ascii="Times New Roman" w:hAnsi="Times New Roman" w:cs="Times New Roman" w:eastAsiaTheme="minorEastAsia"/>
          <w:b/>
          <w:bCs/>
          <w:sz w:val="28"/>
          <w:szCs w:val="28"/>
          <w:lang w:val="en-US" w:eastAsia="zh-CN"/>
        </w:rPr>
      </w:pPr>
      <w:r>
        <w:rPr>
          <w:rFonts w:ascii="Times New Roman" w:hAnsi="Times New Roman" w:cs="Times New Roman"/>
          <w:b/>
          <w:bCs/>
          <w:sz w:val="28"/>
          <w:szCs w:val="28"/>
        </w:rPr>
        <w:t>Student Name:</w:t>
      </w:r>
      <w:r>
        <w:rPr>
          <w:rFonts w:hint="eastAsia" w:ascii="Times New Roman" w:hAnsi="Times New Roman" w:cs="Times New Roman"/>
          <w:b/>
          <w:bCs/>
          <w:sz w:val="28"/>
          <w:szCs w:val="28"/>
          <w:lang w:val="en-US" w:eastAsia="zh-CN"/>
        </w:rPr>
        <w:t>Huang junjie</w:t>
      </w:r>
    </w:p>
    <w:p>
      <w:pPr>
        <w:spacing w:after="312" w:afterLines="100" w:line="360" w:lineRule="auto"/>
        <w:jc w:val="center"/>
        <w:rPr>
          <w:rFonts w:hint="default" w:ascii="Times New Roman" w:hAnsi="Times New Roman" w:cs="Times New Roman" w:eastAsiaTheme="minorEastAsia"/>
          <w:b/>
          <w:bCs/>
          <w:sz w:val="28"/>
          <w:szCs w:val="28"/>
          <w:lang w:val="en-US" w:eastAsia="zh-CN"/>
        </w:rPr>
      </w:pPr>
      <w:r>
        <w:rPr>
          <w:rFonts w:ascii="Times New Roman" w:hAnsi="Times New Roman" w:cs="Times New Roman"/>
          <w:b/>
          <w:bCs/>
          <w:sz w:val="28"/>
          <w:szCs w:val="28"/>
        </w:rPr>
        <w:t>Student ID:</w:t>
      </w:r>
      <w:r>
        <w:rPr>
          <w:rFonts w:hint="eastAsia" w:ascii="Times New Roman" w:hAnsi="Times New Roman" w:cs="Times New Roman"/>
          <w:b/>
          <w:bCs/>
          <w:sz w:val="28"/>
          <w:szCs w:val="28"/>
          <w:lang w:val="en-US" w:eastAsia="zh-CN"/>
        </w:rPr>
        <w:t>2100359</w:t>
      </w:r>
    </w:p>
    <w:p>
      <w:pPr>
        <w:spacing w:after="312" w:afterLines="100" w:line="360" w:lineRule="auto"/>
        <w:jc w:val="center"/>
        <w:rPr>
          <w:rFonts w:hint="eastAsia" w:ascii="Times New Roman" w:hAnsi="Times New Roman" w:cs="Times New Roman" w:eastAsiaTheme="minorEastAsia"/>
          <w:b/>
          <w:bCs/>
          <w:sz w:val="28"/>
          <w:szCs w:val="28"/>
          <w:lang w:val="en-US" w:eastAsia="zh-CN"/>
        </w:rPr>
      </w:pPr>
      <w:r>
        <w:rPr>
          <w:rFonts w:ascii="Times New Roman" w:hAnsi="Times New Roman" w:cs="Times New Roman"/>
          <w:b/>
          <w:bCs/>
          <w:sz w:val="28"/>
          <w:szCs w:val="28"/>
        </w:rPr>
        <w:t>Lecturer Name:</w:t>
      </w:r>
      <w:r>
        <w:rPr>
          <w:rFonts w:hint="eastAsia" w:ascii="Times New Roman" w:hAnsi="Times New Roman" w:cs="Times New Roman"/>
          <w:b/>
          <w:bCs/>
          <w:sz w:val="28"/>
          <w:szCs w:val="28"/>
          <w:lang w:val="en-US" w:eastAsia="zh-CN"/>
        </w:rPr>
        <w:t>lisa</w:t>
      </w:r>
    </w:p>
    <w:p>
      <w:pPr>
        <w:spacing w:after="312" w:afterLines="100" w:line="360" w:lineRule="auto"/>
        <w:rPr>
          <w:rFonts w:ascii="Times New Roman" w:hAnsi="Times New Roman" w:cs="Times New Roman"/>
          <w:sz w:val="24"/>
        </w:rPr>
      </w:pPr>
    </w:p>
    <w:p>
      <w:pPr>
        <w:widowControl/>
        <w:jc w:val="left"/>
        <w:rPr>
          <w:rFonts w:ascii="Times New Roman" w:hAnsi="Times New Roman" w:cs="Times New Roman"/>
          <w:sz w:val="24"/>
        </w:rPr>
      </w:pPr>
      <w:r>
        <w:rPr>
          <w:rFonts w:ascii="Times New Roman" w:hAnsi="Times New Roman" w:cs="Times New Roman"/>
          <w:sz w:val="24"/>
        </w:rPr>
        <w:br w:type="page"/>
      </w:r>
    </w:p>
    <w:p>
      <w:pPr>
        <w:pStyle w:val="2"/>
        <w:jc w:val="center"/>
        <w:rPr>
          <w:rFonts w:ascii="Times New Roman" w:hAnsi="Times New Roman" w:cs="Times New Roman"/>
          <w:sz w:val="28"/>
          <w:szCs w:val="28"/>
        </w:rPr>
      </w:pPr>
      <w:bookmarkStart w:id="1" w:name="_Toc98276999"/>
      <w:r>
        <w:rPr>
          <w:rFonts w:ascii="Times New Roman" w:hAnsi="Times New Roman" w:cs="Times New Roman"/>
          <w:sz w:val="28"/>
          <w:szCs w:val="28"/>
        </w:rPr>
        <w:t>Executive Summary</w:t>
      </w:r>
      <w:bookmarkEnd w:id="1"/>
    </w:p>
    <w:p>
      <w:pPr>
        <w:spacing w:after="312" w:afterLines="100" w:line="360" w:lineRule="auto"/>
        <w:rPr>
          <w:rFonts w:ascii="Times New Roman" w:hAnsi="Times New Roman" w:cs="Times New Roman"/>
          <w:sz w:val="24"/>
        </w:rPr>
      </w:pPr>
      <w:r>
        <w:rPr>
          <w:rFonts w:ascii="Times New Roman" w:hAnsi="Times New Roman" w:cs="Times New Roman"/>
          <w:sz w:val="24"/>
        </w:rPr>
        <w:t>The environment is a double-edged sword for the development of enterprises, which can provide power for the development of enterprises, and also can limit the growth of enterprises. It is very important to understand the external and internal environments for the hotel to develop an appropriate marketing strategy. This paper firstly analyses the macro environment and industry environment faced by Marriott Hotel through the PESTLE model and Porter’s five forces model. Then, it uses the VRIO model to analyse the internal environment of Marriott Hotel. Following this, based on the analysis of the external environment and internal environment of Marriott Hotel, this paper uses the SWOT model to summarise its internal strengths and weaknesses as well as external opportunities and threats it faces. Finally, this paper puts forward some suggestions for the follow-up marketing of Marriott Hotel according to the environmental analysis.</w:t>
      </w:r>
    </w:p>
    <w:p>
      <w:pPr>
        <w:spacing w:after="312" w:afterLines="100" w:line="360" w:lineRule="auto"/>
        <w:rPr>
          <w:rFonts w:ascii="Times New Roman" w:hAnsi="Times New Roman" w:cs="Times New Roman"/>
          <w:sz w:val="24"/>
        </w:rPr>
      </w:pPr>
    </w:p>
    <w:p>
      <w:pPr>
        <w:widowControl/>
        <w:jc w:val="left"/>
        <w:rPr>
          <w:rFonts w:ascii="Times New Roman" w:hAnsi="Times New Roman" w:cs="Times New Roman"/>
          <w:sz w:val="24"/>
        </w:rPr>
      </w:pPr>
      <w:r>
        <w:rPr>
          <w:rFonts w:ascii="Times New Roman" w:hAnsi="Times New Roman" w:cs="Times New Roman"/>
          <w:sz w:val="24"/>
        </w:rPr>
        <w:br w:type="page"/>
      </w:r>
    </w:p>
    <w:p>
      <w:pPr>
        <w:spacing w:after="312" w:afterLines="100" w:line="360" w:lineRule="auto"/>
        <w:jc w:val="center"/>
        <w:rPr>
          <w:rFonts w:ascii="Times New Roman" w:hAnsi="Times New Roman" w:cs="Times New Roman"/>
          <w:b/>
          <w:bCs/>
          <w:sz w:val="28"/>
          <w:szCs w:val="28"/>
        </w:rPr>
      </w:pPr>
      <w:r>
        <w:rPr>
          <w:rFonts w:ascii="Times New Roman" w:hAnsi="Times New Roman" w:cs="Times New Roman"/>
          <w:b/>
          <w:bCs/>
          <w:sz w:val="28"/>
          <w:szCs w:val="28"/>
        </w:rPr>
        <w:t>Table of Contents</w:t>
      </w:r>
    </w:p>
    <w:p>
      <w:pPr>
        <w:pStyle w:val="5"/>
        <w:tabs>
          <w:tab w:val="right" w:leader="dot" w:pos="8296"/>
        </w:tabs>
        <w:spacing w:line="360" w:lineRule="auto"/>
        <w:rPr>
          <w:rFonts w:ascii="Times New Roman" w:hAnsi="Times New Roman" w:cs="Times New Roman"/>
          <w:sz w:val="24"/>
        </w:rPr>
      </w:pPr>
      <w:r>
        <w:rPr>
          <w:rFonts w:ascii="Times New Roman" w:hAnsi="Times New Roman" w:cs="Times New Roman"/>
          <w:b/>
          <w:bCs/>
          <w:sz w:val="24"/>
        </w:rPr>
        <w:fldChar w:fldCharType="begin"/>
      </w:r>
      <w:r>
        <w:rPr>
          <w:rFonts w:ascii="Times New Roman" w:hAnsi="Times New Roman" w:cs="Times New Roman"/>
          <w:b/>
          <w:bCs/>
          <w:sz w:val="24"/>
        </w:rPr>
        <w:instrText xml:space="preserve"> TOC \o "1-3" \h \z \u </w:instrText>
      </w:r>
      <w:r>
        <w:rPr>
          <w:rFonts w:ascii="Times New Roman" w:hAnsi="Times New Roman" w:cs="Times New Roman"/>
          <w:b/>
          <w:bCs/>
          <w:sz w:val="24"/>
        </w:rPr>
        <w:fldChar w:fldCharType="separate"/>
      </w:r>
      <w:r>
        <w:fldChar w:fldCharType="begin"/>
      </w:r>
      <w:r>
        <w:instrText xml:space="preserve"> HYPERLINK \l "_Toc98276999" </w:instrText>
      </w:r>
      <w:r>
        <w:fldChar w:fldCharType="separate"/>
      </w:r>
      <w:r>
        <w:rPr>
          <w:rStyle w:val="10"/>
          <w:rFonts w:ascii="Times New Roman" w:hAnsi="Times New Roman" w:cs="Times New Roman"/>
          <w:sz w:val="24"/>
        </w:rPr>
        <w:t>Executive Summary</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_Toc98276999 \h </w:instrText>
      </w:r>
      <w:r>
        <w:rPr>
          <w:rFonts w:ascii="Times New Roman" w:hAnsi="Times New Roman" w:cs="Times New Roman"/>
          <w:sz w:val="24"/>
        </w:rPr>
        <w:fldChar w:fldCharType="separate"/>
      </w:r>
      <w:r>
        <w:rPr>
          <w:rFonts w:ascii="Times New Roman" w:hAnsi="Times New Roman" w:cs="Times New Roman"/>
          <w:sz w:val="24"/>
        </w:rPr>
        <w:t>2</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"_Toc98277000" </w:instrText>
      </w:r>
      <w:r>
        <w:fldChar w:fldCharType="separate"/>
      </w:r>
      <w:r>
        <w:rPr>
          <w:rStyle w:val="10"/>
          <w:rFonts w:ascii="Times New Roman" w:hAnsi="Times New Roman" w:cs="Times New Roman"/>
          <w:sz w:val="24"/>
        </w:rPr>
        <w:t>1. Introduction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_Toc98277000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"_Toc98277001" </w:instrText>
      </w:r>
      <w:r>
        <w:fldChar w:fldCharType="separate"/>
      </w:r>
      <w:r>
        <w:rPr>
          <w:rStyle w:val="10"/>
          <w:rFonts w:ascii="Times New Roman" w:hAnsi="Times New Roman" w:cs="Times New Roman"/>
          <w:sz w:val="24"/>
        </w:rPr>
        <w:t>2. PESTLE Analysis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_Toc98277001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"_Toc98277002" </w:instrText>
      </w:r>
      <w:r>
        <w:fldChar w:fldCharType="separate"/>
      </w:r>
      <w:r>
        <w:rPr>
          <w:rStyle w:val="10"/>
          <w:rFonts w:ascii="Times New Roman" w:hAnsi="Times New Roman" w:cs="Times New Roman"/>
          <w:sz w:val="24"/>
        </w:rPr>
        <w:t>2.1 Political</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_Toc98277002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"_Toc98277003" </w:instrText>
      </w:r>
      <w:r>
        <w:fldChar w:fldCharType="separate"/>
      </w:r>
      <w:r>
        <w:rPr>
          <w:rStyle w:val="10"/>
          <w:rFonts w:ascii="Times New Roman" w:hAnsi="Times New Roman" w:cs="Times New Roman"/>
          <w:sz w:val="24"/>
        </w:rPr>
        <w:t>2.2 Economic</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_Toc98277003 \h </w:instrText>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"_Toc98277004" </w:instrText>
      </w:r>
      <w:r>
        <w:fldChar w:fldCharType="separate"/>
      </w:r>
      <w:r>
        <w:rPr>
          <w:rStyle w:val="10"/>
          <w:rFonts w:ascii="Times New Roman" w:hAnsi="Times New Roman" w:cs="Times New Roman"/>
          <w:sz w:val="24"/>
        </w:rPr>
        <w:t>2.3 Social</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_Toc98277004 \h </w:instrText>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"_Toc98277005" </w:instrText>
      </w:r>
      <w:r>
        <w:fldChar w:fldCharType="separate"/>
      </w:r>
      <w:r>
        <w:rPr>
          <w:rStyle w:val="10"/>
          <w:rFonts w:ascii="Times New Roman" w:hAnsi="Times New Roman" w:cs="Times New Roman"/>
          <w:sz w:val="24"/>
        </w:rPr>
        <w:t>2.4 Technological</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_Toc98277005 \h </w:instrText>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"_Toc98277006" </w:instrText>
      </w:r>
      <w:r>
        <w:fldChar w:fldCharType="separate"/>
      </w:r>
      <w:r>
        <w:rPr>
          <w:rStyle w:val="10"/>
          <w:rFonts w:ascii="Times New Roman" w:hAnsi="Times New Roman" w:cs="Times New Roman"/>
          <w:sz w:val="24"/>
        </w:rPr>
        <w:t>2.5 Legal</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_Toc98277006 \h </w:instrText>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"_Toc98277007" </w:instrText>
      </w:r>
      <w:r>
        <w:fldChar w:fldCharType="separate"/>
      </w:r>
      <w:r>
        <w:rPr>
          <w:rStyle w:val="10"/>
          <w:rFonts w:ascii="Times New Roman" w:hAnsi="Times New Roman" w:cs="Times New Roman"/>
          <w:sz w:val="24"/>
        </w:rPr>
        <w:t>2.6 Environmental</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_Toc98277007 \h </w:instrText>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"_Toc98277008" </w:instrText>
      </w:r>
      <w:r>
        <w:fldChar w:fldCharType="separate"/>
      </w:r>
      <w:r>
        <w:rPr>
          <w:rStyle w:val="10"/>
          <w:rFonts w:ascii="Times New Roman" w:hAnsi="Times New Roman" w:cs="Times New Roman"/>
          <w:sz w:val="24"/>
        </w:rPr>
        <w:t>3. Porter’s 5 Forces Analysis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_Toc98277008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"_Toc98277009" </w:instrText>
      </w:r>
      <w:r>
        <w:fldChar w:fldCharType="separate"/>
      </w:r>
      <w:r>
        <w:rPr>
          <w:rStyle w:val="10"/>
          <w:rFonts w:ascii="Times New Roman" w:hAnsi="Times New Roman" w:cs="Times New Roman"/>
          <w:sz w:val="24"/>
        </w:rPr>
        <w:t>3.1 Rivalry</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_Toc98277009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"_Toc98277010" </w:instrText>
      </w:r>
      <w:r>
        <w:fldChar w:fldCharType="separate"/>
      </w:r>
      <w:r>
        <w:rPr>
          <w:rStyle w:val="10"/>
          <w:rFonts w:ascii="Times New Roman" w:hAnsi="Times New Roman" w:cs="Times New Roman"/>
          <w:sz w:val="24"/>
        </w:rPr>
        <w:t>3.2 Suppliers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_Toc98277010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"_Toc98277011" </w:instrText>
      </w:r>
      <w:r>
        <w:fldChar w:fldCharType="separate"/>
      </w:r>
      <w:r>
        <w:rPr>
          <w:rStyle w:val="10"/>
          <w:rFonts w:ascii="Times New Roman" w:hAnsi="Times New Roman" w:cs="Times New Roman"/>
          <w:sz w:val="24"/>
        </w:rPr>
        <w:t>3.3 Buyers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_Toc98277011 \h </w:instrText>
      </w:r>
      <w:r>
        <w:rPr>
          <w:rFonts w:ascii="Times New Roman" w:hAnsi="Times New Roman" w:cs="Times New Roman"/>
          <w:sz w:val="24"/>
        </w:rPr>
        <w:fldChar w:fldCharType="separate"/>
      </w:r>
      <w:r>
        <w:rPr>
          <w:rFonts w:ascii="Times New Roman" w:hAnsi="Times New Roman" w:cs="Times New Roman"/>
          <w:sz w:val="24"/>
        </w:rPr>
        <w:t>8</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"_Toc98277012" </w:instrText>
      </w:r>
      <w:r>
        <w:fldChar w:fldCharType="separate"/>
      </w:r>
      <w:r>
        <w:rPr>
          <w:rStyle w:val="10"/>
          <w:rFonts w:ascii="Times New Roman" w:hAnsi="Times New Roman" w:cs="Times New Roman"/>
          <w:sz w:val="24"/>
        </w:rPr>
        <w:t>3.4 New entrants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_Toc98277012 \h </w:instrText>
      </w:r>
      <w:r>
        <w:rPr>
          <w:rFonts w:ascii="Times New Roman" w:hAnsi="Times New Roman" w:cs="Times New Roman"/>
          <w:sz w:val="24"/>
        </w:rPr>
        <w:fldChar w:fldCharType="separate"/>
      </w:r>
      <w:r>
        <w:rPr>
          <w:rFonts w:ascii="Times New Roman" w:hAnsi="Times New Roman" w:cs="Times New Roman"/>
          <w:sz w:val="24"/>
        </w:rPr>
        <w:t>8</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"_Toc98277013" </w:instrText>
      </w:r>
      <w:r>
        <w:fldChar w:fldCharType="separate"/>
      </w:r>
      <w:r>
        <w:rPr>
          <w:rStyle w:val="10"/>
          <w:rFonts w:ascii="Times New Roman" w:hAnsi="Times New Roman" w:cs="Times New Roman"/>
          <w:sz w:val="24"/>
        </w:rPr>
        <w:t>3.5 Substitutes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_Toc98277013 \h </w:instrText>
      </w:r>
      <w:r>
        <w:rPr>
          <w:rFonts w:ascii="Times New Roman" w:hAnsi="Times New Roman" w:cs="Times New Roman"/>
          <w:sz w:val="24"/>
        </w:rPr>
        <w:fldChar w:fldCharType="separate"/>
      </w:r>
      <w:r>
        <w:rPr>
          <w:rFonts w:ascii="Times New Roman" w:hAnsi="Times New Roman" w:cs="Times New Roman"/>
          <w:sz w:val="24"/>
        </w:rPr>
        <w:t>8</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"_Toc98277014" </w:instrText>
      </w:r>
      <w:r>
        <w:fldChar w:fldCharType="separate"/>
      </w:r>
      <w:r>
        <w:rPr>
          <w:rStyle w:val="10"/>
          <w:rFonts w:ascii="Times New Roman" w:hAnsi="Times New Roman" w:cs="Times New Roman"/>
          <w:sz w:val="24"/>
        </w:rPr>
        <w:t>4. VRIO Analysis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_Toc98277014 \h </w:instrText>
      </w:r>
      <w:r>
        <w:rPr>
          <w:rFonts w:ascii="Times New Roman" w:hAnsi="Times New Roman" w:cs="Times New Roman"/>
          <w:sz w:val="24"/>
        </w:rPr>
        <w:fldChar w:fldCharType="separate"/>
      </w:r>
      <w:r>
        <w:rPr>
          <w:rFonts w:ascii="Times New Roman" w:hAnsi="Times New Roman" w:cs="Times New Roman"/>
          <w:sz w:val="24"/>
        </w:rPr>
        <w:t>9</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"_Toc98277015" </w:instrText>
      </w:r>
      <w:r>
        <w:fldChar w:fldCharType="separate"/>
      </w:r>
      <w:r>
        <w:rPr>
          <w:rStyle w:val="10"/>
          <w:rFonts w:ascii="Times New Roman" w:hAnsi="Times New Roman" w:cs="Times New Roman"/>
          <w:sz w:val="24"/>
        </w:rPr>
        <w:t>5. SWOT Analysis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_Toc98277015 \h </w:instrText>
      </w:r>
      <w:r>
        <w:rPr>
          <w:rFonts w:ascii="Times New Roman" w:hAnsi="Times New Roman" w:cs="Times New Roman"/>
          <w:sz w:val="24"/>
        </w:rPr>
        <w:fldChar w:fldCharType="separate"/>
      </w:r>
      <w:r>
        <w:rPr>
          <w:rFonts w:ascii="Times New Roman" w:hAnsi="Times New Roman" w:cs="Times New Roman"/>
          <w:sz w:val="24"/>
        </w:rPr>
        <w:t>10</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"_Toc98277016" </w:instrText>
      </w:r>
      <w:r>
        <w:fldChar w:fldCharType="separate"/>
      </w:r>
      <w:r>
        <w:rPr>
          <w:rStyle w:val="10"/>
          <w:rFonts w:ascii="Times New Roman" w:hAnsi="Times New Roman" w:cs="Times New Roman"/>
          <w:sz w:val="24"/>
        </w:rPr>
        <w:t>5.1 Strengths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_Toc98277016 \h </w:instrText>
      </w:r>
      <w:r>
        <w:rPr>
          <w:rFonts w:ascii="Times New Roman" w:hAnsi="Times New Roman" w:cs="Times New Roman"/>
          <w:sz w:val="24"/>
        </w:rPr>
        <w:fldChar w:fldCharType="separate"/>
      </w:r>
      <w:r>
        <w:rPr>
          <w:rFonts w:ascii="Times New Roman" w:hAnsi="Times New Roman" w:cs="Times New Roman"/>
          <w:sz w:val="24"/>
        </w:rPr>
        <w:t>10</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"_Toc98277017" </w:instrText>
      </w:r>
      <w:r>
        <w:fldChar w:fldCharType="separate"/>
      </w:r>
      <w:r>
        <w:rPr>
          <w:rStyle w:val="10"/>
          <w:rFonts w:ascii="Times New Roman" w:hAnsi="Times New Roman" w:cs="Times New Roman"/>
          <w:sz w:val="24"/>
        </w:rPr>
        <w:t>5.2 Weaknesses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_Toc98277017 \h </w:instrText>
      </w:r>
      <w:r>
        <w:rPr>
          <w:rFonts w:ascii="Times New Roman" w:hAnsi="Times New Roman" w:cs="Times New Roman"/>
          <w:sz w:val="24"/>
        </w:rPr>
        <w:fldChar w:fldCharType="separate"/>
      </w:r>
      <w:r>
        <w:rPr>
          <w:rFonts w:ascii="Times New Roman" w:hAnsi="Times New Roman" w:cs="Times New Roman"/>
          <w:sz w:val="24"/>
        </w:rPr>
        <w:t>11</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"_Toc98277018" </w:instrText>
      </w:r>
      <w:r>
        <w:fldChar w:fldCharType="separate"/>
      </w:r>
      <w:r>
        <w:rPr>
          <w:rStyle w:val="10"/>
          <w:rFonts w:ascii="Times New Roman" w:hAnsi="Times New Roman" w:cs="Times New Roman"/>
          <w:sz w:val="24"/>
        </w:rPr>
        <w:t>5.3 Opportunities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_Toc98277018 \h </w:instrText>
      </w:r>
      <w:r>
        <w:rPr>
          <w:rFonts w:ascii="Times New Roman" w:hAnsi="Times New Roman" w:cs="Times New Roman"/>
          <w:sz w:val="24"/>
        </w:rPr>
        <w:fldChar w:fldCharType="separate"/>
      </w:r>
      <w:r>
        <w:rPr>
          <w:rFonts w:ascii="Times New Roman" w:hAnsi="Times New Roman" w:cs="Times New Roman"/>
          <w:sz w:val="24"/>
        </w:rPr>
        <w:t>11</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8296"/>
        </w:tabs>
        <w:spacing w:line="360" w:lineRule="auto"/>
        <w:rPr>
          <w:rFonts w:ascii="Times New Roman" w:hAnsi="Times New Roman" w:cs="Times New Roman"/>
          <w:sz w:val="24"/>
        </w:rPr>
      </w:pPr>
      <w:r>
        <w:fldChar w:fldCharType="begin"/>
      </w:r>
      <w:r>
        <w:instrText xml:space="preserve"> HYPERLINK \l "_Toc98277019" </w:instrText>
      </w:r>
      <w:r>
        <w:fldChar w:fldCharType="separate"/>
      </w:r>
      <w:r>
        <w:rPr>
          <w:rStyle w:val="10"/>
          <w:rFonts w:ascii="Times New Roman" w:hAnsi="Times New Roman" w:cs="Times New Roman"/>
          <w:sz w:val="24"/>
        </w:rPr>
        <w:t>5.4 Threats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_Toc98277019 \h </w:instrText>
      </w:r>
      <w:r>
        <w:rPr>
          <w:rFonts w:ascii="Times New Roman" w:hAnsi="Times New Roman" w:cs="Times New Roman"/>
          <w:sz w:val="24"/>
        </w:rPr>
        <w:fldChar w:fldCharType="separate"/>
      </w:r>
      <w:r>
        <w:rPr>
          <w:rFonts w:ascii="Times New Roman" w:hAnsi="Times New Roman" w:cs="Times New Roman"/>
          <w:sz w:val="24"/>
        </w:rPr>
        <w:t>11</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"_Toc98277020" </w:instrText>
      </w:r>
      <w:r>
        <w:fldChar w:fldCharType="separate"/>
      </w:r>
      <w:r>
        <w:rPr>
          <w:rStyle w:val="10"/>
          <w:rFonts w:ascii="Times New Roman" w:hAnsi="Times New Roman" w:cs="Times New Roman"/>
          <w:sz w:val="24"/>
        </w:rPr>
        <w:t>6. Recommendations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_Toc98277020 \h </w:instrText>
      </w:r>
      <w:r>
        <w:rPr>
          <w:rFonts w:ascii="Times New Roman" w:hAnsi="Times New Roman" w:cs="Times New Roman"/>
          <w:sz w:val="24"/>
        </w:rPr>
        <w:fldChar w:fldCharType="separate"/>
      </w:r>
      <w:r>
        <w:rPr>
          <w:rFonts w:ascii="Times New Roman" w:hAnsi="Times New Roman" w:cs="Times New Roman"/>
          <w:sz w:val="24"/>
        </w:rPr>
        <w:t>12</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"_Toc98277021" </w:instrText>
      </w:r>
      <w:r>
        <w:fldChar w:fldCharType="separate"/>
      </w:r>
      <w:r>
        <w:rPr>
          <w:rStyle w:val="10"/>
          <w:rFonts w:ascii="Times New Roman" w:hAnsi="Times New Roman" w:cs="Times New Roman"/>
          <w:sz w:val="24"/>
        </w:rPr>
        <w:t>7. Conclusions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_Toc98277021 \h </w:instrText>
      </w:r>
      <w:r>
        <w:rPr>
          <w:rFonts w:ascii="Times New Roman" w:hAnsi="Times New Roman" w:cs="Times New Roman"/>
          <w:sz w:val="24"/>
        </w:rPr>
        <w:fldChar w:fldCharType="separate"/>
      </w:r>
      <w:r>
        <w:rPr>
          <w:rFonts w:ascii="Times New Roman" w:hAnsi="Times New Roman" w:cs="Times New Roman"/>
          <w:sz w:val="24"/>
        </w:rPr>
        <w:t>13</w:t>
      </w:r>
      <w:r>
        <w:rPr>
          <w:rFonts w:ascii="Times New Roman" w:hAnsi="Times New Roman" w:cs="Times New Roman"/>
          <w:sz w:val="24"/>
        </w:rPr>
        <w:fldChar w:fldCharType="end"/>
      </w:r>
      <w:r>
        <w:rPr>
          <w:rFonts w:ascii="Times New Roman" w:hAnsi="Times New Roman" w:cs="Times New Roman"/>
          <w:sz w:val="24"/>
        </w:rPr>
        <w:fldChar w:fldCharType="end"/>
      </w:r>
    </w:p>
    <w:p>
      <w:pPr>
        <w:pStyle w:val="5"/>
        <w:tabs>
          <w:tab w:val="right" w:leader="dot" w:pos="8296"/>
        </w:tabs>
        <w:spacing w:line="360" w:lineRule="auto"/>
        <w:rPr>
          <w:rFonts w:ascii="Times New Roman" w:hAnsi="Times New Roman" w:cs="Times New Roman"/>
          <w:sz w:val="24"/>
        </w:rPr>
      </w:pPr>
      <w:r>
        <w:fldChar w:fldCharType="begin"/>
      </w:r>
      <w:r>
        <w:instrText xml:space="preserve"> HYPERLINK \l "_Toc98277022" </w:instrText>
      </w:r>
      <w:r>
        <w:fldChar w:fldCharType="separate"/>
      </w:r>
      <w:r>
        <w:rPr>
          <w:rStyle w:val="10"/>
          <w:rFonts w:ascii="Times New Roman" w:hAnsi="Times New Roman" w:cs="Times New Roman"/>
          <w:sz w:val="24"/>
        </w:rPr>
        <w:t>Reference List</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_Toc98277022 \h </w:instrText>
      </w:r>
      <w:r>
        <w:rPr>
          <w:rFonts w:ascii="Times New Roman" w:hAnsi="Times New Roman" w:cs="Times New Roman"/>
          <w:sz w:val="24"/>
        </w:rPr>
        <w:fldChar w:fldCharType="separate"/>
      </w:r>
      <w:r>
        <w:rPr>
          <w:rFonts w:ascii="Times New Roman" w:hAnsi="Times New Roman" w:cs="Times New Roman"/>
          <w:sz w:val="24"/>
        </w:rPr>
        <w:t>15</w:t>
      </w:r>
      <w:r>
        <w:rPr>
          <w:rFonts w:ascii="Times New Roman" w:hAnsi="Times New Roman" w:cs="Times New Roman"/>
          <w:sz w:val="24"/>
        </w:rPr>
        <w:fldChar w:fldCharType="end"/>
      </w:r>
      <w:r>
        <w:rPr>
          <w:rFonts w:ascii="Times New Roman" w:hAnsi="Times New Roman" w:cs="Times New Roman"/>
          <w:sz w:val="24"/>
        </w:rPr>
        <w:fldChar w:fldCharType="end"/>
      </w:r>
    </w:p>
    <w:p>
      <w:pPr>
        <w:spacing w:after="312" w:afterLines="100" w:line="360" w:lineRule="auto"/>
        <w:jc w:val="center"/>
        <w:rPr>
          <w:rFonts w:ascii="Times New Roman" w:hAnsi="Times New Roman" w:cs="Times New Roman"/>
          <w:b/>
          <w:bCs/>
          <w:sz w:val="28"/>
          <w:szCs w:val="28"/>
        </w:rPr>
      </w:pPr>
      <w:r>
        <w:rPr>
          <w:rFonts w:ascii="Times New Roman" w:hAnsi="Times New Roman" w:cs="Times New Roman"/>
          <w:b/>
          <w:bCs/>
          <w:sz w:val="24"/>
        </w:rPr>
        <w:fldChar w:fldCharType="end"/>
      </w:r>
    </w:p>
    <w:p>
      <w:pPr>
        <w:widowControl/>
        <w:jc w:val="left"/>
        <w:rPr>
          <w:rFonts w:ascii="Times New Roman" w:hAnsi="Times New Roman" w:cs="Times New Roman"/>
          <w:sz w:val="24"/>
        </w:rPr>
      </w:pPr>
      <w:r>
        <w:rPr>
          <w:rFonts w:ascii="Times New Roman" w:hAnsi="Times New Roman" w:cs="Times New Roman"/>
          <w:sz w:val="24"/>
        </w:rPr>
        <w:br w:type="page"/>
      </w:r>
    </w:p>
    <w:p>
      <w:pPr>
        <w:pStyle w:val="2"/>
        <w:rPr>
          <w:rFonts w:ascii="Times New Roman" w:hAnsi="Times New Roman" w:cs="Times New Roman"/>
          <w:sz w:val="28"/>
          <w:szCs w:val="28"/>
        </w:rPr>
      </w:pPr>
      <w:bookmarkStart w:id="2" w:name="_Toc98277000"/>
      <w:r>
        <w:rPr>
          <w:rFonts w:ascii="Times New Roman" w:hAnsi="Times New Roman" w:cs="Times New Roman"/>
          <w:sz w:val="28"/>
          <w:szCs w:val="28"/>
        </w:rPr>
        <w:t>1. Introduction</w:t>
      </w:r>
      <w:bookmarkEnd w:id="2"/>
    </w:p>
    <w:p>
      <w:pPr>
        <w:spacing w:after="312" w:afterLines="100" w:line="360" w:lineRule="auto"/>
        <w:rPr>
          <w:rFonts w:ascii="Times New Roman" w:hAnsi="Times New Roman" w:cs="Times New Roman"/>
          <w:sz w:val="24"/>
        </w:rPr>
      </w:pPr>
      <w:r>
        <w:rPr>
          <w:rFonts w:ascii="Times New Roman" w:hAnsi="Times New Roman" w:cs="Times New Roman"/>
          <w:sz w:val="24"/>
        </w:rPr>
        <w:t>COVID-19 broke out in early 2020 and quickly spread across the globe. Daily travel has been restricted and tourism has been greatly affected. As one of the three supporting industries of tourism, the hotel industry is also greatly affected (Foo et al., 2021). In addition, economic globalisation, the emergence of Airbnb and the development of new technologies also make the development model of the hotel industry constantly changing. Marriott International, founded in 1927, has become the absolute leader in the industry, with a market capitalisation of $52.78 billion in March 2022 (Market Cap, 2022). The changing environment requires Marriott to proactively respond with appropriate strategies to ensure its better development in the depressed hotel market.</w:t>
      </w:r>
    </w:p>
    <w:p>
      <w:pPr>
        <w:pStyle w:val="2"/>
        <w:rPr>
          <w:rFonts w:ascii="Times New Roman" w:hAnsi="Times New Roman" w:cs="Times New Roman"/>
          <w:sz w:val="28"/>
          <w:szCs w:val="28"/>
        </w:rPr>
      </w:pPr>
      <w:bookmarkStart w:id="3" w:name="_Toc98277001"/>
      <w:r>
        <w:rPr>
          <w:rFonts w:ascii="Times New Roman" w:hAnsi="Times New Roman" w:cs="Times New Roman"/>
          <w:sz w:val="28"/>
          <w:szCs w:val="28"/>
        </w:rPr>
        <w:t>2. PESTLE Analysis</w:t>
      </w:r>
      <w:bookmarkEnd w:id="3"/>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The PESTLE model is mainly used to analyse the macro environment of the market (Nandonde, 2019). The analysis of the macro-environment can help enterprises summarise what kind of external environment they operate and develop in, what favorable factors can promote the development of enterprises, and what adverse factors pose a threat to enterprises (Perera, 2017). </w:t>
      </w:r>
    </w:p>
    <w:p>
      <w:pPr>
        <w:pStyle w:val="3"/>
        <w:rPr>
          <w:rFonts w:ascii="Times New Roman" w:hAnsi="Times New Roman" w:cs="Times New Roman"/>
          <w:sz w:val="24"/>
          <w:szCs w:val="24"/>
        </w:rPr>
      </w:pPr>
      <w:bookmarkStart w:id="4" w:name="_Toc98277002"/>
      <w:r>
        <w:rPr>
          <w:rFonts w:ascii="Times New Roman" w:hAnsi="Times New Roman" w:cs="Times New Roman"/>
          <w:sz w:val="24"/>
          <w:szCs w:val="24"/>
        </w:rPr>
        <w:t>2.1 Political</w:t>
      </w:r>
      <w:bookmarkEnd w:id="4"/>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The outbreak of COVID-19 has had a significant impact on the tourism industry. Governments have issued a series of policies to promote the recovery of the tourism market (OECD, 2020). The 2020 work report of the Chinese government pointed out that the value-added tax on services such as public transport, sports and culture, entertainment and tourism, catering and accommodation should be exempted, and the restoration and development of catering, shopping malls, culture, tourism, housekeeping and other life service industries should be supported (Lu, 2020). The policies continue to benefit the recovery of tourism. </w:t>
      </w:r>
    </w:p>
    <w:p>
      <w:pPr>
        <w:pStyle w:val="3"/>
        <w:rPr>
          <w:rFonts w:ascii="Times New Roman" w:hAnsi="Times New Roman" w:cs="Times New Roman"/>
          <w:sz w:val="24"/>
          <w:szCs w:val="24"/>
        </w:rPr>
      </w:pPr>
      <w:bookmarkStart w:id="5" w:name="_Toc98277003"/>
      <w:r>
        <w:rPr>
          <w:rFonts w:ascii="Times New Roman" w:hAnsi="Times New Roman" w:cs="Times New Roman"/>
          <w:sz w:val="24"/>
          <w:szCs w:val="24"/>
        </w:rPr>
        <w:t>2.2 Economic</w:t>
      </w:r>
      <w:bookmarkEnd w:id="5"/>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In 2020, the COVID-19 pandemic swept the world, causing a severe contraction of the world economy and disrupting the normal pace of economic operation. According to statistics, the size of the global hotel and resort market from 2016 to 2019 exceeded $1 trillion for four consecutive years and showed an increasing trend (Figure 1). However, the market fell 146.9% to $610.2 billion in 2020 due to the global impact of COVID-19 (Figure 1). In 2021, the hotel and resort market recovered to $948.9 billion due to COVID-19 prevention and control and global vaccination (Figure 1). </w:t>
      </w:r>
    </w:p>
    <w:p>
      <w:pPr>
        <w:spacing w:after="312" w:afterLines="100" w:line="360" w:lineRule="auto"/>
        <w:rPr>
          <w:rFonts w:ascii="Times New Roman" w:hAnsi="Times New Roman" w:cs="Times New Roman"/>
          <w:sz w:val="24"/>
        </w:rPr>
      </w:pPr>
      <w:r>
        <w:rPr>
          <w:rFonts w:ascii="Times New Roman" w:hAnsi="Times New Roman" w:cs="Times New Roman"/>
          <w:sz w:val="24"/>
        </w:rPr>
        <w:t>Figure 1 Market size of the hotel and resort industry (in trillion U.S. dollars)</w:t>
      </w:r>
    </w:p>
    <w:p>
      <w:pPr>
        <w:spacing w:after="312" w:afterLines="100" w:line="360" w:lineRule="auto"/>
        <w:rPr>
          <w:rFonts w:ascii="Times New Roman" w:hAnsi="Times New Roman" w:cs="Times New Roman"/>
          <w:sz w:val="24"/>
        </w:rPr>
      </w:pPr>
      <w:r>
        <w:rPr>
          <w:rFonts w:ascii="Times New Roman" w:hAnsi="Times New Roman" w:cs="Times New Roman"/>
          <w:color w:val="FF0000"/>
          <w:sz w:val="24"/>
        </w:rPr>
        <w:drawing>
          <wp:inline distT="0" distB="0" distL="0" distR="0">
            <wp:extent cx="5274310" cy="3312795"/>
            <wp:effectExtent l="0" t="0" r="13970" b="9525"/>
            <wp:docPr id="1" name="图片 1" descr="图表, 条形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表, 条形图&#10;&#10;描述已自动生成"/>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a:xfrm>
                      <a:off x="0" y="0"/>
                      <a:ext cx="5274310" cy="3313104"/>
                    </a:xfrm>
                    <a:prstGeom prst="rect">
                      <a:avLst/>
                    </a:prstGeom>
                    <a:noFill/>
                    <a:ln>
                      <a:noFill/>
                    </a:ln>
                  </pic:spPr>
                </pic:pic>
              </a:graphicData>
            </a:graphic>
          </wp:inline>
        </w:drawing>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Source: Statista (2022). </w:t>
      </w:r>
    </w:p>
    <w:p>
      <w:pPr>
        <w:pStyle w:val="3"/>
        <w:rPr>
          <w:rFonts w:ascii="Times New Roman" w:hAnsi="Times New Roman" w:cs="Times New Roman"/>
          <w:sz w:val="24"/>
          <w:szCs w:val="24"/>
        </w:rPr>
      </w:pPr>
      <w:bookmarkStart w:id="6" w:name="_Toc98277004"/>
      <w:r>
        <w:rPr>
          <w:rFonts w:ascii="Times New Roman" w:hAnsi="Times New Roman" w:cs="Times New Roman"/>
          <w:sz w:val="24"/>
          <w:szCs w:val="24"/>
        </w:rPr>
        <w:t>2.3 Social</w:t>
      </w:r>
      <w:bookmarkEnd w:id="6"/>
    </w:p>
    <w:p>
      <w:pPr>
        <w:spacing w:after="312" w:afterLines="100" w:line="360" w:lineRule="auto"/>
        <w:rPr>
          <w:rFonts w:ascii="Times New Roman" w:hAnsi="Times New Roman" w:cs="Times New Roman"/>
          <w:sz w:val="24"/>
        </w:rPr>
      </w:pPr>
      <w:r>
        <w:rPr>
          <w:rFonts w:ascii="Times New Roman" w:hAnsi="Times New Roman" w:cs="Times New Roman"/>
          <w:sz w:val="24"/>
        </w:rPr>
        <w:t>Affected by COVID-19, consumers' consumption mentality has changed and consumption has become more rational. Many hotels are also constantly exploring and launching various epidemic protection services to alleviate consumers’ concerns (Bonfanti, Vigolo and Yfantidou, 2021). In the long run, Marriott needs comprehensive integrated management of customer resources, channel resources, data resources and accurate insight into consumer needs to promote the sustainable growth of the hotel.</w:t>
      </w:r>
    </w:p>
    <w:p>
      <w:pPr>
        <w:pStyle w:val="3"/>
        <w:rPr>
          <w:rFonts w:ascii="Times New Roman" w:hAnsi="Times New Roman" w:cs="Times New Roman"/>
          <w:sz w:val="24"/>
          <w:szCs w:val="24"/>
        </w:rPr>
      </w:pPr>
      <w:bookmarkStart w:id="7" w:name="_Toc98277005"/>
      <w:r>
        <w:rPr>
          <w:rFonts w:ascii="Times New Roman" w:hAnsi="Times New Roman" w:cs="Times New Roman"/>
          <w:sz w:val="24"/>
          <w:szCs w:val="24"/>
        </w:rPr>
        <w:t>2.4 Technological</w:t>
      </w:r>
      <w:bookmarkEnd w:id="7"/>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The development of science and technology promotes the industrial transformation of the hotel industry. The birth of mobile Internet technology enables services to be online. Consumers can complete a series of operations such as online room selection, online payment, invoicing and check-out procedures through mobile phones anytime and anywhere (Infante-Moro, Infante-Moro and Gallardo-Pérez, 2021). COVID-19 has given rise to many new service demands, and consumers are paying more attention to the health and safety of hotels. Moreover, the empowerment of technology has also brought upgrades to the customer experience of hotels. All check-in procedures can be completed through face brushing, precisely meeting consumers' current "contactless” service demands (Lau, 2020). </w:t>
      </w:r>
    </w:p>
    <w:p>
      <w:pPr>
        <w:pStyle w:val="3"/>
        <w:rPr>
          <w:rFonts w:ascii="Times New Roman" w:hAnsi="Times New Roman" w:cs="Times New Roman"/>
          <w:sz w:val="24"/>
          <w:szCs w:val="24"/>
        </w:rPr>
      </w:pPr>
      <w:bookmarkStart w:id="8" w:name="_Toc98277006"/>
      <w:r>
        <w:rPr>
          <w:rFonts w:ascii="Times New Roman" w:hAnsi="Times New Roman" w:cs="Times New Roman"/>
          <w:sz w:val="24"/>
          <w:szCs w:val="24"/>
        </w:rPr>
        <w:t>2.5 Legal</w:t>
      </w:r>
      <w:bookmarkEnd w:id="8"/>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With the increasing attention paid to COVID-19, the main laws and regulations on epidemic prevention and control in various countries are becoming more and more perfect (World Health Organization, 2020). The control of the epidemic is conducive to the hotel industry's recovery. </w:t>
      </w:r>
    </w:p>
    <w:p>
      <w:pPr>
        <w:pStyle w:val="3"/>
        <w:rPr>
          <w:rFonts w:ascii="Times New Roman" w:hAnsi="Times New Roman" w:cs="Times New Roman"/>
          <w:sz w:val="24"/>
          <w:szCs w:val="24"/>
        </w:rPr>
      </w:pPr>
      <w:bookmarkStart w:id="9" w:name="_Toc98277007"/>
      <w:r>
        <w:rPr>
          <w:rFonts w:ascii="Times New Roman" w:hAnsi="Times New Roman" w:cs="Times New Roman"/>
          <w:sz w:val="24"/>
          <w:szCs w:val="24"/>
        </w:rPr>
        <w:t>2.6 Environmental</w:t>
      </w:r>
      <w:bookmarkEnd w:id="9"/>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After the epidemic, consumers have higher requirements for the environmental protection and hygiene of hotels, and pay more attention to the hygiene of hotel supplies (Jiang and Wen, 2020). The epidemic has accelerated the liquidation of low-end hotel enterprises, forced the industry to reshuffle, and brought new opportunities for the high-quality development of hotels. </w:t>
      </w:r>
    </w:p>
    <w:p>
      <w:pPr>
        <w:pStyle w:val="2"/>
        <w:rPr>
          <w:rFonts w:ascii="Times New Roman" w:hAnsi="Times New Roman" w:cs="Times New Roman"/>
          <w:sz w:val="28"/>
          <w:szCs w:val="28"/>
        </w:rPr>
      </w:pPr>
      <w:bookmarkStart w:id="10" w:name="_Toc98277008"/>
      <w:r>
        <w:rPr>
          <w:rFonts w:ascii="Times New Roman" w:hAnsi="Times New Roman" w:cs="Times New Roman"/>
          <w:sz w:val="28"/>
          <w:szCs w:val="28"/>
        </w:rPr>
        <w:t>3. Porter’s 5 Forces Analysis</w:t>
      </w:r>
      <w:bookmarkEnd w:id="10"/>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Porter analysed the industrial competition situation faced by organisations in operation and development and summarised five forces influencing the degree of industrial competition: rivalry, buyers, suppliers, new entrants and substitutes (Aithal, 2017). </w:t>
      </w:r>
    </w:p>
    <w:p>
      <w:pPr>
        <w:pStyle w:val="3"/>
        <w:rPr>
          <w:rFonts w:ascii="Times New Roman" w:hAnsi="Times New Roman" w:cs="Times New Roman"/>
          <w:sz w:val="24"/>
          <w:szCs w:val="24"/>
        </w:rPr>
      </w:pPr>
      <w:bookmarkStart w:id="11" w:name="_Toc98277009"/>
      <w:r>
        <w:rPr>
          <w:rFonts w:ascii="Times New Roman" w:hAnsi="Times New Roman" w:cs="Times New Roman"/>
          <w:sz w:val="24"/>
          <w:szCs w:val="24"/>
        </w:rPr>
        <w:t>3.1 Rivalry</w:t>
      </w:r>
      <w:bookmarkEnd w:id="11"/>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Airbnb has posed a significant challenge to traditional hotel groups in recent years (Bashir and Verma, 2016). In 2019, Marriott began to fight back against Airbnb and launched Marriott Homes &amp; Villas. This luxury accommodation service provides guests with private residential options different from hotel rooms. During the epidemic period, more and more tourists favor short-term homestay rental, and the bookings of Marriott short-term rental also increased significantly (Kaye, 2022). Compared with 2020, many hotels turned losses into profits in 2021. The net profit of Marriott International Hotel Group reached nearly $1.1 billion, which is a significant reversal compared with the loss of 267 million in 2020 (Skift, 2022). Hilton Hotels Group’s annual revenue reached US $5.79 billion, a year-on-year increase of 34.4%, and its net profit reached US $410 million (Macrotrends, 2022). The operating profit of InterContinental Hotels Group reached US $494 million (China Travel News, 2022). Airbnb, InterContinental Hotels and Hilton Hotels all pose a particular threat to Marriott, but the degree of threat is medium. </w:t>
      </w:r>
    </w:p>
    <w:p>
      <w:pPr>
        <w:pStyle w:val="3"/>
        <w:rPr>
          <w:rFonts w:ascii="Times New Roman" w:hAnsi="Times New Roman" w:cs="Times New Roman"/>
          <w:sz w:val="24"/>
          <w:szCs w:val="24"/>
        </w:rPr>
      </w:pPr>
      <w:bookmarkStart w:id="12" w:name="_Toc98277010"/>
      <w:r>
        <w:rPr>
          <w:rFonts w:ascii="Times New Roman" w:hAnsi="Times New Roman" w:cs="Times New Roman"/>
          <w:sz w:val="24"/>
          <w:szCs w:val="24"/>
        </w:rPr>
        <w:t>3.2 Suppliers</w:t>
      </w:r>
      <w:bookmarkEnd w:id="12"/>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Marriott has a variety of suppliers, including disposable consumables, linen washing, food and other raw material supply, hardware facilities, etc. most of these products do not need special customisation. Marriott has a large purchase volume and has formed a certain scale effect. For suppliers, the cost of products being replaced is low, and the market is plagued by fierce competition. Therefore, Marriott is in a favorable position in procurement negotiations, and the bargaining power of suppliers is weak. </w:t>
      </w:r>
    </w:p>
    <w:p>
      <w:pPr>
        <w:pStyle w:val="3"/>
        <w:rPr>
          <w:rFonts w:ascii="Times New Roman" w:hAnsi="Times New Roman" w:cs="Times New Roman"/>
          <w:sz w:val="24"/>
          <w:szCs w:val="24"/>
        </w:rPr>
      </w:pPr>
      <w:bookmarkStart w:id="13" w:name="_Toc98277011"/>
      <w:r>
        <w:rPr>
          <w:rFonts w:ascii="Times New Roman" w:hAnsi="Times New Roman" w:cs="Times New Roman"/>
          <w:sz w:val="24"/>
          <w:szCs w:val="24"/>
        </w:rPr>
        <w:t>3.3 Buyers</w:t>
      </w:r>
      <w:bookmarkEnd w:id="13"/>
    </w:p>
    <w:p>
      <w:pPr>
        <w:spacing w:after="312" w:afterLines="100" w:line="360" w:lineRule="auto"/>
        <w:rPr>
          <w:rFonts w:ascii="Times New Roman" w:hAnsi="Times New Roman" w:cs="Times New Roman"/>
          <w:sz w:val="24"/>
        </w:rPr>
      </w:pPr>
      <w:r>
        <w:rPr>
          <w:rFonts w:ascii="Times New Roman" w:hAnsi="Times New Roman" w:cs="Times New Roman"/>
          <w:sz w:val="24"/>
        </w:rPr>
        <w:t>Consumers mainly affect the profitability of existing enterprises by lowering prices or asking for higher products and services (Zhang et al., 2018). COVID-19 epidemic in 2020 led to a sharp decline in non-rigid demand for leisure and vacation, oversupply in the overall market and intensified market competition (Jacobsen et al., 2021). Customers naturally seek a better service experience at a lower price with more choices. Therefore, the bargaining power of buyers has increased.</w:t>
      </w:r>
    </w:p>
    <w:p>
      <w:pPr>
        <w:pStyle w:val="3"/>
        <w:rPr>
          <w:rFonts w:ascii="Times New Roman" w:hAnsi="Times New Roman" w:cs="Times New Roman"/>
          <w:sz w:val="24"/>
          <w:szCs w:val="24"/>
        </w:rPr>
      </w:pPr>
      <w:bookmarkStart w:id="14" w:name="_Toc98277012"/>
      <w:r>
        <w:rPr>
          <w:rFonts w:ascii="Times New Roman" w:hAnsi="Times New Roman" w:cs="Times New Roman"/>
          <w:sz w:val="24"/>
          <w:szCs w:val="24"/>
        </w:rPr>
        <w:t>3.4 New entrants</w:t>
      </w:r>
      <w:bookmarkEnd w:id="14"/>
    </w:p>
    <w:p>
      <w:pPr>
        <w:spacing w:after="312" w:afterLines="100" w:line="360" w:lineRule="auto"/>
        <w:rPr>
          <w:rFonts w:ascii="Times New Roman" w:hAnsi="Times New Roman" w:cs="Times New Roman"/>
          <w:sz w:val="24"/>
        </w:rPr>
      </w:pPr>
      <w:r>
        <w:rPr>
          <w:rFonts w:ascii="Times New Roman" w:hAnsi="Times New Roman" w:cs="Times New Roman"/>
          <w:sz w:val="24"/>
        </w:rPr>
        <w:t>Consumers are no longer satisfied with simple accommodation needs, but more pursue personalised and customised products and services (Kim and Han, 2020). In recent years, there have been more and more mid-range hotels. They cater to the needs of middle-class consumers through faster product updates and iterations. Their unique design style and considerate service attract many consumers, posing a significant threat to Marriott.</w:t>
      </w:r>
    </w:p>
    <w:p>
      <w:pPr>
        <w:pStyle w:val="3"/>
        <w:rPr>
          <w:rFonts w:ascii="Times New Roman" w:hAnsi="Times New Roman" w:cs="Times New Roman"/>
          <w:sz w:val="24"/>
          <w:szCs w:val="24"/>
        </w:rPr>
      </w:pPr>
      <w:bookmarkStart w:id="15" w:name="_Toc98277013"/>
      <w:r>
        <w:rPr>
          <w:rFonts w:ascii="Times New Roman" w:hAnsi="Times New Roman" w:cs="Times New Roman"/>
          <w:sz w:val="24"/>
          <w:szCs w:val="24"/>
        </w:rPr>
        <w:t>3.5 Substitutes</w:t>
      </w:r>
      <w:bookmarkEnd w:id="15"/>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As a new accommodation mode, short apartment rent is more and more accepted by consumers, and its price is more economical than star hotels. The high-end apartment is equipped with TV, washing machine, water heater, refrigerator, computer and other facilities, which has attracted many customers who pay attention to emotional demands. In addition, the explosion of COVID-19 accelerated the popularity of online conferences (Blanchard, 2021). The online meeting breaks the limitation of space distance and significantly improves work efficiency. With the development of 5G communication technology, the trend of online conferences replacing traditional conferences is becoming more and more obvious, which has a certain impact and challenge on the hotel conference market. </w:t>
      </w:r>
    </w:p>
    <w:p>
      <w:pPr>
        <w:pStyle w:val="2"/>
        <w:rPr>
          <w:rFonts w:ascii="Times New Roman" w:hAnsi="Times New Roman" w:cs="Times New Roman"/>
          <w:sz w:val="28"/>
          <w:szCs w:val="28"/>
        </w:rPr>
      </w:pPr>
      <w:bookmarkStart w:id="16" w:name="_Toc98277014"/>
      <w:r>
        <w:rPr>
          <w:rFonts w:ascii="Times New Roman" w:hAnsi="Times New Roman" w:cs="Times New Roman"/>
          <w:sz w:val="28"/>
          <w:szCs w:val="28"/>
        </w:rPr>
        <w:t>4. VRIO Analysis</w:t>
      </w:r>
      <w:bookmarkEnd w:id="16"/>
    </w:p>
    <w:p>
      <w:pPr>
        <w:spacing w:after="312" w:afterLines="100" w:line="360" w:lineRule="auto"/>
        <w:rPr>
          <w:rFonts w:ascii="Times New Roman" w:hAnsi="Times New Roman" w:cs="Times New Roman"/>
          <w:sz w:val="24"/>
        </w:rPr>
      </w:pPr>
      <w:r>
        <w:rPr>
          <w:rFonts w:ascii="Times New Roman" w:hAnsi="Times New Roman" w:cs="Times New Roman"/>
          <w:sz w:val="24"/>
        </w:rPr>
        <w:t>VRIO framework is a tool to analyse enterprises' competitive advantages and weaknesses according to their internal resources and capabilities (Madsen, 2022). Based on the value, rarity, inimitability and organisation of Marriott's resources or capabilities, this paper examines whether they help the hotel develop opportunities and resolve threats in the external environment and whether they are easy to grasp and imitate by competitors.</w:t>
      </w:r>
    </w:p>
    <w:p>
      <w:pPr>
        <w:spacing w:after="312" w:afterLines="100" w:line="360" w:lineRule="auto"/>
        <w:rPr>
          <w:rFonts w:ascii="Times New Roman" w:hAnsi="Times New Roman" w:cs="Times New Roman"/>
          <w:sz w:val="24"/>
        </w:rPr>
      </w:pPr>
      <w:r>
        <w:rPr>
          <w:rFonts w:ascii="Times New Roman" w:hAnsi="Times New Roman" w:cs="Times New Roman"/>
          <w:sz w:val="24"/>
        </w:rPr>
        <w:t>Table 1 VRIO Analysis</w:t>
      </w:r>
    </w:p>
    <w:tbl>
      <w:tblPr>
        <w:tblStyle w:val="7"/>
        <w:tblW w:w="0" w:type="auto"/>
        <w:tblInd w:w="0" w:type="dxa"/>
        <w:tblLayout w:type="autofit"/>
        <w:tblCellMar>
          <w:top w:w="0" w:type="dxa"/>
          <w:left w:w="0" w:type="dxa"/>
          <w:bottom w:w="0" w:type="dxa"/>
          <w:right w:w="0" w:type="dxa"/>
        </w:tblCellMar>
      </w:tblPr>
      <w:tblGrid>
        <w:gridCol w:w="2967"/>
        <w:gridCol w:w="1418"/>
        <w:gridCol w:w="1134"/>
        <w:gridCol w:w="1315"/>
        <w:gridCol w:w="1452"/>
      </w:tblGrid>
      <w:tr>
        <w:tblPrEx>
          <w:tblCellMar>
            <w:top w:w="0" w:type="dxa"/>
            <w:left w:w="0" w:type="dxa"/>
            <w:bottom w:w="0" w:type="dxa"/>
            <w:right w:w="0" w:type="dxa"/>
          </w:tblCellMar>
        </w:tblPrEx>
        <w:tc>
          <w:tcPr>
            <w:tcW w:w="2967"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pPr>
              <w:spacing w:line="360" w:lineRule="auto"/>
              <w:rPr>
                <w:rFonts w:ascii="Times New Roman" w:hAnsi="Times New Roman" w:cs="Times New Roman"/>
                <w:sz w:val="24"/>
              </w:rPr>
            </w:pPr>
            <w:r>
              <w:rPr>
                <w:rFonts w:ascii="Times New Roman" w:hAnsi="Times New Roman" w:cs="Times New Roman"/>
                <w:sz w:val="24"/>
              </w:rPr>
              <w:t> </w:t>
            </w:r>
          </w:p>
        </w:tc>
        <w:tc>
          <w:tcPr>
            <w:tcW w:w="1418" w:type="dxa"/>
            <w:tcBorders>
              <w:top w:val="single" w:color="auto" w:sz="8" w:space="0"/>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Valuable</w:t>
            </w:r>
          </w:p>
        </w:tc>
        <w:tc>
          <w:tcPr>
            <w:tcW w:w="1134" w:type="dxa"/>
            <w:tcBorders>
              <w:top w:val="single" w:color="auto" w:sz="8" w:space="0"/>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Rare</w:t>
            </w:r>
          </w:p>
        </w:tc>
        <w:tc>
          <w:tcPr>
            <w:tcW w:w="1315" w:type="dxa"/>
            <w:tcBorders>
              <w:top w:val="single" w:color="auto" w:sz="8" w:space="0"/>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Inimitable</w:t>
            </w:r>
          </w:p>
        </w:tc>
        <w:tc>
          <w:tcPr>
            <w:tcW w:w="1452" w:type="dxa"/>
            <w:tcBorders>
              <w:top w:val="single" w:color="auto" w:sz="8" w:space="0"/>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Organisation</w:t>
            </w:r>
          </w:p>
        </w:tc>
      </w:tr>
      <w:tr>
        <w:tblPrEx>
          <w:tblCellMar>
            <w:top w:w="0" w:type="dxa"/>
            <w:left w:w="0" w:type="dxa"/>
            <w:bottom w:w="0" w:type="dxa"/>
            <w:right w:w="0" w:type="dxa"/>
          </w:tblCellMar>
        </w:tblPrEx>
        <w:tc>
          <w:tcPr>
            <w:tcW w:w="2967"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spacing w:line="360" w:lineRule="auto"/>
              <w:rPr>
                <w:rFonts w:ascii="Times New Roman" w:hAnsi="Times New Roman" w:cs="Times New Roman"/>
                <w:sz w:val="24"/>
              </w:rPr>
            </w:pPr>
            <w:r>
              <w:rPr>
                <w:rStyle w:val="11"/>
                <w:rFonts w:ascii="Times New Roman" w:hAnsi="Times New Roman" w:cs="Times New Roman"/>
                <w:sz w:val="24"/>
              </w:rPr>
              <w:t>Human resources</w:t>
            </w:r>
          </w:p>
        </w:tc>
        <w:tc>
          <w:tcPr>
            <w:tcW w:w="1418"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c>
          <w:tcPr>
            <w:tcW w:w="1134"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No</w:t>
            </w:r>
          </w:p>
        </w:tc>
        <w:tc>
          <w:tcPr>
            <w:tcW w:w="1315"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No</w:t>
            </w:r>
          </w:p>
        </w:tc>
        <w:tc>
          <w:tcPr>
            <w:tcW w:w="1452"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No</w:t>
            </w:r>
          </w:p>
        </w:tc>
      </w:tr>
      <w:tr>
        <w:tblPrEx>
          <w:tblCellMar>
            <w:top w:w="0" w:type="dxa"/>
            <w:left w:w="0" w:type="dxa"/>
            <w:bottom w:w="0" w:type="dxa"/>
            <w:right w:w="0" w:type="dxa"/>
          </w:tblCellMar>
        </w:tblPrEx>
        <w:tc>
          <w:tcPr>
            <w:tcW w:w="2967"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spacing w:line="360" w:lineRule="auto"/>
              <w:rPr>
                <w:rFonts w:ascii="Times New Roman" w:hAnsi="Times New Roman" w:cs="Times New Roman"/>
                <w:sz w:val="24"/>
              </w:rPr>
            </w:pPr>
            <w:r>
              <w:rPr>
                <w:rStyle w:val="11"/>
                <w:rFonts w:ascii="Times New Roman" w:hAnsi="Times New Roman" w:cs="Times New Roman"/>
                <w:sz w:val="24"/>
              </w:rPr>
              <w:t>Financial capacity</w:t>
            </w:r>
          </w:p>
        </w:tc>
        <w:tc>
          <w:tcPr>
            <w:tcW w:w="1418"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c>
          <w:tcPr>
            <w:tcW w:w="1134"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No</w:t>
            </w:r>
          </w:p>
        </w:tc>
        <w:tc>
          <w:tcPr>
            <w:tcW w:w="1315"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No</w:t>
            </w:r>
          </w:p>
        </w:tc>
        <w:tc>
          <w:tcPr>
            <w:tcW w:w="1452"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r>
      <w:tr>
        <w:tblPrEx>
          <w:tblCellMar>
            <w:top w:w="0" w:type="dxa"/>
            <w:left w:w="0" w:type="dxa"/>
            <w:bottom w:w="0" w:type="dxa"/>
            <w:right w:w="0" w:type="dxa"/>
          </w:tblCellMar>
        </w:tblPrEx>
        <w:tc>
          <w:tcPr>
            <w:tcW w:w="2967"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spacing w:line="360" w:lineRule="auto"/>
              <w:rPr>
                <w:rFonts w:ascii="Times New Roman" w:hAnsi="Times New Roman" w:cs="Times New Roman"/>
                <w:sz w:val="24"/>
              </w:rPr>
            </w:pPr>
            <w:r>
              <w:rPr>
                <w:rStyle w:val="11"/>
                <w:rFonts w:ascii="Times New Roman" w:hAnsi="Times New Roman" w:cs="Times New Roman"/>
                <w:sz w:val="24"/>
              </w:rPr>
              <w:t>Basic material capability</w:t>
            </w:r>
          </w:p>
        </w:tc>
        <w:tc>
          <w:tcPr>
            <w:tcW w:w="1418"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c>
          <w:tcPr>
            <w:tcW w:w="1134"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No</w:t>
            </w:r>
          </w:p>
        </w:tc>
        <w:tc>
          <w:tcPr>
            <w:tcW w:w="1315"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No</w:t>
            </w:r>
          </w:p>
        </w:tc>
        <w:tc>
          <w:tcPr>
            <w:tcW w:w="1452"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No</w:t>
            </w:r>
          </w:p>
        </w:tc>
      </w:tr>
      <w:tr>
        <w:tblPrEx>
          <w:tblCellMar>
            <w:top w:w="0" w:type="dxa"/>
            <w:left w:w="0" w:type="dxa"/>
            <w:bottom w:w="0" w:type="dxa"/>
            <w:right w:w="0" w:type="dxa"/>
          </w:tblCellMar>
        </w:tblPrEx>
        <w:tc>
          <w:tcPr>
            <w:tcW w:w="2967"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spacing w:line="360" w:lineRule="auto"/>
              <w:rPr>
                <w:rFonts w:ascii="Times New Roman" w:hAnsi="Times New Roman" w:cs="Times New Roman"/>
                <w:sz w:val="24"/>
              </w:rPr>
            </w:pPr>
            <w:r>
              <w:rPr>
                <w:rStyle w:val="11"/>
                <w:rFonts w:ascii="Times New Roman" w:hAnsi="Times New Roman" w:cs="Times New Roman"/>
                <w:sz w:val="24"/>
              </w:rPr>
              <w:t>Brand culture</w:t>
            </w:r>
          </w:p>
        </w:tc>
        <w:tc>
          <w:tcPr>
            <w:tcW w:w="1418"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c>
          <w:tcPr>
            <w:tcW w:w="1134"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c>
          <w:tcPr>
            <w:tcW w:w="1315"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c>
          <w:tcPr>
            <w:tcW w:w="1452"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r>
      <w:tr>
        <w:tblPrEx>
          <w:tblCellMar>
            <w:top w:w="0" w:type="dxa"/>
            <w:left w:w="0" w:type="dxa"/>
            <w:bottom w:w="0" w:type="dxa"/>
            <w:right w:w="0" w:type="dxa"/>
          </w:tblCellMar>
        </w:tblPrEx>
        <w:tc>
          <w:tcPr>
            <w:tcW w:w="2967"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spacing w:line="360" w:lineRule="auto"/>
              <w:rPr>
                <w:rFonts w:ascii="Times New Roman" w:hAnsi="Times New Roman" w:cs="Times New Roman"/>
                <w:sz w:val="24"/>
              </w:rPr>
            </w:pPr>
            <w:r>
              <w:rPr>
                <w:rStyle w:val="11"/>
                <w:rFonts w:ascii="Times New Roman" w:hAnsi="Times New Roman" w:cs="Times New Roman"/>
                <w:sz w:val="24"/>
              </w:rPr>
              <w:t>Market operation ability</w:t>
            </w:r>
          </w:p>
        </w:tc>
        <w:tc>
          <w:tcPr>
            <w:tcW w:w="1418"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c>
          <w:tcPr>
            <w:tcW w:w="1134"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c>
          <w:tcPr>
            <w:tcW w:w="1315"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No</w:t>
            </w:r>
          </w:p>
        </w:tc>
        <w:tc>
          <w:tcPr>
            <w:tcW w:w="1452"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r>
      <w:tr>
        <w:tblPrEx>
          <w:tblCellMar>
            <w:top w:w="0" w:type="dxa"/>
            <w:left w:w="0" w:type="dxa"/>
            <w:bottom w:w="0" w:type="dxa"/>
            <w:right w:w="0" w:type="dxa"/>
          </w:tblCellMar>
        </w:tblPrEx>
        <w:tc>
          <w:tcPr>
            <w:tcW w:w="2967"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spacing w:line="360" w:lineRule="auto"/>
              <w:rPr>
                <w:rFonts w:ascii="Times New Roman" w:hAnsi="Times New Roman" w:cs="Times New Roman"/>
                <w:sz w:val="24"/>
              </w:rPr>
            </w:pPr>
            <w:r>
              <w:rPr>
                <w:rStyle w:val="11"/>
                <w:rFonts w:ascii="Times New Roman" w:hAnsi="Times New Roman" w:cs="Times New Roman"/>
                <w:sz w:val="24"/>
              </w:rPr>
              <w:t>Technical support</w:t>
            </w:r>
          </w:p>
        </w:tc>
        <w:tc>
          <w:tcPr>
            <w:tcW w:w="1418"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c>
          <w:tcPr>
            <w:tcW w:w="1134"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No</w:t>
            </w:r>
          </w:p>
        </w:tc>
        <w:tc>
          <w:tcPr>
            <w:tcW w:w="1315"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No</w:t>
            </w:r>
          </w:p>
        </w:tc>
        <w:tc>
          <w:tcPr>
            <w:tcW w:w="1452"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r>
      <w:tr>
        <w:tblPrEx>
          <w:tblCellMar>
            <w:top w:w="0" w:type="dxa"/>
            <w:left w:w="0" w:type="dxa"/>
            <w:bottom w:w="0" w:type="dxa"/>
            <w:right w:w="0" w:type="dxa"/>
          </w:tblCellMar>
        </w:tblPrEx>
        <w:tc>
          <w:tcPr>
            <w:tcW w:w="2967" w:type="dxa"/>
            <w:tcBorders>
              <w:top w:val="nil"/>
              <w:left w:val="single" w:color="auto" w:sz="8" w:space="0"/>
              <w:bottom w:val="single" w:color="auto" w:sz="8" w:space="0"/>
              <w:right w:val="single" w:color="auto" w:sz="8" w:space="0"/>
            </w:tcBorders>
            <w:tcMar>
              <w:top w:w="0" w:type="dxa"/>
              <w:left w:w="108" w:type="dxa"/>
              <w:bottom w:w="0" w:type="dxa"/>
              <w:right w:w="108" w:type="dxa"/>
            </w:tcMar>
          </w:tcPr>
          <w:p>
            <w:pPr>
              <w:spacing w:line="360" w:lineRule="auto"/>
              <w:rPr>
                <w:rFonts w:ascii="Times New Roman" w:hAnsi="Times New Roman" w:cs="Times New Roman"/>
                <w:sz w:val="24"/>
              </w:rPr>
            </w:pPr>
            <w:r>
              <w:rPr>
                <w:rStyle w:val="11"/>
                <w:rFonts w:ascii="Times New Roman" w:hAnsi="Times New Roman" w:cs="Times New Roman"/>
                <w:sz w:val="24"/>
              </w:rPr>
              <w:t>Management system</w:t>
            </w:r>
          </w:p>
        </w:tc>
        <w:tc>
          <w:tcPr>
            <w:tcW w:w="1418"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c>
          <w:tcPr>
            <w:tcW w:w="1134"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c>
          <w:tcPr>
            <w:tcW w:w="1315"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c>
          <w:tcPr>
            <w:tcW w:w="1452" w:type="dxa"/>
            <w:tcBorders>
              <w:top w:val="nil"/>
              <w:left w:val="nil"/>
              <w:bottom w:val="single" w:color="auto" w:sz="8" w:space="0"/>
              <w:right w:val="single" w:color="auto" w:sz="8" w:space="0"/>
            </w:tcBorders>
            <w:tcMar>
              <w:top w:w="0" w:type="dxa"/>
              <w:left w:w="108" w:type="dxa"/>
              <w:bottom w:w="0" w:type="dxa"/>
              <w:right w:w="108" w:type="dxa"/>
            </w:tcMar>
          </w:tcPr>
          <w:p>
            <w:pPr>
              <w:spacing w:line="360" w:lineRule="auto"/>
              <w:jc w:val="center"/>
              <w:rPr>
                <w:rFonts w:ascii="Times New Roman" w:hAnsi="Times New Roman" w:cs="Times New Roman"/>
                <w:sz w:val="24"/>
              </w:rPr>
            </w:pPr>
            <w:r>
              <w:rPr>
                <w:rStyle w:val="11"/>
                <w:rFonts w:ascii="Times New Roman" w:hAnsi="Times New Roman" w:cs="Times New Roman"/>
                <w:sz w:val="24"/>
              </w:rPr>
              <w:t>Yes</w:t>
            </w:r>
          </w:p>
        </w:tc>
      </w:tr>
    </w:tbl>
    <w:p>
      <w:pPr>
        <w:spacing w:after="312" w:afterLines="100" w:line="360" w:lineRule="auto"/>
        <w:rPr>
          <w:rFonts w:ascii="Times New Roman" w:hAnsi="Times New Roman" w:cs="Times New Roman"/>
          <w:sz w:val="24"/>
        </w:rPr>
      </w:pPr>
      <w:r>
        <w:rPr>
          <w:rFonts w:ascii="Times New Roman" w:hAnsi="Times New Roman" w:cs="Times New Roman"/>
          <w:sz w:val="24"/>
        </w:rPr>
        <w:t>Source: Al-Zoubil and Alomari (2017); Naumov (2019).</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According to VRIO analysis, Marriott’s human resources, financial capacity and basic material capability are valuable, but not obviously competitive. The market operation ability and new technology application ability represented by expansion, marketing and customer source mining are valuable and rare, and have a temporary competitive advantage. </w:t>
      </w:r>
    </w:p>
    <w:p>
      <w:pPr>
        <w:spacing w:after="312" w:afterLines="100" w:line="360" w:lineRule="auto"/>
        <w:rPr>
          <w:rFonts w:ascii="Times New Roman" w:hAnsi="Times New Roman" w:cs="Times New Roman"/>
          <w:sz w:val="24"/>
        </w:rPr>
      </w:pPr>
      <w:r>
        <w:rPr>
          <w:rFonts w:ascii="Times New Roman" w:hAnsi="Times New Roman" w:cs="Times New Roman"/>
          <w:sz w:val="24"/>
        </w:rPr>
        <w:t>Marriott's brand culture and management capabilities are valuable, rare and inimitable, and have sustainable competitive advantages. Marriott can comprehensively develop and utilise these valuable, rare and inimitable resources, tap its unique capabilities, and fully play its competitive advantages.</w:t>
      </w:r>
    </w:p>
    <w:p>
      <w:pPr>
        <w:spacing w:after="312" w:afterLines="100" w:line="360" w:lineRule="auto"/>
        <w:rPr>
          <w:rFonts w:ascii="Times New Roman" w:hAnsi="Times New Roman" w:cs="Times New Roman"/>
          <w:sz w:val="24"/>
        </w:rPr>
      </w:pPr>
      <w:r>
        <w:rPr>
          <w:rFonts w:ascii="Times New Roman" w:hAnsi="Times New Roman" w:cs="Times New Roman"/>
          <w:sz w:val="24"/>
        </w:rPr>
        <w:t>Marriott accumulates the core competitiveness through continuous learning and information sharing. In long-term operation and lean management, marginal search and path dependence play a vital role. At the same time, the company's reputation cannot be transferred, and the business model of lean management is not easy to be imitated. The service satisfaction and consumer preference obtained by various channels also provide a competitive advantage for Marriott.</w:t>
      </w:r>
    </w:p>
    <w:p>
      <w:pPr>
        <w:pStyle w:val="2"/>
        <w:rPr>
          <w:rFonts w:ascii="Times New Roman" w:hAnsi="Times New Roman" w:cs="Times New Roman"/>
          <w:sz w:val="28"/>
          <w:szCs w:val="28"/>
        </w:rPr>
      </w:pPr>
      <w:bookmarkStart w:id="17" w:name="_Toc98277015"/>
      <w:r>
        <w:rPr>
          <w:rFonts w:ascii="Times New Roman" w:hAnsi="Times New Roman" w:cs="Times New Roman"/>
          <w:sz w:val="28"/>
          <w:szCs w:val="28"/>
        </w:rPr>
        <w:t>5. SWOT Analysis</w:t>
      </w:r>
      <w:bookmarkEnd w:id="17"/>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SWOT analysis can help enterprises identify their strengths and weaknesses, understand the external market environment's opportunities and threats, and help enterprises formulate the future strategic direction more clearly (Benzaghta et al., 2021). The strengths and weaknesses are mainly the comparisons between the enterprise and its competitors, while the opportunities and threats are to pay attention to the impact of external environmental changes on the enterprise. </w:t>
      </w:r>
    </w:p>
    <w:p>
      <w:pPr>
        <w:pStyle w:val="3"/>
        <w:rPr>
          <w:rFonts w:ascii="Times New Roman" w:hAnsi="Times New Roman" w:cs="Times New Roman"/>
          <w:sz w:val="24"/>
          <w:szCs w:val="24"/>
        </w:rPr>
      </w:pPr>
      <w:bookmarkStart w:id="18" w:name="_Toc98277016"/>
      <w:r>
        <w:rPr>
          <w:rFonts w:ascii="Times New Roman" w:hAnsi="Times New Roman" w:cs="Times New Roman"/>
          <w:sz w:val="24"/>
          <w:szCs w:val="24"/>
        </w:rPr>
        <w:t>5.1 Strengths</w:t>
      </w:r>
      <w:bookmarkEnd w:id="18"/>
    </w:p>
    <w:p>
      <w:pPr>
        <w:pStyle w:val="12"/>
        <w:numPr>
          <w:ilvl w:val="0"/>
          <w:numId w:val="1"/>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 xml:space="preserve">Marriott has complete and advanced facilities, and its hardware conditions are ahead of similar hotels (Naumov, 2019). </w:t>
      </w:r>
    </w:p>
    <w:p>
      <w:pPr>
        <w:pStyle w:val="12"/>
        <w:numPr>
          <w:ilvl w:val="0"/>
          <w:numId w:val="1"/>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 xml:space="preserve">It has obvious brand advantages and is deeply favored by consumers. </w:t>
      </w:r>
    </w:p>
    <w:p>
      <w:pPr>
        <w:pStyle w:val="12"/>
        <w:numPr>
          <w:ilvl w:val="0"/>
          <w:numId w:val="1"/>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 xml:space="preserve">It has a comprehensive business scope, involving catering, accommodation, leisure and entertainment and other aspects (Naumov, 2019). </w:t>
      </w:r>
    </w:p>
    <w:p>
      <w:pPr>
        <w:pStyle w:val="12"/>
        <w:numPr>
          <w:ilvl w:val="0"/>
          <w:numId w:val="1"/>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 xml:space="preserve">It has a relatively stable source of customers, high-quality service and rich experience. </w:t>
      </w:r>
    </w:p>
    <w:p>
      <w:pPr>
        <w:pStyle w:val="12"/>
        <w:numPr>
          <w:ilvl w:val="0"/>
          <w:numId w:val="1"/>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With stable capital sources and large assets, it has a strong ability to resist epidemic risks.</w:t>
      </w:r>
    </w:p>
    <w:p>
      <w:pPr>
        <w:pStyle w:val="3"/>
        <w:rPr>
          <w:rFonts w:ascii="Times New Roman" w:hAnsi="Times New Roman" w:cs="Times New Roman"/>
          <w:sz w:val="24"/>
          <w:szCs w:val="24"/>
        </w:rPr>
      </w:pPr>
      <w:bookmarkStart w:id="19" w:name="_Toc98277017"/>
      <w:r>
        <w:rPr>
          <w:rFonts w:ascii="Times New Roman" w:hAnsi="Times New Roman" w:cs="Times New Roman"/>
          <w:sz w:val="24"/>
          <w:szCs w:val="24"/>
        </w:rPr>
        <w:t>5.2 Weaknesses</w:t>
      </w:r>
      <w:bookmarkEnd w:id="19"/>
    </w:p>
    <w:p>
      <w:pPr>
        <w:pStyle w:val="12"/>
        <w:numPr>
          <w:ilvl w:val="0"/>
          <w:numId w:val="2"/>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 xml:space="preserve">Marriott's costs are high compared with some of its competitors. (Al-Zoubil and Alomari, 2017). </w:t>
      </w:r>
    </w:p>
    <w:p>
      <w:pPr>
        <w:pStyle w:val="12"/>
        <w:numPr>
          <w:ilvl w:val="0"/>
          <w:numId w:val="2"/>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 xml:space="preserve">Due to the shortage of human resources in the service industry, some Marriott hotels have low service standards and need to improve and strengthen service quality (Naumov, 2019). </w:t>
      </w:r>
    </w:p>
    <w:p>
      <w:pPr>
        <w:pStyle w:val="3"/>
        <w:rPr>
          <w:rFonts w:ascii="Times New Roman" w:hAnsi="Times New Roman" w:cs="Times New Roman"/>
          <w:sz w:val="24"/>
          <w:szCs w:val="24"/>
        </w:rPr>
      </w:pPr>
      <w:bookmarkStart w:id="20" w:name="_Toc98277018"/>
      <w:r>
        <w:rPr>
          <w:rFonts w:ascii="Times New Roman" w:hAnsi="Times New Roman" w:cs="Times New Roman"/>
          <w:sz w:val="24"/>
          <w:szCs w:val="24"/>
        </w:rPr>
        <w:t>5.3 Opportunities</w:t>
      </w:r>
      <w:bookmarkEnd w:id="20"/>
    </w:p>
    <w:p>
      <w:pPr>
        <w:pStyle w:val="12"/>
        <w:numPr>
          <w:ilvl w:val="0"/>
          <w:numId w:val="3"/>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 xml:space="preserve">The outbreak of COVID-19 has had a significant impact on the tourism industry. Governments have issued a series of policies to promote the recovery of the tourism market (Lu, 2020). </w:t>
      </w:r>
    </w:p>
    <w:p>
      <w:pPr>
        <w:pStyle w:val="12"/>
        <w:numPr>
          <w:ilvl w:val="0"/>
          <w:numId w:val="3"/>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 xml:space="preserve">Entering the era of big data, the continuous popularisation of Internet technology has brought opportunities for the hotel industry to use network channels to create profits (Infante-Moro, Infante-Moro and Gallardo-Pérez, 2021). </w:t>
      </w:r>
    </w:p>
    <w:p>
      <w:pPr>
        <w:pStyle w:val="12"/>
        <w:numPr>
          <w:ilvl w:val="0"/>
          <w:numId w:val="3"/>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The development of artificial intelligence helps hotels better meet current consumers' "contactless" service needs (Lau, 2020)</w:t>
      </w:r>
    </w:p>
    <w:p>
      <w:pPr>
        <w:pStyle w:val="3"/>
        <w:rPr>
          <w:rFonts w:ascii="Times New Roman" w:hAnsi="Times New Roman" w:cs="Times New Roman"/>
          <w:sz w:val="24"/>
          <w:szCs w:val="24"/>
        </w:rPr>
      </w:pPr>
      <w:bookmarkStart w:id="21" w:name="_Toc98277019"/>
      <w:r>
        <w:rPr>
          <w:rFonts w:ascii="Times New Roman" w:hAnsi="Times New Roman" w:cs="Times New Roman"/>
          <w:sz w:val="24"/>
          <w:szCs w:val="24"/>
        </w:rPr>
        <w:t>5.4 Threats</w:t>
      </w:r>
      <w:bookmarkEnd w:id="21"/>
    </w:p>
    <w:p>
      <w:pPr>
        <w:pStyle w:val="12"/>
        <w:numPr>
          <w:ilvl w:val="0"/>
          <w:numId w:val="4"/>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 xml:space="preserve">COVID-19 makes consumers’ consumption more rational and pays more attention to the health status of hotel supplies, which makes the hotel industry adjust to cope with the changing consumer market (Bonfanti, Vigolo and Yfantidou, 2021). </w:t>
      </w:r>
    </w:p>
    <w:p>
      <w:pPr>
        <w:pStyle w:val="12"/>
        <w:numPr>
          <w:ilvl w:val="0"/>
          <w:numId w:val="4"/>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 xml:space="preserve">The global spread of the epidemic has limited international travel, significantly affecting Marriott Hotels. </w:t>
      </w:r>
    </w:p>
    <w:p>
      <w:pPr>
        <w:pStyle w:val="12"/>
        <w:numPr>
          <w:ilvl w:val="0"/>
          <w:numId w:val="4"/>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 xml:space="preserve">The competition among hotels will further intensify, and each hotel will improve in service, price, publicity and promotion and intelligent technology to obtain a competitive advantage. </w:t>
      </w:r>
    </w:p>
    <w:p>
      <w:pPr>
        <w:pStyle w:val="12"/>
        <w:numPr>
          <w:ilvl w:val="0"/>
          <w:numId w:val="4"/>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 xml:space="preserve">Airbnb poses a certain threat to traditional hotel groups. </w:t>
      </w:r>
    </w:p>
    <w:p>
      <w:pPr>
        <w:pStyle w:val="12"/>
        <w:numPr>
          <w:ilvl w:val="0"/>
          <w:numId w:val="4"/>
        </w:numPr>
        <w:spacing w:after="312" w:afterLines="100" w:line="360" w:lineRule="auto"/>
        <w:ind w:firstLineChars="0"/>
        <w:rPr>
          <w:rFonts w:ascii="Times New Roman" w:hAnsi="Times New Roman" w:cs="Times New Roman"/>
          <w:sz w:val="24"/>
        </w:rPr>
      </w:pPr>
      <w:r>
        <w:rPr>
          <w:rFonts w:ascii="Times New Roman" w:hAnsi="Times New Roman" w:cs="Times New Roman"/>
          <w:sz w:val="24"/>
        </w:rPr>
        <w:t xml:space="preserve">With the development of 5G communication technology, the trend of online conferences replacing traditional conferences is becoming more and more obvious, which has a certain impact and challenge on the hotel conference market (Blanchard, 2021). </w:t>
      </w:r>
    </w:p>
    <w:p>
      <w:pPr>
        <w:pStyle w:val="2"/>
        <w:rPr>
          <w:rFonts w:ascii="Times New Roman" w:hAnsi="Times New Roman" w:cs="Times New Roman"/>
          <w:sz w:val="28"/>
          <w:szCs w:val="28"/>
        </w:rPr>
      </w:pPr>
      <w:bookmarkStart w:id="22" w:name="_Toc98277020"/>
      <w:r>
        <w:rPr>
          <w:rFonts w:ascii="Times New Roman" w:hAnsi="Times New Roman" w:cs="Times New Roman"/>
          <w:sz w:val="28"/>
          <w:szCs w:val="28"/>
        </w:rPr>
        <w:t>6. Recommendations</w:t>
      </w:r>
      <w:bookmarkEnd w:id="22"/>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Under the impact of COVID-19, the hotel market environment has significantly changed. This paper puts forward the following three suggestions for Marriott Hotels. </w:t>
      </w:r>
    </w:p>
    <w:p>
      <w:pPr>
        <w:spacing w:after="312" w:afterLines="100" w:line="360" w:lineRule="auto"/>
        <w:rPr>
          <w:rFonts w:ascii="Times New Roman" w:hAnsi="Times New Roman" w:cs="Times New Roman"/>
          <w:sz w:val="24"/>
        </w:rPr>
      </w:pPr>
      <w:r>
        <w:rPr>
          <w:rFonts w:ascii="Times New Roman" w:hAnsi="Times New Roman" w:cs="Times New Roman"/>
          <w:sz w:val="24"/>
        </w:rPr>
        <w:t>(1) To highlight differentiation and characteristics</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By highlighting differentiation and improving their competitiveness, hotels gain a competitive advantage in the fierce competition (Dimitrios et al., 2020). During the epidemic period, Marriott can achieve differentiation through the following aspects. First, Marriott can provide consumers with safe, assured, and distinctive products and innovate the products' form and content. Second, Marriott can optimise the spatial layout and show the convenience and style of the hotel. Third, Marriott can create high-quality services according to the needs of consumers through service differentiation, highlighting differentiation and characteristics. For example, it can provide special toiletries and convenient furniture for infants, the elderly, the disabled and other special groups, and provide considerate and high-quality services. </w:t>
      </w:r>
    </w:p>
    <w:p>
      <w:pPr>
        <w:spacing w:after="312" w:afterLines="100" w:line="360" w:lineRule="auto"/>
        <w:rPr>
          <w:rFonts w:ascii="Times New Roman" w:hAnsi="Times New Roman" w:cs="Times New Roman"/>
          <w:sz w:val="24"/>
        </w:rPr>
      </w:pPr>
      <w:r>
        <w:rPr>
          <w:rFonts w:ascii="Times New Roman" w:hAnsi="Times New Roman" w:cs="Times New Roman"/>
          <w:sz w:val="24"/>
        </w:rPr>
        <w:t>(2) To increase investment in hotel intelligence</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The influence of COVID-19 makes consumers pay more attention to the convenience and safety of hotels during the epidemic period. Contactless service and less contact service have become the new needs of most hotel consumers (Lau, 2020). Therefore, Marriott must increase investment in intelligence and use the Internet and technology to improve its intelligent service level. For example, it can regularly disinfect the area by purchasing intelligent equipment, identify and verify the customer’s health code, temperature measurement, etc. Intelligent equipment for epidemic prevention is more secure, which helps avoid the exposure of hotel employees to external risks, and can better protect the safety of most hotel consumers. In addition, Marriott should pay more attention to using big data, artificial intelligence and 5G technology to realise contactless services. </w:t>
      </w:r>
    </w:p>
    <w:p>
      <w:pPr>
        <w:spacing w:after="312" w:afterLines="100" w:line="360" w:lineRule="auto"/>
        <w:rPr>
          <w:rFonts w:ascii="Times New Roman" w:hAnsi="Times New Roman" w:cs="Times New Roman"/>
          <w:sz w:val="24"/>
        </w:rPr>
      </w:pPr>
      <w:r>
        <w:rPr>
          <w:rFonts w:ascii="Times New Roman" w:hAnsi="Times New Roman" w:cs="Times New Roman"/>
          <w:sz w:val="24"/>
        </w:rPr>
        <w:t>(3) To use the OTA platform for marketing</w:t>
      </w:r>
    </w:p>
    <w:p>
      <w:pPr>
        <w:spacing w:after="312" w:afterLines="100" w:line="360" w:lineRule="auto"/>
        <w:rPr>
          <w:rFonts w:ascii="Times New Roman" w:hAnsi="Times New Roman" w:cs="Times New Roman"/>
          <w:sz w:val="24"/>
        </w:rPr>
      </w:pPr>
      <w:r>
        <w:rPr>
          <w:rFonts w:ascii="Times New Roman" w:hAnsi="Times New Roman" w:cs="Times New Roman"/>
          <w:sz w:val="24"/>
        </w:rPr>
        <w:t>The OTA platform connects hotels with consumers and is an important support for the hotel industry's traffic and cash flow security. During COVID-19, OTA platforms are less affected and have strong risk resistance (Guo et al., 2022).  Consumers are increasingly relying on OTA platforms because of their security and convenience. Therefore, Marriott can use the OTA platform to release information related to the hotel, carry out publicity and promotion, convey intuitive information of the hotel to the platform users, and launch special offers and preferential experience activities on the platform from time to time to improve hotel occupancy rate and increase user engagement.</w:t>
      </w:r>
    </w:p>
    <w:p>
      <w:pPr>
        <w:pStyle w:val="2"/>
        <w:rPr>
          <w:rFonts w:ascii="Times New Roman" w:hAnsi="Times New Roman" w:cs="Times New Roman"/>
          <w:sz w:val="28"/>
          <w:szCs w:val="28"/>
        </w:rPr>
      </w:pPr>
      <w:bookmarkStart w:id="23" w:name="_Toc98277021"/>
      <w:r>
        <w:rPr>
          <w:rFonts w:ascii="Times New Roman" w:hAnsi="Times New Roman" w:cs="Times New Roman"/>
          <w:sz w:val="28"/>
          <w:szCs w:val="28"/>
        </w:rPr>
        <w:t>7. Conclusions</w:t>
      </w:r>
      <w:bookmarkEnd w:id="23"/>
    </w:p>
    <w:p>
      <w:pPr>
        <w:spacing w:after="312" w:afterLines="100" w:line="360" w:lineRule="auto"/>
        <w:rPr>
          <w:rFonts w:ascii="Times New Roman" w:hAnsi="Times New Roman" w:cs="Times New Roman"/>
          <w:sz w:val="24"/>
        </w:rPr>
      </w:pPr>
      <w:r>
        <w:rPr>
          <w:rFonts w:ascii="Times New Roman" w:hAnsi="Times New Roman" w:cs="Times New Roman"/>
          <w:sz w:val="24"/>
        </w:rPr>
        <w:t>The outbreak of COVID-19 blocked the development of the hotel industry, which has also had a significant impact on Marriott’s business. COVID-19 has made consumer spending more rational. The global spread of COVID-19 has affected the international travel market. The new form of hotel further intensifies the competition among hotels. The trend of online meetings replacing traditional meetings poses a challenge to the hotel conference market. Marriott should make full use of its strengths and favorable opportunities to improve its management level, and at the same time, take corresponding measures to avoid the interference of unknown risks and the threat of intensified competition, so as to gain an advantageous position in the market competition. This paper suggests Marriott highlight differentiation and characteristics in operation, increase investment in intelligence and make full use of the OTA platform for marketing, to adapt to the changing environment, meet the personalised needs of consumers, and achieve sustainable development.</w:t>
      </w:r>
    </w:p>
    <w:p>
      <w:pPr>
        <w:spacing w:after="312" w:afterLines="100" w:line="360" w:lineRule="auto"/>
        <w:rPr>
          <w:rFonts w:ascii="Times New Roman" w:hAnsi="Times New Roman" w:cs="Times New Roman"/>
          <w:sz w:val="24"/>
        </w:rPr>
      </w:pPr>
    </w:p>
    <w:p>
      <w:pPr>
        <w:spacing w:after="312" w:afterLines="100" w:line="360" w:lineRule="auto"/>
        <w:rPr>
          <w:rFonts w:ascii="Times New Roman" w:hAnsi="Times New Roman" w:cs="Times New Roman"/>
          <w:sz w:val="24"/>
        </w:rPr>
      </w:pPr>
    </w:p>
    <w:p>
      <w:pPr>
        <w:spacing w:after="312" w:afterLines="100" w:line="360" w:lineRule="auto"/>
        <w:rPr>
          <w:rFonts w:ascii="Times New Roman" w:hAnsi="Times New Roman" w:cs="Times New Roman"/>
          <w:sz w:val="24"/>
        </w:rPr>
      </w:pPr>
    </w:p>
    <w:p>
      <w:pPr>
        <w:widowControl/>
        <w:jc w:val="left"/>
        <w:rPr>
          <w:rFonts w:ascii="Times New Roman" w:hAnsi="Times New Roman" w:cs="Times New Roman"/>
          <w:sz w:val="24"/>
        </w:rPr>
      </w:pPr>
      <w:r>
        <w:rPr>
          <w:rFonts w:ascii="Times New Roman" w:hAnsi="Times New Roman" w:cs="Times New Roman"/>
          <w:sz w:val="24"/>
        </w:rPr>
        <w:br w:type="page"/>
      </w:r>
    </w:p>
    <w:p>
      <w:pPr>
        <w:pStyle w:val="2"/>
        <w:rPr>
          <w:rFonts w:ascii="Times New Roman" w:hAnsi="Times New Roman" w:cs="Times New Roman"/>
          <w:sz w:val="28"/>
          <w:szCs w:val="28"/>
        </w:rPr>
      </w:pPr>
      <w:bookmarkStart w:id="24" w:name="_Toc98277022"/>
      <w:r>
        <w:rPr>
          <w:rFonts w:ascii="Times New Roman" w:hAnsi="Times New Roman" w:cs="Times New Roman"/>
          <w:sz w:val="28"/>
          <w:szCs w:val="28"/>
        </w:rPr>
        <w:t>Reference List</w:t>
      </w:r>
      <w:bookmarkEnd w:id="24"/>
    </w:p>
    <w:p>
      <w:pPr>
        <w:spacing w:after="312" w:afterLines="100" w:line="360" w:lineRule="auto"/>
        <w:rPr>
          <w:rFonts w:ascii="Times New Roman" w:hAnsi="Times New Roman" w:cs="Times New Roman"/>
          <w:sz w:val="24"/>
        </w:rPr>
      </w:pPr>
      <w:r>
        <w:rPr>
          <w:rFonts w:ascii="Times New Roman" w:hAnsi="Times New Roman" w:cs="Times New Roman"/>
          <w:sz w:val="24"/>
        </w:rPr>
        <w:t>Aithal, P. S. (2017) ‘Industry Analysis–The First Step in Business Management Scholarly Research’,</w:t>
      </w:r>
      <w:r>
        <w:rPr>
          <w:rFonts w:ascii="Times New Roman" w:hAnsi="Times New Roman" w:cs="Times New Roman"/>
          <w:i/>
          <w:iCs/>
          <w:sz w:val="24"/>
        </w:rPr>
        <w:t xml:space="preserve"> International Journal of Case Studies in Business, IT and Education (IJCSBE),</w:t>
      </w:r>
      <w:r>
        <w:rPr>
          <w:rFonts w:ascii="Times New Roman" w:hAnsi="Times New Roman" w:cs="Times New Roman"/>
          <w:sz w:val="24"/>
        </w:rPr>
        <w:t xml:space="preserve"> 1(1), pp.1-13.</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Al-Zoubil, A. F., and Alomari, M. (2017) ‘The role of internal customer in improving the quality of hotel services in Jordan: A case study of the Marriott International Hotel in Amman’, </w:t>
      </w:r>
      <w:r>
        <w:rPr>
          <w:rFonts w:ascii="Times New Roman" w:hAnsi="Times New Roman" w:cs="Times New Roman"/>
          <w:i/>
          <w:iCs/>
          <w:sz w:val="24"/>
        </w:rPr>
        <w:t>International Journal of Marketing Studies</w:t>
      </w:r>
      <w:r>
        <w:rPr>
          <w:rFonts w:ascii="Times New Roman" w:hAnsi="Times New Roman" w:cs="Times New Roman"/>
          <w:sz w:val="24"/>
        </w:rPr>
        <w:t>, 9(6), pp.82-95.</w:t>
      </w:r>
    </w:p>
    <w:p>
      <w:pPr>
        <w:spacing w:after="312" w:afterLines="100" w:line="360" w:lineRule="auto"/>
        <w:rPr>
          <w:rFonts w:ascii="Times New Roman" w:hAnsi="Times New Roman" w:cs="Times New Roman"/>
          <w:sz w:val="24"/>
        </w:rPr>
      </w:pPr>
      <w:r>
        <w:rPr>
          <w:rFonts w:ascii="Times New Roman" w:hAnsi="Times New Roman" w:cs="Times New Roman"/>
          <w:sz w:val="24"/>
        </w:rPr>
        <w:t>Bonfanti, A., Vigolo, V., and Yfantidou, G. (2021)</w:t>
      </w:r>
      <w:r>
        <w:rPr>
          <w:rFonts w:ascii="Times New Roman" w:hAnsi="Times New Roman" w:cs="Times New Roman"/>
          <w:i/>
          <w:iCs/>
          <w:sz w:val="24"/>
        </w:rPr>
        <w:t xml:space="preserve"> The impact of the COVID-19 pandemic on customer experience design: The hotel managers’ perspective.</w:t>
      </w:r>
      <w:r>
        <w:rPr>
          <w:rFonts w:ascii="Times New Roman" w:hAnsi="Times New Roman" w:cs="Times New Roman"/>
          <w:sz w:val="24"/>
        </w:rPr>
        <w:t xml:space="preserve"> Available at: https://www.sciencedirect.com/science/article/pii/S0278431921000141 (Accessed: 10 March 2022).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Bashir, M., and Verma, R. (2016) ‘Airbnb disruptive business model innovation: Assessing the impact on hotel industry’, </w:t>
      </w:r>
      <w:r>
        <w:rPr>
          <w:rFonts w:ascii="Times New Roman" w:hAnsi="Times New Roman" w:cs="Times New Roman"/>
          <w:i/>
          <w:iCs/>
          <w:sz w:val="24"/>
        </w:rPr>
        <w:t xml:space="preserve">International Journal of Applied Business and Economic Research, </w:t>
      </w:r>
      <w:r>
        <w:rPr>
          <w:rFonts w:ascii="Times New Roman" w:hAnsi="Times New Roman" w:cs="Times New Roman"/>
          <w:sz w:val="24"/>
        </w:rPr>
        <w:t>14(4), pp.2595-2604.</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Benzaghta, M. A., Elwalda, A., Mousa, M. M., Erkan, I., and Rahman, M. (2021) ‘SWOT analysis applications: An integrative literature review’, </w:t>
      </w:r>
      <w:r>
        <w:rPr>
          <w:rFonts w:ascii="Times New Roman" w:hAnsi="Times New Roman" w:cs="Times New Roman"/>
          <w:i/>
          <w:iCs/>
          <w:sz w:val="24"/>
        </w:rPr>
        <w:t xml:space="preserve">Journal of Global Business Insights, </w:t>
      </w:r>
      <w:r>
        <w:rPr>
          <w:rFonts w:ascii="Times New Roman" w:hAnsi="Times New Roman" w:cs="Times New Roman"/>
          <w:sz w:val="24"/>
        </w:rPr>
        <w:t>6(1), pp.55-73.</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Blanchard, A. L. (2021) ‘The effects of COVID-19 on virtual working within online groups’, </w:t>
      </w:r>
      <w:r>
        <w:rPr>
          <w:rFonts w:ascii="Times New Roman" w:hAnsi="Times New Roman" w:cs="Times New Roman"/>
          <w:i/>
          <w:iCs/>
          <w:sz w:val="24"/>
        </w:rPr>
        <w:t xml:space="preserve">Group Processes &amp; Intergroup Relations, </w:t>
      </w:r>
      <w:r>
        <w:rPr>
          <w:rFonts w:ascii="Times New Roman" w:hAnsi="Times New Roman" w:cs="Times New Roman"/>
          <w:sz w:val="24"/>
        </w:rPr>
        <w:t>24(2), pp.290-296.</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China Travel News (2022) </w:t>
      </w:r>
      <w:r>
        <w:rPr>
          <w:rFonts w:ascii="Times New Roman" w:hAnsi="Times New Roman" w:cs="Times New Roman"/>
          <w:i/>
          <w:iCs/>
          <w:sz w:val="24"/>
        </w:rPr>
        <w:t xml:space="preserve">IHG returns to profitability after dropping laggard hotels. </w:t>
      </w:r>
      <w:r>
        <w:rPr>
          <w:rFonts w:ascii="Times New Roman" w:hAnsi="Times New Roman" w:cs="Times New Roman"/>
          <w:sz w:val="24"/>
        </w:rPr>
        <w:t>Available at: https://www.chinatravelnews.com/article/150593 (Accessed: 11 March 2022).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Dimitrios, B., Christos, P., Ioannis, R., and Vasiliadis, L. (2020) ‘Strategic management in the hotel industry: proposed strategic practices to recover from COVID-19 global crisis’, </w:t>
      </w:r>
      <w:r>
        <w:rPr>
          <w:rFonts w:ascii="Times New Roman" w:hAnsi="Times New Roman" w:cs="Times New Roman"/>
          <w:i/>
          <w:iCs/>
          <w:sz w:val="24"/>
        </w:rPr>
        <w:t>Academic Journal of Interdisciplinary Studies</w:t>
      </w:r>
      <w:r>
        <w:rPr>
          <w:rFonts w:ascii="Times New Roman" w:hAnsi="Times New Roman" w:cs="Times New Roman"/>
          <w:sz w:val="24"/>
        </w:rPr>
        <w:t>, 9(6), pp.130-130.</w:t>
      </w:r>
    </w:p>
    <w:p>
      <w:pPr>
        <w:spacing w:after="312" w:afterLines="100" w:line="360" w:lineRule="auto"/>
        <w:rPr>
          <w:rFonts w:ascii="Times New Roman" w:hAnsi="Times New Roman" w:cs="Times New Roman"/>
          <w:sz w:val="24"/>
        </w:rPr>
      </w:pPr>
      <w:r>
        <w:rPr>
          <w:rFonts w:ascii="Times New Roman" w:hAnsi="Times New Roman" w:cs="Times New Roman"/>
          <w:sz w:val="24"/>
        </w:rPr>
        <w:t>Foo, L. P., Chin, M. Y., Tan, K. L., and Phuah, K. T. (2021) ‘The impact of COVID-19 on tourism industry in Malaysia’,</w:t>
      </w:r>
      <w:r>
        <w:rPr>
          <w:rFonts w:ascii="Times New Roman" w:hAnsi="Times New Roman" w:cs="Times New Roman"/>
          <w:i/>
          <w:iCs/>
          <w:sz w:val="24"/>
        </w:rPr>
        <w:t xml:space="preserve"> Current Issues in Tourism</w:t>
      </w:r>
      <w:r>
        <w:rPr>
          <w:rFonts w:ascii="Times New Roman" w:hAnsi="Times New Roman" w:cs="Times New Roman"/>
          <w:sz w:val="24"/>
        </w:rPr>
        <w:t>, 24(19), pp.2735-2739.</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Guo, L., Liu, K., Song, Y., and Yang, Z. (2022) ‘Recovering hotel room sales during the COVID-19 pandemic: lessons from OTA information using the quantile regression approach’, </w:t>
      </w:r>
      <w:r>
        <w:rPr>
          <w:rFonts w:ascii="Times New Roman" w:hAnsi="Times New Roman" w:cs="Times New Roman"/>
          <w:i/>
          <w:iCs/>
          <w:sz w:val="24"/>
        </w:rPr>
        <w:t xml:space="preserve">Current Issues in Tourism, </w:t>
      </w:r>
      <w:r>
        <w:rPr>
          <w:rFonts w:ascii="Times New Roman" w:hAnsi="Times New Roman" w:cs="Times New Roman"/>
          <w:sz w:val="24"/>
        </w:rPr>
        <w:t>25(1), pp.94-114.</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Infante-Moro, A., Infante-Moro, J. C., and Gallardo-Pérez, J. (2021) ‘Key Factors in the Implementation of the Internet of Things in the Hotel Sector’, </w:t>
      </w:r>
      <w:r>
        <w:rPr>
          <w:rFonts w:ascii="Times New Roman" w:hAnsi="Times New Roman" w:cs="Times New Roman"/>
          <w:i/>
          <w:iCs/>
          <w:sz w:val="24"/>
        </w:rPr>
        <w:t xml:space="preserve">Applied Sciences, </w:t>
      </w:r>
      <w:r>
        <w:rPr>
          <w:rFonts w:ascii="Times New Roman" w:hAnsi="Times New Roman" w:cs="Times New Roman"/>
          <w:sz w:val="24"/>
        </w:rPr>
        <w:t>11(7), pp.1-14.</w:t>
      </w:r>
    </w:p>
    <w:p>
      <w:pPr>
        <w:spacing w:after="312" w:afterLines="100" w:line="360" w:lineRule="auto"/>
        <w:rPr>
          <w:rFonts w:ascii="Times New Roman" w:hAnsi="Times New Roman" w:cs="Times New Roman"/>
          <w:sz w:val="24"/>
        </w:rPr>
      </w:pPr>
      <w:r>
        <w:rPr>
          <w:rFonts w:ascii="Times New Roman" w:hAnsi="Times New Roman" w:cs="Times New Roman"/>
          <w:sz w:val="24"/>
        </w:rPr>
        <w:t>Jiang, Y., and Wen, J. (2020) ‘Effects of COVID-19 on hotel marketing and management: a perspective article’</w:t>
      </w:r>
      <w:r>
        <w:rPr>
          <w:rFonts w:hint="eastAsia" w:ascii="Times New Roman" w:hAnsi="Times New Roman" w:cs="Times New Roman"/>
          <w:sz w:val="24"/>
        </w:rPr>
        <w:t>,</w:t>
      </w:r>
      <w:r>
        <w:rPr>
          <w:rFonts w:ascii="Times New Roman" w:hAnsi="Times New Roman" w:cs="Times New Roman"/>
          <w:sz w:val="24"/>
        </w:rPr>
        <w:t xml:space="preserve"> </w:t>
      </w:r>
      <w:r>
        <w:rPr>
          <w:rFonts w:ascii="Times New Roman" w:hAnsi="Times New Roman" w:cs="Times New Roman"/>
          <w:i/>
          <w:iCs/>
          <w:sz w:val="24"/>
        </w:rPr>
        <w:t xml:space="preserve">International Journal of Contemporary Hospitality Management, </w:t>
      </w:r>
      <w:r>
        <w:rPr>
          <w:rFonts w:ascii="Times New Roman" w:hAnsi="Times New Roman" w:cs="Times New Roman"/>
          <w:sz w:val="24"/>
        </w:rPr>
        <w:t>32(8), pp.2563-2573.</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Jacobsen, J. K. S., Farstad, E., Higham, J., Hopkins, D., and Landa-Mata, I. (2021) ‘Travel discontinuities, enforced holidaying-at-home and alternative leisure travel futures after COVID-19’, </w:t>
      </w:r>
      <w:r>
        <w:rPr>
          <w:rFonts w:ascii="Times New Roman" w:hAnsi="Times New Roman" w:cs="Times New Roman"/>
          <w:i/>
          <w:iCs/>
          <w:sz w:val="24"/>
        </w:rPr>
        <w:t>Tourism Geographies,</w:t>
      </w:r>
      <w:r>
        <w:rPr>
          <w:rFonts w:ascii="Times New Roman" w:hAnsi="Times New Roman" w:cs="Times New Roman"/>
          <w:sz w:val="24"/>
        </w:rPr>
        <w:t xml:space="preserve"> 1, pp.1-19.</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Kaye, D. (2022) </w:t>
      </w:r>
      <w:r>
        <w:rPr>
          <w:rFonts w:ascii="Times New Roman" w:hAnsi="Times New Roman" w:cs="Times New Roman"/>
          <w:i/>
          <w:iCs/>
          <w:sz w:val="24"/>
        </w:rPr>
        <w:t xml:space="preserve">Marriott, AirBnB, others see global travel rebounding in 2022. </w:t>
      </w:r>
      <w:r>
        <w:rPr>
          <w:rFonts w:ascii="Times New Roman" w:hAnsi="Times New Roman" w:cs="Times New Roman"/>
          <w:sz w:val="24"/>
        </w:rPr>
        <w:t>Available at: https://www.reuters.com/business/marriott-airbnb-others-see-global-travel-rebounding-2022-2022-02-16/ (Accessed: 11 March 2022).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Kim, J. J., and Han, H. (2020). Hotel of the future: Exploring the attributes of a smart hotel adopting a mixed-methods approach. </w:t>
      </w:r>
      <w:r>
        <w:rPr>
          <w:rFonts w:ascii="Times New Roman" w:hAnsi="Times New Roman" w:cs="Times New Roman"/>
          <w:i/>
          <w:iCs/>
          <w:sz w:val="24"/>
        </w:rPr>
        <w:t xml:space="preserve">Journal of Travel &amp; Tourism Marketing, </w:t>
      </w:r>
      <w:r>
        <w:rPr>
          <w:rFonts w:ascii="Times New Roman" w:hAnsi="Times New Roman" w:cs="Times New Roman"/>
          <w:sz w:val="24"/>
        </w:rPr>
        <w:t>37(7), 804-822.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Lu, L. (2020) </w:t>
      </w:r>
      <w:r>
        <w:rPr>
          <w:rFonts w:ascii="Times New Roman" w:hAnsi="Times New Roman" w:cs="Times New Roman"/>
          <w:i/>
          <w:iCs/>
          <w:sz w:val="24"/>
        </w:rPr>
        <w:t xml:space="preserve">China announces tax relief measures to tackle coronavirus disruption. </w:t>
      </w:r>
      <w:r>
        <w:rPr>
          <w:rFonts w:ascii="Times New Roman" w:hAnsi="Times New Roman" w:cs="Times New Roman"/>
          <w:sz w:val="24"/>
        </w:rPr>
        <w:t>Available at: https://www.internationaltaxreview.com/article/b1kjjn20mxcfyj/china-announces-tax-relief-measures-to-tackle-coronavirus-disruption (Accessed: 10 March 2022).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Lau, A. (2020) ‘New technologies used in COVID-19 for business survival: Insights from the Hotel Sector in China’, </w:t>
      </w:r>
      <w:r>
        <w:rPr>
          <w:rFonts w:ascii="Times New Roman" w:hAnsi="Times New Roman" w:cs="Times New Roman"/>
          <w:i/>
          <w:iCs/>
          <w:sz w:val="24"/>
        </w:rPr>
        <w:t>Information Technology &amp; Tourism,</w:t>
      </w:r>
      <w:r>
        <w:rPr>
          <w:rFonts w:ascii="Times New Roman" w:hAnsi="Times New Roman" w:cs="Times New Roman"/>
          <w:sz w:val="24"/>
        </w:rPr>
        <w:t xml:space="preserve"> 22(4), pp.497-504.</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Market Cap (2022) </w:t>
      </w:r>
      <w:r>
        <w:rPr>
          <w:rFonts w:ascii="Times New Roman" w:hAnsi="Times New Roman" w:cs="Times New Roman"/>
          <w:i/>
          <w:iCs/>
          <w:sz w:val="24"/>
        </w:rPr>
        <w:t xml:space="preserve">Market capitalization of Marriott International (MAR). </w:t>
      </w:r>
      <w:r>
        <w:rPr>
          <w:rFonts w:ascii="Times New Roman" w:hAnsi="Times New Roman" w:cs="Times New Roman"/>
          <w:sz w:val="24"/>
        </w:rPr>
        <w:t>Available at: https://www.jrf.org.uk/file/46481/download?token=UXZzH3XM&amp;filetype=full-report (Accessed: 10 March 2022).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Macrotrends (2022) </w:t>
      </w:r>
      <w:r>
        <w:rPr>
          <w:rFonts w:ascii="Times New Roman" w:hAnsi="Times New Roman" w:cs="Times New Roman"/>
          <w:i/>
          <w:iCs/>
          <w:sz w:val="24"/>
        </w:rPr>
        <w:t>Hilton Worldwide Holdings Net Income 2011-2021</w:t>
      </w:r>
      <w:r>
        <w:rPr>
          <w:rFonts w:ascii="Times New Roman" w:hAnsi="Times New Roman" w:cs="Times New Roman"/>
          <w:sz w:val="24"/>
        </w:rPr>
        <w:t>. Available at: https://www.macrotrends.net/stocks/charts/HLT/hilton-worldwide-holdings/net-income (Accessed: 11 March 2022).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Madsen, D. Ø. (2022) ‘Value, Rarity, Imitability, Organization (VRIO) Analysis’, In </w:t>
      </w:r>
      <w:r>
        <w:rPr>
          <w:rFonts w:ascii="Times New Roman" w:hAnsi="Times New Roman" w:cs="Times New Roman"/>
          <w:i/>
          <w:iCs/>
          <w:sz w:val="24"/>
        </w:rPr>
        <w:t>Encyclopedia of Tourism Management and Marketing.</w:t>
      </w:r>
      <w:r>
        <w:rPr>
          <w:rFonts w:ascii="Times New Roman" w:hAnsi="Times New Roman" w:cs="Times New Roman"/>
          <w:sz w:val="24"/>
        </w:rPr>
        <w:t xml:space="preserve"> Edward Elgar Publishing.</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Nandonde, F. A. (2019) ‘A PESTLE analysis of international retailing in the East African Community’, </w:t>
      </w:r>
      <w:r>
        <w:rPr>
          <w:rFonts w:ascii="Times New Roman" w:hAnsi="Times New Roman" w:cs="Times New Roman"/>
          <w:i/>
          <w:iCs/>
          <w:sz w:val="24"/>
        </w:rPr>
        <w:t>Global Business and Organizational Excellence</w:t>
      </w:r>
      <w:r>
        <w:rPr>
          <w:rFonts w:ascii="Times New Roman" w:hAnsi="Times New Roman" w:cs="Times New Roman"/>
          <w:sz w:val="24"/>
        </w:rPr>
        <w:t>, 38(4), PP.54-61.</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Naumov, N. (2019) </w:t>
      </w:r>
      <w:r>
        <w:rPr>
          <w:rFonts w:ascii="Times New Roman" w:hAnsi="Times New Roman" w:cs="Times New Roman"/>
          <w:i/>
          <w:iCs/>
          <w:sz w:val="24"/>
        </w:rPr>
        <w:t xml:space="preserve">The impact of robots, artificial intelligence, and service automation on service quality and service experience in hospitality. </w:t>
      </w:r>
      <w:r>
        <w:rPr>
          <w:rFonts w:ascii="Times New Roman" w:hAnsi="Times New Roman" w:cs="Times New Roman"/>
          <w:sz w:val="24"/>
        </w:rPr>
        <w:t>Emerald Publishing.</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OECD (2020) </w:t>
      </w:r>
      <w:r>
        <w:rPr>
          <w:rFonts w:ascii="Times New Roman" w:hAnsi="Times New Roman" w:cs="Times New Roman"/>
          <w:i/>
          <w:iCs/>
          <w:sz w:val="24"/>
        </w:rPr>
        <w:t xml:space="preserve">Tourism Policy Responses to the coronavirus (COVID-19). </w:t>
      </w:r>
      <w:r>
        <w:rPr>
          <w:rFonts w:ascii="Times New Roman" w:hAnsi="Times New Roman" w:cs="Times New Roman"/>
          <w:sz w:val="24"/>
        </w:rPr>
        <w:t>Available at: https://www.oecd.org/coronavirus/policy-responses/tourism-policy-responses-to-the-coronavirus-COVID-19-6466aa20/ (Accessed: 10 March 2022).</w:t>
      </w:r>
    </w:p>
    <w:p>
      <w:pPr>
        <w:spacing w:after="312" w:afterLines="100" w:line="360" w:lineRule="auto"/>
        <w:rPr>
          <w:rFonts w:ascii="Times New Roman" w:hAnsi="Times New Roman" w:cs="Times New Roman"/>
          <w:sz w:val="24"/>
        </w:rPr>
      </w:pPr>
      <w:r>
        <w:rPr>
          <w:rFonts w:ascii="Times New Roman" w:hAnsi="Times New Roman" w:cs="Times New Roman"/>
          <w:sz w:val="24"/>
        </w:rPr>
        <w:t>Perera, R. (2017)</w:t>
      </w:r>
      <w:r>
        <w:rPr>
          <w:rFonts w:ascii="Times New Roman" w:hAnsi="Times New Roman" w:cs="Times New Roman"/>
          <w:i/>
          <w:iCs/>
          <w:sz w:val="24"/>
        </w:rPr>
        <w:t xml:space="preserve"> The PESTLE analysis. </w:t>
      </w:r>
      <w:r>
        <w:rPr>
          <w:rFonts w:ascii="Times New Roman" w:hAnsi="Times New Roman" w:cs="Times New Roman"/>
          <w:sz w:val="24"/>
        </w:rPr>
        <w:t>Nerdynaut.</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Statista (2022) </w:t>
      </w:r>
      <w:r>
        <w:rPr>
          <w:rFonts w:ascii="Times New Roman" w:hAnsi="Times New Roman" w:cs="Times New Roman"/>
          <w:i/>
          <w:iCs/>
          <w:sz w:val="24"/>
        </w:rPr>
        <w:t xml:space="preserve">Market size of the hotel and resort industry worldwide from 2011 to 2020, with a forecast for 2021. </w:t>
      </w:r>
      <w:r>
        <w:rPr>
          <w:rFonts w:ascii="Times New Roman" w:hAnsi="Times New Roman" w:cs="Times New Roman"/>
          <w:sz w:val="24"/>
        </w:rPr>
        <w:t>Available at: https://www.statista.com/statistics/1186201/hotel-and-resort-industry-market-size-global/ (Accessed: 10 March 2022).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Skift (2022) </w:t>
      </w:r>
      <w:r>
        <w:rPr>
          <w:rFonts w:ascii="Times New Roman" w:hAnsi="Times New Roman" w:cs="Times New Roman"/>
          <w:i/>
          <w:iCs/>
          <w:sz w:val="24"/>
        </w:rPr>
        <w:t xml:space="preserve">Marriott Rode Leisure Travel Trends to a $1 Billion Profit Last Year. </w:t>
      </w:r>
      <w:r>
        <w:rPr>
          <w:rFonts w:ascii="Times New Roman" w:hAnsi="Times New Roman" w:cs="Times New Roman"/>
          <w:sz w:val="24"/>
        </w:rPr>
        <w:t>Available at: https://skift.com/2022/02/15/marriott-rode-leisure-travel-trends-to-a-1-billion-profit-last-year/ (Accessed: 11 March 2022).</w:t>
      </w:r>
    </w:p>
    <w:p>
      <w:pPr>
        <w:spacing w:after="312" w:afterLines="100" w:line="360" w:lineRule="auto"/>
        <w:rPr>
          <w:rFonts w:ascii="Times New Roman" w:hAnsi="Times New Roman" w:cs="Times New Roman"/>
          <w:sz w:val="24"/>
        </w:rPr>
      </w:pPr>
      <w:r>
        <w:rPr>
          <w:rFonts w:ascii="Times New Roman" w:hAnsi="Times New Roman" w:cs="Times New Roman"/>
          <w:sz w:val="24"/>
        </w:rPr>
        <w:t xml:space="preserve">World Health Organization (2020) </w:t>
      </w:r>
      <w:r>
        <w:rPr>
          <w:rFonts w:ascii="Times New Roman" w:hAnsi="Times New Roman" w:cs="Times New Roman"/>
          <w:i/>
          <w:iCs/>
          <w:sz w:val="24"/>
        </w:rPr>
        <w:t xml:space="preserve">Key messages and actions for COVID-19 prevention and control in schools. </w:t>
      </w:r>
      <w:r>
        <w:rPr>
          <w:rFonts w:ascii="Times New Roman" w:hAnsi="Times New Roman" w:cs="Times New Roman"/>
          <w:sz w:val="24"/>
        </w:rPr>
        <w:t>Available at: https://54.242.226.6/handle/20.500.12663/792 (Accessed: 10 March 2022).</w:t>
      </w:r>
    </w:p>
    <w:p>
      <w:pPr>
        <w:spacing w:after="312" w:afterLines="100" w:line="360" w:lineRule="auto"/>
        <w:rPr>
          <w:rFonts w:ascii="Times New Roman" w:hAnsi="Times New Roman" w:cs="Times New Roman"/>
          <w:sz w:val="24"/>
        </w:rPr>
      </w:pPr>
      <w:r>
        <w:rPr>
          <w:rFonts w:ascii="Times New Roman" w:hAnsi="Times New Roman" w:cs="Times New Roman"/>
          <w:sz w:val="24"/>
        </w:rPr>
        <w:t>Zhang, H., Zhang, J., Yang, Y., and Zhou, Q. (2018) ‘Bargaining power in tourist shopping’,</w:t>
      </w:r>
      <w:r>
        <w:rPr>
          <w:rFonts w:ascii="Times New Roman" w:hAnsi="Times New Roman" w:cs="Times New Roman"/>
          <w:i/>
          <w:iCs/>
          <w:sz w:val="24"/>
        </w:rPr>
        <w:t xml:space="preserve"> Journal of Travel Research, </w:t>
      </w:r>
      <w:r>
        <w:rPr>
          <w:rFonts w:ascii="Times New Roman" w:hAnsi="Times New Roman" w:cs="Times New Roman"/>
          <w:sz w:val="24"/>
        </w:rPr>
        <w:t>57(7), pp.947-961.</w:t>
      </w:r>
    </w:p>
    <w:p>
      <w:pPr>
        <w:spacing w:line="360" w:lineRule="auto"/>
        <w:jc w:val="center"/>
        <w:rPr>
          <w:rFonts w:hint="eastAsia" w:ascii="Times New Roman" w:hAnsi="Times New Roman"/>
          <w:b/>
          <w:bCs/>
          <w:i w:val="0"/>
          <w:sz w:val="36"/>
          <w:szCs w:val="36"/>
        </w:rPr>
      </w:pPr>
      <w:bookmarkStart w:id="25" w:name="_GoBack"/>
      <w:bookmarkEnd w:id="25"/>
    </w:p>
    <w:p>
      <w:pPr>
        <w:spacing w:line="360" w:lineRule="auto"/>
        <w:jc w:val="center"/>
        <w:rPr>
          <w:rFonts w:hint="eastAsia" w:ascii="Times New Roman" w:hAnsi="Times New Roman"/>
          <w:b/>
          <w:bCs/>
          <w:i w:val="0"/>
          <w:sz w:val="36"/>
          <w:szCs w:val="36"/>
        </w:rPr>
      </w:pPr>
    </w:p>
    <w:p>
      <w:pPr>
        <w:spacing w:line="360" w:lineRule="auto"/>
        <w:jc w:val="center"/>
        <w:rPr>
          <w:rFonts w:hint="eastAsia" w:ascii="Times New Roman" w:hAnsi="Times New Roman"/>
          <w:b/>
          <w:bCs/>
          <w:i w:val="0"/>
          <w:sz w:val="36"/>
          <w:szCs w:val="36"/>
        </w:rPr>
      </w:pPr>
    </w:p>
    <w:p>
      <w:pPr>
        <w:rPr>
          <w:rFonts w:ascii="Calibri" w:hAnsi="Calibri" w:cs="Calibri"/>
          <w:b/>
          <w:bCs/>
          <w:sz w:val="48"/>
          <w:szCs w:val="48"/>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C776466"/>
    <w:multiLevelType w:val="multilevel"/>
    <w:tmpl w:val="3C776466"/>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1">
    <w:nsid w:val="44036BAC"/>
    <w:multiLevelType w:val="multilevel"/>
    <w:tmpl w:val="44036BAC"/>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2">
    <w:nsid w:val="6A574827"/>
    <w:multiLevelType w:val="multilevel"/>
    <w:tmpl w:val="6A574827"/>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3">
    <w:nsid w:val="785F2C03"/>
    <w:multiLevelType w:val="multilevel"/>
    <w:tmpl w:val="785F2C03"/>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5"/>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5F977D8"/>
    <w:rsid w:val="53C701DA"/>
    <w:rsid w:val="55F977D8"/>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qFormat="1" w:uiPriority="99"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character" w:default="1" w:styleId="8">
    <w:name w:val="Default Paragraph Font"/>
    <w:semiHidden/>
    <w:qFormat/>
    <w:uiPriority w:val="0"/>
  </w:style>
  <w:style w:type="table" w:default="1" w:styleId="7">
    <w:name w:val="Normal Table"/>
    <w:semiHidden/>
    <w:uiPriority w:val="0"/>
    <w:tblPr>
      <w:tblCellMar>
        <w:top w:w="0" w:type="dxa"/>
        <w:left w:w="108" w:type="dxa"/>
        <w:bottom w:w="0" w:type="dxa"/>
        <w:right w:w="108" w:type="dxa"/>
      </w:tblCellMar>
    </w:tblPr>
  </w:style>
  <w:style w:type="paragraph" w:styleId="4">
    <w:name w:val="footer"/>
    <w:basedOn w:val="1"/>
    <w:unhideWhenUsed/>
    <w:qFormat/>
    <w:uiPriority w:val="99"/>
    <w:pPr>
      <w:tabs>
        <w:tab w:val="center" w:pos="4153"/>
        <w:tab w:val="right" w:pos="8306"/>
      </w:tabs>
      <w:snapToGrid w:val="0"/>
      <w:jc w:val="left"/>
    </w:pPr>
    <w:rPr>
      <w:sz w:val="18"/>
      <w:szCs w:val="18"/>
    </w:rPr>
  </w:style>
  <w:style w:type="paragraph" w:styleId="5">
    <w:name w:val="toc 1"/>
    <w:basedOn w:val="1"/>
    <w:next w:val="1"/>
    <w:unhideWhenUsed/>
    <w:qFormat/>
    <w:uiPriority w:val="39"/>
  </w:style>
  <w:style w:type="paragraph" w:styleId="6">
    <w:name w:val="toc 2"/>
    <w:basedOn w:val="1"/>
    <w:next w:val="1"/>
    <w:unhideWhenUsed/>
    <w:qFormat/>
    <w:uiPriority w:val="39"/>
    <w:pPr>
      <w:ind w:left="420" w:leftChars="200"/>
    </w:pPr>
  </w:style>
  <w:style w:type="character" w:styleId="9">
    <w:name w:val="page number"/>
    <w:basedOn w:val="8"/>
    <w:semiHidden/>
    <w:unhideWhenUsed/>
    <w:qFormat/>
    <w:uiPriority w:val="99"/>
  </w:style>
  <w:style w:type="character" w:styleId="10">
    <w:name w:val="Hyperlink"/>
    <w:basedOn w:val="8"/>
    <w:unhideWhenUsed/>
    <w:qFormat/>
    <w:uiPriority w:val="99"/>
    <w:rPr>
      <w:color w:val="0563C1" w:themeColor="hyperlink"/>
      <w:u w:val="single"/>
      <w14:textFill>
        <w14:solidFill>
          <w14:schemeClr w14:val="hlink"/>
        </w14:solidFill>
      </w14:textFill>
    </w:rPr>
  </w:style>
  <w:style w:type="character" w:customStyle="1" w:styleId="11">
    <w:name w:val="translated-span"/>
    <w:basedOn w:val="8"/>
    <w:qFormat/>
    <w:uiPriority w:val="0"/>
  </w:style>
  <w:style w:type="paragraph" w:styleId="12">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file:///D:\document\convert_tasks\transweb\20481197_20450726\20481197.docx.files\image001.png" TargetMode="Externa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2022-03-11T05:14:00Z</dcterms:created>
  <dc:creator>枫</dc:creator>
  <cp:lastModifiedBy>67509</cp:lastModifiedBy>
  <dcterms:modified xsi:type="dcterms:W3CDTF">2022-03-21T07:14:52Z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4255AF8E2B3848DA8042060DF787580F</vt:lpwstr>
  </property>
</Properties>
</file>