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2686D92F"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09187A">
        <w:rPr>
          <w:rFonts w:ascii="Arial" w:hAnsi="Arial" w:cs="Arial"/>
          <w:sz w:val="28"/>
          <w:szCs w:val="28"/>
          <w:lang w:val="nl-NL"/>
        </w:rPr>
        <w:t xml:space="preserve"> Saskia Green</w:t>
      </w:r>
    </w:p>
    <w:p w14:paraId="21E9DC72" w14:textId="5DF704BB"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725C1C">
        <w:rPr>
          <w:rFonts w:ascii="Arial" w:hAnsi="Arial" w:cs="Arial"/>
          <w:sz w:val="28"/>
          <w:szCs w:val="28"/>
          <w:lang w:val="nl-NL"/>
        </w:rPr>
        <w:t xml:space="preserve"> 2416443</w:t>
      </w:r>
    </w:p>
    <w:p w14:paraId="23BAC9B9" w14:textId="7978F58E" w:rsidR="00EB12BC" w:rsidRPr="0009187A" w:rsidRDefault="00EB12BC" w:rsidP="00C03A91">
      <w:pPr>
        <w:tabs>
          <w:tab w:val="left" w:pos="6540"/>
        </w:tabs>
        <w:spacing w:line="360" w:lineRule="auto"/>
        <w:rPr>
          <w:rFonts w:ascii="Arial" w:hAnsi="Arial" w:cs="Arial"/>
          <w:sz w:val="28"/>
          <w:szCs w:val="28"/>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09187A" w:rsidRPr="0009187A">
        <w:rPr>
          <w:rFonts w:ascii="Arial" w:hAnsi="Arial" w:cs="Arial"/>
          <w:sz w:val="28"/>
          <w:szCs w:val="28"/>
        </w:rPr>
        <w:t>Introduction</w:t>
      </w:r>
      <w:r w:rsidR="0009187A">
        <w:rPr>
          <w:rFonts w:ascii="Arial" w:hAnsi="Arial" w:cs="Arial"/>
          <w:sz w:val="28"/>
          <w:szCs w:val="28"/>
          <w:lang w:val="nl-NL"/>
        </w:rPr>
        <w:t xml:space="preserve"> </w:t>
      </w:r>
      <w:r w:rsidR="0009187A">
        <w:rPr>
          <w:rFonts w:ascii="Arial" w:hAnsi="Arial" w:cs="Arial"/>
          <w:sz w:val="28"/>
          <w:szCs w:val="28"/>
        </w:rPr>
        <w:t>to Physiology</w:t>
      </w:r>
    </w:p>
    <w:p w14:paraId="4FD97C8C" w14:textId="0DF6062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09187A">
        <w:rPr>
          <w:rFonts w:ascii="Arial" w:hAnsi="Arial" w:cs="Arial"/>
          <w:sz w:val="28"/>
          <w:szCs w:val="28"/>
        </w:rPr>
        <w:t xml:space="preserve"> BMHP5023_LON</w:t>
      </w:r>
    </w:p>
    <w:p w14:paraId="658BE57E" w14:textId="582D24C0"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09187A">
        <w:rPr>
          <w:rFonts w:ascii="Arial" w:hAnsi="Arial" w:cs="Arial"/>
          <w:sz w:val="28"/>
          <w:szCs w:val="28"/>
        </w:rPr>
        <w:t xml:space="preserve"> 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64E20DF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09187A">
        <w:rPr>
          <w:rFonts w:ascii="Arial" w:hAnsi="Arial" w:cs="Arial"/>
          <w:b/>
          <w:bCs/>
          <w:sz w:val="28"/>
          <w:szCs w:val="28"/>
        </w:rPr>
        <w:t>Component 1 Written Assignment</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04D80325" w14:textId="7A2575CB" w:rsidR="00B65CF3"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06B884E2" w14:textId="77777777" w:rsidR="00B65CF3" w:rsidRDefault="00B65CF3">
      <w:pPr>
        <w:rPr>
          <w:rFonts w:ascii="Arial" w:hAnsi="Arial" w:cs="Arial"/>
          <w:sz w:val="28"/>
          <w:szCs w:val="28"/>
        </w:rPr>
      </w:pPr>
      <w:r w:rsidRPr="00B65CF3">
        <w:rPr>
          <w:rFonts w:ascii="Arial" w:hAnsi="Arial" w:cs="Arial"/>
          <w:sz w:val="40"/>
          <w:szCs w:val="40"/>
        </w:rPr>
        <w:lastRenderedPageBreak/>
        <w:t>Contents Page</w:t>
      </w:r>
    </w:p>
    <w:p w14:paraId="64EC78CC" w14:textId="24C4E237" w:rsidR="00B65CF3" w:rsidRDefault="00B65CF3">
      <w:pPr>
        <w:rPr>
          <w:rFonts w:ascii="Arial" w:hAnsi="Arial" w:cs="Arial"/>
          <w:sz w:val="28"/>
          <w:szCs w:val="28"/>
        </w:rPr>
      </w:pPr>
      <w:r w:rsidRPr="00B65CF3">
        <w:rPr>
          <w:rFonts w:ascii="Arial" w:hAnsi="Arial" w:cs="Arial"/>
          <w:b/>
          <w:bCs/>
          <w:sz w:val="28"/>
          <w:szCs w:val="28"/>
        </w:rPr>
        <w:t>Introduction</w:t>
      </w:r>
      <w:r>
        <w:rPr>
          <w:rFonts w:ascii="Arial" w:hAnsi="Arial" w:cs="Arial"/>
          <w:sz w:val="28"/>
          <w:szCs w:val="28"/>
        </w:rPr>
        <w:t>……………………………………………………………...……3</w:t>
      </w:r>
    </w:p>
    <w:p w14:paraId="43960DA0" w14:textId="50129CD1" w:rsidR="00B65CF3" w:rsidRDefault="00B65CF3">
      <w:pPr>
        <w:rPr>
          <w:rFonts w:ascii="Arial" w:hAnsi="Arial" w:cs="Arial"/>
          <w:b/>
          <w:bCs/>
          <w:szCs w:val="24"/>
        </w:rPr>
      </w:pPr>
      <w:r w:rsidRPr="00B65CF3">
        <w:rPr>
          <w:rFonts w:ascii="Arial" w:hAnsi="Arial" w:cs="Arial"/>
          <w:b/>
          <w:bCs/>
          <w:sz w:val="28"/>
          <w:szCs w:val="24"/>
        </w:rPr>
        <w:t>Blood Sugar Regulation</w:t>
      </w:r>
      <w:r>
        <w:rPr>
          <w:rFonts w:ascii="Arial" w:hAnsi="Arial" w:cs="Arial"/>
          <w:b/>
          <w:bCs/>
          <w:szCs w:val="24"/>
        </w:rPr>
        <w:t>…………………………………………………………….4</w:t>
      </w:r>
    </w:p>
    <w:p w14:paraId="1F4834FE" w14:textId="6EEBB252" w:rsidR="00B65CF3" w:rsidRDefault="00B65CF3">
      <w:pPr>
        <w:rPr>
          <w:rFonts w:ascii="Arial" w:hAnsi="Arial" w:cs="Arial"/>
          <w:b/>
          <w:bCs/>
          <w:szCs w:val="24"/>
        </w:rPr>
      </w:pPr>
      <w:r w:rsidRPr="00B65CF3">
        <w:rPr>
          <w:rFonts w:ascii="Arial" w:hAnsi="Arial" w:cs="Arial"/>
          <w:b/>
          <w:bCs/>
          <w:sz w:val="28"/>
          <w:szCs w:val="28"/>
        </w:rPr>
        <w:t>Cell Metabolism</w:t>
      </w:r>
      <w:r>
        <w:rPr>
          <w:rFonts w:ascii="Arial" w:hAnsi="Arial" w:cs="Arial"/>
          <w:b/>
          <w:bCs/>
          <w:szCs w:val="24"/>
        </w:rPr>
        <w:t>……………...………………………………………………………….5</w:t>
      </w:r>
    </w:p>
    <w:p w14:paraId="37D5B889" w14:textId="186F8E87" w:rsidR="00B65CF3" w:rsidRDefault="00B65CF3">
      <w:pPr>
        <w:rPr>
          <w:rFonts w:ascii="Arial" w:hAnsi="Arial" w:cs="Arial"/>
          <w:b/>
          <w:bCs/>
          <w:szCs w:val="24"/>
        </w:rPr>
      </w:pPr>
      <w:r w:rsidRPr="00B65CF3">
        <w:rPr>
          <w:rFonts w:ascii="Arial" w:hAnsi="Arial" w:cs="Arial"/>
          <w:b/>
          <w:bCs/>
          <w:sz w:val="28"/>
          <w:szCs w:val="28"/>
        </w:rPr>
        <w:t>Recording and Tracking Blood Sugar Levels for Type 2 Diabete</w:t>
      </w:r>
      <w:r>
        <w:rPr>
          <w:rFonts w:ascii="Arial" w:hAnsi="Arial" w:cs="Arial"/>
          <w:b/>
          <w:bCs/>
          <w:szCs w:val="24"/>
        </w:rPr>
        <w:t>s...6</w:t>
      </w:r>
    </w:p>
    <w:p w14:paraId="6800F4EA" w14:textId="58B1FEA6" w:rsidR="00B65CF3" w:rsidRDefault="00B65CF3">
      <w:pPr>
        <w:rPr>
          <w:rFonts w:ascii="Arial" w:hAnsi="Arial" w:cs="Arial"/>
          <w:b/>
          <w:bCs/>
          <w:sz w:val="28"/>
          <w:szCs w:val="28"/>
        </w:rPr>
      </w:pPr>
      <w:r>
        <w:rPr>
          <w:rFonts w:ascii="Arial" w:hAnsi="Arial" w:cs="Arial"/>
          <w:b/>
          <w:bCs/>
          <w:sz w:val="28"/>
          <w:szCs w:val="28"/>
        </w:rPr>
        <w:t>Recommendation…………………………………………………………….7</w:t>
      </w:r>
    </w:p>
    <w:p w14:paraId="3641820E" w14:textId="212D6BA8" w:rsidR="00B65CF3" w:rsidRDefault="00B65CF3">
      <w:pPr>
        <w:rPr>
          <w:rFonts w:ascii="Arial" w:hAnsi="Arial" w:cs="Arial"/>
          <w:b/>
          <w:bCs/>
          <w:sz w:val="28"/>
          <w:szCs w:val="28"/>
        </w:rPr>
      </w:pPr>
      <w:r>
        <w:rPr>
          <w:rFonts w:ascii="Arial" w:hAnsi="Arial" w:cs="Arial"/>
          <w:b/>
          <w:bCs/>
          <w:sz w:val="28"/>
          <w:szCs w:val="28"/>
        </w:rPr>
        <w:t>Conclusion……………………………………………………………………8</w:t>
      </w:r>
    </w:p>
    <w:p w14:paraId="0A24F798" w14:textId="408F43F9" w:rsidR="00B65CF3" w:rsidRPr="00B65CF3" w:rsidRDefault="00B65CF3">
      <w:pPr>
        <w:rPr>
          <w:rFonts w:ascii="Arial" w:hAnsi="Arial" w:cs="Arial"/>
          <w:b/>
          <w:bCs/>
          <w:sz w:val="28"/>
          <w:szCs w:val="28"/>
        </w:rPr>
      </w:pPr>
      <w:r>
        <w:rPr>
          <w:rFonts w:ascii="Arial" w:hAnsi="Arial" w:cs="Arial"/>
          <w:b/>
          <w:bCs/>
          <w:sz w:val="28"/>
          <w:szCs w:val="28"/>
        </w:rPr>
        <w:t>References……………………………………………………………………9</w:t>
      </w:r>
      <w:r w:rsidRPr="00B65CF3">
        <w:rPr>
          <w:rFonts w:ascii="Arial" w:hAnsi="Arial" w:cs="Arial"/>
          <w:b/>
          <w:bCs/>
          <w:sz w:val="28"/>
          <w:szCs w:val="28"/>
        </w:rPr>
        <w:br w:type="page"/>
      </w:r>
    </w:p>
    <w:p w14:paraId="3CA3FCC9" w14:textId="77777777" w:rsidR="00B65CF3" w:rsidRPr="00C03A91" w:rsidRDefault="00B65CF3" w:rsidP="00C03A91">
      <w:pPr>
        <w:spacing w:line="360" w:lineRule="auto"/>
        <w:rPr>
          <w:rFonts w:ascii="Arial" w:hAnsi="Arial" w:cs="Arial"/>
          <w:sz w:val="28"/>
          <w:szCs w:val="28"/>
        </w:rPr>
      </w:pPr>
    </w:p>
    <w:p w14:paraId="442A8432" w14:textId="20361020" w:rsidR="000C4EDA" w:rsidRPr="00C03A91" w:rsidRDefault="000C4EDA" w:rsidP="00C03A91">
      <w:pPr>
        <w:pStyle w:val="Heading1"/>
        <w:spacing w:line="360" w:lineRule="auto"/>
        <w:rPr>
          <w:rFonts w:cs="Arial"/>
        </w:rPr>
      </w:pPr>
      <w:r w:rsidRPr="00C03A91">
        <w:rPr>
          <w:rFonts w:cs="Arial"/>
        </w:rPr>
        <w:t>1. Introduction</w:t>
      </w:r>
      <w:r w:rsidR="00C03A91" w:rsidRPr="00C03A91">
        <w:rPr>
          <w:rFonts w:cs="Arial"/>
        </w:rPr>
        <w:t xml:space="preserve"> </w:t>
      </w:r>
    </w:p>
    <w:p w14:paraId="06EA9CB1" w14:textId="77777777" w:rsidR="00B65CF3" w:rsidRDefault="00B65CF3" w:rsidP="00C03A91">
      <w:pPr>
        <w:tabs>
          <w:tab w:val="left" w:pos="6540"/>
        </w:tabs>
        <w:spacing w:line="360" w:lineRule="auto"/>
        <w:rPr>
          <w:rFonts w:ascii="Arial" w:hAnsi="Arial" w:cs="Arial"/>
          <w:color w:val="000000"/>
          <w:sz w:val="22"/>
        </w:rPr>
      </w:pPr>
      <w:r w:rsidRPr="00880F5A">
        <w:rPr>
          <w:rFonts w:ascii="Arial" w:hAnsi="Arial" w:cs="Arial"/>
          <w:color w:val="000000"/>
          <w:sz w:val="22"/>
        </w:rPr>
        <w:t>Diabetes is a chronic metabolic disorder characteri</w:t>
      </w:r>
      <w:r>
        <w:rPr>
          <w:rFonts w:ascii="Arial" w:hAnsi="Arial" w:cs="Arial"/>
          <w:color w:val="000000"/>
          <w:sz w:val="22"/>
        </w:rPr>
        <w:t>s</w:t>
      </w:r>
      <w:r w:rsidRPr="00880F5A">
        <w:rPr>
          <w:rFonts w:ascii="Arial" w:hAnsi="Arial" w:cs="Arial"/>
          <w:color w:val="000000"/>
          <w:sz w:val="22"/>
        </w:rPr>
        <w:t>ed by elevated levels of blood glucose, commonly referred to as blood sugar. This condition arises due to the body's inability to produce sufficient insulin or effectively utilize the insulin it produces. Insulin, a hormone secreted by the pancreas, plays a crucial role in regulating blood glucose levels by facilitating the uptake of glucose into cells for energy production. The disruption of this process can lead to serious health complications, affecting various organs and systems within the body, particularly the endocrine system, which is responsible for hormone production and regulation (American Diabetes Association, 2023).</w:t>
      </w:r>
      <w:r w:rsidRPr="00880F5A">
        <w:rPr>
          <w:rFonts w:ascii="Arial" w:hAnsi="Arial" w:cs="Arial"/>
          <w:color w:val="000000"/>
          <w:sz w:val="22"/>
        </w:rPr>
        <w:br/>
      </w:r>
      <w:r w:rsidRPr="00880F5A">
        <w:rPr>
          <w:rFonts w:ascii="Arial" w:hAnsi="Arial" w:cs="Arial"/>
          <w:color w:val="000000"/>
          <w:sz w:val="22"/>
        </w:rPr>
        <w:br/>
        <w:t>There are primarily three types of diabetes: Type 1, Type 2, and gestational diabetes. Type 1 diabetes, often diagnosed in children and young adults, is an autoimmune condition where the immune system mistakenly attacks and destroys insulin-producing beta cells in the pancreas. This results in little to no insulin production, necessitating lifelong insulin therapy. Type 2 diabetes, the most prevalent form, typically develops in adults and is associated with insulin resistance, where the body's cells do not respond effectively to insulin. Over time, the pancreas cannot produce enough insulin to maintain normal blood glucose levels. Gestational diabetes occurs during pregnancy and usually resolves after childbirth, but it increases the risk of developing Type 2 diabetes later in life (Centres for Disease Control and Prevention, 2023).</w:t>
      </w:r>
      <w:r w:rsidRPr="00880F5A">
        <w:rPr>
          <w:rFonts w:ascii="Arial" w:hAnsi="Arial" w:cs="Arial"/>
          <w:color w:val="000000"/>
          <w:sz w:val="22"/>
        </w:rPr>
        <w:br/>
      </w:r>
    </w:p>
    <w:p w14:paraId="51FBD811" w14:textId="72A7C64E" w:rsidR="00B65CF3" w:rsidRDefault="00B65CF3" w:rsidP="00B65CF3">
      <w:pPr>
        <w:tabs>
          <w:tab w:val="left" w:pos="6540"/>
        </w:tabs>
        <w:spacing w:line="360" w:lineRule="auto"/>
        <w:jc w:val="center"/>
        <w:rPr>
          <w:rFonts w:ascii="Arial" w:hAnsi="Arial" w:cs="Arial"/>
          <w:color w:val="000000"/>
          <w:sz w:val="22"/>
        </w:rPr>
      </w:pPr>
      <w:r>
        <w:rPr>
          <w:rFonts w:ascii="Arial" w:hAnsi="Arial" w:cs="Arial"/>
          <w:noProof/>
          <w:color w:val="000000"/>
          <w:sz w:val="22"/>
        </w:rPr>
        <w:drawing>
          <wp:inline distT="0" distB="0" distL="0" distR="0" wp14:anchorId="296F8C7B" wp14:editId="38CDF85D">
            <wp:extent cx="2009104" cy="2009104"/>
            <wp:effectExtent l="0" t="0" r="0" b="0"/>
            <wp:docPr id="50051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1666" name="Picture 50051666"/>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1912" cy="2051912"/>
                    </a:xfrm>
                    <a:prstGeom prst="rect">
                      <a:avLst/>
                    </a:prstGeom>
                  </pic:spPr>
                </pic:pic>
              </a:graphicData>
            </a:graphic>
          </wp:inline>
        </w:drawing>
      </w:r>
    </w:p>
    <w:p w14:paraId="62171788" w14:textId="62DA1B83" w:rsidR="00B65CF3" w:rsidRDefault="00B65CF3" w:rsidP="00C03A91">
      <w:pPr>
        <w:tabs>
          <w:tab w:val="left" w:pos="6540"/>
        </w:tabs>
        <w:spacing w:line="360" w:lineRule="auto"/>
        <w:rPr>
          <w:rFonts w:ascii="Arial" w:hAnsi="Arial" w:cs="Arial"/>
          <w:color w:val="000000"/>
          <w:sz w:val="22"/>
        </w:rPr>
      </w:pPr>
      <w:r>
        <w:rPr>
          <w:rFonts w:ascii="Arial" w:hAnsi="Arial" w:cs="Arial"/>
          <w:color w:val="000000"/>
          <w:sz w:val="22"/>
        </w:rPr>
        <w:t>This is a picture showing both types of Diabetes, which is explain in more detail above the picture.</w:t>
      </w:r>
    </w:p>
    <w:p w14:paraId="6AFAC76D" w14:textId="51F93FF2" w:rsidR="00C03A91" w:rsidRPr="00C03A91" w:rsidRDefault="00B65CF3" w:rsidP="00C03A91">
      <w:pPr>
        <w:tabs>
          <w:tab w:val="left" w:pos="6540"/>
        </w:tabs>
        <w:spacing w:line="360" w:lineRule="auto"/>
        <w:rPr>
          <w:rFonts w:ascii="Arial" w:hAnsi="Arial" w:cs="Arial"/>
          <w:color w:val="8EAADB" w:themeColor="accent1" w:themeTint="99"/>
          <w:sz w:val="22"/>
        </w:rPr>
      </w:pPr>
      <w:r w:rsidRPr="00880F5A">
        <w:rPr>
          <w:rFonts w:ascii="Arial" w:hAnsi="Arial" w:cs="Arial"/>
          <w:color w:val="000000"/>
          <w:sz w:val="22"/>
        </w:rPr>
        <w:lastRenderedPageBreak/>
        <w:br/>
        <w:t>Several risk factors contribute to the development of diabetes. For Type 1 diabetes, genetic predisposition and environmental factors, such as viral infections, are considered significant contributors. In contrast, Type 2 diabetes is strongly linked to lifestyle factors, including obesity, physical inactivity, and poor diet. Additionally, age, family history, and certain ethnic backgrounds, such as African American, Hispanic, and Native American, are associated with a higher risk of developing Type 2 diabetes. Gestational diabetes risk factors include obesity, advanced maternal age, and a family history of diabetes (Mayo Clinic, 2023).</w:t>
      </w:r>
      <w:r w:rsidRPr="00880F5A">
        <w:rPr>
          <w:rFonts w:ascii="Arial" w:hAnsi="Arial" w:cs="Arial"/>
          <w:color w:val="000000"/>
          <w:sz w:val="22"/>
        </w:rPr>
        <w:br/>
      </w:r>
      <w:r w:rsidRPr="00880F5A">
        <w:rPr>
          <w:rFonts w:ascii="Arial" w:hAnsi="Arial" w:cs="Arial"/>
          <w:color w:val="000000"/>
          <w:sz w:val="22"/>
        </w:rPr>
        <w:br/>
        <w:t>The relationship between diabetes and the endocrine system is profound, as diabetes directly affects the pancreas, an essential component of this system. The endocrine system's role in hormone regulation is crucial for maintaining homeostasis, and any disruption, such as that caused by diabetes, can lead to widespread physiological imbalances. Understanding diabetes and its risk factors is vital for prevention and management, as it remains a significant public health challenge worldwide.</w:t>
      </w:r>
      <w:r>
        <w:rPr>
          <w:color w:val="000000"/>
        </w:rPr>
        <w:br/>
      </w:r>
      <w:r>
        <w:rPr>
          <w:color w:val="000000"/>
        </w:rPr>
        <w:br/>
      </w:r>
    </w:p>
    <w:p w14:paraId="2D95E97C" w14:textId="0116D9CF" w:rsidR="00C03A91" w:rsidRDefault="00C03A91" w:rsidP="00C03A91">
      <w:pPr>
        <w:pStyle w:val="Heading1"/>
        <w:spacing w:line="360" w:lineRule="auto"/>
        <w:rPr>
          <w:rFonts w:cs="Arial"/>
        </w:rPr>
      </w:pPr>
      <w:r w:rsidRPr="00C03A91">
        <w:rPr>
          <w:rFonts w:cs="Arial"/>
        </w:rPr>
        <w:t xml:space="preserve">2. </w:t>
      </w:r>
      <w:r w:rsidR="00FD7392">
        <w:rPr>
          <w:rFonts w:cs="Arial"/>
        </w:rPr>
        <w:t>Blood Sugar Regulation</w:t>
      </w:r>
    </w:p>
    <w:p w14:paraId="13652C97" w14:textId="77777777" w:rsidR="00B65CF3" w:rsidRDefault="00B65CF3" w:rsidP="00B65CF3">
      <w:pPr>
        <w:rPr>
          <w:rFonts w:ascii="Arial" w:hAnsi="Arial" w:cs="Arial"/>
          <w:color w:val="000000"/>
          <w:sz w:val="22"/>
        </w:rPr>
      </w:pPr>
      <w:r w:rsidRPr="00880F5A">
        <w:rPr>
          <w:rFonts w:ascii="Arial" w:hAnsi="Arial" w:cs="Arial"/>
          <w:color w:val="000000"/>
          <w:sz w:val="22"/>
        </w:rPr>
        <w:t>Blood sugar levels are regulated by the body to ensure that cells receive a constant supply of glucose, which is crucial for energy production, while preventing the detrimental effects of hyperglycaemia or hypoglycaemia. This regulation is primarily achieved through the coordinated actions of hormones, primarily insulin and glucagon, which are secreted by the pancreas.</w:t>
      </w:r>
    </w:p>
    <w:p w14:paraId="749D86B2" w14:textId="7FF17E18" w:rsidR="00B65CF3" w:rsidRDefault="00B65CF3" w:rsidP="00B65CF3">
      <w:pPr>
        <w:jc w:val="center"/>
        <w:rPr>
          <w:rFonts w:ascii="Arial" w:hAnsi="Arial" w:cs="Arial"/>
          <w:color w:val="000000"/>
          <w:sz w:val="22"/>
        </w:rPr>
      </w:pPr>
      <w:r>
        <w:rPr>
          <w:rFonts w:ascii="Arial" w:hAnsi="Arial" w:cs="Arial"/>
          <w:noProof/>
          <w:color w:val="000000"/>
          <w:sz w:val="22"/>
        </w:rPr>
        <w:drawing>
          <wp:inline distT="0" distB="0" distL="0" distR="0" wp14:anchorId="6E7F5853" wp14:editId="5AA64C67">
            <wp:extent cx="1622544" cy="1622544"/>
            <wp:effectExtent l="0" t="0" r="3175" b="3175"/>
            <wp:docPr id="202414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4966" name="Picture 20241496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7527" cy="1667527"/>
                    </a:xfrm>
                    <a:prstGeom prst="rect">
                      <a:avLst/>
                    </a:prstGeom>
                  </pic:spPr>
                </pic:pic>
              </a:graphicData>
            </a:graphic>
          </wp:inline>
        </w:drawing>
      </w:r>
    </w:p>
    <w:p w14:paraId="08A51E02" w14:textId="77777777" w:rsidR="00B65CF3" w:rsidRDefault="00B65CF3" w:rsidP="00B65CF3">
      <w:pPr>
        <w:rPr>
          <w:rFonts w:ascii="Arial" w:hAnsi="Arial" w:cs="Arial"/>
          <w:color w:val="000000"/>
          <w:sz w:val="22"/>
        </w:rPr>
      </w:pPr>
      <w:r>
        <w:rPr>
          <w:rFonts w:ascii="Arial" w:hAnsi="Arial" w:cs="Arial"/>
          <w:color w:val="000000"/>
          <w:sz w:val="22"/>
        </w:rPr>
        <w:t>The above image shows how the glucose level looks within someone who has diabetes.</w:t>
      </w:r>
      <w:r w:rsidRPr="00880F5A">
        <w:rPr>
          <w:rFonts w:ascii="Arial" w:hAnsi="Arial" w:cs="Arial"/>
          <w:color w:val="000000"/>
          <w:sz w:val="22"/>
        </w:rPr>
        <w:br/>
      </w:r>
      <w:r w:rsidRPr="00880F5A">
        <w:rPr>
          <w:rFonts w:ascii="Arial" w:hAnsi="Arial" w:cs="Arial"/>
          <w:color w:val="000000"/>
          <w:sz w:val="22"/>
        </w:rPr>
        <w:br/>
        <w:t>When blood sugar levels rise after eating, the pancreas releases insulin, a hormone that facilitates the uptake of glucose by cells, particularly muscle and fat cells, for energy production or storage as glycogen in the liver. Insulin also inhibits the production of glucose by the liver, thereby reducing blood sugar levels. This process ensures that glucose is available for immediate energy needs and stored for future use, maintaining blood sugar within a narrow range (American Diabetes Association, 2021).</w:t>
      </w:r>
      <w:r w:rsidRPr="00880F5A">
        <w:rPr>
          <w:rFonts w:ascii="Arial" w:hAnsi="Arial" w:cs="Arial"/>
          <w:color w:val="000000"/>
          <w:sz w:val="22"/>
        </w:rPr>
        <w:br/>
      </w:r>
      <w:r w:rsidRPr="00880F5A">
        <w:rPr>
          <w:rFonts w:ascii="Arial" w:hAnsi="Arial" w:cs="Arial"/>
          <w:color w:val="000000"/>
          <w:sz w:val="22"/>
        </w:rPr>
        <w:lastRenderedPageBreak/>
        <w:br/>
        <w:t>Also, when blood sugar levels drop, such as between meals or during physical activity, the pancreas secretes glucagon. This hormone stimulates the liver to convert stored glycogen back into glucose, which is then released into the bloodstream to maintain adequate glucose levels for cellular functions. Additionally, glucagon promotes gluconeogenesis, the synthesis of glucose from non-carbohydrate sources, further contributing to blood sugar regulation (Mayo Clinic, 2022).</w:t>
      </w:r>
      <w:r w:rsidRPr="00880F5A">
        <w:rPr>
          <w:rFonts w:ascii="Arial" w:hAnsi="Arial" w:cs="Arial"/>
          <w:color w:val="000000"/>
          <w:sz w:val="22"/>
        </w:rPr>
        <w:br/>
      </w:r>
      <w:r w:rsidRPr="00880F5A">
        <w:rPr>
          <w:rFonts w:ascii="Arial" w:hAnsi="Arial" w:cs="Arial"/>
          <w:color w:val="000000"/>
          <w:sz w:val="22"/>
        </w:rPr>
        <w:br/>
        <w:t>The balance between insulin and glucagon is crucial for maintaining homeostasis. Disruptions in this balance can lead to conditions such as diabetes mellitus, where insulin production or action is impaired, leading to chronic hyperglycaemia. In type 1 diabetes, the immune system attacks insulin producing cells, necessitating external insulin administration. In type 2 diabetes, cells become resistant to insulin, often requiring lifestyle changes and medication to manage blood sugar levels.</w:t>
      </w:r>
      <w:r w:rsidRPr="00880F5A">
        <w:rPr>
          <w:rFonts w:ascii="Arial" w:hAnsi="Arial" w:cs="Arial"/>
          <w:color w:val="000000"/>
          <w:sz w:val="22"/>
        </w:rPr>
        <w:br/>
      </w:r>
      <w:r w:rsidRPr="00880F5A">
        <w:rPr>
          <w:rFonts w:ascii="Arial" w:hAnsi="Arial" w:cs="Arial"/>
          <w:color w:val="000000"/>
          <w:sz w:val="22"/>
        </w:rPr>
        <w:br/>
        <w:t>Moreover, other hormones like cortisol, epinephrine, and norepinephrine also play roles in blood sugar regulation, particularly during stress or exercise, by promoting glucose release into the bloodstream. These hormones ensure that the body can respond to increased energy demands during such times.</w:t>
      </w:r>
      <w:r w:rsidRPr="00880F5A">
        <w:rPr>
          <w:rFonts w:ascii="Arial" w:hAnsi="Arial" w:cs="Arial"/>
          <w:color w:val="000000"/>
          <w:sz w:val="22"/>
        </w:rPr>
        <w:br/>
      </w:r>
      <w:r w:rsidRPr="00880F5A">
        <w:rPr>
          <w:rFonts w:ascii="Arial" w:hAnsi="Arial" w:cs="Arial"/>
          <w:color w:val="000000"/>
          <w:sz w:val="22"/>
        </w:rPr>
        <w:br/>
        <w:t>The maintenance of blood sugar levels involves a complex interplay of hormonal signals that ensure glucose availability for energy while preventing excessive fluctuations. This intricate system highlights the body's ability to adapt to varying energy demands and maintain metabolic balance.</w:t>
      </w:r>
    </w:p>
    <w:p w14:paraId="22D30685" w14:textId="7458AB00" w:rsidR="00B65CF3" w:rsidRDefault="00B65CF3" w:rsidP="00B65CF3">
      <w:r w:rsidRPr="00880F5A">
        <w:rPr>
          <w:rFonts w:ascii="Arial" w:hAnsi="Arial" w:cs="Arial"/>
          <w:color w:val="000000"/>
          <w:sz w:val="22"/>
        </w:rPr>
        <w:br/>
      </w:r>
    </w:p>
    <w:p w14:paraId="0679AED0" w14:textId="77777777" w:rsidR="00B65CF3" w:rsidRDefault="00076AC0" w:rsidP="00B65CF3">
      <w:pPr>
        <w:rPr>
          <w:rFonts w:ascii="Arial" w:hAnsi="Arial" w:cs="Arial"/>
          <w:b/>
          <w:bCs/>
          <w:sz w:val="32"/>
          <w:szCs w:val="28"/>
        </w:rPr>
      </w:pPr>
      <w:r w:rsidRPr="00B65CF3">
        <w:rPr>
          <w:rFonts w:ascii="Arial" w:hAnsi="Arial" w:cs="Arial"/>
          <w:b/>
          <w:bCs/>
          <w:sz w:val="32"/>
          <w:szCs w:val="28"/>
        </w:rPr>
        <w:t>3</w:t>
      </w:r>
      <w:r w:rsidR="000C4EDA" w:rsidRPr="00B65CF3">
        <w:rPr>
          <w:rFonts w:ascii="Arial" w:hAnsi="Arial" w:cs="Arial"/>
          <w:b/>
          <w:bCs/>
          <w:sz w:val="32"/>
          <w:szCs w:val="28"/>
        </w:rPr>
        <w:t xml:space="preserve">. </w:t>
      </w:r>
      <w:r w:rsidR="007A7297" w:rsidRPr="00B65CF3">
        <w:rPr>
          <w:rFonts w:ascii="Arial" w:hAnsi="Arial" w:cs="Arial"/>
          <w:b/>
          <w:bCs/>
          <w:sz w:val="32"/>
          <w:szCs w:val="28"/>
        </w:rPr>
        <w:t>Cellular Metabolism</w:t>
      </w:r>
      <w:r w:rsidR="000C4EDA" w:rsidRPr="00B65CF3">
        <w:rPr>
          <w:rFonts w:ascii="Arial" w:hAnsi="Arial" w:cs="Arial"/>
          <w:b/>
          <w:bCs/>
          <w:sz w:val="32"/>
          <w:szCs w:val="28"/>
        </w:rPr>
        <w:t xml:space="preserve"> </w:t>
      </w:r>
    </w:p>
    <w:p w14:paraId="48192EB4" w14:textId="0F7B4102" w:rsidR="00B65CF3" w:rsidRPr="00B65CF3" w:rsidRDefault="00B65CF3" w:rsidP="00B65CF3">
      <w:pPr>
        <w:rPr>
          <w:rFonts w:ascii="Arial" w:hAnsi="Arial" w:cs="Arial"/>
          <w:b/>
          <w:bCs/>
          <w:sz w:val="32"/>
          <w:szCs w:val="28"/>
        </w:rPr>
      </w:pPr>
      <w:r w:rsidRPr="00B65CF3">
        <w:rPr>
          <w:rFonts w:ascii="Arial" w:hAnsi="Arial" w:cs="Arial"/>
          <w:color w:val="000000"/>
          <w:sz w:val="22"/>
        </w:rPr>
        <w:t>Cell metabolism is a complex series of biochemical processes that convert nutrients into energy, essential for maintaining cellular functions. Oxygen and glucose play pivotal roles in this energy production through a process known as cellular respiration, which occurs in three main stages glycolysis, the citric acid cycle (Krebs cycle), and oxidative phosphorylation.</w:t>
      </w:r>
      <w:r w:rsidRPr="00B65CF3">
        <w:rPr>
          <w:rFonts w:ascii="Arial" w:hAnsi="Arial" w:cs="Arial"/>
          <w:color w:val="000000"/>
          <w:sz w:val="22"/>
        </w:rPr>
        <w:br/>
      </w:r>
      <w:r w:rsidRPr="00B65CF3">
        <w:rPr>
          <w:rFonts w:ascii="Arial" w:hAnsi="Arial" w:cs="Arial"/>
          <w:color w:val="000000"/>
          <w:sz w:val="22"/>
        </w:rPr>
        <w:br/>
        <w:t xml:space="preserve">The process begins with glycolysis, which takes place in the cytoplasm of the cell. During glycolysis, one molecule of glucose, a </w:t>
      </w:r>
      <w:proofErr w:type="gramStart"/>
      <w:r w:rsidRPr="00B65CF3">
        <w:rPr>
          <w:rFonts w:ascii="Arial" w:hAnsi="Arial" w:cs="Arial"/>
          <w:color w:val="000000"/>
          <w:sz w:val="22"/>
        </w:rPr>
        <w:t>six carbon</w:t>
      </w:r>
      <w:proofErr w:type="gramEnd"/>
      <w:r w:rsidRPr="00B65CF3">
        <w:rPr>
          <w:rFonts w:ascii="Arial" w:hAnsi="Arial" w:cs="Arial"/>
          <w:color w:val="000000"/>
          <w:sz w:val="22"/>
        </w:rPr>
        <w:t xml:space="preserve"> sugar, is broken down into two molecules of pyruvate, each containing three carbons. This process yields a net gain of two molecules of adenosine triphosphate and two molecules of nicotinamide adenine dinucleotide, which are crucial for energy transfer within the cell (Berg et al., 2002).</w:t>
      </w:r>
      <w:r w:rsidRPr="00B65CF3">
        <w:rPr>
          <w:color w:val="000000"/>
        </w:rPr>
        <w:br/>
      </w:r>
      <w:r w:rsidRPr="00B65CF3">
        <w:rPr>
          <w:color w:val="000000"/>
        </w:rPr>
        <w:br/>
      </w:r>
      <w:r w:rsidRPr="00B65CF3">
        <w:rPr>
          <w:rFonts w:ascii="Arial" w:hAnsi="Arial" w:cs="Arial"/>
          <w:color w:val="000000"/>
          <w:sz w:val="22"/>
        </w:rPr>
        <w:t>Following glycolysis, the pyruvate molecules are transported into the mitochondria, where they undergo oxidative decarboxylation to form acetyl-CoA. This acetyl-CoA enters the citric acid cycle, a series of enzymatic reactions that further oxidize the acetyl group, releasing carbon dioxide and transferring high-energy electrons to NADH and flavin adenine dinucleotide (Nelson &amp; Cox, 2008).</w:t>
      </w:r>
      <w:r w:rsidRPr="00B65CF3">
        <w:rPr>
          <w:rFonts w:ascii="Arial" w:hAnsi="Arial" w:cs="Arial"/>
          <w:color w:val="000000"/>
          <w:sz w:val="22"/>
        </w:rPr>
        <w:br/>
      </w:r>
      <w:r w:rsidRPr="00B65CF3">
        <w:rPr>
          <w:rFonts w:ascii="Arial" w:hAnsi="Arial" w:cs="Arial"/>
          <w:color w:val="000000"/>
          <w:sz w:val="22"/>
        </w:rPr>
        <w:br/>
        <w:t xml:space="preserve">The final stage, oxidative phosphorylation, occurs in the inner mitochondrial membrane. Here, the electrons from NADH and FADH2 are transferred through a series of protein complexes known as the electron transport chain. As electrons move through the chain, protons are pumped across the mitochondrial membrane, creating a proton gradient. This </w:t>
      </w:r>
      <w:r w:rsidRPr="00B65CF3">
        <w:rPr>
          <w:rFonts w:ascii="Arial" w:hAnsi="Arial" w:cs="Arial"/>
          <w:color w:val="000000"/>
          <w:sz w:val="22"/>
        </w:rPr>
        <w:lastRenderedPageBreak/>
        <w:t>gradient drives the synthesis of ATP from adenosine diphosphate (ADP) and inorganic phosphate via ATP synthase, a process known as chemiosmosis (Alberts et al., 2014). Oxygen serves as the final electron acceptor, combining with electrons and protons to form water, a crucial step that ensures the continuation of the electron transport chain.</w:t>
      </w:r>
      <w:r w:rsidRPr="00B65CF3">
        <w:rPr>
          <w:rFonts w:ascii="Arial" w:hAnsi="Arial" w:cs="Arial"/>
          <w:color w:val="000000"/>
          <w:sz w:val="22"/>
        </w:rPr>
        <w:br/>
      </w:r>
      <w:r w:rsidRPr="00B65CF3">
        <w:rPr>
          <w:rFonts w:ascii="Arial" w:hAnsi="Arial" w:cs="Arial"/>
          <w:color w:val="000000"/>
          <w:sz w:val="22"/>
        </w:rPr>
        <w:br/>
        <w:t>In summary, oxygen and glucose are integral to cellular respiration, a process that efficiently converts biochemical energy into ATP, the energy currency of the cell. This intricate system underscores the importance of these molecules in sustaining life by providing the energy necessary for activities (Berg et al., 2002) (Nelson &amp; Cox, 2008; Alberts et al., 2014).</w:t>
      </w:r>
    </w:p>
    <w:p w14:paraId="035C8B70" w14:textId="77777777" w:rsidR="00B65CF3" w:rsidRDefault="00B65CF3" w:rsidP="00C03A91">
      <w:pPr>
        <w:pStyle w:val="Heading1"/>
        <w:spacing w:line="360" w:lineRule="auto"/>
        <w:rPr>
          <w:rFonts w:cs="Arial"/>
        </w:rPr>
      </w:pPr>
    </w:p>
    <w:p w14:paraId="00AEA37C" w14:textId="57C3889B" w:rsidR="000C4EDA" w:rsidRPr="00C03A91" w:rsidRDefault="00076AC0" w:rsidP="00C03A91">
      <w:pPr>
        <w:pStyle w:val="Heading1"/>
        <w:spacing w:line="360" w:lineRule="auto"/>
        <w:rPr>
          <w:rFonts w:cs="Arial"/>
        </w:rPr>
      </w:pPr>
      <w:r>
        <w:rPr>
          <w:rFonts w:cs="Arial"/>
        </w:rPr>
        <w:t>4</w:t>
      </w:r>
      <w:r w:rsidR="000C4EDA" w:rsidRPr="00C03A91">
        <w:rPr>
          <w:rFonts w:cs="Arial"/>
        </w:rPr>
        <w:t xml:space="preserve">. </w:t>
      </w:r>
      <w:r w:rsidR="007A7297">
        <w:rPr>
          <w:rFonts w:cs="Arial"/>
        </w:rPr>
        <w:t>Recording and tracking blood sugar levels for type 2 diabetes</w:t>
      </w:r>
    </w:p>
    <w:p w14:paraId="189B8F71" w14:textId="307C6BEA" w:rsidR="001B7A40" w:rsidRPr="00C03A91" w:rsidRDefault="00B65CF3" w:rsidP="00B65CF3">
      <w:pPr>
        <w:spacing w:line="360" w:lineRule="auto"/>
        <w:rPr>
          <w:rFonts w:ascii="Arial" w:hAnsi="Arial" w:cs="Arial"/>
        </w:rPr>
      </w:pPr>
      <w:r w:rsidRPr="00880F5A">
        <w:rPr>
          <w:rFonts w:ascii="Arial" w:hAnsi="Arial" w:cs="Arial"/>
          <w:color w:val="000000"/>
          <w:sz w:val="22"/>
        </w:rPr>
        <w:t>Managing Type 2 diabetes effectively requires a comprehensive approach, with blood sugar monitoring playing a crucial role. Regularly recording and tracking blood sugar levels enables individuals to make informed decisions about their diet, physical activity, and medication, ultimately helping to maintain optimal glycaemic control and prevent complications.</w:t>
      </w:r>
      <w:r w:rsidRPr="00880F5A">
        <w:rPr>
          <w:rFonts w:ascii="Arial" w:hAnsi="Arial" w:cs="Arial"/>
          <w:color w:val="000000"/>
          <w:sz w:val="22"/>
        </w:rPr>
        <w:br/>
      </w:r>
      <w:r w:rsidRPr="00880F5A">
        <w:rPr>
          <w:rFonts w:ascii="Arial" w:hAnsi="Arial" w:cs="Arial"/>
          <w:color w:val="000000"/>
          <w:sz w:val="22"/>
        </w:rPr>
        <w:br/>
        <w:t>Firstly, monitoring blood sugar levels provides immediate feedback on how various factors affect glucose levels. This includes dietary choices, physical activity, stress, and medication. By understanding these relationships, individuals can adjust their lifestyle and treatment plans accordingly. For instance, if a particular meal causes a spike in blood sugar, a person can modify their diet to include foods with a lower glycaemic index. Similarly, recognising patterns in blood sugar fluctuations can help in timing meals and exercise to maintain stable glucose levels (American Diabetes Association, 2021).</w:t>
      </w:r>
      <w:r w:rsidRPr="00880F5A">
        <w:rPr>
          <w:rFonts w:ascii="Arial" w:hAnsi="Arial" w:cs="Arial"/>
          <w:color w:val="000000"/>
          <w:sz w:val="22"/>
        </w:rPr>
        <w:br/>
      </w:r>
      <w:r w:rsidRPr="00880F5A">
        <w:rPr>
          <w:rFonts w:ascii="Arial" w:hAnsi="Arial" w:cs="Arial"/>
          <w:color w:val="000000"/>
          <w:sz w:val="22"/>
        </w:rPr>
        <w:br/>
        <w:t>Moreover, tracking blood sugar levels over time allows for the identification of trends and patterns that might not be apparent from isolated readings. This long-term data is invaluable for healthcare providers in tailoring treatment plans to the individual’s needs. For example, if a patient consistently experiences high blood sugar levels in the morning, this might indicate the need for adjustments in medication or lifestyle changes. Regular monitoring also helps in assessing the effectiveness of prescribed treatments and making necessary adjustments to achieve better control (International Diabetes Federation, 2022).</w:t>
      </w:r>
      <w:r w:rsidRPr="00880F5A">
        <w:rPr>
          <w:rFonts w:ascii="Arial" w:hAnsi="Arial" w:cs="Arial"/>
          <w:color w:val="000000"/>
          <w:sz w:val="22"/>
        </w:rPr>
        <w:br/>
      </w:r>
      <w:r w:rsidRPr="00880F5A">
        <w:rPr>
          <w:rFonts w:ascii="Arial" w:hAnsi="Arial" w:cs="Arial"/>
          <w:color w:val="000000"/>
          <w:sz w:val="22"/>
        </w:rPr>
        <w:br/>
        <w:t xml:space="preserve">Additionally, self-monitoring of blood glucose can enhance patient engagement and empowerment. When individuals actively participate in their diabetes management, they are more likely to adhere to treatment plans and make healthier lifestyle choices. This proactive </w:t>
      </w:r>
      <w:r w:rsidRPr="00880F5A">
        <w:rPr>
          <w:rFonts w:ascii="Arial" w:hAnsi="Arial" w:cs="Arial"/>
          <w:color w:val="000000"/>
          <w:sz w:val="22"/>
        </w:rPr>
        <w:lastRenderedPageBreak/>
        <w:t>approach can lead to improved outcomes and a reduced risk of complications such as cardiovascular disease, neuropathy, and retinopathy. Furthermore, the psychological benefit of having control over one’s health cannot be overstated, as it can reduce anxiety and improve overall quality of life (American Diabetes Association, 2021).</w:t>
      </w:r>
      <w:r w:rsidRPr="00880F5A">
        <w:rPr>
          <w:rFonts w:ascii="Arial" w:hAnsi="Arial" w:cs="Arial"/>
          <w:color w:val="000000"/>
          <w:sz w:val="22"/>
        </w:rPr>
        <w:br/>
      </w:r>
      <w:r w:rsidRPr="00880F5A">
        <w:rPr>
          <w:rFonts w:ascii="Arial" w:hAnsi="Arial" w:cs="Arial"/>
          <w:color w:val="000000"/>
          <w:sz w:val="22"/>
        </w:rPr>
        <w:br/>
        <w:t>So recording and tracking blood sugar levels is a fundamental aspect of managing Type 2 diabetes. It provides critical insights into how lifestyle and treatment affect glucose levels, facilitates personalized care, and empowers individuals to take charge of their health. By integrating regular monitoring into their daily routine, individuals with Type 2 diabetes can achieve better glycaemic control and reduce the risk of long-term complications.</w:t>
      </w:r>
    </w:p>
    <w:p w14:paraId="299FFBE4" w14:textId="77777777" w:rsidR="00B65CF3" w:rsidRDefault="00B65CF3" w:rsidP="00B65CF3">
      <w:pPr>
        <w:pStyle w:val="Heading1"/>
        <w:spacing w:line="360" w:lineRule="auto"/>
        <w:rPr>
          <w:rFonts w:cs="Arial"/>
        </w:rPr>
      </w:pPr>
    </w:p>
    <w:p w14:paraId="6FF754BE" w14:textId="70272AC0" w:rsidR="00B65CF3" w:rsidRPr="00B65CF3" w:rsidRDefault="001B7A40" w:rsidP="00B65CF3">
      <w:pPr>
        <w:pStyle w:val="Heading1"/>
        <w:spacing w:line="360" w:lineRule="auto"/>
        <w:rPr>
          <w:rFonts w:cs="Arial"/>
        </w:rPr>
      </w:pPr>
      <w:r w:rsidRPr="00C03A91">
        <w:rPr>
          <w:rFonts w:cs="Arial"/>
        </w:rPr>
        <w:t>5. Recommend</w:t>
      </w:r>
      <w:r w:rsidR="007A7297">
        <w:rPr>
          <w:rFonts w:cs="Arial"/>
        </w:rPr>
        <w:t>ations</w:t>
      </w:r>
    </w:p>
    <w:p w14:paraId="7E7AF641" w14:textId="77777777" w:rsidR="00B65CF3" w:rsidRPr="00880F5A" w:rsidRDefault="00B65CF3" w:rsidP="00B65CF3">
      <w:pPr>
        <w:pStyle w:val="NormalWeb"/>
        <w:spacing w:line="360" w:lineRule="auto"/>
        <w:rPr>
          <w:rFonts w:ascii="Arial" w:hAnsi="Arial" w:cs="Arial"/>
          <w:color w:val="000000"/>
          <w:sz w:val="22"/>
          <w:szCs w:val="22"/>
        </w:rPr>
      </w:pPr>
      <w:r w:rsidRPr="00880F5A">
        <w:rPr>
          <w:rFonts w:ascii="Arial" w:hAnsi="Arial" w:cs="Arial"/>
          <w:color w:val="000000"/>
          <w:sz w:val="22"/>
          <w:szCs w:val="22"/>
        </w:rPr>
        <w:t>Managing diabetes effectively requires a comprehensive approach that combines medical treatment with lifestyle modifications and health promotion strategies. Evidence-based strategies can significantly improve the overall health and well-being of individuals with diabetes.</w:t>
      </w:r>
    </w:p>
    <w:p w14:paraId="4E4617C5" w14:textId="77777777" w:rsidR="00B65CF3" w:rsidRPr="00880F5A" w:rsidRDefault="00B65CF3" w:rsidP="00B65CF3">
      <w:pPr>
        <w:pStyle w:val="NormalWeb"/>
        <w:spacing w:line="360" w:lineRule="auto"/>
        <w:rPr>
          <w:rFonts w:ascii="Arial" w:hAnsi="Arial" w:cs="Arial"/>
          <w:color w:val="000000"/>
          <w:sz w:val="22"/>
          <w:szCs w:val="22"/>
        </w:rPr>
      </w:pPr>
      <w:r w:rsidRPr="00880F5A">
        <w:rPr>
          <w:rFonts w:ascii="Arial" w:hAnsi="Arial" w:cs="Arial"/>
          <w:color w:val="000000"/>
          <w:sz w:val="22"/>
          <w:szCs w:val="22"/>
        </w:rPr>
        <w:t>one key recommendation is Dietary Modifications. A balanced diet is crucial for managing diabetes. Individuals should focus on consuming a variety of nutrient-dense foods, including whole grains, lean proteins, healthy fats, and plenty of fruits and vegetables. Reducing the intake of processed foods, sugars, and saturated fats can help maintain stable blood glucose levels. The Mediterranean diet, which emphasises whole foods and healthy fats, has been shown to improve glycaemic control and reduce cardiovascular risk in people with diabetes (Esposito et al., 2015) Another way is Regular Physical Activity. Engaging in regular physical activity is essential for managing diabetes. Exercise helps improve insulin sensitivity, aids in weight management, and reduces the risk of cardiovascular disease. The American Diabetes Association recommends at least 150 minutes of moderate-intensity aerobic exercise per week, along with strength training exercises twice a week (Colberg et al., 2016). Regular Medical Check-ups where you book Routine medical appointments. These are essential for monitoring diabetes-related complications and adjusting treatment plans as needed. Self-Monitoring of Blood Glucose could also help manage diabetes. Regular monitoring of blood glucose levels allows individuals to understand how their lifestyle choices affect their diabetes. This information can guide dietary and activity adjustments and help prevent complications.</w:t>
      </w:r>
    </w:p>
    <w:p w14:paraId="720AB9A7" w14:textId="77777777" w:rsidR="00B65CF3" w:rsidRPr="00880F5A" w:rsidRDefault="00B65CF3" w:rsidP="00B65CF3">
      <w:pPr>
        <w:spacing w:line="360" w:lineRule="auto"/>
        <w:rPr>
          <w:rFonts w:ascii="Arial" w:hAnsi="Arial" w:cs="Arial"/>
          <w:color w:val="000000"/>
          <w:sz w:val="22"/>
        </w:rPr>
      </w:pPr>
    </w:p>
    <w:p w14:paraId="6DBA6107" w14:textId="20813AC0" w:rsidR="00C03A91" w:rsidRPr="00C03A91" w:rsidRDefault="00B65CF3" w:rsidP="00B65CF3">
      <w:pPr>
        <w:spacing w:line="360" w:lineRule="auto"/>
        <w:rPr>
          <w:rFonts w:ascii="Arial" w:hAnsi="Arial" w:cs="Arial"/>
        </w:rPr>
      </w:pPr>
      <w:r w:rsidRPr="00880F5A">
        <w:rPr>
          <w:rFonts w:ascii="Arial" w:hAnsi="Arial" w:cs="Arial"/>
          <w:color w:val="000000"/>
          <w:sz w:val="22"/>
        </w:rPr>
        <w:t>Incorporating these evidence-based strategies into daily life can significantly improve the health and well-being of individuals with diabetes. By making informed lifestyle changes, individuals can better manage their condition and reduce the risk of complications.</w:t>
      </w:r>
      <w:r>
        <w:rPr>
          <w:color w:val="000000"/>
        </w:rPr>
        <w:br/>
      </w:r>
    </w:p>
    <w:p w14:paraId="59F05989" w14:textId="19BD97AF" w:rsidR="001B7A40" w:rsidRPr="00C03A91" w:rsidRDefault="001B7A40" w:rsidP="00C03A91">
      <w:pPr>
        <w:pStyle w:val="Heading1"/>
        <w:spacing w:line="360" w:lineRule="auto"/>
        <w:rPr>
          <w:rFonts w:cs="Arial"/>
        </w:rPr>
      </w:pPr>
      <w:r w:rsidRPr="00C03A91">
        <w:rPr>
          <w:rFonts w:cs="Arial"/>
        </w:rPr>
        <w:t>6. Conclusion</w:t>
      </w:r>
    </w:p>
    <w:p w14:paraId="76BF7129" w14:textId="77777777" w:rsidR="00B65CF3" w:rsidRPr="00564E9D" w:rsidRDefault="00B65CF3" w:rsidP="00B65CF3">
      <w:pPr>
        <w:spacing w:line="360" w:lineRule="auto"/>
        <w:rPr>
          <w:rFonts w:ascii="Arial" w:hAnsi="Arial" w:cs="Arial"/>
          <w:color w:val="000000"/>
          <w:sz w:val="22"/>
        </w:rPr>
      </w:pPr>
      <w:r w:rsidRPr="00564E9D">
        <w:rPr>
          <w:rFonts w:ascii="Arial" w:hAnsi="Arial" w:cs="Arial"/>
          <w:color w:val="000000"/>
          <w:sz w:val="22"/>
        </w:rPr>
        <w:t>In conclusion, diabetes is a complex chronic metabolic disorder characterised by elevated blood glucose levels due to insufficient insulin production or ineffective insulin utilization. The condition primarily manifests in three forms: Type 1, Type 2, and gestational diabetes, each with distinct causes and risk factors. Type 1 diabetes is an autoimmune condition requiring lifelong insulin therapy, while Type 2 diabetes, the most common form, is often linked to lifestyle factors such as obesity and inactivity. Gestational diabetes occurs during pregnancy and can increase the risk of developing Type 2 diabetes later in life.</w:t>
      </w:r>
      <w:r w:rsidRPr="00564E9D">
        <w:rPr>
          <w:rFonts w:ascii="Arial" w:hAnsi="Arial" w:cs="Arial"/>
          <w:color w:val="000000"/>
          <w:sz w:val="22"/>
        </w:rPr>
        <w:br/>
      </w:r>
      <w:r w:rsidRPr="00564E9D">
        <w:rPr>
          <w:rFonts w:ascii="Arial" w:hAnsi="Arial" w:cs="Arial"/>
          <w:color w:val="000000"/>
          <w:sz w:val="22"/>
        </w:rPr>
        <w:br/>
        <w:t>The regulation of blood sugar levels is a critical physiological process involving the hormones insulin and glucagon, which are secreted by the pancreas. Insulin facilitates glucose uptake by cells, while glucagon promotes glucose release into the bloodstream, maintaining homeostasis. Disruptions in this balance can lead to diabetes, necessitating careful management to prevent complications.</w:t>
      </w:r>
      <w:r w:rsidRPr="00564E9D">
        <w:rPr>
          <w:rFonts w:ascii="Arial" w:hAnsi="Arial" w:cs="Arial"/>
          <w:color w:val="000000"/>
          <w:sz w:val="22"/>
        </w:rPr>
        <w:br/>
      </w:r>
      <w:r w:rsidRPr="00564E9D">
        <w:rPr>
          <w:rFonts w:ascii="Arial" w:hAnsi="Arial" w:cs="Arial"/>
          <w:color w:val="000000"/>
          <w:sz w:val="22"/>
        </w:rPr>
        <w:br/>
        <w:t>Effective management of diabetes involves a comprehensive approach that includes regular blood sugar monitoring, dietary modifications, physical activity, and routine medical check-ups. Monitoring blood sugar levels provides valuable insights into how lifestyle and treatment affect glucose levels, enabling personalized care and empowering individuals to take control of their health. Dietary changes, such as adopting a Mediterranean diet, and engaging in regular physical activity can improve glycaemic control and reduce cardiovascular risks.</w:t>
      </w:r>
      <w:r w:rsidRPr="00564E9D">
        <w:rPr>
          <w:rFonts w:ascii="Arial" w:hAnsi="Arial" w:cs="Arial"/>
          <w:color w:val="000000"/>
          <w:sz w:val="22"/>
        </w:rPr>
        <w:br/>
      </w:r>
      <w:r w:rsidRPr="00564E9D">
        <w:rPr>
          <w:rFonts w:ascii="Arial" w:hAnsi="Arial" w:cs="Arial"/>
          <w:color w:val="000000"/>
          <w:sz w:val="22"/>
        </w:rPr>
        <w:br/>
        <w:t>Overall, understanding diabetes and its management is crucial for preventing complications and improving the quality of life for individuals affected by this condition. By integrating evidence-based strategies into daily routines, individuals can achieve better health outcomes and reduce the risk of long-term complications associated with diabetes.</w:t>
      </w:r>
    </w:p>
    <w:p w14:paraId="08E99182" w14:textId="037FE047" w:rsidR="001B7A40" w:rsidRPr="00C03A91" w:rsidRDefault="001B7A40" w:rsidP="00C03A91">
      <w:pPr>
        <w:spacing w:line="360" w:lineRule="auto"/>
        <w:rPr>
          <w:rFonts w:ascii="Arial" w:hAnsi="Arial" w:cs="Arial"/>
        </w:rPr>
      </w:pP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p w14:paraId="251B3492" w14:textId="6B50CD06" w:rsidR="001B7A40" w:rsidRPr="00C03A91" w:rsidRDefault="001B7A40" w:rsidP="00C03A91">
      <w:pPr>
        <w:pStyle w:val="Heading1"/>
        <w:spacing w:line="360" w:lineRule="auto"/>
      </w:pPr>
      <w:r w:rsidRPr="00C03A91">
        <w:lastRenderedPageBreak/>
        <w:t>References</w:t>
      </w:r>
    </w:p>
    <w:p w14:paraId="7F13E542"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Alberts, B., Johnson, A., Lewis, J., Raff, M., Roberts, K., &amp; Walter, P. (2014)</w:t>
      </w:r>
      <w:r w:rsidRPr="00B65CF3">
        <w:rPr>
          <w:rStyle w:val="apple-converted-space"/>
          <w:rFonts w:ascii="Arial" w:hAnsi="Arial" w:cs="Arial"/>
          <w:color w:val="000000"/>
        </w:rPr>
        <w:t> </w:t>
      </w:r>
      <w:r w:rsidRPr="00B65CF3">
        <w:rPr>
          <w:rFonts w:ascii="Arial" w:hAnsi="Arial" w:cs="Arial"/>
          <w:i/>
          <w:iCs/>
          <w:color w:val="000000"/>
        </w:rPr>
        <w:t xml:space="preserve">(PDF) Alberts, B., </w:t>
      </w:r>
      <w:proofErr w:type="spellStart"/>
      <w:r w:rsidRPr="00B65CF3">
        <w:rPr>
          <w:rFonts w:ascii="Arial" w:hAnsi="Arial" w:cs="Arial"/>
          <w:i/>
          <w:iCs/>
          <w:color w:val="000000"/>
        </w:rPr>
        <w:t>johnson</w:t>
      </w:r>
      <w:proofErr w:type="spellEnd"/>
      <w:r w:rsidRPr="00B65CF3">
        <w:rPr>
          <w:rFonts w:ascii="Arial" w:hAnsi="Arial" w:cs="Arial"/>
          <w:i/>
          <w:iCs/>
          <w:color w:val="000000"/>
        </w:rPr>
        <w:t xml:space="preserve">, A., </w:t>
      </w:r>
      <w:proofErr w:type="spellStart"/>
      <w:r w:rsidRPr="00B65CF3">
        <w:rPr>
          <w:rFonts w:ascii="Arial" w:hAnsi="Arial" w:cs="Arial"/>
          <w:i/>
          <w:iCs/>
          <w:color w:val="000000"/>
        </w:rPr>
        <w:t>lewis</w:t>
      </w:r>
      <w:proofErr w:type="spellEnd"/>
      <w:r w:rsidRPr="00B65CF3">
        <w:rPr>
          <w:rFonts w:ascii="Arial" w:hAnsi="Arial" w:cs="Arial"/>
          <w:i/>
          <w:iCs/>
          <w:color w:val="000000"/>
        </w:rPr>
        <w:t xml:space="preserve">, J., raff, M., Roberts, K. and </w:t>
      </w:r>
      <w:proofErr w:type="spellStart"/>
      <w:r w:rsidRPr="00B65CF3">
        <w:rPr>
          <w:rFonts w:ascii="Arial" w:hAnsi="Arial" w:cs="Arial"/>
          <w:i/>
          <w:iCs/>
          <w:color w:val="000000"/>
        </w:rPr>
        <w:t>walter</w:t>
      </w:r>
      <w:proofErr w:type="spellEnd"/>
      <w:r w:rsidRPr="00B65CF3">
        <w:rPr>
          <w:rFonts w:ascii="Arial" w:hAnsi="Arial" w:cs="Arial"/>
          <w:i/>
          <w:iCs/>
          <w:color w:val="000000"/>
        </w:rPr>
        <w:t>, P. molecular biology of the cell. 4th EDN.</w:t>
      </w:r>
      <w:r w:rsidRPr="00B65CF3">
        <w:rPr>
          <w:rStyle w:val="apple-converted-space"/>
          <w:rFonts w:ascii="Arial" w:hAnsi="Arial" w:cs="Arial"/>
          <w:color w:val="000000"/>
        </w:rPr>
        <w:t> </w:t>
      </w:r>
      <w:r w:rsidRPr="00B65CF3">
        <w:rPr>
          <w:rFonts w:ascii="Arial" w:hAnsi="Arial" w:cs="Arial"/>
          <w:color w:val="000000"/>
        </w:rPr>
        <w:t>Available at: https://www.researchgate.net/publication/274179232_Alberts_B_Johnson_A_Lewis_J_Raff_M_Roberts_K_and_Walter_P_Molecular_biology_of_the_cell_4th_edn (Accessed: 26 November 2025).</w:t>
      </w:r>
      <w:r w:rsidRPr="00B65CF3">
        <w:rPr>
          <w:rStyle w:val="apple-converted-space"/>
          <w:rFonts w:ascii="Arial" w:hAnsi="Arial" w:cs="Arial"/>
          <w:color w:val="000000"/>
        </w:rPr>
        <w:t> </w:t>
      </w:r>
    </w:p>
    <w:p w14:paraId="394F0C30"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American Diabetes Association (2021)</w:t>
      </w:r>
      <w:r w:rsidRPr="00B65CF3">
        <w:rPr>
          <w:rStyle w:val="apple-converted-space"/>
          <w:rFonts w:ascii="Arial" w:hAnsi="Arial" w:cs="Arial"/>
          <w:color w:val="000000"/>
        </w:rPr>
        <w:t> </w:t>
      </w:r>
      <w:r w:rsidRPr="00B65CF3">
        <w:rPr>
          <w:rFonts w:ascii="Arial" w:hAnsi="Arial" w:cs="Arial"/>
          <w:i/>
          <w:iCs/>
          <w:color w:val="000000"/>
        </w:rPr>
        <w:t xml:space="preserve">What is the A1C </w:t>
      </w:r>
      <w:proofErr w:type="gramStart"/>
      <w:r w:rsidRPr="00B65CF3">
        <w:rPr>
          <w:rFonts w:ascii="Arial" w:hAnsi="Arial" w:cs="Arial"/>
          <w:i/>
          <w:iCs/>
          <w:color w:val="000000"/>
        </w:rPr>
        <w:t>test?</w:t>
      </w:r>
      <w:r w:rsidRPr="00B65CF3">
        <w:rPr>
          <w:rFonts w:ascii="Arial" w:hAnsi="Arial" w:cs="Arial"/>
          <w:color w:val="000000"/>
        </w:rPr>
        <w:t>,</w:t>
      </w:r>
      <w:proofErr w:type="gramEnd"/>
      <w:r w:rsidRPr="00B65CF3">
        <w:rPr>
          <w:rStyle w:val="apple-converted-space"/>
          <w:rFonts w:ascii="Arial" w:hAnsi="Arial" w:cs="Arial"/>
          <w:color w:val="000000"/>
        </w:rPr>
        <w:t> </w:t>
      </w:r>
      <w:r w:rsidRPr="00B65CF3">
        <w:rPr>
          <w:rFonts w:ascii="Arial" w:hAnsi="Arial" w:cs="Arial"/>
          <w:i/>
          <w:iCs/>
          <w:color w:val="000000"/>
        </w:rPr>
        <w:t>Understanding A1C Test | ADA</w:t>
      </w:r>
      <w:r w:rsidRPr="00B65CF3">
        <w:rPr>
          <w:rFonts w:ascii="Arial" w:hAnsi="Arial" w:cs="Arial"/>
          <w:color w:val="000000"/>
        </w:rPr>
        <w:t>. Available at: https://diabetes.org/about-diabetes/a1c (Accessed: 20 November 2025).</w:t>
      </w:r>
      <w:r w:rsidRPr="00B65CF3">
        <w:rPr>
          <w:rStyle w:val="apple-converted-space"/>
          <w:rFonts w:ascii="Arial" w:hAnsi="Arial" w:cs="Arial"/>
          <w:color w:val="000000"/>
        </w:rPr>
        <w:t> </w:t>
      </w:r>
    </w:p>
    <w:p w14:paraId="289366FB"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American Diabetes Association (2023)</w:t>
      </w:r>
      <w:r w:rsidRPr="00B65CF3">
        <w:rPr>
          <w:rStyle w:val="apple-converted-space"/>
          <w:rFonts w:ascii="Arial" w:hAnsi="Arial" w:cs="Arial"/>
          <w:color w:val="000000"/>
        </w:rPr>
        <w:t> </w:t>
      </w:r>
      <w:r w:rsidRPr="00B65CF3">
        <w:rPr>
          <w:rFonts w:ascii="Arial" w:hAnsi="Arial" w:cs="Arial"/>
          <w:i/>
          <w:iCs/>
          <w:color w:val="000000"/>
        </w:rPr>
        <w:t>American Diabetes Association releases 2023 standards of care in diabetes to guide prevention, diagnosis, and treatment for people living with diabetes</w:t>
      </w:r>
      <w:r w:rsidRPr="00B65CF3">
        <w:rPr>
          <w:rFonts w:ascii="Arial" w:hAnsi="Arial" w:cs="Arial"/>
          <w:color w:val="000000"/>
        </w:rPr>
        <w:t>,</w:t>
      </w:r>
      <w:r w:rsidRPr="00B65CF3">
        <w:rPr>
          <w:rStyle w:val="apple-converted-space"/>
          <w:rFonts w:ascii="Arial" w:hAnsi="Arial" w:cs="Arial"/>
          <w:color w:val="000000"/>
        </w:rPr>
        <w:t> </w:t>
      </w:r>
      <w:r w:rsidRPr="00B65CF3">
        <w:rPr>
          <w:rFonts w:ascii="Arial" w:hAnsi="Arial" w:cs="Arial"/>
          <w:i/>
          <w:iCs/>
          <w:color w:val="000000"/>
        </w:rPr>
        <w:t>American Diabetes Association Releases 2023 Standards of Care in Diabetes to Guide Prevention, Diagnosis, and Treatment for People Living with Diabetes | American Diabetes Association</w:t>
      </w:r>
      <w:r w:rsidRPr="00B65CF3">
        <w:rPr>
          <w:rFonts w:ascii="Arial" w:hAnsi="Arial" w:cs="Arial"/>
          <w:color w:val="000000"/>
        </w:rPr>
        <w:t>. Available at: https://diabetes.org/newsroom/american-diabetes-association-2023-standards-care-diabetes-guide-for-prevention-diagnosis-treatment-people-living-with-diabetes (Accessed: 20 November 2025).</w:t>
      </w:r>
      <w:r w:rsidRPr="00B65CF3">
        <w:rPr>
          <w:rStyle w:val="apple-converted-space"/>
          <w:rFonts w:ascii="Arial" w:hAnsi="Arial" w:cs="Arial"/>
          <w:color w:val="000000"/>
        </w:rPr>
        <w:t> </w:t>
      </w:r>
    </w:p>
    <w:p w14:paraId="39E260FC"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American Diabetes Association. (2021)</w:t>
      </w:r>
      <w:r w:rsidRPr="00B65CF3">
        <w:rPr>
          <w:rStyle w:val="apple-converted-space"/>
          <w:rFonts w:ascii="Arial" w:hAnsi="Arial" w:cs="Arial"/>
          <w:color w:val="000000"/>
        </w:rPr>
        <w:t> </w:t>
      </w:r>
      <w:r w:rsidRPr="00B65CF3">
        <w:rPr>
          <w:rFonts w:ascii="Arial" w:hAnsi="Arial" w:cs="Arial"/>
          <w:i/>
          <w:iCs/>
          <w:color w:val="000000"/>
        </w:rPr>
        <w:t xml:space="preserve">Ada releases 2021 standards of medical care in diabetes </w:t>
      </w:r>
      <w:proofErr w:type="spellStart"/>
      <w:r w:rsidRPr="00B65CF3">
        <w:rPr>
          <w:rFonts w:ascii="Arial" w:hAnsi="Arial" w:cs="Arial"/>
          <w:i/>
          <w:iCs/>
          <w:color w:val="000000"/>
        </w:rPr>
        <w:t>centered</w:t>
      </w:r>
      <w:proofErr w:type="spellEnd"/>
      <w:r w:rsidRPr="00B65CF3">
        <w:rPr>
          <w:rFonts w:ascii="Arial" w:hAnsi="Arial" w:cs="Arial"/>
          <w:i/>
          <w:iCs/>
          <w:color w:val="000000"/>
        </w:rPr>
        <w:t xml:space="preserve"> on evolving evidence, technology, and Individualized Care</w:t>
      </w:r>
      <w:r w:rsidRPr="00B65CF3">
        <w:rPr>
          <w:rFonts w:ascii="Arial" w:hAnsi="Arial" w:cs="Arial"/>
          <w:color w:val="000000"/>
        </w:rPr>
        <w:t>,</w:t>
      </w:r>
      <w:r w:rsidRPr="00B65CF3">
        <w:rPr>
          <w:rStyle w:val="apple-converted-space"/>
          <w:rFonts w:ascii="Arial" w:hAnsi="Arial" w:cs="Arial"/>
          <w:color w:val="000000"/>
        </w:rPr>
        <w:t> </w:t>
      </w:r>
      <w:r w:rsidRPr="00B65CF3">
        <w:rPr>
          <w:rFonts w:ascii="Arial" w:hAnsi="Arial" w:cs="Arial"/>
          <w:i/>
          <w:iCs/>
          <w:color w:val="000000"/>
        </w:rPr>
        <w:t xml:space="preserve">ADA Releases 2021 Standards of Medical Care in Diabetes </w:t>
      </w:r>
      <w:proofErr w:type="spellStart"/>
      <w:r w:rsidRPr="00B65CF3">
        <w:rPr>
          <w:rFonts w:ascii="Arial" w:hAnsi="Arial" w:cs="Arial"/>
          <w:i/>
          <w:iCs/>
          <w:color w:val="000000"/>
        </w:rPr>
        <w:t>Centered</w:t>
      </w:r>
      <w:proofErr w:type="spellEnd"/>
      <w:r w:rsidRPr="00B65CF3">
        <w:rPr>
          <w:rFonts w:ascii="Arial" w:hAnsi="Arial" w:cs="Arial"/>
          <w:i/>
          <w:iCs/>
          <w:color w:val="000000"/>
        </w:rPr>
        <w:t xml:space="preserve"> on Evolving Evidence, Technology, and Individualized Care | American Diabetes Association</w:t>
      </w:r>
      <w:r w:rsidRPr="00B65CF3">
        <w:rPr>
          <w:rFonts w:ascii="Arial" w:hAnsi="Arial" w:cs="Arial"/>
          <w:color w:val="000000"/>
        </w:rPr>
        <w:t>. Available at: https://diabetes.org/newsroom/ADA-releases-2021-standards-of-medical-care-in-diabetes (Accessed: 26 November 2025).</w:t>
      </w:r>
      <w:r w:rsidRPr="00B65CF3">
        <w:rPr>
          <w:rStyle w:val="apple-converted-space"/>
          <w:rFonts w:ascii="Arial" w:hAnsi="Arial" w:cs="Arial"/>
          <w:color w:val="000000"/>
        </w:rPr>
        <w:t> </w:t>
      </w:r>
    </w:p>
    <w:p w14:paraId="3CAF670F"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 xml:space="preserve">Berg, J. M., Tymoczko, J. L., &amp; </w:t>
      </w:r>
      <w:proofErr w:type="spellStart"/>
      <w:r w:rsidRPr="00B65CF3">
        <w:rPr>
          <w:rFonts w:ascii="Arial" w:hAnsi="Arial" w:cs="Arial"/>
          <w:color w:val="000000"/>
        </w:rPr>
        <w:t>Stryer</w:t>
      </w:r>
      <w:proofErr w:type="spellEnd"/>
      <w:r w:rsidRPr="00B65CF3">
        <w:rPr>
          <w:rFonts w:ascii="Arial" w:hAnsi="Arial" w:cs="Arial"/>
          <w:color w:val="000000"/>
        </w:rPr>
        <w:t>, L (2002)</w:t>
      </w:r>
      <w:r w:rsidRPr="00B65CF3">
        <w:rPr>
          <w:rStyle w:val="apple-converted-space"/>
          <w:rFonts w:ascii="Arial" w:hAnsi="Arial" w:cs="Arial"/>
          <w:color w:val="000000"/>
        </w:rPr>
        <w:t> </w:t>
      </w:r>
      <w:proofErr w:type="spellStart"/>
      <w:r w:rsidRPr="00B65CF3">
        <w:rPr>
          <w:rFonts w:ascii="Arial" w:hAnsi="Arial" w:cs="Arial"/>
          <w:i/>
          <w:iCs/>
          <w:color w:val="000000"/>
        </w:rPr>
        <w:t>Wordpress</w:t>
      </w:r>
      <w:proofErr w:type="spellEnd"/>
      <w:r w:rsidRPr="00B65CF3">
        <w:rPr>
          <w:rFonts w:ascii="Arial" w:hAnsi="Arial" w:cs="Arial"/>
          <w:color w:val="000000"/>
        </w:rPr>
        <w:t>. Available at: https://biokamikazi.wordpress.com/wp-content/uploads/2013/10/biochemistry-stryer-5th-ed.pdf (Accessed: 26 November 2025).</w:t>
      </w:r>
      <w:r w:rsidRPr="00B65CF3">
        <w:rPr>
          <w:rStyle w:val="apple-converted-space"/>
          <w:rFonts w:ascii="Arial" w:hAnsi="Arial" w:cs="Arial"/>
          <w:color w:val="000000"/>
        </w:rPr>
        <w:t> </w:t>
      </w:r>
    </w:p>
    <w:p w14:paraId="3011772D"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Colberg, S. R., Sigal, R. J., Yardley, J. E (2016)</w:t>
      </w:r>
      <w:r w:rsidRPr="00B65CF3">
        <w:rPr>
          <w:rStyle w:val="apple-converted-space"/>
          <w:rFonts w:ascii="Arial" w:hAnsi="Arial" w:cs="Arial"/>
          <w:color w:val="000000"/>
        </w:rPr>
        <w:t> </w:t>
      </w:r>
      <w:r w:rsidRPr="00B65CF3">
        <w:rPr>
          <w:rFonts w:ascii="Arial" w:hAnsi="Arial" w:cs="Arial"/>
          <w:i/>
          <w:iCs/>
          <w:color w:val="000000"/>
        </w:rPr>
        <w:t xml:space="preserve">Colberg, S.R., Sigal, R.J., </w:t>
      </w:r>
      <w:proofErr w:type="spellStart"/>
      <w:r w:rsidRPr="00B65CF3">
        <w:rPr>
          <w:rFonts w:ascii="Arial" w:hAnsi="Arial" w:cs="Arial"/>
          <w:i/>
          <w:iCs/>
          <w:color w:val="000000"/>
        </w:rPr>
        <w:t>yardley</w:t>
      </w:r>
      <w:proofErr w:type="spellEnd"/>
      <w:r w:rsidRPr="00B65CF3">
        <w:rPr>
          <w:rFonts w:ascii="Arial" w:hAnsi="Arial" w:cs="Arial"/>
          <w:i/>
          <w:iCs/>
          <w:color w:val="000000"/>
        </w:rPr>
        <w:t xml:space="preserve">, J.E., Riddell, M.C., </w:t>
      </w:r>
      <w:proofErr w:type="spellStart"/>
      <w:r w:rsidRPr="00B65CF3">
        <w:rPr>
          <w:rFonts w:ascii="Arial" w:hAnsi="Arial" w:cs="Arial"/>
          <w:i/>
          <w:iCs/>
          <w:color w:val="000000"/>
        </w:rPr>
        <w:t>dunstan</w:t>
      </w:r>
      <w:proofErr w:type="spellEnd"/>
      <w:r w:rsidRPr="00B65CF3">
        <w:rPr>
          <w:rFonts w:ascii="Arial" w:hAnsi="Arial" w:cs="Arial"/>
          <w:i/>
          <w:iCs/>
          <w:color w:val="000000"/>
        </w:rPr>
        <w:t>, D.W., Dempsey, P.C., et al. (2016) physical activity/exercise and diabetes a position statement of the American Diabetes Association. diabetes care, 39, 2065-2079. - references - scientific research publishing</w:t>
      </w:r>
      <w:r w:rsidRPr="00B65CF3">
        <w:rPr>
          <w:rFonts w:ascii="Arial" w:hAnsi="Arial" w:cs="Arial"/>
          <w:color w:val="000000"/>
        </w:rPr>
        <w:t>. Available at: https://www.scirp.org/reference/referencespapers?referenceid=2859374 (Accessed: 05 December 2025).</w:t>
      </w:r>
      <w:r w:rsidRPr="00B65CF3">
        <w:rPr>
          <w:rStyle w:val="apple-converted-space"/>
          <w:rFonts w:ascii="Arial" w:hAnsi="Arial" w:cs="Arial"/>
          <w:color w:val="000000"/>
        </w:rPr>
        <w:t> </w:t>
      </w:r>
    </w:p>
    <w:p w14:paraId="2915D330"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Diabetes Basic (2023)</w:t>
      </w:r>
      <w:r w:rsidRPr="00B65CF3">
        <w:rPr>
          <w:rStyle w:val="apple-converted-space"/>
          <w:rFonts w:ascii="Arial" w:hAnsi="Arial" w:cs="Arial"/>
          <w:color w:val="000000"/>
        </w:rPr>
        <w:t> </w:t>
      </w:r>
      <w:r w:rsidRPr="00B65CF3">
        <w:rPr>
          <w:rFonts w:ascii="Arial" w:hAnsi="Arial" w:cs="Arial"/>
          <w:i/>
          <w:iCs/>
          <w:color w:val="000000"/>
        </w:rPr>
        <w:t>Diabetes basics</w:t>
      </w:r>
      <w:r w:rsidRPr="00B65CF3">
        <w:rPr>
          <w:rFonts w:ascii="Arial" w:hAnsi="Arial" w:cs="Arial"/>
          <w:color w:val="000000"/>
        </w:rPr>
        <w:t>,</w:t>
      </w:r>
      <w:r w:rsidRPr="00B65CF3">
        <w:rPr>
          <w:rStyle w:val="apple-converted-space"/>
          <w:rFonts w:ascii="Arial" w:hAnsi="Arial" w:cs="Arial"/>
          <w:color w:val="000000"/>
        </w:rPr>
        <w:t> </w:t>
      </w:r>
      <w:proofErr w:type="spellStart"/>
      <w:r w:rsidRPr="00B65CF3">
        <w:rPr>
          <w:rFonts w:ascii="Arial" w:hAnsi="Arial" w:cs="Arial"/>
          <w:i/>
          <w:iCs/>
          <w:color w:val="000000"/>
        </w:rPr>
        <w:t>Centers</w:t>
      </w:r>
      <w:proofErr w:type="spellEnd"/>
      <w:r w:rsidRPr="00B65CF3">
        <w:rPr>
          <w:rFonts w:ascii="Arial" w:hAnsi="Arial" w:cs="Arial"/>
          <w:i/>
          <w:iCs/>
          <w:color w:val="000000"/>
        </w:rPr>
        <w:t xml:space="preserve"> for Disease Control and Prevention</w:t>
      </w:r>
      <w:r w:rsidRPr="00B65CF3">
        <w:rPr>
          <w:rFonts w:ascii="Arial" w:hAnsi="Arial" w:cs="Arial"/>
          <w:color w:val="000000"/>
        </w:rPr>
        <w:t>. Available at: https://www.cdc.gov/diabetes/about/index.html (Accessed: 20 November 2025).</w:t>
      </w:r>
      <w:r w:rsidRPr="00B65CF3">
        <w:rPr>
          <w:rStyle w:val="apple-converted-space"/>
          <w:rFonts w:ascii="Arial" w:hAnsi="Arial" w:cs="Arial"/>
          <w:color w:val="000000"/>
        </w:rPr>
        <w:t> </w:t>
      </w:r>
    </w:p>
    <w:p w14:paraId="4553AA1C"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IDF (2022)</w:t>
      </w:r>
      <w:r w:rsidRPr="00B65CF3">
        <w:rPr>
          <w:rStyle w:val="apple-converted-space"/>
          <w:rFonts w:ascii="Arial" w:hAnsi="Arial" w:cs="Arial"/>
          <w:color w:val="000000"/>
        </w:rPr>
        <w:t> </w:t>
      </w:r>
      <w:r w:rsidRPr="00B65CF3">
        <w:rPr>
          <w:rFonts w:ascii="Arial" w:hAnsi="Arial" w:cs="Arial"/>
          <w:i/>
          <w:iCs/>
          <w:color w:val="000000"/>
        </w:rPr>
        <w:t>Home</w:t>
      </w:r>
      <w:r w:rsidRPr="00B65CF3">
        <w:rPr>
          <w:rFonts w:ascii="Arial" w:hAnsi="Arial" w:cs="Arial"/>
          <w:color w:val="000000"/>
        </w:rPr>
        <w:t>,</w:t>
      </w:r>
      <w:r w:rsidRPr="00B65CF3">
        <w:rPr>
          <w:rStyle w:val="apple-converted-space"/>
          <w:rFonts w:ascii="Arial" w:hAnsi="Arial" w:cs="Arial"/>
          <w:color w:val="000000"/>
        </w:rPr>
        <w:t> </w:t>
      </w:r>
      <w:r w:rsidRPr="00B65CF3">
        <w:rPr>
          <w:rFonts w:ascii="Arial" w:hAnsi="Arial" w:cs="Arial"/>
          <w:i/>
          <w:iCs/>
          <w:color w:val="000000"/>
        </w:rPr>
        <w:t>Diabetes Atlas</w:t>
      </w:r>
      <w:r w:rsidRPr="00B65CF3">
        <w:rPr>
          <w:rFonts w:ascii="Arial" w:hAnsi="Arial" w:cs="Arial"/>
          <w:color w:val="000000"/>
        </w:rPr>
        <w:t>. Available at: https://diabetesatlas.org/ (Accessed: 26 November 2025).</w:t>
      </w:r>
      <w:r w:rsidRPr="00B65CF3">
        <w:rPr>
          <w:rStyle w:val="apple-converted-space"/>
          <w:rFonts w:ascii="Arial" w:hAnsi="Arial" w:cs="Arial"/>
          <w:color w:val="000000"/>
        </w:rPr>
        <w:t> </w:t>
      </w:r>
    </w:p>
    <w:p w14:paraId="35B1CD90"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lastRenderedPageBreak/>
        <w:t>Mayo clinic (2021)</w:t>
      </w:r>
      <w:r w:rsidRPr="00B65CF3">
        <w:rPr>
          <w:rStyle w:val="apple-converted-space"/>
          <w:rFonts w:ascii="Arial" w:hAnsi="Arial" w:cs="Arial"/>
          <w:color w:val="000000"/>
        </w:rPr>
        <w:t> </w:t>
      </w:r>
      <w:r w:rsidRPr="00B65CF3">
        <w:rPr>
          <w:rFonts w:ascii="Arial" w:hAnsi="Arial" w:cs="Arial"/>
          <w:i/>
          <w:iCs/>
          <w:color w:val="000000"/>
        </w:rPr>
        <w:t>Glucagon (injection route)</w:t>
      </w:r>
      <w:r w:rsidRPr="00B65CF3">
        <w:rPr>
          <w:rFonts w:ascii="Arial" w:hAnsi="Arial" w:cs="Arial"/>
          <w:color w:val="000000"/>
        </w:rPr>
        <w:t>,</w:t>
      </w:r>
      <w:r w:rsidRPr="00B65CF3">
        <w:rPr>
          <w:rStyle w:val="apple-converted-space"/>
          <w:rFonts w:ascii="Arial" w:hAnsi="Arial" w:cs="Arial"/>
          <w:color w:val="000000"/>
        </w:rPr>
        <w:t> </w:t>
      </w:r>
      <w:r w:rsidRPr="00B65CF3">
        <w:rPr>
          <w:rFonts w:ascii="Arial" w:hAnsi="Arial" w:cs="Arial"/>
          <w:i/>
          <w:iCs/>
          <w:color w:val="000000"/>
        </w:rPr>
        <w:t>Mayo Clinic</w:t>
      </w:r>
      <w:r w:rsidRPr="00B65CF3">
        <w:rPr>
          <w:rFonts w:ascii="Arial" w:hAnsi="Arial" w:cs="Arial"/>
          <w:color w:val="000000"/>
        </w:rPr>
        <w:t>. Available at: https://www.mayoclinic.org/drugs-supplements/glucagon-injection-route/description/drg-20064089 (Accessed: 20 November 2025).</w:t>
      </w:r>
      <w:r w:rsidRPr="00B65CF3">
        <w:rPr>
          <w:rStyle w:val="apple-converted-space"/>
          <w:rFonts w:ascii="Arial" w:hAnsi="Arial" w:cs="Arial"/>
          <w:color w:val="000000"/>
        </w:rPr>
        <w:t> </w:t>
      </w:r>
    </w:p>
    <w:p w14:paraId="0127DB8B"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Mayo clinic (2025)</w:t>
      </w:r>
      <w:r w:rsidRPr="00B65CF3">
        <w:rPr>
          <w:rStyle w:val="apple-converted-space"/>
          <w:rFonts w:ascii="Arial" w:hAnsi="Arial" w:cs="Arial"/>
          <w:color w:val="000000"/>
        </w:rPr>
        <w:t> </w:t>
      </w:r>
      <w:r w:rsidRPr="00B65CF3">
        <w:rPr>
          <w:rFonts w:ascii="Arial" w:hAnsi="Arial" w:cs="Arial"/>
          <w:i/>
          <w:iCs/>
          <w:color w:val="000000"/>
        </w:rPr>
        <w:t>Type 2 diabetes</w:t>
      </w:r>
      <w:r w:rsidRPr="00B65CF3">
        <w:rPr>
          <w:rFonts w:ascii="Arial" w:hAnsi="Arial" w:cs="Arial"/>
          <w:color w:val="000000"/>
        </w:rPr>
        <w:t>,</w:t>
      </w:r>
      <w:r w:rsidRPr="00B65CF3">
        <w:rPr>
          <w:rStyle w:val="apple-converted-space"/>
          <w:rFonts w:ascii="Arial" w:hAnsi="Arial" w:cs="Arial"/>
          <w:color w:val="000000"/>
        </w:rPr>
        <w:t> </w:t>
      </w:r>
      <w:r w:rsidRPr="00B65CF3">
        <w:rPr>
          <w:rFonts w:ascii="Arial" w:hAnsi="Arial" w:cs="Arial"/>
          <w:i/>
          <w:iCs/>
          <w:color w:val="000000"/>
        </w:rPr>
        <w:t>Mayo Clinic</w:t>
      </w:r>
      <w:r w:rsidRPr="00B65CF3">
        <w:rPr>
          <w:rFonts w:ascii="Arial" w:hAnsi="Arial" w:cs="Arial"/>
          <w:color w:val="000000"/>
        </w:rPr>
        <w:t>. Available at: https://www.mayoclinic.org/diseases-conditions/type-2-diabetes/symptoms-causes/syc-20351193 (Accessed: 20 November 2025).</w:t>
      </w:r>
      <w:r w:rsidRPr="00B65CF3">
        <w:rPr>
          <w:rStyle w:val="apple-converted-space"/>
          <w:rFonts w:ascii="Arial" w:hAnsi="Arial" w:cs="Arial"/>
          <w:color w:val="000000"/>
        </w:rPr>
        <w:t> </w:t>
      </w:r>
    </w:p>
    <w:p w14:paraId="711E08E2" w14:textId="77777777" w:rsidR="00B65CF3" w:rsidRPr="00B65CF3" w:rsidRDefault="00B65CF3" w:rsidP="00B65CF3">
      <w:pPr>
        <w:pStyle w:val="NormalWeb"/>
        <w:ind w:left="567" w:hanging="567"/>
        <w:rPr>
          <w:rFonts w:ascii="Arial" w:hAnsi="Arial" w:cs="Arial"/>
          <w:color w:val="000000"/>
        </w:rPr>
      </w:pPr>
      <w:r w:rsidRPr="00B65CF3">
        <w:rPr>
          <w:rFonts w:ascii="Arial" w:hAnsi="Arial" w:cs="Arial"/>
          <w:color w:val="000000"/>
        </w:rPr>
        <w:t>Nelson, D. L., &amp; Cox, M. M. (2008)</w:t>
      </w:r>
      <w:r w:rsidRPr="00B65CF3">
        <w:rPr>
          <w:rStyle w:val="apple-converted-space"/>
          <w:rFonts w:ascii="Arial" w:hAnsi="Arial" w:cs="Arial"/>
          <w:color w:val="000000"/>
        </w:rPr>
        <w:t> </w:t>
      </w:r>
      <w:r w:rsidRPr="00B65CF3">
        <w:rPr>
          <w:rFonts w:ascii="Arial" w:hAnsi="Arial" w:cs="Arial"/>
          <w:i/>
          <w:iCs/>
          <w:color w:val="000000"/>
        </w:rPr>
        <w:t xml:space="preserve">(PDF) </w:t>
      </w:r>
      <w:proofErr w:type="spellStart"/>
      <w:r w:rsidRPr="00B65CF3">
        <w:rPr>
          <w:rFonts w:ascii="Arial" w:hAnsi="Arial" w:cs="Arial"/>
          <w:i/>
          <w:iCs/>
          <w:color w:val="000000"/>
        </w:rPr>
        <w:t>lehninger</w:t>
      </w:r>
      <w:proofErr w:type="spellEnd"/>
      <w:r w:rsidRPr="00B65CF3">
        <w:rPr>
          <w:rFonts w:ascii="Arial" w:hAnsi="Arial" w:cs="Arial"/>
          <w:i/>
          <w:iCs/>
          <w:color w:val="000000"/>
        </w:rPr>
        <w:t xml:space="preserve"> principles of biochemistry</w:t>
      </w:r>
      <w:r w:rsidRPr="00B65CF3">
        <w:rPr>
          <w:rFonts w:ascii="Arial" w:hAnsi="Arial" w:cs="Arial"/>
          <w:color w:val="000000"/>
        </w:rPr>
        <w:t>. Available at: https://www.researchgate.net/publication/48376766_Lehninger_Principles_of_Biochemistry (Accessed: 26 November 2025).</w:t>
      </w:r>
      <w:r w:rsidRPr="00B65CF3">
        <w:rPr>
          <w:rStyle w:val="apple-converted-space"/>
          <w:rFonts w:ascii="Arial" w:hAnsi="Arial" w:cs="Arial"/>
          <w:color w:val="000000"/>
        </w:rPr>
        <w:t> </w:t>
      </w:r>
    </w:p>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4D562" w14:textId="77777777" w:rsidR="009E49C8" w:rsidRDefault="009E49C8" w:rsidP="00C03A91">
      <w:pPr>
        <w:spacing w:after="0" w:line="240" w:lineRule="auto"/>
      </w:pPr>
      <w:r>
        <w:separator/>
      </w:r>
    </w:p>
  </w:endnote>
  <w:endnote w:type="continuationSeparator" w:id="0">
    <w:p w14:paraId="0C19643D" w14:textId="77777777" w:rsidR="009E49C8" w:rsidRDefault="009E49C8"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2B852" w14:textId="77777777" w:rsidR="009E49C8" w:rsidRDefault="009E49C8" w:rsidP="00C03A91">
      <w:pPr>
        <w:spacing w:after="0" w:line="240" w:lineRule="auto"/>
      </w:pPr>
      <w:r>
        <w:separator/>
      </w:r>
    </w:p>
  </w:footnote>
  <w:footnote w:type="continuationSeparator" w:id="0">
    <w:p w14:paraId="0054051E" w14:textId="77777777" w:rsidR="009E49C8" w:rsidRDefault="009E49C8"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9187A"/>
    <w:rsid w:val="000C4EDA"/>
    <w:rsid w:val="001B7A40"/>
    <w:rsid w:val="001F6DDB"/>
    <w:rsid w:val="00216C85"/>
    <w:rsid w:val="00273BF0"/>
    <w:rsid w:val="00273EDD"/>
    <w:rsid w:val="002C3965"/>
    <w:rsid w:val="002D5EDB"/>
    <w:rsid w:val="00321C4C"/>
    <w:rsid w:val="00370282"/>
    <w:rsid w:val="004577F7"/>
    <w:rsid w:val="005247B0"/>
    <w:rsid w:val="005851AD"/>
    <w:rsid w:val="00725C1C"/>
    <w:rsid w:val="007A7297"/>
    <w:rsid w:val="007E7745"/>
    <w:rsid w:val="008353D4"/>
    <w:rsid w:val="009D1D1E"/>
    <w:rsid w:val="009E49C8"/>
    <w:rsid w:val="00A035FD"/>
    <w:rsid w:val="00AA4DD8"/>
    <w:rsid w:val="00B65CF3"/>
    <w:rsid w:val="00C03A91"/>
    <w:rsid w:val="00CD2863"/>
    <w:rsid w:val="00CE7A90"/>
    <w:rsid w:val="00D73FB0"/>
    <w:rsid w:val="00DA2A1E"/>
    <w:rsid w:val="00DB6D4B"/>
    <w:rsid w:val="00E2038D"/>
    <w:rsid w:val="00EB12BC"/>
    <w:rsid w:val="00F137E3"/>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unhideWhenUsed/>
    <w:rsid w:val="00B65CF3"/>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B65C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2683</Words>
  <Characters>15295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Saskia Green</cp:lastModifiedBy>
  <cp:revision>2</cp:revision>
  <dcterms:created xsi:type="dcterms:W3CDTF">2025-12-05T14:00:00Z</dcterms:created>
  <dcterms:modified xsi:type="dcterms:W3CDTF">2025-12-05T14:00:00Z</dcterms:modified>
</cp:coreProperties>
</file>