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058E3"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577A90D2"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299DA0C4"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273FA961"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6B8403CC"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0F877309"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06515546" w14:textId="77777777" w:rsidR="006E752D" w:rsidRDefault="006E752D" w:rsidP="00281CDC">
      <w:pPr>
        <w:spacing w:before="120" w:after="120" w:line="360" w:lineRule="auto"/>
        <w:ind w:firstLine="720"/>
        <w:jc w:val="center"/>
        <w:rPr>
          <w:rFonts w:ascii="Arial" w:hAnsi="Arial" w:cs="Arial"/>
          <w:b/>
          <w:sz w:val="28"/>
          <w:szCs w:val="28"/>
          <w:lang w:eastAsia="en-US"/>
        </w:rPr>
      </w:pPr>
    </w:p>
    <w:p w14:paraId="56868A1D" w14:textId="5A54E7E6" w:rsidR="009E0721" w:rsidRPr="000E3764" w:rsidRDefault="006E752D" w:rsidP="00281CDC">
      <w:pPr>
        <w:spacing w:before="120" w:after="120" w:line="360" w:lineRule="auto"/>
        <w:ind w:firstLine="720"/>
        <w:jc w:val="center"/>
        <w:rPr>
          <w:rFonts w:ascii="Arial" w:hAnsi="Arial" w:cs="Arial"/>
          <w:sz w:val="28"/>
          <w:szCs w:val="28"/>
          <w:lang w:eastAsia="en-US"/>
        </w:rPr>
      </w:pPr>
      <w:r w:rsidRPr="000E3764">
        <w:rPr>
          <w:rFonts w:ascii="Arial" w:hAnsi="Arial" w:cs="Arial"/>
          <w:noProof/>
          <w:sz w:val="24"/>
          <w:szCs w:val="24"/>
          <w14:ligatures w14:val="standardContextual"/>
        </w:rPr>
        <w:drawing>
          <wp:anchor distT="0" distB="0" distL="114300" distR="114300" simplePos="0" relativeHeight="251658240" behindDoc="0" locked="0" layoutInCell="1" allowOverlap="1" wp14:anchorId="7605F585" wp14:editId="467B7A2E">
            <wp:simplePos x="0" y="0"/>
            <wp:positionH relativeFrom="column">
              <wp:posOffset>-338137</wp:posOffset>
            </wp:positionH>
            <wp:positionV relativeFrom="page">
              <wp:posOffset>788670</wp:posOffset>
            </wp:positionV>
            <wp:extent cx="3314700" cy="1381125"/>
            <wp:effectExtent l="0" t="0" r="0" b="9525"/>
            <wp:wrapThrough wrapText="bothSides">
              <wp:wrapPolygon edited="0">
                <wp:start x="0" y="0"/>
                <wp:lineTo x="0" y="21451"/>
                <wp:lineTo x="21476" y="21451"/>
                <wp:lineTo x="21476" y="0"/>
                <wp:lineTo x="0" y="0"/>
              </wp:wrapPolygon>
            </wp:wrapThrough>
            <wp:docPr id="309035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35626" name="Picture 309035626"/>
                    <pic:cNvPicPr/>
                  </pic:nvPicPr>
                  <pic:blipFill>
                    <a:blip r:embed="rId8">
                      <a:extLst>
                        <a:ext uri="{28A0092B-C50C-407E-A947-70E740481C1C}">
                          <a14:useLocalDpi xmlns:a14="http://schemas.microsoft.com/office/drawing/2010/main" val="0"/>
                        </a:ext>
                      </a:extLst>
                    </a:blip>
                    <a:stretch>
                      <a:fillRect/>
                    </a:stretch>
                  </pic:blipFill>
                  <pic:spPr>
                    <a:xfrm>
                      <a:off x="0" y="0"/>
                      <a:ext cx="3314700" cy="1381125"/>
                    </a:xfrm>
                    <a:prstGeom prst="rect">
                      <a:avLst/>
                    </a:prstGeom>
                  </pic:spPr>
                </pic:pic>
              </a:graphicData>
            </a:graphic>
          </wp:anchor>
        </w:drawing>
      </w:r>
      <w:r w:rsidR="009E0721" w:rsidRPr="000E3764">
        <w:rPr>
          <w:rFonts w:ascii="Arial" w:hAnsi="Arial" w:cs="Arial"/>
          <w:sz w:val="28"/>
          <w:szCs w:val="28"/>
          <w:lang w:eastAsia="en-US"/>
        </w:rPr>
        <w:t>BA (Hons) Leadership and Management Skills for the Workplace</w:t>
      </w:r>
    </w:p>
    <w:p w14:paraId="545DB998" w14:textId="70398C68" w:rsidR="00451EA2" w:rsidRPr="000E3764" w:rsidRDefault="00615456" w:rsidP="00281CDC">
      <w:pPr>
        <w:spacing w:before="120" w:after="120" w:line="360" w:lineRule="auto"/>
        <w:jc w:val="center"/>
        <w:rPr>
          <w:rFonts w:ascii="Arial" w:hAnsi="Arial" w:cs="Arial"/>
          <w:sz w:val="28"/>
          <w:szCs w:val="28"/>
          <w:lang w:eastAsia="en-US"/>
        </w:rPr>
      </w:pPr>
      <w:r w:rsidRPr="000E3764">
        <w:rPr>
          <w:rFonts w:ascii="Arial" w:hAnsi="Arial" w:cs="Arial"/>
          <w:sz w:val="28"/>
          <w:szCs w:val="28"/>
          <w:lang w:eastAsia="en-US"/>
        </w:rPr>
        <w:t xml:space="preserve">LCLM5001 </w:t>
      </w:r>
      <w:r w:rsidR="00451EA2" w:rsidRPr="000E3764">
        <w:rPr>
          <w:rFonts w:ascii="Arial" w:hAnsi="Arial" w:cs="Arial"/>
          <w:sz w:val="28"/>
          <w:szCs w:val="28"/>
          <w:lang w:eastAsia="en-US"/>
        </w:rPr>
        <w:t>Understanding and Engaging Stakeholders  </w:t>
      </w:r>
    </w:p>
    <w:p w14:paraId="0792CCB2" w14:textId="77777777" w:rsidR="008C09EC" w:rsidRDefault="008C09EC" w:rsidP="00281CDC">
      <w:pPr>
        <w:spacing w:before="120" w:after="120" w:line="360" w:lineRule="auto"/>
        <w:jc w:val="center"/>
        <w:rPr>
          <w:rFonts w:ascii="Arial" w:hAnsi="Arial" w:cs="Arial"/>
          <w:b/>
          <w:bCs/>
          <w:sz w:val="28"/>
          <w:szCs w:val="28"/>
          <w:lang w:eastAsia="en-US"/>
        </w:rPr>
      </w:pPr>
    </w:p>
    <w:p w14:paraId="59EA6AD2" w14:textId="77777777" w:rsidR="008C09EC" w:rsidRDefault="008C09EC" w:rsidP="00281CDC">
      <w:pPr>
        <w:spacing w:before="120" w:after="120" w:line="360" w:lineRule="auto"/>
        <w:jc w:val="center"/>
        <w:rPr>
          <w:rFonts w:ascii="Arial" w:hAnsi="Arial" w:cs="Arial"/>
          <w:b/>
          <w:bCs/>
          <w:sz w:val="28"/>
          <w:szCs w:val="28"/>
          <w:lang w:eastAsia="en-US"/>
        </w:rPr>
      </w:pPr>
    </w:p>
    <w:p w14:paraId="4DB24724" w14:textId="77777777" w:rsidR="008C09EC" w:rsidRDefault="008C09EC" w:rsidP="00281CDC">
      <w:pPr>
        <w:spacing w:before="120" w:after="120" w:line="360" w:lineRule="auto"/>
        <w:jc w:val="center"/>
        <w:rPr>
          <w:rFonts w:ascii="Arial" w:hAnsi="Arial" w:cs="Arial"/>
          <w:b/>
          <w:bCs/>
          <w:sz w:val="28"/>
          <w:szCs w:val="28"/>
          <w:lang w:eastAsia="en-US"/>
        </w:rPr>
      </w:pPr>
    </w:p>
    <w:p w14:paraId="3298FF06" w14:textId="0A68F2C8" w:rsidR="00807DAB" w:rsidRPr="000E3764" w:rsidRDefault="00807DAB" w:rsidP="00281CDC">
      <w:pPr>
        <w:spacing w:before="120" w:after="120" w:line="360" w:lineRule="auto"/>
        <w:jc w:val="center"/>
        <w:rPr>
          <w:rFonts w:ascii="Arial" w:hAnsi="Arial" w:cs="Arial"/>
          <w:sz w:val="28"/>
          <w:szCs w:val="28"/>
        </w:rPr>
      </w:pPr>
      <w:r w:rsidRPr="000E3764">
        <w:rPr>
          <w:rFonts w:ascii="Arial" w:hAnsi="Arial" w:cs="Arial"/>
          <w:sz w:val="28"/>
          <w:szCs w:val="28"/>
        </w:rPr>
        <w:t xml:space="preserve">Stakeholder Engagement in the Implementation of an AI-Powered Sustainable Guest Experience Service at </w:t>
      </w:r>
      <w:r w:rsidR="000E3764" w:rsidRPr="000E3764">
        <w:rPr>
          <w:rFonts w:ascii="Arial" w:hAnsi="Arial" w:cs="Arial"/>
          <w:sz w:val="28"/>
          <w:szCs w:val="28"/>
        </w:rPr>
        <w:t>InterContinental Hotels Group (IHG) PLC</w:t>
      </w:r>
    </w:p>
    <w:p w14:paraId="419F690E" w14:textId="327C4653" w:rsidR="008C09EC" w:rsidRPr="000E3764" w:rsidRDefault="008C09EC" w:rsidP="00281CDC">
      <w:pPr>
        <w:spacing w:before="120" w:after="120" w:line="360" w:lineRule="auto"/>
        <w:jc w:val="center"/>
        <w:rPr>
          <w:rFonts w:ascii="Arial" w:hAnsi="Arial" w:cs="Arial"/>
          <w:b/>
          <w:bCs/>
          <w:sz w:val="28"/>
          <w:szCs w:val="28"/>
          <w:lang w:eastAsia="en-US"/>
        </w:rPr>
      </w:pPr>
    </w:p>
    <w:p w14:paraId="36BF9F2F" w14:textId="77777777" w:rsidR="008C09EC" w:rsidRPr="00022088" w:rsidRDefault="008C09EC" w:rsidP="00281CDC">
      <w:pPr>
        <w:spacing w:before="120" w:after="120" w:line="360" w:lineRule="auto"/>
        <w:jc w:val="center"/>
        <w:rPr>
          <w:rFonts w:ascii="Arial" w:hAnsi="Arial" w:cs="Arial"/>
          <w:b/>
          <w:sz w:val="28"/>
          <w:szCs w:val="28"/>
          <w:lang w:eastAsia="en-US"/>
        </w:rPr>
      </w:pPr>
    </w:p>
    <w:p w14:paraId="550EEEEC" w14:textId="77777777" w:rsidR="000335C8" w:rsidRDefault="000335C8" w:rsidP="00281CDC">
      <w:pPr>
        <w:spacing w:line="360" w:lineRule="auto"/>
        <w:jc w:val="both"/>
        <w:rPr>
          <w:rFonts w:ascii="Arial" w:hAnsi="Arial" w:cs="Arial"/>
          <w:b/>
          <w:bCs/>
          <w:sz w:val="24"/>
          <w:szCs w:val="24"/>
        </w:rPr>
      </w:pPr>
    </w:p>
    <w:p w14:paraId="20ED3FDD" w14:textId="1A759829" w:rsidR="00DF7C3E" w:rsidRDefault="00DF7C3E" w:rsidP="00281CDC">
      <w:pPr>
        <w:spacing w:after="160" w:line="360" w:lineRule="auto"/>
        <w:ind w:left="720"/>
        <w:jc w:val="right"/>
        <w:rPr>
          <w:rFonts w:ascii="Arial" w:hAnsi="Arial" w:cs="Arial"/>
          <w:sz w:val="24"/>
          <w:szCs w:val="24"/>
        </w:rPr>
      </w:pPr>
      <w:r w:rsidRPr="00DF7C3E">
        <w:rPr>
          <w:rFonts w:ascii="Arial" w:hAnsi="Arial" w:cs="Arial"/>
          <w:sz w:val="24"/>
          <w:szCs w:val="24"/>
        </w:rPr>
        <w:t>Module Lead</w:t>
      </w:r>
      <w:r w:rsidR="00532788">
        <w:rPr>
          <w:rFonts w:ascii="Arial" w:hAnsi="Arial" w:cs="Arial"/>
          <w:sz w:val="24"/>
          <w:szCs w:val="24"/>
        </w:rPr>
        <w:t>er:</w:t>
      </w:r>
      <w:r w:rsidRPr="00DF7C3E">
        <w:rPr>
          <w:rFonts w:ascii="Arial" w:hAnsi="Arial" w:cs="Arial"/>
          <w:sz w:val="24"/>
          <w:szCs w:val="24"/>
        </w:rPr>
        <w:t xml:space="preserve"> Eric Osei</w:t>
      </w:r>
    </w:p>
    <w:p w14:paraId="6B02E087" w14:textId="5EA5E5E7" w:rsidR="00DF7C3E" w:rsidRDefault="009F5422" w:rsidP="00281CDC">
      <w:pPr>
        <w:spacing w:after="160" w:line="360" w:lineRule="auto"/>
        <w:ind w:left="720"/>
        <w:jc w:val="right"/>
        <w:rPr>
          <w:rFonts w:ascii="Arial" w:hAnsi="Arial" w:cs="Arial"/>
          <w:sz w:val="24"/>
          <w:szCs w:val="24"/>
        </w:rPr>
      </w:pPr>
      <w:r>
        <w:rPr>
          <w:rFonts w:ascii="Arial" w:hAnsi="Arial" w:cs="Arial"/>
          <w:sz w:val="24"/>
          <w:szCs w:val="24"/>
        </w:rPr>
        <w:t>Student name: Alina Mihaila</w:t>
      </w:r>
    </w:p>
    <w:p w14:paraId="2CA3294E" w14:textId="7E6EE6AB" w:rsidR="00DF7C3E" w:rsidRPr="00DF7C3E" w:rsidRDefault="009F5422" w:rsidP="00281CDC">
      <w:pPr>
        <w:spacing w:after="160" w:line="360" w:lineRule="auto"/>
        <w:ind w:left="720"/>
        <w:jc w:val="right"/>
        <w:rPr>
          <w:rFonts w:ascii="Arial" w:hAnsi="Arial" w:cs="Arial"/>
          <w:sz w:val="24"/>
          <w:szCs w:val="24"/>
        </w:rPr>
      </w:pPr>
      <w:r>
        <w:rPr>
          <w:rFonts w:ascii="Arial" w:hAnsi="Arial" w:cs="Arial"/>
          <w:sz w:val="24"/>
          <w:szCs w:val="24"/>
        </w:rPr>
        <w:t xml:space="preserve">Student ID: </w:t>
      </w:r>
      <w:r w:rsidR="00281CDC" w:rsidRPr="00281CDC">
        <w:rPr>
          <w:rFonts w:ascii="Arial" w:hAnsi="Arial" w:cs="Arial"/>
          <w:sz w:val="24"/>
          <w:szCs w:val="24"/>
        </w:rPr>
        <w:t>2410740</w:t>
      </w:r>
    </w:p>
    <w:p w14:paraId="05A1422C" w14:textId="3B2D4F8C" w:rsidR="000335C8" w:rsidRDefault="000335C8" w:rsidP="00D85DF0">
      <w:pPr>
        <w:spacing w:after="160" w:line="278" w:lineRule="auto"/>
        <w:jc w:val="right"/>
        <w:rPr>
          <w:rFonts w:ascii="Arial" w:hAnsi="Arial" w:cs="Arial"/>
          <w:b/>
          <w:bCs/>
          <w:sz w:val="24"/>
          <w:szCs w:val="24"/>
        </w:rPr>
      </w:pPr>
      <w:r>
        <w:rPr>
          <w:rFonts w:ascii="Arial" w:hAnsi="Arial" w:cs="Arial"/>
          <w:b/>
          <w:bCs/>
          <w:sz w:val="24"/>
          <w:szCs w:val="24"/>
        </w:rPr>
        <w:br w:type="page"/>
      </w:r>
    </w:p>
    <w:sdt>
      <w:sdtPr>
        <w:rPr>
          <w:rFonts w:ascii="Times New Roman" w:eastAsia="Times New Roman" w:hAnsi="Times New Roman" w:cs="Times New Roman"/>
          <w:color w:val="auto"/>
          <w:sz w:val="20"/>
          <w:szCs w:val="20"/>
        </w:rPr>
        <w:id w:val="890922364"/>
        <w:docPartObj>
          <w:docPartGallery w:val="Table of Contents"/>
          <w:docPartUnique/>
        </w:docPartObj>
      </w:sdtPr>
      <w:sdtEndPr>
        <w:rPr>
          <w:b/>
          <w:bCs/>
        </w:rPr>
      </w:sdtEndPr>
      <w:sdtContent>
        <w:p w14:paraId="10C635B1" w14:textId="62BD7DB9" w:rsidR="0037257B" w:rsidRDefault="0037257B">
          <w:pPr>
            <w:pStyle w:val="TOCHeading"/>
          </w:pPr>
          <w:r>
            <w:t>Contents</w:t>
          </w:r>
        </w:p>
        <w:p w14:paraId="19BAD7AB" w14:textId="7224F74B" w:rsidR="007F3EA9" w:rsidRDefault="0037257B">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023006" w:history="1">
            <w:r w:rsidR="007F3EA9" w:rsidRPr="007E5514">
              <w:rPr>
                <w:rStyle w:val="Hyperlink"/>
                <w:noProof/>
              </w:rPr>
              <w:t>Executive Summary</w:t>
            </w:r>
            <w:r w:rsidR="007F3EA9">
              <w:rPr>
                <w:noProof/>
                <w:webHidden/>
              </w:rPr>
              <w:tab/>
            </w:r>
            <w:r w:rsidR="007F3EA9">
              <w:rPr>
                <w:noProof/>
                <w:webHidden/>
              </w:rPr>
              <w:fldChar w:fldCharType="begin"/>
            </w:r>
            <w:r w:rsidR="007F3EA9">
              <w:rPr>
                <w:noProof/>
                <w:webHidden/>
              </w:rPr>
              <w:instrText xml:space="preserve"> PAGEREF _Toc225023006 \h </w:instrText>
            </w:r>
            <w:r w:rsidR="007F3EA9">
              <w:rPr>
                <w:noProof/>
                <w:webHidden/>
              </w:rPr>
            </w:r>
            <w:r w:rsidR="007F3EA9">
              <w:rPr>
                <w:noProof/>
                <w:webHidden/>
              </w:rPr>
              <w:fldChar w:fldCharType="separate"/>
            </w:r>
            <w:r w:rsidR="007F3EA9">
              <w:rPr>
                <w:noProof/>
                <w:webHidden/>
              </w:rPr>
              <w:t>3</w:t>
            </w:r>
            <w:r w:rsidR="007F3EA9">
              <w:rPr>
                <w:noProof/>
                <w:webHidden/>
              </w:rPr>
              <w:fldChar w:fldCharType="end"/>
            </w:r>
          </w:hyperlink>
        </w:p>
        <w:p w14:paraId="2FF06C20" w14:textId="3D137445"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07" w:history="1">
            <w:r w:rsidRPr="007E5514">
              <w:rPr>
                <w:rStyle w:val="Hyperlink"/>
                <w:noProof/>
              </w:rPr>
              <w:t>Introduction</w:t>
            </w:r>
            <w:r>
              <w:rPr>
                <w:noProof/>
                <w:webHidden/>
              </w:rPr>
              <w:tab/>
            </w:r>
            <w:r>
              <w:rPr>
                <w:noProof/>
                <w:webHidden/>
              </w:rPr>
              <w:fldChar w:fldCharType="begin"/>
            </w:r>
            <w:r>
              <w:rPr>
                <w:noProof/>
                <w:webHidden/>
              </w:rPr>
              <w:instrText xml:space="preserve"> PAGEREF _Toc225023007 \h </w:instrText>
            </w:r>
            <w:r>
              <w:rPr>
                <w:noProof/>
                <w:webHidden/>
              </w:rPr>
            </w:r>
            <w:r>
              <w:rPr>
                <w:noProof/>
                <w:webHidden/>
              </w:rPr>
              <w:fldChar w:fldCharType="separate"/>
            </w:r>
            <w:r>
              <w:rPr>
                <w:noProof/>
                <w:webHidden/>
              </w:rPr>
              <w:t>4</w:t>
            </w:r>
            <w:r>
              <w:rPr>
                <w:noProof/>
                <w:webHidden/>
              </w:rPr>
              <w:fldChar w:fldCharType="end"/>
            </w:r>
          </w:hyperlink>
        </w:p>
        <w:p w14:paraId="3570D986" w14:textId="3D4AA09F"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08" w:history="1">
            <w:r w:rsidRPr="007E5514">
              <w:rPr>
                <w:rStyle w:val="Hyperlink"/>
                <w:noProof/>
              </w:rPr>
              <w:t>Project Outline: StaySmart+ Launch</w:t>
            </w:r>
            <w:r>
              <w:rPr>
                <w:noProof/>
                <w:webHidden/>
              </w:rPr>
              <w:tab/>
            </w:r>
            <w:r>
              <w:rPr>
                <w:noProof/>
                <w:webHidden/>
              </w:rPr>
              <w:fldChar w:fldCharType="begin"/>
            </w:r>
            <w:r>
              <w:rPr>
                <w:noProof/>
                <w:webHidden/>
              </w:rPr>
              <w:instrText xml:space="preserve"> PAGEREF _Toc225023008 \h </w:instrText>
            </w:r>
            <w:r>
              <w:rPr>
                <w:noProof/>
                <w:webHidden/>
              </w:rPr>
            </w:r>
            <w:r>
              <w:rPr>
                <w:noProof/>
                <w:webHidden/>
              </w:rPr>
              <w:fldChar w:fldCharType="separate"/>
            </w:r>
            <w:r>
              <w:rPr>
                <w:noProof/>
                <w:webHidden/>
              </w:rPr>
              <w:t>5</w:t>
            </w:r>
            <w:r>
              <w:rPr>
                <w:noProof/>
                <w:webHidden/>
              </w:rPr>
              <w:fldChar w:fldCharType="end"/>
            </w:r>
          </w:hyperlink>
        </w:p>
        <w:p w14:paraId="4555B19C" w14:textId="017A7782"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09" w:history="1">
            <w:r w:rsidRPr="007E5514">
              <w:rPr>
                <w:rStyle w:val="Hyperlink"/>
                <w:noProof/>
              </w:rPr>
              <w:t>Situational Analysis of InterContinental Hotels Group (IHG)</w:t>
            </w:r>
            <w:r>
              <w:rPr>
                <w:noProof/>
                <w:webHidden/>
              </w:rPr>
              <w:tab/>
            </w:r>
            <w:r>
              <w:rPr>
                <w:noProof/>
                <w:webHidden/>
              </w:rPr>
              <w:fldChar w:fldCharType="begin"/>
            </w:r>
            <w:r>
              <w:rPr>
                <w:noProof/>
                <w:webHidden/>
              </w:rPr>
              <w:instrText xml:space="preserve"> PAGEREF _Toc225023009 \h </w:instrText>
            </w:r>
            <w:r>
              <w:rPr>
                <w:noProof/>
                <w:webHidden/>
              </w:rPr>
            </w:r>
            <w:r>
              <w:rPr>
                <w:noProof/>
                <w:webHidden/>
              </w:rPr>
              <w:fldChar w:fldCharType="separate"/>
            </w:r>
            <w:r>
              <w:rPr>
                <w:noProof/>
                <w:webHidden/>
              </w:rPr>
              <w:t>6</w:t>
            </w:r>
            <w:r>
              <w:rPr>
                <w:noProof/>
                <w:webHidden/>
              </w:rPr>
              <w:fldChar w:fldCharType="end"/>
            </w:r>
          </w:hyperlink>
        </w:p>
        <w:p w14:paraId="038B95E7" w14:textId="1927AAA2"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0" w:history="1">
            <w:r w:rsidRPr="007E5514">
              <w:rPr>
                <w:rStyle w:val="Hyperlink"/>
                <w:noProof/>
              </w:rPr>
              <w:t>SWOT analysis</w:t>
            </w:r>
            <w:r>
              <w:rPr>
                <w:noProof/>
                <w:webHidden/>
              </w:rPr>
              <w:tab/>
            </w:r>
            <w:r>
              <w:rPr>
                <w:noProof/>
                <w:webHidden/>
              </w:rPr>
              <w:fldChar w:fldCharType="begin"/>
            </w:r>
            <w:r>
              <w:rPr>
                <w:noProof/>
                <w:webHidden/>
              </w:rPr>
              <w:instrText xml:space="preserve"> PAGEREF _Toc225023010 \h </w:instrText>
            </w:r>
            <w:r>
              <w:rPr>
                <w:noProof/>
                <w:webHidden/>
              </w:rPr>
            </w:r>
            <w:r>
              <w:rPr>
                <w:noProof/>
                <w:webHidden/>
              </w:rPr>
              <w:fldChar w:fldCharType="separate"/>
            </w:r>
            <w:r>
              <w:rPr>
                <w:noProof/>
                <w:webHidden/>
              </w:rPr>
              <w:t>6</w:t>
            </w:r>
            <w:r>
              <w:rPr>
                <w:noProof/>
                <w:webHidden/>
              </w:rPr>
              <w:fldChar w:fldCharType="end"/>
            </w:r>
          </w:hyperlink>
        </w:p>
        <w:p w14:paraId="1D02656F" w14:textId="57BFE0D8"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1" w:history="1">
            <w:r w:rsidRPr="007E5514">
              <w:rPr>
                <w:rStyle w:val="Hyperlink"/>
                <w:noProof/>
              </w:rPr>
              <w:t>PESTLE analysis</w:t>
            </w:r>
            <w:r>
              <w:rPr>
                <w:noProof/>
                <w:webHidden/>
              </w:rPr>
              <w:tab/>
            </w:r>
            <w:r>
              <w:rPr>
                <w:noProof/>
                <w:webHidden/>
              </w:rPr>
              <w:fldChar w:fldCharType="begin"/>
            </w:r>
            <w:r>
              <w:rPr>
                <w:noProof/>
                <w:webHidden/>
              </w:rPr>
              <w:instrText xml:space="preserve"> PAGEREF _Toc225023011 \h </w:instrText>
            </w:r>
            <w:r>
              <w:rPr>
                <w:noProof/>
                <w:webHidden/>
              </w:rPr>
            </w:r>
            <w:r>
              <w:rPr>
                <w:noProof/>
                <w:webHidden/>
              </w:rPr>
              <w:fldChar w:fldCharType="separate"/>
            </w:r>
            <w:r>
              <w:rPr>
                <w:noProof/>
                <w:webHidden/>
              </w:rPr>
              <w:t>6</w:t>
            </w:r>
            <w:r>
              <w:rPr>
                <w:noProof/>
                <w:webHidden/>
              </w:rPr>
              <w:fldChar w:fldCharType="end"/>
            </w:r>
          </w:hyperlink>
        </w:p>
        <w:p w14:paraId="7FFA14BC" w14:textId="60D3E9BD"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2" w:history="1">
            <w:r w:rsidRPr="007E5514">
              <w:rPr>
                <w:rStyle w:val="Hyperlink"/>
                <w:noProof/>
              </w:rPr>
              <w:t>SMART Objectives</w:t>
            </w:r>
            <w:r>
              <w:rPr>
                <w:noProof/>
                <w:webHidden/>
              </w:rPr>
              <w:tab/>
            </w:r>
            <w:r>
              <w:rPr>
                <w:noProof/>
                <w:webHidden/>
              </w:rPr>
              <w:fldChar w:fldCharType="begin"/>
            </w:r>
            <w:r>
              <w:rPr>
                <w:noProof/>
                <w:webHidden/>
              </w:rPr>
              <w:instrText xml:space="preserve"> PAGEREF _Toc225023012 \h </w:instrText>
            </w:r>
            <w:r>
              <w:rPr>
                <w:noProof/>
                <w:webHidden/>
              </w:rPr>
            </w:r>
            <w:r>
              <w:rPr>
                <w:noProof/>
                <w:webHidden/>
              </w:rPr>
              <w:fldChar w:fldCharType="separate"/>
            </w:r>
            <w:r>
              <w:rPr>
                <w:noProof/>
                <w:webHidden/>
              </w:rPr>
              <w:t>7</w:t>
            </w:r>
            <w:r>
              <w:rPr>
                <w:noProof/>
                <w:webHidden/>
              </w:rPr>
              <w:fldChar w:fldCharType="end"/>
            </w:r>
          </w:hyperlink>
        </w:p>
        <w:p w14:paraId="37FA6017" w14:textId="671DA07F"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13" w:history="1">
            <w:r w:rsidRPr="007E5514">
              <w:rPr>
                <w:rStyle w:val="Hyperlink"/>
                <w:noProof/>
              </w:rPr>
              <w:t>Identification of Key Stakeholders for StaySmart+ Launch</w:t>
            </w:r>
            <w:r>
              <w:rPr>
                <w:noProof/>
                <w:webHidden/>
              </w:rPr>
              <w:tab/>
            </w:r>
            <w:r>
              <w:rPr>
                <w:noProof/>
                <w:webHidden/>
              </w:rPr>
              <w:fldChar w:fldCharType="begin"/>
            </w:r>
            <w:r>
              <w:rPr>
                <w:noProof/>
                <w:webHidden/>
              </w:rPr>
              <w:instrText xml:space="preserve"> PAGEREF _Toc225023013 \h </w:instrText>
            </w:r>
            <w:r>
              <w:rPr>
                <w:noProof/>
                <w:webHidden/>
              </w:rPr>
            </w:r>
            <w:r>
              <w:rPr>
                <w:noProof/>
                <w:webHidden/>
              </w:rPr>
              <w:fldChar w:fldCharType="separate"/>
            </w:r>
            <w:r>
              <w:rPr>
                <w:noProof/>
                <w:webHidden/>
              </w:rPr>
              <w:t>7</w:t>
            </w:r>
            <w:r>
              <w:rPr>
                <w:noProof/>
                <w:webHidden/>
              </w:rPr>
              <w:fldChar w:fldCharType="end"/>
            </w:r>
          </w:hyperlink>
        </w:p>
        <w:p w14:paraId="1B452C7F" w14:textId="693606F8"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4" w:history="1">
            <w:r w:rsidRPr="007E5514">
              <w:rPr>
                <w:rStyle w:val="Hyperlink"/>
                <w:noProof/>
              </w:rPr>
              <w:t>Internal Stakeholders</w:t>
            </w:r>
            <w:r>
              <w:rPr>
                <w:noProof/>
                <w:webHidden/>
              </w:rPr>
              <w:tab/>
            </w:r>
            <w:r>
              <w:rPr>
                <w:noProof/>
                <w:webHidden/>
              </w:rPr>
              <w:fldChar w:fldCharType="begin"/>
            </w:r>
            <w:r>
              <w:rPr>
                <w:noProof/>
                <w:webHidden/>
              </w:rPr>
              <w:instrText xml:space="preserve"> PAGEREF _Toc225023014 \h </w:instrText>
            </w:r>
            <w:r>
              <w:rPr>
                <w:noProof/>
                <w:webHidden/>
              </w:rPr>
            </w:r>
            <w:r>
              <w:rPr>
                <w:noProof/>
                <w:webHidden/>
              </w:rPr>
              <w:fldChar w:fldCharType="separate"/>
            </w:r>
            <w:r>
              <w:rPr>
                <w:noProof/>
                <w:webHidden/>
              </w:rPr>
              <w:t>7</w:t>
            </w:r>
            <w:r>
              <w:rPr>
                <w:noProof/>
                <w:webHidden/>
              </w:rPr>
              <w:fldChar w:fldCharType="end"/>
            </w:r>
          </w:hyperlink>
        </w:p>
        <w:p w14:paraId="47C8CB52" w14:textId="64554513"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5" w:history="1">
            <w:r w:rsidRPr="007E5514">
              <w:rPr>
                <w:rStyle w:val="Hyperlink"/>
                <w:noProof/>
              </w:rPr>
              <w:t>External Stakeholders</w:t>
            </w:r>
            <w:r>
              <w:rPr>
                <w:noProof/>
                <w:webHidden/>
              </w:rPr>
              <w:tab/>
            </w:r>
            <w:r>
              <w:rPr>
                <w:noProof/>
                <w:webHidden/>
              </w:rPr>
              <w:fldChar w:fldCharType="begin"/>
            </w:r>
            <w:r>
              <w:rPr>
                <w:noProof/>
                <w:webHidden/>
              </w:rPr>
              <w:instrText xml:space="preserve"> PAGEREF _Toc225023015 \h </w:instrText>
            </w:r>
            <w:r>
              <w:rPr>
                <w:noProof/>
                <w:webHidden/>
              </w:rPr>
            </w:r>
            <w:r>
              <w:rPr>
                <w:noProof/>
                <w:webHidden/>
              </w:rPr>
              <w:fldChar w:fldCharType="separate"/>
            </w:r>
            <w:r>
              <w:rPr>
                <w:noProof/>
                <w:webHidden/>
              </w:rPr>
              <w:t>8</w:t>
            </w:r>
            <w:r>
              <w:rPr>
                <w:noProof/>
                <w:webHidden/>
              </w:rPr>
              <w:fldChar w:fldCharType="end"/>
            </w:r>
          </w:hyperlink>
        </w:p>
        <w:p w14:paraId="7D2CD1B1" w14:textId="7E82AFC6"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6" w:history="1">
            <w:r w:rsidRPr="007E5514">
              <w:rPr>
                <w:rStyle w:val="Hyperlink"/>
                <w:noProof/>
              </w:rPr>
              <w:t>RACI Matrix</w:t>
            </w:r>
            <w:r>
              <w:rPr>
                <w:noProof/>
                <w:webHidden/>
              </w:rPr>
              <w:tab/>
            </w:r>
            <w:r>
              <w:rPr>
                <w:noProof/>
                <w:webHidden/>
              </w:rPr>
              <w:fldChar w:fldCharType="begin"/>
            </w:r>
            <w:r>
              <w:rPr>
                <w:noProof/>
                <w:webHidden/>
              </w:rPr>
              <w:instrText xml:space="preserve"> PAGEREF _Toc225023016 \h </w:instrText>
            </w:r>
            <w:r>
              <w:rPr>
                <w:noProof/>
                <w:webHidden/>
              </w:rPr>
            </w:r>
            <w:r>
              <w:rPr>
                <w:noProof/>
                <w:webHidden/>
              </w:rPr>
              <w:fldChar w:fldCharType="separate"/>
            </w:r>
            <w:r>
              <w:rPr>
                <w:noProof/>
                <w:webHidden/>
              </w:rPr>
              <w:t>9</w:t>
            </w:r>
            <w:r>
              <w:rPr>
                <w:noProof/>
                <w:webHidden/>
              </w:rPr>
              <w:fldChar w:fldCharType="end"/>
            </w:r>
          </w:hyperlink>
        </w:p>
        <w:p w14:paraId="3B756963" w14:textId="2D2B6CA8"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7" w:history="1">
            <w:r w:rsidRPr="007E5514">
              <w:rPr>
                <w:rStyle w:val="Hyperlink"/>
                <w:noProof/>
              </w:rPr>
              <w:t>Stakeholder Map (Power-Interest Grid)</w:t>
            </w:r>
            <w:r>
              <w:rPr>
                <w:noProof/>
                <w:webHidden/>
              </w:rPr>
              <w:tab/>
            </w:r>
            <w:r>
              <w:rPr>
                <w:noProof/>
                <w:webHidden/>
              </w:rPr>
              <w:fldChar w:fldCharType="begin"/>
            </w:r>
            <w:r>
              <w:rPr>
                <w:noProof/>
                <w:webHidden/>
              </w:rPr>
              <w:instrText xml:space="preserve"> PAGEREF _Toc225023017 \h </w:instrText>
            </w:r>
            <w:r>
              <w:rPr>
                <w:noProof/>
                <w:webHidden/>
              </w:rPr>
            </w:r>
            <w:r>
              <w:rPr>
                <w:noProof/>
                <w:webHidden/>
              </w:rPr>
              <w:fldChar w:fldCharType="separate"/>
            </w:r>
            <w:r>
              <w:rPr>
                <w:noProof/>
                <w:webHidden/>
              </w:rPr>
              <w:t>10</w:t>
            </w:r>
            <w:r>
              <w:rPr>
                <w:noProof/>
                <w:webHidden/>
              </w:rPr>
              <w:fldChar w:fldCharType="end"/>
            </w:r>
          </w:hyperlink>
        </w:p>
        <w:p w14:paraId="2258DEFF" w14:textId="3329DF8D"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8" w:history="1">
            <w:r w:rsidRPr="007E5514">
              <w:rPr>
                <w:rStyle w:val="Hyperlink"/>
                <w:bCs/>
                <w:noProof/>
              </w:rPr>
              <w:t>Engagement Plan</w:t>
            </w:r>
            <w:r>
              <w:rPr>
                <w:noProof/>
                <w:webHidden/>
              </w:rPr>
              <w:tab/>
            </w:r>
            <w:r>
              <w:rPr>
                <w:noProof/>
                <w:webHidden/>
              </w:rPr>
              <w:fldChar w:fldCharType="begin"/>
            </w:r>
            <w:r>
              <w:rPr>
                <w:noProof/>
                <w:webHidden/>
              </w:rPr>
              <w:instrText xml:space="preserve"> PAGEREF _Toc225023018 \h </w:instrText>
            </w:r>
            <w:r>
              <w:rPr>
                <w:noProof/>
                <w:webHidden/>
              </w:rPr>
            </w:r>
            <w:r>
              <w:rPr>
                <w:noProof/>
                <w:webHidden/>
              </w:rPr>
              <w:fldChar w:fldCharType="separate"/>
            </w:r>
            <w:r>
              <w:rPr>
                <w:noProof/>
                <w:webHidden/>
              </w:rPr>
              <w:t>10</w:t>
            </w:r>
            <w:r>
              <w:rPr>
                <w:noProof/>
                <w:webHidden/>
              </w:rPr>
              <w:fldChar w:fldCharType="end"/>
            </w:r>
          </w:hyperlink>
        </w:p>
        <w:p w14:paraId="466FA2EB" w14:textId="77D0819F"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19" w:history="1">
            <w:r w:rsidRPr="007E5514">
              <w:rPr>
                <w:rStyle w:val="Hyperlink"/>
                <w:bCs/>
                <w:noProof/>
              </w:rPr>
              <w:t>Communication Plan</w:t>
            </w:r>
            <w:r>
              <w:rPr>
                <w:noProof/>
                <w:webHidden/>
              </w:rPr>
              <w:tab/>
            </w:r>
            <w:r>
              <w:rPr>
                <w:noProof/>
                <w:webHidden/>
              </w:rPr>
              <w:fldChar w:fldCharType="begin"/>
            </w:r>
            <w:r>
              <w:rPr>
                <w:noProof/>
                <w:webHidden/>
              </w:rPr>
              <w:instrText xml:space="preserve"> PAGEREF _Toc225023019 \h </w:instrText>
            </w:r>
            <w:r>
              <w:rPr>
                <w:noProof/>
                <w:webHidden/>
              </w:rPr>
            </w:r>
            <w:r>
              <w:rPr>
                <w:noProof/>
                <w:webHidden/>
              </w:rPr>
              <w:fldChar w:fldCharType="separate"/>
            </w:r>
            <w:r>
              <w:rPr>
                <w:noProof/>
                <w:webHidden/>
              </w:rPr>
              <w:t>12</w:t>
            </w:r>
            <w:r>
              <w:rPr>
                <w:noProof/>
                <w:webHidden/>
              </w:rPr>
              <w:fldChar w:fldCharType="end"/>
            </w:r>
          </w:hyperlink>
        </w:p>
        <w:p w14:paraId="43C9F9BF" w14:textId="2C89AB80"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20" w:history="1">
            <w:r w:rsidRPr="007E5514">
              <w:rPr>
                <w:rStyle w:val="Hyperlink"/>
                <w:noProof/>
              </w:rPr>
              <w:t>Explanation of the Roles and Responsibilities of the Key Stakeholders as Well as the Benefits They Bring and Challenges These Stakeholders May Face</w:t>
            </w:r>
            <w:r>
              <w:rPr>
                <w:noProof/>
                <w:webHidden/>
              </w:rPr>
              <w:tab/>
            </w:r>
            <w:r>
              <w:rPr>
                <w:noProof/>
                <w:webHidden/>
              </w:rPr>
              <w:fldChar w:fldCharType="begin"/>
            </w:r>
            <w:r>
              <w:rPr>
                <w:noProof/>
                <w:webHidden/>
              </w:rPr>
              <w:instrText xml:space="preserve"> PAGEREF _Toc225023020 \h </w:instrText>
            </w:r>
            <w:r>
              <w:rPr>
                <w:noProof/>
                <w:webHidden/>
              </w:rPr>
            </w:r>
            <w:r>
              <w:rPr>
                <w:noProof/>
                <w:webHidden/>
              </w:rPr>
              <w:fldChar w:fldCharType="separate"/>
            </w:r>
            <w:r>
              <w:rPr>
                <w:noProof/>
                <w:webHidden/>
              </w:rPr>
              <w:t>14</w:t>
            </w:r>
            <w:r>
              <w:rPr>
                <w:noProof/>
                <w:webHidden/>
              </w:rPr>
              <w:fldChar w:fldCharType="end"/>
            </w:r>
          </w:hyperlink>
        </w:p>
        <w:p w14:paraId="367EEF33" w14:textId="65D5F6B3"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21" w:history="1">
            <w:r w:rsidRPr="007E5514">
              <w:rPr>
                <w:rStyle w:val="Hyperlink"/>
                <w:noProof/>
              </w:rPr>
              <w:t>Internal Stakeholders</w:t>
            </w:r>
            <w:r>
              <w:rPr>
                <w:noProof/>
                <w:webHidden/>
              </w:rPr>
              <w:tab/>
            </w:r>
            <w:r>
              <w:rPr>
                <w:noProof/>
                <w:webHidden/>
              </w:rPr>
              <w:fldChar w:fldCharType="begin"/>
            </w:r>
            <w:r>
              <w:rPr>
                <w:noProof/>
                <w:webHidden/>
              </w:rPr>
              <w:instrText xml:space="preserve"> PAGEREF _Toc225023021 \h </w:instrText>
            </w:r>
            <w:r>
              <w:rPr>
                <w:noProof/>
                <w:webHidden/>
              </w:rPr>
            </w:r>
            <w:r>
              <w:rPr>
                <w:noProof/>
                <w:webHidden/>
              </w:rPr>
              <w:fldChar w:fldCharType="separate"/>
            </w:r>
            <w:r>
              <w:rPr>
                <w:noProof/>
                <w:webHidden/>
              </w:rPr>
              <w:t>14</w:t>
            </w:r>
            <w:r>
              <w:rPr>
                <w:noProof/>
                <w:webHidden/>
              </w:rPr>
              <w:fldChar w:fldCharType="end"/>
            </w:r>
          </w:hyperlink>
        </w:p>
        <w:p w14:paraId="3EAB5710" w14:textId="555C2E8C"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22" w:history="1">
            <w:r w:rsidRPr="007E5514">
              <w:rPr>
                <w:rStyle w:val="Hyperlink"/>
                <w:noProof/>
              </w:rPr>
              <w:t>External Stakeholders</w:t>
            </w:r>
            <w:r>
              <w:rPr>
                <w:noProof/>
                <w:webHidden/>
              </w:rPr>
              <w:tab/>
            </w:r>
            <w:r>
              <w:rPr>
                <w:noProof/>
                <w:webHidden/>
              </w:rPr>
              <w:fldChar w:fldCharType="begin"/>
            </w:r>
            <w:r>
              <w:rPr>
                <w:noProof/>
                <w:webHidden/>
              </w:rPr>
              <w:instrText xml:space="preserve"> PAGEREF _Toc225023022 \h </w:instrText>
            </w:r>
            <w:r>
              <w:rPr>
                <w:noProof/>
                <w:webHidden/>
              </w:rPr>
            </w:r>
            <w:r>
              <w:rPr>
                <w:noProof/>
                <w:webHidden/>
              </w:rPr>
              <w:fldChar w:fldCharType="separate"/>
            </w:r>
            <w:r>
              <w:rPr>
                <w:noProof/>
                <w:webHidden/>
              </w:rPr>
              <w:t>15</w:t>
            </w:r>
            <w:r>
              <w:rPr>
                <w:noProof/>
                <w:webHidden/>
              </w:rPr>
              <w:fldChar w:fldCharType="end"/>
            </w:r>
          </w:hyperlink>
        </w:p>
        <w:p w14:paraId="4E37CAFE" w14:textId="62EC136E"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23" w:history="1">
            <w:r w:rsidRPr="007E5514">
              <w:rPr>
                <w:rStyle w:val="Hyperlink"/>
                <w:noProof/>
              </w:rPr>
              <w:t>Range of Appropriate Frameworks, Models, and Theories for Engagement</w:t>
            </w:r>
            <w:r>
              <w:rPr>
                <w:noProof/>
                <w:webHidden/>
              </w:rPr>
              <w:tab/>
            </w:r>
            <w:r>
              <w:rPr>
                <w:noProof/>
                <w:webHidden/>
              </w:rPr>
              <w:fldChar w:fldCharType="begin"/>
            </w:r>
            <w:r>
              <w:rPr>
                <w:noProof/>
                <w:webHidden/>
              </w:rPr>
              <w:instrText xml:space="preserve"> PAGEREF _Toc225023023 \h </w:instrText>
            </w:r>
            <w:r>
              <w:rPr>
                <w:noProof/>
                <w:webHidden/>
              </w:rPr>
            </w:r>
            <w:r>
              <w:rPr>
                <w:noProof/>
                <w:webHidden/>
              </w:rPr>
              <w:fldChar w:fldCharType="separate"/>
            </w:r>
            <w:r>
              <w:rPr>
                <w:noProof/>
                <w:webHidden/>
              </w:rPr>
              <w:t>16</w:t>
            </w:r>
            <w:r>
              <w:rPr>
                <w:noProof/>
                <w:webHidden/>
              </w:rPr>
              <w:fldChar w:fldCharType="end"/>
            </w:r>
          </w:hyperlink>
        </w:p>
        <w:p w14:paraId="4D73455E" w14:textId="71B9774E"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24" w:history="1">
            <w:r w:rsidRPr="007E5514">
              <w:rPr>
                <w:rStyle w:val="Hyperlink"/>
                <w:noProof/>
              </w:rPr>
              <w:t>Critical Explanation of the Process to Engage Key Stakeholders and Manage Conflicts Using the 4C’s Model</w:t>
            </w:r>
            <w:r>
              <w:rPr>
                <w:noProof/>
                <w:webHidden/>
              </w:rPr>
              <w:tab/>
            </w:r>
            <w:r>
              <w:rPr>
                <w:noProof/>
                <w:webHidden/>
              </w:rPr>
              <w:fldChar w:fldCharType="begin"/>
            </w:r>
            <w:r>
              <w:rPr>
                <w:noProof/>
                <w:webHidden/>
              </w:rPr>
              <w:instrText xml:space="preserve"> PAGEREF _Toc225023024 \h </w:instrText>
            </w:r>
            <w:r>
              <w:rPr>
                <w:noProof/>
                <w:webHidden/>
              </w:rPr>
            </w:r>
            <w:r>
              <w:rPr>
                <w:noProof/>
                <w:webHidden/>
              </w:rPr>
              <w:fldChar w:fldCharType="separate"/>
            </w:r>
            <w:r>
              <w:rPr>
                <w:noProof/>
                <w:webHidden/>
              </w:rPr>
              <w:t>16</w:t>
            </w:r>
            <w:r>
              <w:rPr>
                <w:noProof/>
                <w:webHidden/>
              </w:rPr>
              <w:fldChar w:fldCharType="end"/>
            </w:r>
          </w:hyperlink>
        </w:p>
        <w:p w14:paraId="5A3911D8" w14:textId="1D70C1C8"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25" w:history="1">
            <w:r w:rsidRPr="007E5514">
              <w:rPr>
                <w:rStyle w:val="Hyperlink"/>
                <w:noProof/>
              </w:rPr>
              <w:t>Evaluation of the Impact of Stakeholders’ Engagement on Business Performance and Recommendations for the Future</w:t>
            </w:r>
            <w:r>
              <w:rPr>
                <w:noProof/>
                <w:webHidden/>
              </w:rPr>
              <w:tab/>
            </w:r>
            <w:r>
              <w:rPr>
                <w:noProof/>
                <w:webHidden/>
              </w:rPr>
              <w:fldChar w:fldCharType="begin"/>
            </w:r>
            <w:r>
              <w:rPr>
                <w:noProof/>
                <w:webHidden/>
              </w:rPr>
              <w:instrText xml:space="preserve"> PAGEREF _Toc225023025 \h </w:instrText>
            </w:r>
            <w:r>
              <w:rPr>
                <w:noProof/>
                <w:webHidden/>
              </w:rPr>
            </w:r>
            <w:r>
              <w:rPr>
                <w:noProof/>
                <w:webHidden/>
              </w:rPr>
              <w:fldChar w:fldCharType="separate"/>
            </w:r>
            <w:r>
              <w:rPr>
                <w:noProof/>
                <w:webHidden/>
              </w:rPr>
              <w:t>18</w:t>
            </w:r>
            <w:r>
              <w:rPr>
                <w:noProof/>
                <w:webHidden/>
              </w:rPr>
              <w:fldChar w:fldCharType="end"/>
            </w:r>
          </w:hyperlink>
        </w:p>
        <w:p w14:paraId="5A6E7E7B" w14:textId="2CC55081" w:rsidR="007F3EA9" w:rsidRDefault="007F3EA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023026" w:history="1">
            <w:r w:rsidRPr="007E5514">
              <w:rPr>
                <w:rStyle w:val="Hyperlink"/>
                <w:noProof/>
              </w:rPr>
              <w:t>Recommendations for Future Initiatives</w:t>
            </w:r>
            <w:r>
              <w:rPr>
                <w:noProof/>
                <w:webHidden/>
              </w:rPr>
              <w:tab/>
            </w:r>
            <w:r>
              <w:rPr>
                <w:noProof/>
                <w:webHidden/>
              </w:rPr>
              <w:fldChar w:fldCharType="begin"/>
            </w:r>
            <w:r>
              <w:rPr>
                <w:noProof/>
                <w:webHidden/>
              </w:rPr>
              <w:instrText xml:space="preserve"> PAGEREF _Toc225023026 \h </w:instrText>
            </w:r>
            <w:r>
              <w:rPr>
                <w:noProof/>
                <w:webHidden/>
              </w:rPr>
            </w:r>
            <w:r>
              <w:rPr>
                <w:noProof/>
                <w:webHidden/>
              </w:rPr>
              <w:fldChar w:fldCharType="separate"/>
            </w:r>
            <w:r>
              <w:rPr>
                <w:noProof/>
                <w:webHidden/>
              </w:rPr>
              <w:t>19</w:t>
            </w:r>
            <w:r>
              <w:rPr>
                <w:noProof/>
                <w:webHidden/>
              </w:rPr>
              <w:fldChar w:fldCharType="end"/>
            </w:r>
          </w:hyperlink>
        </w:p>
        <w:p w14:paraId="5BF72DEB" w14:textId="3D91A91E"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27" w:history="1">
            <w:r w:rsidRPr="007E5514">
              <w:rPr>
                <w:rStyle w:val="Hyperlink"/>
                <w:noProof/>
              </w:rPr>
              <w:t>Conclusion</w:t>
            </w:r>
            <w:r>
              <w:rPr>
                <w:noProof/>
                <w:webHidden/>
              </w:rPr>
              <w:tab/>
            </w:r>
            <w:r>
              <w:rPr>
                <w:noProof/>
                <w:webHidden/>
              </w:rPr>
              <w:fldChar w:fldCharType="begin"/>
            </w:r>
            <w:r>
              <w:rPr>
                <w:noProof/>
                <w:webHidden/>
              </w:rPr>
              <w:instrText xml:space="preserve"> PAGEREF _Toc225023027 \h </w:instrText>
            </w:r>
            <w:r>
              <w:rPr>
                <w:noProof/>
                <w:webHidden/>
              </w:rPr>
            </w:r>
            <w:r>
              <w:rPr>
                <w:noProof/>
                <w:webHidden/>
              </w:rPr>
              <w:fldChar w:fldCharType="separate"/>
            </w:r>
            <w:r>
              <w:rPr>
                <w:noProof/>
                <w:webHidden/>
              </w:rPr>
              <w:t>19</w:t>
            </w:r>
            <w:r>
              <w:rPr>
                <w:noProof/>
                <w:webHidden/>
              </w:rPr>
              <w:fldChar w:fldCharType="end"/>
            </w:r>
          </w:hyperlink>
        </w:p>
        <w:p w14:paraId="34A9662A" w14:textId="7B7ACF66" w:rsidR="007F3EA9" w:rsidRDefault="007F3EA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023028" w:history="1">
            <w:r w:rsidRPr="007E5514">
              <w:rPr>
                <w:rStyle w:val="Hyperlink"/>
                <w:noProof/>
              </w:rPr>
              <w:t>References:</w:t>
            </w:r>
            <w:r>
              <w:rPr>
                <w:noProof/>
                <w:webHidden/>
              </w:rPr>
              <w:tab/>
            </w:r>
            <w:r>
              <w:rPr>
                <w:noProof/>
                <w:webHidden/>
              </w:rPr>
              <w:fldChar w:fldCharType="begin"/>
            </w:r>
            <w:r>
              <w:rPr>
                <w:noProof/>
                <w:webHidden/>
              </w:rPr>
              <w:instrText xml:space="preserve"> PAGEREF _Toc225023028 \h </w:instrText>
            </w:r>
            <w:r>
              <w:rPr>
                <w:noProof/>
                <w:webHidden/>
              </w:rPr>
            </w:r>
            <w:r>
              <w:rPr>
                <w:noProof/>
                <w:webHidden/>
              </w:rPr>
              <w:fldChar w:fldCharType="separate"/>
            </w:r>
            <w:r>
              <w:rPr>
                <w:noProof/>
                <w:webHidden/>
              </w:rPr>
              <w:t>21</w:t>
            </w:r>
            <w:r>
              <w:rPr>
                <w:noProof/>
                <w:webHidden/>
              </w:rPr>
              <w:fldChar w:fldCharType="end"/>
            </w:r>
          </w:hyperlink>
        </w:p>
        <w:p w14:paraId="1F06857E" w14:textId="61C13245" w:rsidR="0037257B" w:rsidRDefault="0037257B">
          <w:r>
            <w:rPr>
              <w:b/>
              <w:bCs/>
            </w:rPr>
            <w:fldChar w:fldCharType="end"/>
          </w:r>
        </w:p>
      </w:sdtContent>
    </w:sdt>
    <w:p w14:paraId="3D6779E4" w14:textId="77777777" w:rsidR="000E3764" w:rsidRDefault="000E3764">
      <w:pPr>
        <w:spacing w:after="160" w:line="278" w:lineRule="auto"/>
        <w:rPr>
          <w:rFonts w:ascii="Arial" w:hAnsi="Arial" w:cs="Arial"/>
          <w:b/>
          <w:bCs/>
          <w:sz w:val="24"/>
          <w:szCs w:val="24"/>
        </w:rPr>
      </w:pPr>
    </w:p>
    <w:p w14:paraId="5E4B0B5E" w14:textId="77777777" w:rsidR="000B643D" w:rsidRDefault="000B643D" w:rsidP="00AC2089">
      <w:pPr>
        <w:spacing w:line="360" w:lineRule="auto"/>
        <w:jc w:val="both"/>
        <w:rPr>
          <w:rFonts w:ascii="Arial" w:hAnsi="Arial" w:cs="Arial"/>
          <w:b/>
          <w:bCs/>
          <w:sz w:val="24"/>
          <w:szCs w:val="24"/>
        </w:rPr>
      </w:pPr>
    </w:p>
    <w:p w14:paraId="18BF6EBD" w14:textId="77777777" w:rsidR="000B643D" w:rsidRDefault="000B643D">
      <w:pPr>
        <w:spacing w:after="160" w:line="278" w:lineRule="auto"/>
        <w:rPr>
          <w:rFonts w:ascii="Arial" w:hAnsi="Arial" w:cs="Arial"/>
          <w:b/>
          <w:bCs/>
          <w:sz w:val="24"/>
          <w:szCs w:val="24"/>
        </w:rPr>
      </w:pPr>
      <w:r>
        <w:rPr>
          <w:rFonts w:ascii="Arial" w:hAnsi="Arial" w:cs="Arial"/>
          <w:b/>
          <w:bCs/>
          <w:sz w:val="24"/>
          <w:szCs w:val="24"/>
        </w:rPr>
        <w:br w:type="page"/>
      </w:r>
    </w:p>
    <w:p w14:paraId="115BDC7A" w14:textId="7FFFF0A2" w:rsidR="00AC2089" w:rsidRPr="00AC2089" w:rsidRDefault="00AC2089" w:rsidP="006A4ABE">
      <w:pPr>
        <w:pStyle w:val="Heading2"/>
      </w:pPr>
      <w:bookmarkStart w:id="0" w:name="_Toc225023006"/>
      <w:r w:rsidRPr="00AC2089">
        <w:lastRenderedPageBreak/>
        <w:t>Executive Summary</w:t>
      </w:r>
      <w:bookmarkEnd w:id="0"/>
    </w:p>
    <w:p w14:paraId="0C25DF8F"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InterContinental Hotels Group (IHG) PLC, a leading global hospitality company headquartered in Windsor, United Kingdom, operates an asset-light model with 6,963 hotels and over 1 million rooms across more than 100 countries as of the end of 2025. With a strong financial performance in 2025 (+1.5% global RevPAR, +13% operating profit to $1,265 million, fee margin expansion to 64.8%, and over $1.1 billion returned to shareholders), IHG is well-positioned to innovate. The StaySmart+ project introduces a premium AI-driven customer experience service that integrates real-time AI guest interactions (chatbots and virtual concierges), personalized travel planning using predictive analytics, and sustainability-focused amenities (smart energy management and carbon tracking) to enhance guest comfort, operational efficiency, and brand differentiation.</w:t>
      </w:r>
    </w:p>
    <w:p w14:paraId="23FE1D02"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This report, prepared from the perspective of the Project Manager, critically examines the stakeholder management process required for the successful six-month global rollout of StaySmart+, commencing March 2026 with pilots in key markets including London, Birmingham, the Americas, EMEAA, and Greater China.</w:t>
      </w:r>
    </w:p>
    <w:p w14:paraId="66ABA812"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A comprehensive situational analysis using SWOT and PESTLE frameworks confirms IHG’s strengths (global scale, asset-light model, IHG One Rewards loyalty program with 160 million members, advanced digital capabilities) and opportunities (rising demand for AI-personalized and sustainable travel, growth in emerging markets). It also highlights threats (geopolitical instability, intense competition from Marriott and Airbnb, regulatory and cybersecurity risks) and internal challenges (franchise control limitations, sustainability progress gaps) that necessitate robust stakeholder coordination.</w:t>
      </w:r>
    </w:p>
    <w:p w14:paraId="625BAC47"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Key stakeholders were identified and categorized as internal (senior management, product development, marketing/sales, IT/operations, employees, finance/legal, sustainability team) and external (guests, suppliers/partners, regulators, communities/NGOs, investors, media, industry associations, technology providers). Their roles, responsibilities, benefits (innovation, revenue uplift, trust, efficiency), and challenges (cultural misalignment, privacy concerns, resistance, power imbalances) were evaluated using stakeholder salience theory (Mitchell et al., 1997), resource dependence theory, and legitimacy theory.</w:t>
      </w:r>
    </w:p>
    <w:p w14:paraId="71ED15A7"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 xml:space="preserve">Engagement was structured through appropriate frameworks: power-interest matrix for prioritization, RACI matrix for role clarity, tailored engagement and communication plans, and the 4C’s model (Communication, Consultation, Collaboration, Commitment) for relational depth. Conflict management integrated negotiation, mediation, and escalation mechanisms. The impact of high-quality engagement on business performance was critically assessed, demonstrating positive financial outcomes (3–5% RevPAR increase, cost efficiencies), operational improvements (reduced delays, lower staff turnover), and reputational gains </w:t>
      </w:r>
      <w:r w:rsidRPr="0004421F">
        <w:rPr>
          <w:rFonts w:ascii="Arial" w:hAnsi="Arial" w:cs="Arial"/>
          <w:sz w:val="22"/>
          <w:szCs w:val="22"/>
        </w:rPr>
        <w:lastRenderedPageBreak/>
        <w:t>(enhanced trust and ESG leadership), while noting risks of ethical lapses and exclusion if engagement is superficial or unbalanced.</w:t>
      </w:r>
    </w:p>
    <w:p w14:paraId="2F649D28"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Recommendations for future initiatives include integrating AI-driven predictive engagement tools, expanding cross-cultural 4C’s training, implementing annual ethical audits and materiality assessments, deepening ESG partnerships, establishing longitudinal feedback mechanisms, and linking incentives to AI contributions.</w:t>
      </w:r>
    </w:p>
    <w:p w14:paraId="41EDDA2D" w14:textId="77777777" w:rsidR="00AC2089" w:rsidRPr="0004421F" w:rsidRDefault="00AC2089" w:rsidP="00AC2089">
      <w:pPr>
        <w:spacing w:line="360" w:lineRule="auto"/>
        <w:jc w:val="both"/>
        <w:rPr>
          <w:rFonts w:ascii="Arial" w:hAnsi="Arial" w:cs="Arial"/>
          <w:sz w:val="22"/>
          <w:szCs w:val="22"/>
        </w:rPr>
      </w:pPr>
      <w:r w:rsidRPr="0004421F">
        <w:rPr>
          <w:rFonts w:ascii="Arial" w:hAnsi="Arial" w:cs="Arial"/>
          <w:sz w:val="22"/>
          <w:szCs w:val="22"/>
        </w:rPr>
        <w:t>In conclusion, effective stakeholder engagement is not merely a project management requirement but a strategic imperative for IHG. By embedding inclusive, ethical, and adaptive stakeholder practices, StaySmart+ can deliver measurable value to guests, owners, employees, and the wider ecosystem, reinforcing IHG’s purpose of “True Hospitality for Good” and securing long-term competitive advantage in an AI- and sustainability-driven hospitality landscape.</w:t>
      </w:r>
    </w:p>
    <w:p w14:paraId="1B73B43E" w14:textId="69FD18AC" w:rsidR="00AC2089" w:rsidRPr="000543E2" w:rsidRDefault="000543E2" w:rsidP="006A4ABE">
      <w:pPr>
        <w:pStyle w:val="Heading2"/>
      </w:pPr>
      <w:bookmarkStart w:id="1" w:name="_Toc225023007"/>
      <w:r w:rsidRPr="000543E2">
        <w:t>Introduction</w:t>
      </w:r>
      <w:bookmarkEnd w:id="1"/>
    </w:p>
    <w:p w14:paraId="5BDC36A3" w14:textId="2CBE4BEE" w:rsidR="0044425F" w:rsidRPr="0004421F" w:rsidRDefault="0044425F" w:rsidP="0044425F">
      <w:pPr>
        <w:spacing w:line="360" w:lineRule="auto"/>
        <w:jc w:val="both"/>
        <w:rPr>
          <w:rFonts w:ascii="Arial" w:hAnsi="Arial" w:cs="Arial"/>
          <w:sz w:val="22"/>
          <w:szCs w:val="22"/>
        </w:rPr>
      </w:pPr>
      <w:r w:rsidRPr="0004421F">
        <w:rPr>
          <w:rFonts w:ascii="Arial" w:hAnsi="Arial" w:cs="Arial"/>
          <w:sz w:val="22"/>
          <w:szCs w:val="22"/>
        </w:rPr>
        <w:t>InterContinental Hotels Group (IHG) PLC is one of the world’s leading global hotel companies, headquartered in Windsor, United Kingdom. Tracing its origins to 1777 through the Bass brewing legacy, IHG became a standalone hotel group in 2003 after demerging from Six Continents PLC, adopting an asset-light model focused on franchising, management, and licensing (IHG PLC, 2026a).</w:t>
      </w:r>
    </w:p>
    <w:p w14:paraId="2A28EF52" w14:textId="77777777" w:rsidR="0044425F" w:rsidRPr="0004421F" w:rsidRDefault="0044425F" w:rsidP="0044425F">
      <w:pPr>
        <w:spacing w:line="360" w:lineRule="auto"/>
        <w:jc w:val="both"/>
        <w:rPr>
          <w:rFonts w:ascii="Arial" w:hAnsi="Arial" w:cs="Arial"/>
          <w:sz w:val="22"/>
          <w:szCs w:val="22"/>
        </w:rPr>
      </w:pPr>
      <w:r w:rsidRPr="0004421F">
        <w:rPr>
          <w:rFonts w:ascii="Arial" w:hAnsi="Arial" w:cs="Arial"/>
          <w:sz w:val="22"/>
          <w:szCs w:val="22"/>
        </w:rPr>
        <w:t>As of the end of 2025, IHG operated 6,963 hotels with 1,026,177 rooms across more than 100 countries, supported by a pipeline of 2,292 hotels (340,000 rooms), representing 33% of its current system size (IHG PLC, 2026b). The portfolio includes 20 brands spanning luxury (InterContinental, Six Senses, Kimpton), premium (Crowne Plaza, voco), mainstream (Holiday Inn, Holiday Inn Express), and extended-stay segments (Staybridge Suites, Candlewood Suites), plus emerging and conversion brands such as Garner and the recently acquired Ruby (IHG Hotels &amp; Resorts, 2026).</w:t>
      </w:r>
    </w:p>
    <w:p w14:paraId="7F71EA09" w14:textId="77777777" w:rsidR="0044425F" w:rsidRPr="0004421F" w:rsidRDefault="0044425F" w:rsidP="0044425F">
      <w:pPr>
        <w:spacing w:line="360" w:lineRule="auto"/>
        <w:jc w:val="both"/>
        <w:rPr>
          <w:rFonts w:ascii="Arial" w:hAnsi="Arial" w:cs="Arial"/>
          <w:sz w:val="22"/>
          <w:szCs w:val="22"/>
        </w:rPr>
      </w:pPr>
      <w:r w:rsidRPr="0004421F">
        <w:rPr>
          <w:rFonts w:ascii="Arial" w:hAnsi="Arial" w:cs="Arial"/>
          <w:sz w:val="22"/>
          <w:szCs w:val="22"/>
        </w:rPr>
        <w:t>IHG’s IHG One Rewards loyalty programme, with over 160 million members, drives significant business: members accounted for 66% of global room nights in 2025 (73% in the Americas), and direct channels generated 83% of room revenue (IHG PLC, 2026b).</w:t>
      </w:r>
    </w:p>
    <w:p w14:paraId="502C65E3" w14:textId="48C33A53" w:rsidR="0044425F" w:rsidRPr="0004421F" w:rsidRDefault="0044425F" w:rsidP="0044425F">
      <w:pPr>
        <w:spacing w:line="360" w:lineRule="auto"/>
        <w:jc w:val="both"/>
        <w:rPr>
          <w:rFonts w:ascii="Arial" w:hAnsi="Arial" w:cs="Arial"/>
          <w:sz w:val="22"/>
          <w:szCs w:val="22"/>
        </w:rPr>
      </w:pPr>
      <w:r w:rsidRPr="0004421F">
        <w:rPr>
          <w:rFonts w:ascii="Arial" w:hAnsi="Arial" w:cs="Arial"/>
          <w:sz w:val="22"/>
          <w:szCs w:val="22"/>
        </w:rPr>
        <w:t>Financially, IHG delivered resilient performance in 2025: global RevPAR grew +1.5%, operating profit from reportable segments rose +13% to $1,265 million, adjusted EPS increased +16% to 501.3¢, fee margin expanded to 64.8% and adjusted free cash flow reached $893 million (+36% YoY). The company returned over $1.1 billion to shareholders and authorised a further $950 million buyback for 2026 (IHG PLC, 2026c).</w:t>
      </w:r>
    </w:p>
    <w:p w14:paraId="524D90CD" w14:textId="77777777" w:rsidR="0044425F" w:rsidRDefault="0044425F" w:rsidP="0044425F">
      <w:pPr>
        <w:spacing w:line="360" w:lineRule="auto"/>
        <w:jc w:val="both"/>
        <w:rPr>
          <w:rFonts w:ascii="Arial" w:hAnsi="Arial" w:cs="Arial"/>
          <w:sz w:val="22"/>
          <w:szCs w:val="22"/>
        </w:rPr>
      </w:pPr>
      <w:r w:rsidRPr="0004421F">
        <w:rPr>
          <w:rFonts w:ascii="Arial" w:hAnsi="Arial" w:cs="Arial"/>
          <w:sz w:val="22"/>
          <w:szCs w:val="22"/>
        </w:rPr>
        <w:t xml:space="preserve">Guided by its purpose “True Hospitality for Good”, IHG integrates sustainability, ethical operations, and community impact, aligning with UN Sustainable Development Goals through net-zero commitments and responsible business practices (IHG PLC, 2026a). IHG’s scale, </w:t>
      </w:r>
      <w:r w:rsidRPr="0004421F">
        <w:rPr>
          <w:rFonts w:ascii="Arial" w:hAnsi="Arial" w:cs="Arial"/>
          <w:sz w:val="22"/>
          <w:szCs w:val="22"/>
        </w:rPr>
        <w:lastRenderedPageBreak/>
        <w:t>brand diversity, loyalty ecosystem, and cash-generative model position it strongly for continued growth and innovation in the global hospitality sector.</w:t>
      </w:r>
    </w:p>
    <w:p w14:paraId="0F9B9279" w14:textId="7B57146B" w:rsidR="0044425F" w:rsidRDefault="0044425F" w:rsidP="006A4ABE">
      <w:pPr>
        <w:pStyle w:val="Heading2"/>
      </w:pPr>
      <w:bookmarkStart w:id="2" w:name="_Toc225023008"/>
      <w:r w:rsidRPr="0004421F">
        <w:t>Project Outline: StaySmart+ Launch</w:t>
      </w:r>
      <w:bookmarkEnd w:id="2"/>
    </w:p>
    <w:p w14:paraId="5E4EF430"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Objective: Launch StaySmart+, an AI-powered premium guest experience service to enhance personalization, efficiency, and sustainability across IHG hotels worldwide.</w:t>
      </w:r>
    </w:p>
    <w:p w14:paraId="15FAB32D"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Core Components:</w:t>
      </w:r>
    </w:p>
    <w:p w14:paraId="4DB881BD" w14:textId="77777777" w:rsidR="0044425F" w:rsidRPr="0004421F" w:rsidRDefault="0044425F" w:rsidP="00EE2379">
      <w:pPr>
        <w:numPr>
          <w:ilvl w:val="0"/>
          <w:numId w:val="13"/>
        </w:numPr>
        <w:spacing w:line="360" w:lineRule="auto"/>
        <w:jc w:val="both"/>
        <w:rPr>
          <w:rFonts w:ascii="Arial" w:hAnsi="Arial" w:cs="Arial"/>
          <w:sz w:val="22"/>
          <w:szCs w:val="22"/>
        </w:rPr>
      </w:pPr>
      <w:r w:rsidRPr="0004421F">
        <w:rPr>
          <w:rFonts w:ascii="Arial" w:hAnsi="Arial" w:cs="Arial"/>
          <w:sz w:val="22"/>
          <w:szCs w:val="22"/>
        </w:rPr>
        <w:t>AI-driven guest interactions (chatbots, virtual concierge).</w:t>
      </w:r>
    </w:p>
    <w:p w14:paraId="3A5618EF" w14:textId="77777777" w:rsidR="0044425F" w:rsidRPr="0004421F" w:rsidRDefault="0044425F" w:rsidP="00EE2379">
      <w:pPr>
        <w:numPr>
          <w:ilvl w:val="0"/>
          <w:numId w:val="13"/>
        </w:numPr>
        <w:spacing w:line="360" w:lineRule="auto"/>
        <w:jc w:val="both"/>
        <w:rPr>
          <w:rFonts w:ascii="Arial" w:hAnsi="Arial" w:cs="Arial"/>
          <w:sz w:val="22"/>
          <w:szCs w:val="22"/>
        </w:rPr>
      </w:pPr>
      <w:r w:rsidRPr="0004421F">
        <w:rPr>
          <w:rFonts w:ascii="Arial" w:hAnsi="Arial" w:cs="Arial"/>
          <w:sz w:val="22"/>
          <w:szCs w:val="22"/>
        </w:rPr>
        <w:t>Personalized travel planning via predictive analytics.</w:t>
      </w:r>
    </w:p>
    <w:p w14:paraId="14076A89" w14:textId="77777777" w:rsidR="0044425F" w:rsidRPr="0004421F" w:rsidRDefault="0044425F" w:rsidP="00EE2379">
      <w:pPr>
        <w:numPr>
          <w:ilvl w:val="0"/>
          <w:numId w:val="13"/>
        </w:numPr>
        <w:spacing w:line="360" w:lineRule="auto"/>
        <w:jc w:val="both"/>
        <w:rPr>
          <w:rFonts w:ascii="Arial" w:hAnsi="Arial" w:cs="Arial"/>
          <w:sz w:val="22"/>
          <w:szCs w:val="22"/>
        </w:rPr>
      </w:pPr>
      <w:r w:rsidRPr="0004421F">
        <w:rPr>
          <w:rFonts w:ascii="Arial" w:hAnsi="Arial" w:cs="Arial"/>
          <w:sz w:val="22"/>
          <w:szCs w:val="22"/>
        </w:rPr>
        <w:t>Sustainability features (smart energy management, carbon tracking, eco-rewards).</w:t>
      </w:r>
    </w:p>
    <w:p w14:paraId="7B8EB7D9"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Scope &amp; Timeline:</w:t>
      </w:r>
    </w:p>
    <w:p w14:paraId="2D2FF4DF" w14:textId="77777777" w:rsidR="0044425F" w:rsidRPr="0004421F" w:rsidRDefault="0044425F" w:rsidP="00EE2379">
      <w:pPr>
        <w:numPr>
          <w:ilvl w:val="0"/>
          <w:numId w:val="14"/>
        </w:numPr>
        <w:spacing w:line="360" w:lineRule="auto"/>
        <w:jc w:val="both"/>
        <w:rPr>
          <w:rFonts w:ascii="Arial" w:hAnsi="Arial" w:cs="Arial"/>
          <w:sz w:val="22"/>
          <w:szCs w:val="22"/>
        </w:rPr>
      </w:pPr>
      <w:r w:rsidRPr="0004421F">
        <w:rPr>
          <w:rFonts w:ascii="Arial" w:hAnsi="Arial" w:cs="Arial"/>
          <w:sz w:val="22"/>
          <w:szCs w:val="22"/>
        </w:rPr>
        <w:t>6-month rollout starting March 2026.</w:t>
      </w:r>
    </w:p>
    <w:p w14:paraId="23D1DE5D" w14:textId="77777777" w:rsidR="0044425F" w:rsidRPr="0004421F" w:rsidRDefault="0044425F" w:rsidP="00EE2379">
      <w:pPr>
        <w:numPr>
          <w:ilvl w:val="0"/>
          <w:numId w:val="14"/>
        </w:numPr>
        <w:spacing w:line="360" w:lineRule="auto"/>
        <w:jc w:val="both"/>
        <w:rPr>
          <w:rFonts w:ascii="Arial" w:hAnsi="Arial" w:cs="Arial"/>
          <w:sz w:val="22"/>
          <w:szCs w:val="22"/>
        </w:rPr>
      </w:pPr>
      <w:r w:rsidRPr="0004421F">
        <w:rPr>
          <w:rFonts w:ascii="Arial" w:hAnsi="Arial" w:cs="Arial"/>
          <w:sz w:val="22"/>
          <w:szCs w:val="22"/>
        </w:rPr>
        <w:t>Months 1–2: Planning, stakeholder mapping, prototyping.</w:t>
      </w:r>
    </w:p>
    <w:p w14:paraId="454C56F9" w14:textId="77777777" w:rsidR="0044425F" w:rsidRPr="0004421F" w:rsidRDefault="0044425F" w:rsidP="00EE2379">
      <w:pPr>
        <w:numPr>
          <w:ilvl w:val="0"/>
          <w:numId w:val="14"/>
        </w:numPr>
        <w:spacing w:line="360" w:lineRule="auto"/>
        <w:jc w:val="both"/>
        <w:rPr>
          <w:rFonts w:ascii="Arial" w:hAnsi="Arial" w:cs="Arial"/>
          <w:sz w:val="22"/>
          <w:szCs w:val="22"/>
        </w:rPr>
      </w:pPr>
      <w:r w:rsidRPr="0004421F">
        <w:rPr>
          <w:rFonts w:ascii="Arial" w:hAnsi="Arial" w:cs="Arial"/>
          <w:sz w:val="22"/>
          <w:szCs w:val="22"/>
        </w:rPr>
        <w:t>Months 3–4: Development, integration, pilot testing.</w:t>
      </w:r>
    </w:p>
    <w:p w14:paraId="1CB16959" w14:textId="77777777" w:rsidR="0044425F" w:rsidRPr="0004421F" w:rsidRDefault="0044425F" w:rsidP="00EE2379">
      <w:pPr>
        <w:numPr>
          <w:ilvl w:val="0"/>
          <w:numId w:val="14"/>
        </w:numPr>
        <w:spacing w:line="360" w:lineRule="auto"/>
        <w:jc w:val="both"/>
        <w:rPr>
          <w:rFonts w:ascii="Arial" w:hAnsi="Arial" w:cs="Arial"/>
          <w:sz w:val="22"/>
          <w:szCs w:val="22"/>
        </w:rPr>
      </w:pPr>
      <w:r w:rsidRPr="0004421F">
        <w:rPr>
          <w:rFonts w:ascii="Arial" w:hAnsi="Arial" w:cs="Arial"/>
          <w:sz w:val="22"/>
          <w:szCs w:val="22"/>
        </w:rPr>
        <w:t>Months 5–6: Training, marketing, phased launch (starting with 50 hotels in key markets: London, Birmingham, Americas, EMEAA, Greater China).</w:t>
      </w:r>
    </w:p>
    <w:p w14:paraId="5D233B78" w14:textId="77777777" w:rsidR="0044425F" w:rsidRPr="0004421F" w:rsidRDefault="0044425F" w:rsidP="00EE2379">
      <w:pPr>
        <w:numPr>
          <w:ilvl w:val="0"/>
          <w:numId w:val="14"/>
        </w:numPr>
        <w:spacing w:line="360" w:lineRule="auto"/>
        <w:jc w:val="both"/>
        <w:rPr>
          <w:rFonts w:ascii="Arial" w:hAnsi="Arial" w:cs="Arial"/>
          <w:sz w:val="22"/>
          <w:szCs w:val="22"/>
        </w:rPr>
      </w:pPr>
      <w:r w:rsidRPr="0004421F">
        <w:rPr>
          <w:rFonts w:ascii="Arial" w:hAnsi="Arial" w:cs="Arial"/>
          <w:sz w:val="22"/>
          <w:szCs w:val="22"/>
        </w:rPr>
        <w:t>Post-launch: Continuous monitoring and full portfolio expansion by end-2027.</w:t>
      </w:r>
    </w:p>
    <w:p w14:paraId="2BAD5704"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Resources:</w:t>
      </w:r>
    </w:p>
    <w:p w14:paraId="33F007ED" w14:textId="77777777" w:rsidR="0044425F" w:rsidRPr="0004421F" w:rsidRDefault="0044425F" w:rsidP="00EE2379">
      <w:pPr>
        <w:numPr>
          <w:ilvl w:val="0"/>
          <w:numId w:val="15"/>
        </w:numPr>
        <w:spacing w:line="360" w:lineRule="auto"/>
        <w:ind w:left="714" w:hanging="357"/>
        <w:contextualSpacing/>
        <w:jc w:val="both"/>
        <w:rPr>
          <w:rFonts w:ascii="Arial" w:hAnsi="Arial" w:cs="Arial"/>
          <w:sz w:val="22"/>
          <w:szCs w:val="22"/>
        </w:rPr>
      </w:pPr>
      <w:r w:rsidRPr="0004421F">
        <w:rPr>
          <w:rFonts w:ascii="Arial" w:hAnsi="Arial" w:cs="Arial"/>
          <w:sz w:val="22"/>
          <w:szCs w:val="22"/>
        </w:rPr>
        <w:t>Cross-functional team (product, IT, marketing, sustainability).</w:t>
      </w:r>
    </w:p>
    <w:p w14:paraId="1A6CCFEA" w14:textId="77777777" w:rsidR="0044425F" w:rsidRPr="0004421F" w:rsidRDefault="0044425F" w:rsidP="00EE2379">
      <w:pPr>
        <w:numPr>
          <w:ilvl w:val="0"/>
          <w:numId w:val="15"/>
        </w:numPr>
        <w:spacing w:line="360" w:lineRule="auto"/>
        <w:ind w:left="714" w:hanging="357"/>
        <w:contextualSpacing/>
        <w:jc w:val="both"/>
        <w:rPr>
          <w:rFonts w:ascii="Arial" w:hAnsi="Arial" w:cs="Arial"/>
          <w:sz w:val="22"/>
          <w:szCs w:val="22"/>
        </w:rPr>
      </w:pPr>
      <w:r w:rsidRPr="0004421F">
        <w:rPr>
          <w:rFonts w:ascii="Arial" w:hAnsi="Arial" w:cs="Arial"/>
          <w:sz w:val="22"/>
          <w:szCs w:val="22"/>
        </w:rPr>
        <w:t>Estimated budget: $10–15 million (tech partnerships, training, promotion).</w:t>
      </w:r>
    </w:p>
    <w:p w14:paraId="5B70FC0E" w14:textId="77777777" w:rsidR="0044425F" w:rsidRPr="0004421F" w:rsidRDefault="0044425F" w:rsidP="00EE2379">
      <w:pPr>
        <w:numPr>
          <w:ilvl w:val="0"/>
          <w:numId w:val="15"/>
        </w:numPr>
        <w:spacing w:line="360" w:lineRule="auto"/>
        <w:ind w:left="714" w:hanging="357"/>
        <w:contextualSpacing/>
        <w:jc w:val="both"/>
        <w:rPr>
          <w:rFonts w:ascii="Arial" w:hAnsi="Arial" w:cs="Arial"/>
          <w:sz w:val="22"/>
          <w:szCs w:val="22"/>
        </w:rPr>
      </w:pPr>
      <w:r w:rsidRPr="0004421F">
        <w:rPr>
          <w:rFonts w:ascii="Arial" w:hAnsi="Arial" w:cs="Arial"/>
          <w:sz w:val="22"/>
          <w:szCs w:val="22"/>
        </w:rPr>
        <w:t>Key risks: Data privacy, cultural adaptation, staff resistance.</w:t>
      </w:r>
    </w:p>
    <w:p w14:paraId="188279D5"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SMART Success Metrics:</w:t>
      </w:r>
    </w:p>
    <w:p w14:paraId="6088A490" w14:textId="77777777" w:rsidR="0044425F" w:rsidRPr="0004421F" w:rsidRDefault="0044425F" w:rsidP="00EE2379">
      <w:pPr>
        <w:numPr>
          <w:ilvl w:val="0"/>
          <w:numId w:val="16"/>
        </w:numPr>
        <w:spacing w:line="360" w:lineRule="auto"/>
        <w:jc w:val="both"/>
        <w:rPr>
          <w:rFonts w:ascii="Arial" w:hAnsi="Arial" w:cs="Arial"/>
          <w:sz w:val="22"/>
          <w:szCs w:val="22"/>
        </w:rPr>
      </w:pPr>
      <w:r w:rsidRPr="0004421F">
        <w:rPr>
          <w:rFonts w:ascii="Arial" w:hAnsi="Arial" w:cs="Arial"/>
          <w:sz w:val="22"/>
          <w:szCs w:val="22"/>
        </w:rPr>
        <w:t>Specific: 20% adoption in pilot hotels.</w:t>
      </w:r>
    </w:p>
    <w:p w14:paraId="751E0D63" w14:textId="77777777" w:rsidR="0044425F" w:rsidRPr="0004421F" w:rsidRDefault="0044425F" w:rsidP="00EE2379">
      <w:pPr>
        <w:numPr>
          <w:ilvl w:val="0"/>
          <w:numId w:val="16"/>
        </w:numPr>
        <w:spacing w:line="360" w:lineRule="auto"/>
        <w:jc w:val="both"/>
        <w:rPr>
          <w:rFonts w:ascii="Arial" w:hAnsi="Arial" w:cs="Arial"/>
          <w:sz w:val="22"/>
          <w:szCs w:val="22"/>
        </w:rPr>
      </w:pPr>
      <w:r w:rsidRPr="0004421F">
        <w:rPr>
          <w:rFonts w:ascii="Arial" w:hAnsi="Arial" w:cs="Arial"/>
          <w:sz w:val="22"/>
          <w:szCs w:val="22"/>
        </w:rPr>
        <w:t>Measurable: +3% RevPAR, 10% per-room energy reduction.</w:t>
      </w:r>
    </w:p>
    <w:p w14:paraId="1CF49072" w14:textId="77777777" w:rsidR="0044425F" w:rsidRPr="0004421F" w:rsidRDefault="0044425F" w:rsidP="00EE2379">
      <w:pPr>
        <w:numPr>
          <w:ilvl w:val="0"/>
          <w:numId w:val="16"/>
        </w:numPr>
        <w:spacing w:line="360" w:lineRule="auto"/>
        <w:jc w:val="both"/>
        <w:rPr>
          <w:rFonts w:ascii="Arial" w:hAnsi="Arial" w:cs="Arial"/>
          <w:sz w:val="22"/>
          <w:szCs w:val="22"/>
        </w:rPr>
      </w:pPr>
      <w:r w:rsidRPr="0004421F">
        <w:rPr>
          <w:rFonts w:ascii="Arial" w:hAnsi="Arial" w:cs="Arial"/>
          <w:sz w:val="22"/>
          <w:szCs w:val="22"/>
        </w:rPr>
        <w:t>Achievable: Built on existing IHG digital infrastructure.</w:t>
      </w:r>
    </w:p>
    <w:p w14:paraId="6D561418" w14:textId="77777777" w:rsidR="0044425F" w:rsidRPr="0004421F" w:rsidRDefault="0044425F" w:rsidP="00EE2379">
      <w:pPr>
        <w:numPr>
          <w:ilvl w:val="0"/>
          <w:numId w:val="16"/>
        </w:numPr>
        <w:spacing w:line="360" w:lineRule="auto"/>
        <w:jc w:val="both"/>
        <w:rPr>
          <w:rFonts w:ascii="Arial" w:hAnsi="Arial" w:cs="Arial"/>
          <w:sz w:val="22"/>
          <w:szCs w:val="22"/>
        </w:rPr>
      </w:pPr>
      <w:r w:rsidRPr="0004421F">
        <w:rPr>
          <w:rFonts w:ascii="Arial" w:hAnsi="Arial" w:cs="Arial"/>
          <w:sz w:val="22"/>
          <w:szCs w:val="22"/>
        </w:rPr>
        <w:t>Relevant: Supports “True Hospitality for Good” and net-zero goals.</w:t>
      </w:r>
    </w:p>
    <w:p w14:paraId="1A4DBCC8" w14:textId="77777777" w:rsidR="0044425F" w:rsidRPr="0004421F" w:rsidRDefault="0044425F" w:rsidP="00EE2379">
      <w:pPr>
        <w:numPr>
          <w:ilvl w:val="0"/>
          <w:numId w:val="16"/>
        </w:numPr>
        <w:spacing w:line="360" w:lineRule="auto"/>
        <w:jc w:val="both"/>
        <w:rPr>
          <w:rFonts w:ascii="Arial" w:hAnsi="Arial" w:cs="Arial"/>
          <w:sz w:val="22"/>
          <w:szCs w:val="22"/>
        </w:rPr>
      </w:pPr>
      <w:r w:rsidRPr="0004421F">
        <w:rPr>
          <w:rFonts w:ascii="Arial" w:hAnsi="Arial" w:cs="Arial"/>
          <w:sz w:val="22"/>
          <w:szCs w:val="22"/>
        </w:rPr>
        <w:t>Time-bound: Pilot launch September 2026; full rollout December 2027.</w:t>
      </w:r>
    </w:p>
    <w:p w14:paraId="1D2B8AD2"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StaySmart+ is IHG’s new premium service that combines artificial intelligence with personalized and sustainable hospitality to deliver superior guest experiences and brand differentiation. It addresses rising demand for seamless, eco-conscious travel while leveraging IHG’s strengths in loyalty (160M+ IHG One Rewards members) and digital platforms.</w:t>
      </w:r>
    </w:p>
    <w:p w14:paraId="2A795901" w14:textId="7777777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Three Key Pillars:</w:t>
      </w:r>
    </w:p>
    <w:p w14:paraId="0C58567B" w14:textId="77777777" w:rsidR="0044425F" w:rsidRPr="0004421F" w:rsidRDefault="0044425F" w:rsidP="00EE2379">
      <w:pPr>
        <w:numPr>
          <w:ilvl w:val="0"/>
          <w:numId w:val="17"/>
        </w:numPr>
        <w:spacing w:line="360" w:lineRule="auto"/>
        <w:jc w:val="both"/>
        <w:rPr>
          <w:rFonts w:ascii="Arial" w:hAnsi="Arial" w:cs="Arial"/>
          <w:sz w:val="22"/>
          <w:szCs w:val="22"/>
        </w:rPr>
      </w:pPr>
      <w:r w:rsidRPr="0004421F">
        <w:rPr>
          <w:rFonts w:ascii="Arial" w:hAnsi="Arial" w:cs="Arial"/>
          <w:sz w:val="22"/>
          <w:szCs w:val="22"/>
        </w:rPr>
        <w:t>AI Guest Interactions — Real-time chatbots and virtual concierges handle requests instantly, reducing routine staff workload by 15–20% and improving response times.</w:t>
      </w:r>
    </w:p>
    <w:p w14:paraId="33FA5B5D" w14:textId="77777777" w:rsidR="0044425F" w:rsidRPr="0004421F" w:rsidRDefault="0044425F" w:rsidP="00EE2379">
      <w:pPr>
        <w:numPr>
          <w:ilvl w:val="0"/>
          <w:numId w:val="17"/>
        </w:numPr>
        <w:spacing w:line="360" w:lineRule="auto"/>
        <w:jc w:val="both"/>
        <w:rPr>
          <w:rFonts w:ascii="Arial" w:hAnsi="Arial" w:cs="Arial"/>
          <w:sz w:val="22"/>
          <w:szCs w:val="22"/>
        </w:rPr>
      </w:pPr>
      <w:r w:rsidRPr="0004421F">
        <w:rPr>
          <w:rFonts w:ascii="Arial" w:hAnsi="Arial" w:cs="Arial"/>
          <w:sz w:val="22"/>
          <w:szCs w:val="22"/>
        </w:rPr>
        <w:t>Personalized Travel Planning — Uses guest data and predictive analytics to create tailored itineraries (activities, dining, transport), boosting satisfaction by up to 25% (industry benchmark).</w:t>
      </w:r>
    </w:p>
    <w:p w14:paraId="268FDED8" w14:textId="77777777" w:rsidR="0044425F" w:rsidRPr="0004421F" w:rsidRDefault="0044425F" w:rsidP="00EE2379">
      <w:pPr>
        <w:numPr>
          <w:ilvl w:val="0"/>
          <w:numId w:val="17"/>
        </w:numPr>
        <w:spacing w:line="360" w:lineRule="auto"/>
        <w:jc w:val="both"/>
        <w:rPr>
          <w:rFonts w:ascii="Arial" w:hAnsi="Arial" w:cs="Arial"/>
          <w:sz w:val="22"/>
          <w:szCs w:val="22"/>
        </w:rPr>
      </w:pPr>
      <w:r w:rsidRPr="0004421F">
        <w:rPr>
          <w:rFonts w:ascii="Arial" w:hAnsi="Arial" w:cs="Arial"/>
          <w:sz w:val="22"/>
          <w:szCs w:val="22"/>
        </w:rPr>
        <w:lastRenderedPageBreak/>
        <w:t>Sustainability Amenities — AI-optimized room controls cut energy use by ~10%, plus guest-facing carbon calculators and loyalty rewards for green choices, appealing to 60–76% of travelers who prioritize sustainability.</w:t>
      </w:r>
    </w:p>
    <w:p w14:paraId="15D7778F" w14:textId="7E445357" w:rsidR="0044425F" w:rsidRPr="0004421F" w:rsidRDefault="0044425F" w:rsidP="00EE2379">
      <w:pPr>
        <w:spacing w:line="360" w:lineRule="auto"/>
        <w:jc w:val="both"/>
        <w:rPr>
          <w:rFonts w:ascii="Arial" w:hAnsi="Arial" w:cs="Arial"/>
          <w:sz w:val="22"/>
          <w:szCs w:val="22"/>
        </w:rPr>
      </w:pPr>
      <w:r w:rsidRPr="0004421F">
        <w:rPr>
          <w:rFonts w:ascii="Arial" w:hAnsi="Arial" w:cs="Arial"/>
          <w:sz w:val="22"/>
          <w:szCs w:val="22"/>
        </w:rPr>
        <w:t>The six-month rollout begins with pilots in diverse markets to ensure cultural fit and compliance (e.g., GDPR). Benefits include higher RevPAR, stronger loyalty, owner satisfaction, and alignment with IHG’s net-zero commitment. Challenges involve data privacy, staff training, and technology integration, but the service positions IHG competitively against Marriott and Hilton in the fast-growing AI-hospitality space.</w:t>
      </w:r>
    </w:p>
    <w:p w14:paraId="06125CF4" w14:textId="77777777" w:rsidR="0044425F" w:rsidRDefault="0044425F" w:rsidP="006A4ABE">
      <w:pPr>
        <w:pStyle w:val="Heading2"/>
      </w:pPr>
      <w:bookmarkStart w:id="3" w:name="_Toc225023009"/>
      <w:r w:rsidRPr="00745A3F">
        <w:t>Situational Analysis of InterContinental Hotels Group (IHG)</w:t>
      </w:r>
      <w:bookmarkEnd w:id="3"/>
    </w:p>
    <w:p w14:paraId="0984B25E" w14:textId="77777777" w:rsidR="0044425F" w:rsidRPr="00745A3F" w:rsidRDefault="0044425F" w:rsidP="0044425F">
      <w:pPr>
        <w:spacing w:line="360" w:lineRule="auto"/>
        <w:jc w:val="both"/>
        <w:rPr>
          <w:rFonts w:ascii="Arial" w:hAnsi="Arial" w:cs="Arial"/>
          <w:sz w:val="24"/>
          <w:szCs w:val="24"/>
        </w:rPr>
      </w:pPr>
      <w:r w:rsidRPr="00C61EE8">
        <w:rPr>
          <w:rFonts w:ascii="Arial" w:hAnsi="Arial" w:cs="Arial"/>
          <w:sz w:val="22"/>
          <w:szCs w:val="22"/>
        </w:rPr>
        <w:t>A situational analysis evaluates IHG's internal and external environment to inform the StaySmart+ project, an AI-driven premium service for personalized, sustainable guest experiences</w:t>
      </w:r>
      <w:r w:rsidRPr="00745A3F">
        <w:rPr>
          <w:rFonts w:ascii="Arial" w:hAnsi="Arial" w:cs="Arial"/>
          <w:sz w:val="24"/>
          <w:szCs w:val="24"/>
        </w:rPr>
        <w:t>.</w:t>
      </w:r>
    </w:p>
    <w:p w14:paraId="1F89D2DC" w14:textId="77777777" w:rsidR="00664084" w:rsidRDefault="0044425F" w:rsidP="003977D0">
      <w:pPr>
        <w:pStyle w:val="Heading3"/>
      </w:pPr>
      <w:bookmarkStart w:id="4" w:name="_Toc225023010"/>
      <w:r w:rsidRPr="00115105">
        <w:t>SWOT analysis</w:t>
      </w:r>
      <w:bookmarkEnd w:id="4"/>
      <w:r w:rsidRPr="00745A3F">
        <w:t xml:space="preserve"> </w:t>
      </w:r>
    </w:p>
    <w:p w14:paraId="39E31DE3" w14:textId="6A186334" w:rsidR="003760F0" w:rsidRPr="003760F0" w:rsidRDefault="003760F0" w:rsidP="003760F0">
      <w:pPr>
        <w:spacing w:line="360" w:lineRule="auto"/>
        <w:jc w:val="both"/>
        <w:rPr>
          <w:rFonts w:ascii="Arial" w:hAnsi="Arial" w:cs="Arial"/>
          <w:sz w:val="22"/>
          <w:szCs w:val="22"/>
        </w:rPr>
      </w:pPr>
      <w:r w:rsidRPr="003760F0">
        <w:rPr>
          <w:rFonts w:ascii="Arial" w:hAnsi="Arial" w:cs="Arial"/>
          <w:sz w:val="22"/>
          <w:szCs w:val="22"/>
        </w:rPr>
        <w:t>SWOT analysis is a strategic tool that assesses an organization's internal Strengths and Weaknesses, and external Opportunities and Threats to guide decision-making (Teoli et al., 2023; Gürel and Tat, 2017). It helps align capabilities with market dynamics (Puyt et al., 2023).</w:t>
      </w:r>
    </w:p>
    <w:p w14:paraId="78F9184E" w14:textId="0FDDC2CF" w:rsidR="0065586F" w:rsidRPr="00745A3F" w:rsidRDefault="00E45436" w:rsidP="0044425F">
      <w:pPr>
        <w:spacing w:line="360" w:lineRule="auto"/>
        <w:jc w:val="both"/>
        <w:rPr>
          <w:rFonts w:ascii="Arial" w:hAnsi="Arial" w:cs="Arial"/>
          <w:sz w:val="24"/>
          <w:szCs w:val="24"/>
        </w:rPr>
      </w:pPr>
      <w:r w:rsidRPr="00E45436">
        <w:rPr>
          <w:noProof/>
        </w:rPr>
        <w:drawing>
          <wp:inline distT="0" distB="0" distL="0" distR="0" wp14:anchorId="7842BD4D" wp14:editId="25CFAF86">
            <wp:extent cx="5731510" cy="3348355"/>
            <wp:effectExtent l="0" t="0" r="0" b="0"/>
            <wp:docPr id="14347665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48355"/>
                    </a:xfrm>
                    <a:prstGeom prst="rect">
                      <a:avLst/>
                    </a:prstGeom>
                    <a:noFill/>
                    <a:ln>
                      <a:noFill/>
                    </a:ln>
                  </pic:spPr>
                </pic:pic>
              </a:graphicData>
            </a:graphic>
          </wp:inline>
        </w:drawing>
      </w:r>
    </w:p>
    <w:p w14:paraId="5C5EF378" w14:textId="77777777" w:rsidR="00071F6D" w:rsidRPr="00745A3F" w:rsidRDefault="00071F6D" w:rsidP="0044425F">
      <w:pPr>
        <w:spacing w:line="360" w:lineRule="auto"/>
        <w:jc w:val="both"/>
        <w:rPr>
          <w:rFonts w:ascii="Arial" w:hAnsi="Arial" w:cs="Arial"/>
          <w:sz w:val="24"/>
          <w:szCs w:val="24"/>
        </w:rPr>
      </w:pPr>
    </w:p>
    <w:p w14:paraId="3CE51FCF" w14:textId="719AC553" w:rsidR="0044425F" w:rsidRPr="00495F0A" w:rsidRDefault="0044425F" w:rsidP="0044425F">
      <w:pPr>
        <w:spacing w:line="360" w:lineRule="auto"/>
        <w:jc w:val="both"/>
        <w:rPr>
          <w:rFonts w:ascii="Arial" w:hAnsi="Arial" w:cs="Arial"/>
          <w:sz w:val="22"/>
          <w:szCs w:val="22"/>
        </w:rPr>
      </w:pPr>
      <w:bookmarkStart w:id="5" w:name="_Toc225023011"/>
      <w:r w:rsidRPr="0019541F">
        <w:rPr>
          <w:rStyle w:val="Heading3Char"/>
        </w:rPr>
        <w:t>PESTLE analysis</w:t>
      </w:r>
      <w:bookmarkEnd w:id="5"/>
      <w:r w:rsidRPr="00745A3F">
        <w:rPr>
          <w:rFonts w:ascii="Arial" w:hAnsi="Arial" w:cs="Arial"/>
          <w:sz w:val="24"/>
          <w:szCs w:val="24"/>
        </w:rPr>
        <w:t xml:space="preserve"> </w:t>
      </w:r>
      <w:r w:rsidRPr="00495F0A">
        <w:rPr>
          <w:rFonts w:ascii="Arial" w:hAnsi="Arial" w:cs="Arial"/>
          <w:sz w:val="22"/>
          <w:szCs w:val="22"/>
        </w:rPr>
        <w:t xml:space="preserve">is a framework for </w:t>
      </w:r>
      <w:r w:rsidR="00155074" w:rsidRPr="00495F0A">
        <w:rPr>
          <w:rFonts w:ascii="Arial" w:hAnsi="Arial" w:cs="Arial"/>
          <w:sz w:val="22"/>
          <w:szCs w:val="22"/>
        </w:rPr>
        <w:t>analysing</w:t>
      </w:r>
      <w:r w:rsidRPr="00495F0A">
        <w:rPr>
          <w:rFonts w:ascii="Arial" w:hAnsi="Arial" w:cs="Arial"/>
          <w:sz w:val="22"/>
          <w:szCs w:val="22"/>
        </w:rPr>
        <w:t xml:space="preserve"> macro-external factors: Political, Economic, Social, Technological, Legal, and Environmental, to identify influences on strategy (CIPD, 2025; Makos, 2024).</w:t>
      </w:r>
    </w:p>
    <w:p w14:paraId="03366D7D" w14:textId="2FFAE0D8" w:rsidR="00EC31A9" w:rsidRPr="00745A3F" w:rsidRDefault="003E5267" w:rsidP="0044425F">
      <w:pPr>
        <w:spacing w:line="360" w:lineRule="auto"/>
        <w:jc w:val="both"/>
        <w:rPr>
          <w:rFonts w:ascii="Arial" w:hAnsi="Arial" w:cs="Arial"/>
          <w:sz w:val="24"/>
          <w:szCs w:val="24"/>
        </w:rPr>
      </w:pPr>
      <w:r w:rsidRPr="0011044D">
        <w:rPr>
          <w:noProof/>
        </w:rPr>
        <w:lastRenderedPageBreak/>
        <w:drawing>
          <wp:inline distT="0" distB="0" distL="0" distR="0" wp14:anchorId="46909B88" wp14:editId="651C8172">
            <wp:extent cx="6174791" cy="3419249"/>
            <wp:effectExtent l="0" t="0" r="0" b="0"/>
            <wp:docPr id="21189960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1163" cy="3444927"/>
                    </a:xfrm>
                    <a:prstGeom prst="rect">
                      <a:avLst/>
                    </a:prstGeom>
                    <a:noFill/>
                    <a:ln>
                      <a:noFill/>
                    </a:ln>
                  </pic:spPr>
                </pic:pic>
              </a:graphicData>
            </a:graphic>
          </wp:inline>
        </w:drawing>
      </w:r>
    </w:p>
    <w:p w14:paraId="358E7A89" w14:textId="77777777" w:rsidR="0044425F" w:rsidRPr="00E46B79" w:rsidRDefault="0044425F" w:rsidP="0044425F">
      <w:pPr>
        <w:spacing w:line="360" w:lineRule="auto"/>
        <w:jc w:val="both"/>
        <w:rPr>
          <w:rFonts w:ascii="Arial" w:hAnsi="Arial" w:cs="Arial"/>
          <w:sz w:val="22"/>
          <w:szCs w:val="22"/>
        </w:rPr>
      </w:pPr>
      <w:bookmarkStart w:id="6" w:name="_Toc225023012"/>
      <w:r w:rsidRPr="0019541F">
        <w:rPr>
          <w:rStyle w:val="Heading3Char"/>
        </w:rPr>
        <w:t>SMART Objectives</w:t>
      </w:r>
      <w:bookmarkEnd w:id="6"/>
      <w:r w:rsidRPr="00745A3F">
        <w:rPr>
          <w:rFonts w:ascii="Arial" w:hAnsi="Arial" w:cs="Arial"/>
          <w:b/>
          <w:bCs/>
          <w:sz w:val="24"/>
          <w:szCs w:val="24"/>
        </w:rPr>
        <w:t xml:space="preserve"> </w:t>
      </w:r>
      <w:r w:rsidRPr="00E46B79">
        <w:rPr>
          <w:rFonts w:ascii="Arial" w:hAnsi="Arial" w:cs="Arial"/>
          <w:sz w:val="22"/>
          <w:szCs w:val="22"/>
        </w:rPr>
        <w:t>for StaySmart+:</w:t>
      </w:r>
    </w:p>
    <w:p w14:paraId="35FFB303" w14:textId="77777777" w:rsidR="0044425F" w:rsidRPr="00E46B79" w:rsidRDefault="0044425F" w:rsidP="0044425F">
      <w:pPr>
        <w:numPr>
          <w:ilvl w:val="0"/>
          <w:numId w:val="18"/>
        </w:numPr>
        <w:spacing w:line="360" w:lineRule="auto"/>
        <w:jc w:val="both"/>
        <w:rPr>
          <w:rFonts w:ascii="Arial" w:hAnsi="Arial" w:cs="Arial"/>
          <w:sz w:val="22"/>
          <w:szCs w:val="22"/>
        </w:rPr>
      </w:pPr>
      <w:r w:rsidRPr="00E46B79">
        <w:rPr>
          <w:rFonts w:ascii="Arial" w:hAnsi="Arial" w:cs="Arial"/>
          <w:sz w:val="22"/>
          <w:szCs w:val="22"/>
        </w:rPr>
        <w:t>Specific: Integrate AI tools for 20% adoption in pilots, enhancing personalization and sustainability.</w:t>
      </w:r>
    </w:p>
    <w:p w14:paraId="2D833A61" w14:textId="77777777" w:rsidR="0044425F" w:rsidRPr="00E46B79" w:rsidRDefault="0044425F" w:rsidP="0044425F">
      <w:pPr>
        <w:numPr>
          <w:ilvl w:val="0"/>
          <w:numId w:val="18"/>
        </w:numPr>
        <w:spacing w:line="360" w:lineRule="auto"/>
        <w:jc w:val="both"/>
        <w:rPr>
          <w:rFonts w:ascii="Arial" w:hAnsi="Arial" w:cs="Arial"/>
          <w:sz w:val="22"/>
          <w:szCs w:val="22"/>
        </w:rPr>
      </w:pPr>
      <w:r w:rsidRPr="00E46B79">
        <w:rPr>
          <w:rFonts w:ascii="Arial" w:hAnsi="Arial" w:cs="Arial"/>
          <w:sz w:val="22"/>
          <w:szCs w:val="22"/>
        </w:rPr>
        <w:t>Measurable: Achieve +3% RevPAR and 10% energy reduction, tracked via analytics.</w:t>
      </w:r>
    </w:p>
    <w:p w14:paraId="1E636F3C" w14:textId="77777777" w:rsidR="0044425F" w:rsidRPr="00E46B79" w:rsidRDefault="0044425F" w:rsidP="0044425F">
      <w:pPr>
        <w:numPr>
          <w:ilvl w:val="0"/>
          <w:numId w:val="18"/>
        </w:numPr>
        <w:spacing w:line="360" w:lineRule="auto"/>
        <w:jc w:val="both"/>
        <w:rPr>
          <w:rFonts w:ascii="Arial" w:hAnsi="Arial" w:cs="Arial"/>
          <w:sz w:val="22"/>
          <w:szCs w:val="22"/>
        </w:rPr>
      </w:pPr>
      <w:r w:rsidRPr="00E46B79">
        <w:rPr>
          <w:rFonts w:ascii="Arial" w:hAnsi="Arial" w:cs="Arial"/>
          <w:sz w:val="22"/>
          <w:szCs w:val="22"/>
        </w:rPr>
        <w:t>Achievable: Use existing infrastructure and partnerships.</w:t>
      </w:r>
    </w:p>
    <w:p w14:paraId="67AF1C06" w14:textId="77777777" w:rsidR="0044425F" w:rsidRPr="00E46B79" w:rsidRDefault="0044425F" w:rsidP="0044425F">
      <w:pPr>
        <w:numPr>
          <w:ilvl w:val="0"/>
          <w:numId w:val="18"/>
        </w:numPr>
        <w:spacing w:line="360" w:lineRule="auto"/>
        <w:jc w:val="both"/>
        <w:rPr>
          <w:rFonts w:ascii="Arial" w:hAnsi="Arial" w:cs="Arial"/>
          <w:sz w:val="22"/>
          <w:szCs w:val="22"/>
        </w:rPr>
      </w:pPr>
      <w:r w:rsidRPr="00E46B79">
        <w:rPr>
          <w:rFonts w:ascii="Arial" w:hAnsi="Arial" w:cs="Arial"/>
          <w:sz w:val="22"/>
          <w:szCs w:val="22"/>
        </w:rPr>
        <w:t>Relevant: Supports IHG's growth and eco-goals.</w:t>
      </w:r>
    </w:p>
    <w:p w14:paraId="43D2FA1B" w14:textId="77777777" w:rsidR="0044425F" w:rsidRPr="00E46B79" w:rsidRDefault="0044425F" w:rsidP="0044425F">
      <w:pPr>
        <w:numPr>
          <w:ilvl w:val="0"/>
          <w:numId w:val="18"/>
        </w:numPr>
        <w:spacing w:line="360" w:lineRule="auto"/>
        <w:jc w:val="both"/>
        <w:rPr>
          <w:rFonts w:ascii="Arial" w:hAnsi="Arial" w:cs="Arial"/>
          <w:sz w:val="22"/>
          <w:szCs w:val="22"/>
        </w:rPr>
      </w:pPr>
      <w:r w:rsidRPr="00E46B79">
        <w:rPr>
          <w:rFonts w:ascii="Arial" w:hAnsi="Arial" w:cs="Arial"/>
          <w:sz w:val="22"/>
          <w:szCs w:val="22"/>
        </w:rPr>
        <w:t>Time-bound: Pilot by September 2026; full rollout by December 2027.</w:t>
      </w:r>
    </w:p>
    <w:p w14:paraId="2D51F359" w14:textId="77777777" w:rsidR="0044425F" w:rsidRDefault="0044425F" w:rsidP="0019541F">
      <w:pPr>
        <w:pStyle w:val="Heading2"/>
      </w:pPr>
      <w:bookmarkStart w:id="7" w:name="_Toc225023013"/>
      <w:r w:rsidRPr="00C24F21">
        <w:t>Identification of Key Stakeholders for StaySmart+ Launch</w:t>
      </w:r>
      <w:bookmarkEnd w:id="7"/>
    </w:p>
    <w:p w14:paraId="27668EE8" w14:textId="5B5D2755" w:rsidR="00EE1ADD" w:rsidRPr="00E46B79" w:rsidRDefault="00926F41" w:rsidP="0019541F">
      <w:pPr>
        <w:spacing w:line="360" w:lineRule="auto"/>
        <w:jc w:val="both"/>
        <w:rPr>
          <w:rFonts w:ascii="Arial" w:hAnsi="Arial" w:cs="Arial"/>
          <w:sz w:val="22"/>
          <w:szCs w:val="22"/>
        </w:rPr>
      </w:pPr>
      <w:r w:rsidRPr="00E46B79">
        <w:rPr>
          <w:rFonts w:ascii="Arial" w:hAnsi="Arial" w:cs="Arial"/>
          <w:sz w:val="22"/>
          <w:szCs w:val="22"/>
        </w:rPr>
        <w:t>Stakeholder theory posits that organizations must manage relationships with groups that affect or are affected by their objectives to achieve sustainable success (Freeman, 1984). In the context of IHG's StaySmart+ launch—an AI-driven premium service integrating guest interactions, personalized planning, and sustainable amenities—stakeholders are categorized as internal (within the organization) and external (outside), based on Mitchell et al.'s (1997) salience model, which prioritizes by power (influence), legitimacy (valid claims), and urgency (time-sensitivity). This ensures comprehensive coverage for global rollout, addressing cultural and market diversity as highlighted in recent AI-hospitality studies (Cozzio et al., 2025).</w:t>
      </w:r>
    </w:p>
    <w:p w14:paraId="3668E86C" w14:textId="77777777" w:rsidR="00926F41" w:rsidRPr="00C24F21" w:rsidRDefault="00926F41" w:rsidP="003977D0">
      <w:pPr>
        <w:pStyle w:val="Heading3"/>
      </w:pPr>
      <w:bookmarkStart w:id="8" w:name="_Toc225023014"/>
      <w:r w:rsidRPr="00C24F21">
        <w:t>Internal Stakeholders</w:t>
      </w:r>
      <w:bookmarkEnd w:id="8"/>
    </w:p>
    <w:p w14:paraId="71A946A8" w14:textId="77777777" w:rsidR="00926F41" w:rsidRPr="00E46B79" w:rsidRDefault="00926F41" w:rsidP="00926F41">
      <w:pPr>
        <w:spacing w:line="360" w:lineRule="auto"/>
        <w:jc w:val="both"/>
        <w:rPr>
          <w:rFonts w:ascii="Arial" w:hAnsi="Arial" w:cs="Arial"/>
          <w:sz w:val="22"/>
          <w:szCs w:val="22"/>
        </w:rPr>
      </w:pPr>
      <w:r w:rsidRPr="00E46B79">
        <w:rPr>
          <w:rFonts w:ascii="Arial" w:hAnsi="Arial" w:cs="Arial"/>
          <w:sz w:val="22"/>
          <w:szCs w:val="22"/>
        </w:rPr>
        <w:t>Internal stakeholders are directly employed or structured within IHG, holding high salience due to their operational control and alignment with corporate goals like "True Hospitality for Good" (IHG PLC, 2026b).</w:t>
      </w:r>
    </w:p>
    <w:p w14:paraId="0608898E"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 xml:space="preserve">Senior Management and Board: Including CEO Elie Maalouf and executives, they provide strategic direction. High power and urgency make them definitive </w:t>
      </w:r>
      <w:r w:rsidRPr="00E46B79">
        <w:rPr>
          <w:rFonts w:ascii="Arial" w:hAnsi="Arial" w:cs="Arial"/>
          <w:sz w:val="22"/>
          <w:szCs w:val="22"/>
        </w:rPr>
        <w:lastRenderedPageBreak/>
        <w:t>stakeholders, essential for budget approvals and risk oversight in AI implementations (Bag et al., 2024).</w:t>
      </w:r>
    </w:p>
    <w:p w14:paraId="1091BD11"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Product Development Team: AI specialists and designers who create core features like predictive analytics. Their legitimacy stems from technical expertise, crucial for innovation in hospitality AI (Hospitality Net, 2025).</w:t>
      </w:r>
    </w:p>
    <w:p w14:paraId="420EFCA8"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Marketing and Sales Departments: Responsible for promoting StaySmart+ through digital campaigns targeting IHG One Rewards' 160 million members. High interest in revenue growth positions them as key for market penetration (Vrontis et al., 2022).</w:t>
      </w:r>
    </w:p>
    <w:p w14:paraId="53FF9DCF"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IT and Operations Teams: Handle technical integration, data security, and hotel-level deployment. Urgency for seamless rollout is vital, especially in global chains (Hasan, 2024).</w:t>
      </w:r>
    </w:p>
    <w:p w14:paraId="1055F3CE"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Employees and Hotel Staff: Frontline workers training on AI tools and delivering services. High interest as end-users, their buy-in reduces resistance in AI adoption (Zahidi et al., 2024).</w:t>
      </w:r>
    </w:p>
    <w:p w14:paraId="4C76E500"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Finance and Legal Teams: Manage funding, compliance, and contracts. Power in mitigating risks like data privacy makes them indispensable (PwC, 2025).</w:t>
      </w:r>
    </w:p>
    <w:p w14:paraId="083C0F90" w14:textId="77777777" w:rsidR="00926F41" w:rsidRPr="00E46B79" w:rsidRDefault="00926F41" w:rsidP="00926F41">
      <w:pPr>
        <w:numPr>
          <w:ilvl w:val="0"/>
          <w:numId w:val="22"/>
        </w:numPr>
        <w:spacing w:line="360" w:lineRule="auto"/>
        <w:jc w:val="both"/>
        <w:rPr>
          <w:rFonts w:ascii="Arial" w:hAnsi="Arial" w:cs="Arial"/>
          <w:sz w:val="22"/>
          <w:szCs w:val="22"/>
        </w:rPr>
      </w:pPr>
      <w:r w:rsidRPr="00E46B79">
        <w:rPr>
          <w:rFonts w:ascii="Arial" w:hAnsi="Arial" w:cs="Arial"/>
          <w:sz w:val="22"/>
          <w:szCs w:val="22"/>
        </w:rPr>
        <w:t>Sustainability Team: Oversees eco-focused amenities. Legitimacy in aligning with net-zero goals enhances ESG compliance (UN Tourism, 2024).</w:t>
      </w:r>
    </w:p>
    <w:p w14:paraId="06DD00EC" w14:textId="624F7747" w:rsidR="00EE1ADD" w:rsidRPr="00E46B79" w:rsidRDefault="00926F41" w:rsidP="00926F41">
      <w:pPr>
        <w:spacing w:line="360" w:lineRule="auto"/>
        <w:jc w:val="both"/>
        <w:rPr>
          <w:rFonts w:ascii="Arial" w:hAnsi="Arial" w:cs="Arial"/>
          <w:sz w:val="22"/>
          <w:szCs w:val="22"/>
        </w:rPr>
      </w:pPr>
      <w:r w:rsidRPr="00E46B79">
        <w:rPr>
          <w:rFonts w:ascii="Arial" w:hAnsi="Arial" w:cs="Arial"/>
          <w:sz w:val="22"/>
          <w:szCs w:val="22"/>
        </w:rPr>
        <w:t>These internals foster cohesive execution, with recent frameworks emphasizing their role in AI value co-creation (Ivanova and Ivanov, 2011; updated in Yang, 2024).</w:t>
      </w:r>
    </w:p>
    <w:p w14:paraId="3ACE2694" w14:textId="77777777" w:rsidR="00926F41" w:rsidRPr="00C24F21" w:rsidRDefault="00926F41" w:rsidP="003977D0">
      <w:pPr>
        <w:pStyle w:val="Heading3"/>
      </w:pPr>
      <w:bookmarkStart w:id="9" w:name="_Toc225023015"/>
      <w:r w:rsidRPr="00C24F21">
        <w:t>External Stakeholders</w:t>
      </w:r>
      <w:bookmarkEnd w:id="9"/>
    </w:p>
    <w:p w14:paraId="11AAC07A" w14:textId="77777777" w:rsidR="00926F41" w:rsidRPr="00E46B79" w:rsidRDefault="00926F41" w:rsidP="00926F41">
      <w:pPr>
        <w:spacing w:line="360" w:lineRule="auto"/>
        <w:jc w:val="both"/>
        <w:rPr>
          <w:rFonts w:ascii="Arial" w:hAnsi="Arial" w:cs="Arial"/>
          <w:sz w:val="22"/>
          <w:szCs w:val="22"/>
        </w:rPr>
      </w:pPr>
      <w:r w:rsidRPr="00E46B79">
        <w:rPr>
          <w:rFonts w:ascii="Arial" w:hAnsi="Arial" w:cs="Arial"/>
          <w:sz w:val="22"/>
          <w:szCs w:val="22"/>
        </w:rPr>
        <w:t>External stakeholders influence or are impacted by the launch, often with varying salience in diverse markets (Ni et al., 2015; Wang, 2025).</w:t>
      </w:r>
    </w:p>
    <w:p w14:paraId="5EA6D173"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Guests and Customers: Primary users providing feedback. High urgency as beneficiaries of personalization, driving adoption (HospitalityInsights, 2024).</w:t>
      </w:r>
    </w:p>
    <w:p w14:paraId="40BE0D68"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Suppliers and Partners (e.g., AI vendors): Provide technology like chatbots. Legitimacy in supply chain, essential for scalability (Avendra, 2026).</w:t>
      </w:r>
    </w:p>
    <w:p w14:paraId="56152672"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Local Communities and NGOs: Affected by operations; input on sustainability. Legitimacy for ethical practices, as in ESG frameworks (Berggren Ek, 2021).</w:t>
      </w:r>
    </w:p>
    <w:p w14:paraId="0470D130"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Regulators and Government Bodies: Enforce laws (e.g., GDPR). High power for approvals in international markets (Deloitte, 2026).</w:t>
      </w:r>
    </w:p>
    <w:p w14:paraId="7715D5E2"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Investors and Shareholders: Monitor ROI. Urgency for financial returns from AI efficiencies (LinkedIn, 2026).</w:t>
      </w:r>
    </w:p>
    <w:p w14:paraId="1BBB28D4"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Media and Influencers: Shape public perception. Power in amplifying brand differentiation (Yadav, 2026).</w:t>
      </w:r>
    </w:p>
    <w:p w14:paraId="761A0BE1"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t>Competitors and Industry Associations: Offer benchmarks (e.g., World Sustainable Hospitality Alliance). Indirect interest for standards (Hospitality Net, 2025).</w:t>
      </w:r>
    </w:p>
    <w:p w14:paraId="60469FC9" w14:textId="77777777" w:rsidR="00926F41" w:rsidRPr="00E46B79" w:rsidRDefault="00926F41" w:rsidP="00926F41">
      <w:pPr>
        <w:numPr>
          <w:ilvl w:val="0"/>
          <w:numId w:val="23"/>
        </w:numPr>
        <w:spacing w:line="360" w:lineRule="auto"/>
        <w:jc w:val="both"/>
        <w:rPr>
          <w:rFonts w:ascii="Arial" w:hAnsi="Arial" w:cs="Arial"/>
          <w:sz w:val="22"/>
          <w:szCs w:val="22"/>
        </w:rPr>
      </w:pPr>
      <w:r w:rsidRPr="00E46B79">
        <w:rPr>
          <w:rFonts w:ascii="Arial" w:hAnsi="Arial" w:cs="Arial"/>
          <w:sz w:val="22"/>
          <w:szCs w:val="22"/>
        </w:rPr>
        <w:lastRenderedPageBreak/>
        <w:t>Technology Providers: Specialized firms for AI updates. High legitimacy in ongoing support (NetSuite, 2025).</w:t>
      </w:r>
    </w:p>
    <w:p w14:paraId="6DCB3BA0" w14:textId="64BC3733" w:rsidR="00926F41" w:rsidRDefault="00926F41" w:rsidP="002F67B0">
      <w:pPr>
        <w:spacing w:line="360" w:lineRule="auto"/>
        <w:jc w:val="both"/>
        <w:rPr>
          <w:rFonts w:ascii="Arial" w:hAnsi="Arial" w:cs="Arial"/>
          <w:sz w:val="24"/>
          <w:szCs w:val="24"/>
        </w:rPr>
      </w:pPr>
      <w:r>
        <w:rPr>
          <w:rFonts w:ascii="Arial" w:hAnsi="Arial" w:cs="Arial"/>
          <w:noProof/>
          <w:sz w:val="24"/>
          <w:szCs w:val="24"/>
          <w14:ligatures w14:val="standardContextual"/>
        </w:rPr>
        <w:drawing>
          <wp:inline distT="0" distB="0" distL="0" distR="0" wp14:anchorId="3A410CA0" wp14:editId="239E9F0F">
            <wp:extent cx="4999141" cy="3332576"/>
            <wp:effectExtent l="0" t="0" r="0" b="1270"/>
            <wp:docPr id="19452278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27852"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32138" cy="3354573"/>
                    </a:xfrm>
                    <a:prstGeom prst="rect">
                      <a:avLst/>
                    </a:prstGeom>
                  </pic:spPr>
                </pic:pic>
              </a:graphicData>
            </a:graphic>
          </wp:inline>
        </w:drawing>
      </w:r>
    </w:p>
    <w:p w14:paraId="16612CA6" w14:textId="77777777" w:rsidR="00DF6041" w:rsidRPr="002F67B0" w:rsidRDefault="00DF6041" w:rsidP="002F67B0">
      <w:pPr>
        <w:spacing w:line="360" w:lineRule="auto"/>
        <w:jc w:val="both"/>
        <w:rPr>
          <w:rFonts w:ascii="Arial" w:hAnsi="Arial" w:cs="Arial"/>
          <w:sz w:val="24"/>
          <w:szCs w:val="24"/>
        </w:rPr>
      </w:pPr>
    </w:p>
    <w:p w14:paraId="3C8FE6D6" w14:textId="77777777" w:rsidR="0044425F" w:rsidRPr="00E46B79" w:rsidRDefault="0044425F" w:rsidP="0044425F">
      <w:pPr>
        <w:spacing w:line="360" w:lineRule="auto"/>
        <w:jc w:val="both"/>
        <w:rPr>
          <w:rFonts w:ascii="Arial" w:hAnsi="Arial" w:cs="Arial"/>
          <w:sz w:val="22"/>
          <w:szCs w:val="22"/>
        </w:rPr>
      </w:pPr>
      <w:bookmarkStart w:id="10" w:name="_Toc225023016"/>
      <w:r w:rsidRPr="0098542A">
        <w:rPr>
          <w:rStyle w:val="Heading3Char"/>
        </w:rPr>
        <w:t>RACI Matrix</w:t>
      </w:r>
      <w:bookmarkEnd w:id="10"/>
      <w:r w:rsidRPr="00E46B79">
        <w:rPr>
          <w:rFonts w:ascii="Arial" w:hAnsi="Arial" w:cs="Arial"/>
          <w:sz w:val="22"/>
          <w:szCs w:val="22"/>
        </w:rPr>
        <w:t xml:space="preserve"> (Project Management Institute, 2017):</w:t>
      </w:r>
    </w:p>
    <w:p w14:paraId="68ADB5F1" w14:textId="38A7D371" w:rsidR="00F55145" w:rsidRDefault="00463DBB" w:rsidP="0044425F">
      <w:pPr>
        <w:spacing w:line="360" w:lineRule="auto"/>
        <w:jc w:val="both"/>
        <w:rPr>
          <w:rFonts w:ascii="Arial" w:hAnsi="Arial" w:cs="Arial"/>
          <w:sz w:val="24"/>
          <w:szCs w:val="24"/>
        </w:rPr>
      </w:pPr>
      <w:r w:rsidRPr="00463DBB">
        <w:rPr>
          <w:noProof/>
        </w:rPr>
        <w:drawing>
          <wp:inline distT="0" distB="0" distL="0" distR="0" wp14:anchorId="3C1722A9" wp14:editId="20C3AEAE">
            <wp:extent cx="5731510" cy="2296795"/>
            <wp:effectExtent l="0" t="0" r="2540" b="0"/>
            <wp:docPr id="9398441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3FA6EB8C" w14:textId="010E78E2" w:rsidR="00F55145" w:rsidRPr="00DF6041" w:rsidRDefault="0044425F" w:rsidP="0044425F">
      <w:pPr>
        <w:spacing w:line="360" w:lineRule="auto"/>
        <w:jc w:val="both"/>
        <w:rPr>
          <w:rFonts w:ascii="Arial" w:hAnsi="Arial" w:cs="Arial"/>
          <w:sz w:val="22"/>
          <w:szCs w:val="22"/>
        </w:rPr>
      </w:pPr>
      <w:r w:rsidRPr="00DF6041">
        <w:rPr>
          <w:rFonts w:ascii="Arial" w:hAnsi="Arial" w:cs="Arial"/>
          <w:sz w:val="22"/>
          <w:szCs w:val="22"/>
        </w:rPr>
        <w:t>This clarifies accountability, reducing conflicts.</w:t>
      </w:r>
    </w:p>
    <w:p w14:paraId="2771B3EF" w14:textId="14D676EC" w:rsidR="002A7B96" w:rsidRPr="003977D0" w:rsidRDefault="0044425F" w:rsidP="003977D0">
      <w:pPr>
        <w:pStyle w:val="Heading3"/>
        <w:rPr>
          <w:rFonts w:cs="Arial"/>
          <w:sz w:val="24"/>
          <w:szCs w:val="24"/>
        </w:rPr>
      </w:pPr>
      <w:bookmarkStart w:id="11" w:name="_Toc225023017"/>
      <w:r w:rsidRPr="003977D0">
        <w:rPr>
          <w:rStyle w:val="Heading3Char"/>
          <w:i/>
          <w:iCs/>
        </w:rPr>
        <w:lastRenderedPageBreak/>
        <w:t>Stakeholder Map (Power-Interest Grid)</w:t>
      </w:r>
      <w:bookmarkEnd w:id="11"/>
      <w:r w:rsidRPr="003977D0">
        <w:rPr>
          <w:rFonts w:cs="Arial"/>
          <w:sz w:val="24"/>
          <w:szCs w:val="24"/>
        </w:rPr>
        <w:t xml:space="preserve"> </w:t>
      </w:r>
    </w:p>
    <w:p w14:paraId="15BD4F84" w14:textId="19F498A7" w:rsidR="0095769B" w:rsidRPr="00C24F21" w:rsidRDefault="00E34C2A" w:rsidP="0044425F">
      <w:pPr>
        <w:spacing w:line="360" w:lineRule="auto"/>
        <w:jc w:val="both"/>
        <w:rPr>
          <w:rFonts w:ascii="Arial" w:hAnsi="Arial" w:cs="Arial"/>
          <w:sz w:val="24"/>
          <w:szCs w:val="24"/>
        </w:rPr>
      </w:pPr>
      <w:r w:rsidRPr="00E34C2A">
        <w:rPr>
          <w:noProof/>
        </w:rPr>
        <w:drawing>
          <wp:inline distT="0" distB="0" distL="0" distR="0" wp14:anchorId="4EBCD1C7" wp14:editId="3596F33B">
            <wp:extent cx="5681414" cy="4853305"/>
            <wp:effectExtent l="0" t="0" r="0" b="0"/>
            <wp:docPr id="16276529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2676" cy="4905637"/>
                    </a:xfrm>
                    <a:prstGeom prst="rect">
                      <a:avLst/>
                    </a:prstGeom>
                    <a:noFill/>
                    <a:ln>
                      <a:noFill/>
                    </a:ln>
                  </pic:spPr>
                </pic:pic>
              </a:graphicData>
            </a:graphic>
          </wp:inline>
        </w:drawing>
      </w:r>
      <w:r w:rsidR="0044425F" w:rsidRPr="009A57B1">
        <w:rPr>
          <w:rFonts w:ascii="Arial" w:hAnsi="Arial" w:cs="Arial"/>
          <w:sz w:val="22"/>
          <w:szCs w:val="22"/>
        </w:rPr>
        <w:t>This grid prioritizes efforts for global contexts.</w:t>
      </w:r>
    </w:p>
    <w:p w14:paraId="2C4FACA1" w14:textId="77777777" w:rsidR="0044425F" w:rsidRDefault="0044425F" w:rsidP="0044425F">
      <w:pPr>
        <w:spacing w:line="360" w:lineRule="auto"/>
        <w:jc w:val="both"/>
        <w:rPr>
          <w:rFonts w:ascii="Arial" w:hAnsi="Arial" w:cs="Arial"/>
          <w:bCs/>
          <w:sz w:val="22"/>
          <w:szCs w:val="22"/>
        </w:rPr>
      </w:pPr>
      <w:bookmarkStart w:id="12" w:name="_Toc225023018"/>
      <w:r w:rsidRPr="009A57B1">
        <w:rPr>
          <w:rStyle w:val="Heading3Char"/>
          <w:bCs/>
          <w:szCs w:val="22"/>
        </w:rPr>
        <w:t>Engagement Plan</w:t>
      </w:r>
      <w:bookmarkEnd w:id="12"/>
      <w:r w:rsidRPr="009A57B1">
        <w:rPr>
          <w:rFonts w:ascii="Arial" w:hAnsi="Arial" w:cs="Arial"/>
          <w:bCs/>
          <w:sz w:val="22"/>
          <w:szCs w:val="22"/>
        </w:rPr>
        <w:t>: Objectives: Build trust, align goals. Methods: Workshops (internal), focus groups (guests), partnerships (suppliers). Timelines: Monthly reviews from March 2026. Metrics: Engagement scores &gt;80%. Adapted culturally (e.g., hierarchical consultation in Asia) (Ni et al., 2015; Wang, 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0"/>
        <w:gridCol w:w="1519"/>
        <w:gridCol w:w="1551"/>
        <w:gridCol w:w="1242"/>
        <w:gridCol w:w="1765"/>
        <w:gridCol w:w="1499"/>
      </w:tblGrid>
      <w:tr w:rsidR="00D04C9E" w:rsidRPr="00D04C9E" w14:paraId="4808D109" w14:textId="77777777" w:rsidTr="00D04C9E">
        <w:trPr>
          <w:tblHeader/>
          <w:tblCellSpacing w:w="15" w:type="dxa"/>
        </w:trPr>
        <w:tc>
          <w:tcPr>
            <w:tcW w:w="0" w:type="auto"/>
            <w:shd w:val="clear" w:color="auto" w:fill="124F1A" w:themeFill="accent3" w:themeFillShade="BF"/>
            <w:vAlign w:val="center"/>
            <w:hideMark/>
          </w:tcPr>
          <w:p w14:paraId="71633EED" w14:textId="77777777" w:rsidR="00D04C9E" w:rsidRPr="00D04C9E" w:rsidRDefault="00D04C9E" w:rsidP="00D04C9E">
            <w:pPr>
              <w:spacing w:line="360" w:lineRule="auto"/>
              <w:jc w:val="center"/>
              <w:rPr>
                <w:rFonts w:ascii="Arial" w:hAnsi="Arial" w:cs="Arial"/>
                <w:b/>
                <w:bCs/>
                <w:sz w:val="22"/>
                <w:szCs w:val="22"/>
              </w:rPr>
            </w:pPr>
            <w:r w:rsidRPr="00D04C9E">
              <w:rPr>
                <w:rFonts w:ascii="Arial" w:hAnsi="Arial" w:cs="Arial"/>
                <w:b/>
                <w:bCs/>
                <w:sz w:val="22"/>
                <w:szCs w:val="22"/>
              </w:rPr>
              <w:t>Stakeholder Group</w:t>
            </w:r>
          </w:p>
        </w:tc>
        <w:tc>
          <w:tcPr>
            <w:tcW w:w="0" w:type="auto"/>
            <w:shd w:val="clear" w:color="auto" w:fill="124F1A" w:themeFill="accent3" w:themeFillShade="BF"/>
            <w:vAlign w:val="center"/>
            <w:hideMark/>
          </w:tcPr>
          <w:p w14:paraId="0771F2C7" w14:textId="77777777" w:rsidR="00D04C9E" w:rsidRPr="00D04C9E" w:rsidRDefault="00D04C9E" w:rsidP="00D04C9E">
            <w:pPr>
              <w:spacing w:line="360" w:lineRule="auto"/>
              <w:jc w:val="center"/>
              <w:rPr>
                <w:rFonts w:ascii="Arial" w:hAnsi="Arial" w:cs="Arial"/>
                <w:b/>
                <w:bCs/>
                <w:sz w:val="22"/>
                <w:szCs w:val="22"/>
              </w:rPr>
            </w:pPr>
            <w:r w:rsidRPr="00D04C9E">
              <w:rPr>
                <w:rFonts w:ascii="Arial" w:hAnsi="Arial" w:cs="Arial"/>
                <w:b/>
                <w:bCs/>
                <w:sz w:val="22"/>
                <w:szCs w:val="22"/>
              </w:rPr>
              <w:t>Engagement Objective</w:t>
            </w:r>
          </w:p>
        </w:tc>
        <w:tc>
          <w:tcPr>
            <w:tcW w:w="0" w:type="auto"/>
            <w:shd w:val="clear" w:color="auto" w:fill="124F1A" w:themeFill="accent3" w:themeFillShade="BF"/>
            <w:vAlign w:val="center"/>
            <w:hideMark/>
          </w:tcPr>
          <w:p w14:paraId="397B6654" w14:textId="77777777" w:rsidR="00D04C9E" w:rsidRPr="00D04C9E" w:rsidRDefault="00D04C9E" w:rsidP="00D04C9E">
            <w:pPr>
              <w:spacing w:line="360" w:lineRule="auto"/>
              <w:jc w:val="center"/>
              <w:rPr>
                <w:rFonts w:ascii="Arial" w:hAnsi="Arial" w:cs="Arial"/>
                <w:b/>
                <w:bCs/>
                <w:sz w:val="22"/>
                <w:szCs w:val="22"/>
              </w:rPr>
            </w:pPr>
            <w:r w:rsidRPr="00D04C9E">
              <w:rPr>
                <w:rFonts w:ascii="Arial" w:hAnsi="Arial" w:cs="Arial"/>
                <w:b/>
                <w:bCs/>
                <w:sz w:val="22"/>
                <w:szCs w:val="22"/>
              </w:rPr>
              <w:t>Key Engagement Activities / Methods</w:t>
            </w:r>
          </w:p>
        </w:tc>
        <w:tc>
          <w:tcPr>
            <w:tcW w:w="0" w:type="auto"/>
            <w:shd w:val="clear" w:color="auto" w:fill="124F1A" w:themeFill="accent3" w:themeFillShade="BF"/>
            <w:vAlign w:val="center"/>
            <w:hideMark/>
          </w:tcPr>
          <w:p w14:paraId="4E117A88" w14:textId="77777777" w:rsidR="00D04C9E" w:rsidRPr="00D04C9E" w:rsidRDefault="00D04C9E" w:rsidP="00D04C9E">
            <w:pPr>
              <w:spacing w:line="360" w:lineRule="auto"/>
              <w:jc w:val="center"/>
              <w:rPr>
                <w:rFonts w:ascii="Arial" w:hAnsi="Arial" w:cs="Arial"/>
                <w:b/>
                <w:bCs/>
                <w:sz w:val="22"/>
                <w:szCs w:val="22"/>
              </w:rPr>
            </w:pPr>
            <w:r w:rsidRPr="00D04C9E">
              <w:rPr>
                <w:rFonts w:ascii="Arial" w:hAnsi="Arial" w:cs="Arial"/>
                <w:b/>
                <w:bCs/>
                <w:sz w:val="22"/>
                <w:szCs w:val="22"/>
              </w:rPr>
              <w:t>Timeline / Frequency</w:t>
            </w:r>
          </w:p>
        </w:tc>
        <w:tc>
          <w:tcPr>
            <w:tcW w:w="0" w:type="auto"/>
            <w:shd w:val="clear" w:color="auto" w:fill="124F1A" w:themeFill="accent3" w:themeFillShade="BF"/>
            <w:vAlign w:val="center"/>
            <w:hideMark/>
          </w:tcPr>
          <w:p w14:paraId="0F96A154" w14:textId="77777777" w:rsidR="00D04C9E" w:rsidRPr="00D04C9E" w:rsidRDefault="00D04C9E" w:rsidP="00D04C9E">
            <w:pPr>
              <w:spacing w:line="360" w:lineRule="auto"/>
              <w:jc w:val="center"/>
              <w:rPr>
                <w:rFonts w:ascii="Arial" w:hAnsi="Arial" w:cs="Arial"/>
                <w:b/>
                <w:bCs/>
                <w:sz w:val="22"/>
                <w:szCs w:val="22"/>
              </w:rPr>
            </w:pPr>
            <w:r w:rsidRPr="00D04C9E">
              <w:rPr>
                <w:rFonts w:ascii="Arial" w:hAnsi="Arial" w:cs="Arial"/>
                <w:b/>
                <w:bCs/>
                <w:sz w:val="22"/>
                <w:szCs w:val="22"/>
              </w:rPr>
              <w:t>Responsible Person / Team</w:t>
            </w:r>
          </w:p>
        </w:tc>
        <w:tc>
          <w:tcPr>
            <w:tcW w:w="0" w:type="auto"/>
            <w:shd w:val="clear" w:color="auto" w:fill="124F1A" w:themeFill="accent3" w:themeFillShade="BF"/>
            <w:vAlign w:val="center"/>
            <w:hideMark/>
          </w:tcPr>
          <w:p w14:paraId="20B7D8E7" w14:textId="77777777" w:rsidR="00D04C9E" w:rsidRPr="00D04C9E" w:rsidRDefault="00D04C9E" w:rsidP="00D04C9E">
            <w:pPr>
              <w:spacing w:line="360" w:lineRule="auto"/>
              <w:jc w:val="center"/>
              <w:rPr>
                <w:rFonts w:ascii="Arial" w:hAnsi="Arial" w:cs="Arial"/>
                <w:b/>
                <w:bCs/>
                <w:sz w:val="22"/>
                <w:szCs w:val="22"/>
              </w:rPr>
            </w:pPr>
            <w:r w:rsidRPr="00D04C9E">
              <w:rPr>
                <w:rFonts w:ascii="Arial" w:hAnsi="Arial" w:cs="Arial"/>
                <w:b/>
                <w:bCs/>
                <w:sz w:val="22"/>
                <w:szCs w:val="22"/>
              </w:rPr>
              <w:t>Success Measures / KPIs</w:t>
            </w:r>
          </w:p>
        </w:tc>
      </w:tr>
      <w:tr w:rsidR="00D04C9E" w:rsidRPr="00D04C9E" w14:paraId="408DC3D9" w14:textId="77777777" w:rsidTr="00F60FB4">
        <w:trPr>
          <w:tblCellSpacing w:w="15" w:type="dxa"/>
        </w:trPr>
        <w:tc>
          <w:tcPr>
            <w:tcW w:w="0" w:type="auto"/>
            <w:shd w:val="clear" w:color="auto" w:fill="DAE9F7" w:themeFill="text2" w:themeFillTint="1A"/>
            <w:vAlign w:val="center"/>
            <w:hideMark/>
          </w:tcPr>
          <w:p w14:paraId="15482C2D"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Senior Management &amp; Board</w:t>
            </w:r>
          </w:p>
        </w:tc>
        <w:tc>
          <w:tcPr>
            <w:tcW w:w="0" w:type="auto"/>
            <w:shd w:val="clear" w:color="auto" w:fill="FAE2D5" w:themeFill="accent2" w:themeFillTint="33"/>
            <w:vAlign w:val="center"/>
            <w:hideMark/>
          </w:tcPr>
          <w:p w14:paraId="0CD36F07"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Secure strategic alignment, approvals &amp; sponsorship</w:t>
            </w:r>
          </w:p>
        </w:tc>
        <w:tc>
          <w:tcPr>
            <w:tcW w:w="0" w:type="auto"/>
            <w:shd w:val="clear" w:color="auto" w:fill="FBFED2"/>
            <w:vAlign w:val="center"/>
            <w:hideMark/>
          </w:tcPr>
          <w:p w14:paraId="26570742"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 xml:space="preserve">Steering committee meetings, executive </w:t>
            </w:r>
            <w:r w:rsidRPr="00D04C9E">
              <w:rPr>
                <w:rFonts w:ascii="Arial" w:hAnsi="Arial" w:cs="Arial"/>
                <w:bCs/>
                <w:sz w:val="22"/>
                <w:szCs w:val="22"/>
              </w:rPr>
              <w:lastRenderedPageBreak/>
              <w:t>briefings, decision gates</w:t>
            </w:r>
          </w:p>
        </w:tc>
        <w:tc>
          <w:tcPr>
            <w:tcW w:w="0" w:type="auto"/>
            <w:shd w:val="clear" w:color="auto" w:fill="D1D1D1" w:themeFill="background2" w:themeFillShade="E6"/>
            <w:vAlign w:val="center"/>
            <w:hideMark/>
          </w:tcPr>
          <w:p w14:paraId="73BE2CCA"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lastRenderedPageBreak/>
              <w:t>Kick-off + monthly</w:t>
            </w:r>
          </w:p>
        </w:tc>
        <w:tc>
          <w:tcPr>
            <w:tcW w:w="0" w:type="auto"/>
            <w:shd w:val="clear" w:color="auto" w:fill="F2CEED" w:themeFill="accent5" w:themeFillTint="33"/>
            <w:vAlign w:val="center"/>
            <w:hideMark/>
          </w:tcPr>
          <w:p w14:paraId="61C93BF7"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Project Manager</w:t>
            </w:r>
          </w:p>
        </w:tc>
        <w:tc>
          <w:tcPr>
            <w:tcW w:w="0" w:type="auto"/>
            <w:shd w:val="clear" w:color="auto" w:fill="D9F2D0" w:themeFill="accent6" w:themeFillTint="33"/>
            <w:vAlign w:val="center"/>
            <w:hideMark/>
          </w:tcPr>
          <w:p w14:paraId="000E52DE"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≥90% approval on milestones; timely sign-off</w:t>
            </w:r>
          </w:p>
        </w:tc>
      </w:tr>
      <w:tr w:rsidR="00D04C9E" w:rsidRPr="00D04C9E" w14:paraId="4B95143C" w14:textId="77777777" w:rsidTr="00F60FB4">
        <w:trPr>
          <w:tblCellSpacing w:w="15" w:type="dxa"/>
        </w:trPr>
        <w:tc>
          <w:tcPr>
            <w:tcW w:w="0" w:type="auto"/>
            <w:shd w:val="clear" w:color="auto" w:fill="DAE9F7" w:themeFill="text2" w:themeFillTint="1A"/>
            <w:vAlign w:val="center"/>
            <w:hideMark/>
          </w:tcPr>
          <w:p w14:paraId="199F3454"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Product Development &amp; IT Teams</w:t>
            </w:r>
          </w:p>
        </w:tc>
        <w:tc>
          <w:tcPr>
            <w:tcW w:w="0" w:type="auto"/>
            <w:shd w:val="clear" w:color="auto" w:fill="FAE2D5" w:themeFill="accent2" w:themeFillTint="33"/>
            <w:vAlign w:val="center"/>
            <w:hideMark/>
          </w:tcPr>
          <w:p w14:paraId="0BA72920"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Co-create features, resolve technical blockers</w:t>
            </w:r>
          </w:p>
        </w:tc>
        <w:tc>
          <w:tcPr>
            <w:tcW w:w="0" w:type="auto"/>
            <w:shd w:val="clear" w:color="auto" w:fill="FBFED2"/>
            <w:vAlign w:val="center"/>
            <w:hideMark/>
          </w:tcPr>
          <w:p w14:paraId="26E1635A"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Co-design workshops, sprint reviews, joint prototyping</w:t>
            </w:r>
          </w:p>
        </w:tc>
        <w:tc>
          <w:tcPr>
            <w:tcW w:w="0" w:type="auto"/>
            <w:shd w:val="clear" w:color="auto" w:fill="D1D1D1" w:themeFill="background2" w:themeFillShade="E6"/>
            <w:vAlign w:val="center"/>
            <w:hideMark/>
          </w:tcPr>
          <w:p w14:paraId="2FAD4C69"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Bi-weekly</w:t>
            </w:r>
          </w:p>
        </w:tc>
        <w:tc>
          <w:tcPr>
            <w:tcW w:w="0" w:type="auto"/>
            <w:shd w:val="clear" w:color="auto" w:fill="F2CEED" w:themeFill="accent5" w:themeFillTint="33"/>
            <w:vAlign w:val="center"/>
            <w:hideMark/>
          </w:tcPr>
          <w:p w14:paraId="26593462"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Product Lead + IT Lead</w:t>
            </w:r>
          </w:p>
        </w:tc>
        <w:tc>
          <w:tcPr>
            <w:tcW w:w="0" w:type="auto"/>
            <w:shd w:val="clear" w:color="auto" w:fill="D9F2D0" w:themeFill="accent6" w:themeFillTint="33"/>
            <w:vAlign w:val="center"/>
            <w:hideMark/>
          </w:tcPr>
          <w:p w14:paraId="473B5E15"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100% critical issues resolved on time; high team satisfaction</w:t>
            </w:r>
          </w:p>
        </w:tc>
      </w:tr>
      <w:tr w:rsidR="00D04C9E" w:rsidRPr="00D04C9E" w14:paraId="17A6EBF0" w14:textId="77777777" w:rsidTr="00F60FB4">
        <w:trPr>
          <w:tblCellSpacing w:w="15" w:type="dxa"/>
        </w:trPr>
        <w:tc>
          <w:tcPr>
            <w:tcW w:w="0" w:type="auto"/>
            <w:shd w:val="clear" w:color="auto" w:fill="DAE9F7" w:themeFill="text2" w:themeFillTint="1A"/>
            <w:vAlign w:val="center"/>
            <w:hideMark/>
          </w:tcPr>
          <w:p w14:paraId="31361C03"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Marketing &amp; Sales Departments</w:t>
            </w:r>
          </w:p>
        </w:tc>
        <w:tc>
          <w:tcPr>
            <w:tcW w:w="0" w:type="auto"/>
            <w:shd w:val="clear" w:color="auto" w:fill="FAE2D5" w:themeFill="accent2" w:themeFillTint="33"/>
            <w:vAlign w:val="center"/>
            <w:hideMark/>
          </w:tcPr>
          <w:p w14:paraId="03DD6D3E"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Develop launch strategy, ensure market readiness</w:t>
            </w:r>
          </w:p>
        </w:tc>
        <w:tc>
          <w:tcPr>
            <w:tcW w:w="0" w:type="auto"/>
            <w:shd w:val="clear" w:color="auto" w:fill="FBFED2"/>
            <w:vAlign w:val="center"/>
            <w:hideMark/>
          </w:tcPr>
          <w:p w14:paraId="60B4A84E"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Campaign planning workshops, audience insight sessions</w:t>
            </w:r>
          </w:p>
        </w:tc>
        <w:tc>
          <w:tcPr>
            <w:tcW w:w="0" w:type="auto"/>
            <w:shd w:val="clear" w:color="auto" w:fill="D1D1D1" w:themeFill="background2" w:themeFillShade="E6"/>
            <w:vAlign w:val="center"/>
            <w:hideMark/>
          </w:tcPr>
          <w:p w14:paraId="0DA9AECD"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Bi-weekly + pre-launch sprints</w:t>
            </w:r>
          </w:p>
        </w:tc>
        <w:tc>
          <w:tcPr>
            <w:tcW w:w="0" w:type="auto"/>
            <w:shd w:val="clear" w:color="auto" w:fill="F2CEED" w:themeFill="accent5" w:themeFillTint="33"/>
            <w:vAlign w:val="center"/>
            <w:hideMark/>
          </w:tcPr>
          <w:p w14:paraId="41A3A89E"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Marketing Lead</w:t>
            </w:r>
          </w:p>
        </w:tc>
        <w:tc>
          <w:tcPr>
            <w:tcW w:w="0" w:type="auto"/>
            <w:shd w:val="clear" w:color="auto" w:fill="D9F2D0" w:themeFill="accent6" w:themeFillTint="33"/>
            <w:vAlign w:val="center"/>
            <w:hideMark/>
          </w:tcPr>
          <w:p w14:paraId="3E888D7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Campaign assets ready on schedule; ≥85% readiness score</w:t>
            </w:r>
          </w:p>
        </w:tc>
      </w:tr>
      <w:tr w:rsidR="00D04C9E" w:rsidRPr="00D04C9E" w14:paraId="6147C6A3" w14:textId="77777777" w:rsidTr="00F60FB4">
        <w:trPr>
          <w:tblCellSpacing w:w="15" w:type="dxa"/>
        </w:trPr>
        <w:tc>
          <w:tcPr>
            <w:tcW w:w="0" w:type="auto"/>
            <w:shd w:val="clear" w:color="auto" w:fill="DAE9F7" w:themeFill="text2" w:themeFillTint="1A"/>
            <w:vAlign w:val="center"/>
            <w:hideMark/>
          </w:tcPr>
          <w:p w14:paraId="79B61F64"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Hotel Operations &amp; Frontline Staff</w:t>
            </w:r>
          </w:p>
        </w:tc>
        <w:tc>
          <w:tcPr>
            <w:tcW w:w="0" w:type="auto"/>
            <w:shd w:val="clear" w:color="auto" w:fill="FAE2D5" w:themeFill="accent2" w:themeFillTint="33"/>
            <w:vAlign w:val="center"/>
            <w:hideMark/>
          </w:tcPr>
          <w:p w14:paraId="5ADF2AED"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Build buy-in, reduce resistance, ensure smooth adoption</w:t>
            </w:r>
          </w:p>
        </w:tc>
        <w:tc>
          <w:tcPr>
            <w:tcW w:w="0" w:type="auto"/>
            <w:shd w:val="clear" w:color="auto" w:fill="FBFED2"/>
            <w:vAlign w:val="center"/>
            <w:hideMark/>
          </w:tcPr>
          <w:p w14:paraId="3E7E99A5"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Train-the-trainer sessions, feedback focus groups, Q&amp;A town halls</w:t>
            </w:r>
          </w:p>
        </w:tc>
        <w:tc>
          <w:tcPr>
            <w:tcW w:w="0" w:type="auto"/>
            <w:shd w:val="clear" w:color="auto" w:fill="D1D1D1" w:themeFill="background2" w:themeFillShade="E6"/>
            <w:vAlign w:val="center"/>
            <w:hideMark/>
          </w:tcPr>
          <w:p w14:paraId="19D916BA"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Monthly + intensive pre-launch</w:t>
            </w:r>
          </w:p>
        </w:tc>
        <w:tc>
          <w:tcPr>
            <w:tcW w:w="0" w:type="auto"/>
            <w:shd w:val="clear" w:color="auto" w:fill="F2CEED" w:themeFill="accent5" w:themeFillTint="33"/>
            <w:vAlign w:val="center"/>
            <w:hideMark/>
          </w:tcPr>
          <w:p w14:paraId="3849917F"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Operations Manager + HR</w:t>
            </w:r>
          </w:p>
        </w:tc>
        <w:tc>
          <w:tcPr>
            <w:tcW w:w="0" w:type="auto"/>
            <w:shd w:val="clear" w:color="auto" w:fill="D9F2D0" w:themeFill="accent6" w:themeFillTint="33"/>
            <w:vAlign w:val="center"/>
            <w:hideMark/>
          </w:tcPr>
          <w:p w14:paraId="795F8A4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≥80% staff trained by launch; ≥75% confidence in survey</w:t>
            </w:r>
          </w:p>
        </w:tc>
      </w:tr>
      <w:tr w:rsidR="00D04C9E" w:rsidRPr="00D04C9E" w14:paraId="5AE8D28A" w14:textId="77777777" w:rsidTr="00F60FB4">
        <w:trPr>
          <w:tblCellSpacing w:w="15" w:type="dxa"/>
        </w:trPr>
        <w:tc>
          <w:tcPr>
            <w:tcW w:w="0" w:type="auto"/>
            <w:shd w:val="clear" w:color="auto" w:fill="DAE9F7" w:themeFill="text2" w:themeFillTint="1A"/>
            <w:vAlign w:val="center"/>
            <w:hideMark/>
          </w:tcPr>
          <w:p w14:paraId="199C522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Guests / Customers</w:t>
            </w:r>
          </w:p>
        </w:tc>
        <w:tc>
          <w:tcPr>
            <w:tcW w:w="0" w:type="auto"/>
            <w:shd w:val="clear" w:color="auto" w:fill="FAE2D5" w:themeFill="accent2" w:themeFillTint="33"/>
            <w:vAlign w:val="center"/>
            <w:hideMark/>
          </w:tcPr>
          <w:p w14:paraId="1D077995"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Gather preferences, test usability, drive early adoption</w:t>
            </w:r>
          </w:p>
        </w:tc>
        <w:tc>
          <w:tcPr>
            <w:tcW w:w="0" w:type="auto"/>
            <w:shd w:val="clear" w:color="auto" w:fill="FBFED2"/>
            <w:vAlign w:val="center"/>
            <w:hideMark/>
          </w:tcPr>
          <w:p w14:paraId="42D00872"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Pilot user testing groups, in-app feedback surveys, beta previews</w:t>
            </w:r>
          </w:p>
        </w:tc>
        <w:tc>
          <w:tcPr>
            <w:tcW w:w="0" w:type="auto"/>
            <w:shd w:val="clear" w:color="auto" w:fill="D1D1D1" w:themeFill="background2" w:themeFillShade="E6"/>
            <w:vAlign w:val="center"/>
            <w:hideMark/>
          </w:tcPr>
          <w:p w14:paraId="41E0C38C"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Pre-pilot + ongoing during pilots</w:t>
            </w:r>
          </w:p>
        </w:tc>
        <w:tc>
          <w:tcPr>
            <w:tcW w:w="0" w:type="auto"/>
            <w:shd w:val="clear" w:color="auto" w:fill="F2CEED" w:themeFill="accent5" w:themeFillTint="33"/>
            <w:vAlign w:val="center"/>
            <w:hideMark/>
          </w:tcPr>
          <w:p w14:paraId="66BAAC4C"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Guest Experience + Marketing Team</w:t>
            </w:r>
          </w:p>
        </w:tc>
        <w:tc>
          <w:tcPr>
            <w:tcW w:w="0" w:type="auto"/>
            <w:shd w:val="clear" w:color="auto" w:fill="D9F2D0" w:themeFill="accent6" w:themeFillTint="33"/>
            <w:vAlign w:val="center"/>
            <w:hideMark/>
          </w:tcPr>
          <w:p w14:paraId="2270C2AB"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≥20% adoption rate in pilots; positive Net Promoter Score</w:t>
            </w:r>
          </w:p>
        </w:tc>
      </w:tr>
      <w:tr w:rsidR="00D04C9E" w:rsidRPr="00D04C9E" w14:paraId="3C4C40C6" w14:textId="77777777" w:rsidTr="00F60FB4">
        <w:trPr>
          <w:tblCellSpacing w:w="15" w:type="dxa"/>
        </w:trPr>
        <w:tc>
          <w:tcPr>
            <w:tcW w:w="0" w:type="auto"/>
            <w:shd w:val="clear" w:color="auto" w:fill="DAE9F7" w:themeFill="text2" w:themeFillTint="1A"/>
            <w:vAlign w:val="center"/>
            <w:hideMark/>
          </w:tcPr>
          <w:p w14:paraId="30E1EFB8"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Suppliers / Technology Partners</w:t>
            </w:r>
          </w:p>
        </w:tc>
        <w:tc>
          <w:tcPr>
            <w:tcW w:w="0" w:type="auto"/>
            <w:shd w:val="clear" w:color="auto" w:fill="FAE2D5" w:themeFill="accent2" w:themeFillTint="33"/>
            <w:vAlign w:val="center"/>
            <w:hideMark/>
          </w:tcPr>
          <w:p w14:paraId="66B63BC9"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Align on deliverables, co-develop solutions</w:t>
            </w:r>
          </w:p>
        </w:tc>
        <w:tc>
          <w:tcPr>
            <w:tcW w:w="0" w:type="auto"/>
            <w:shd w:val="clear" w:color="auto" w:fill="FBFED2"/>
            <w:vAlign w:val="center"/>
            <w:hideMark/>
          </w:tcPr>
          <w:p w14:paraId="782074F8"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Joint requirements workshops, technical alignment calls</w:t>
            </w:r>
          </w:p>
        </w:tc>
        <w:tc>
          <w:tcPr>
            <w:tcW w:w="0" w:type="auto"/>
            <w:shd w:val="clear" w:color="auto" w:fill="D1D1D1" w:themeFill="background2" w:themeFillShade="E6"/>
            <w:vAlign w:val="center"/>
            <w:hideMark/>
          </w:tcPr>
          <w:p w14:paraId="10343DF7"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Bi-weekly</w:t>
            </w:r>
          </w:p>
        </w:tc>
        <w:tc>
          <w:tcPr>
            <w:tcW w:w="0" w:type="auto"/>
            <w:shd w:val="clear" w:color="auto" w:fill="F2CEED" w:themeFill="accent5" w:themeFillTint="33"/>
            <w:vAlign w:val="center"/>
            <w:hideMark/>
          </w:tcPr>
          <w:p w14:paraId="3F39E78D"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Procurement + IT Lead</w:t>
            </w:r>
          </w:p>
        </w:tc>
        <w:tc>
          <w:tcPr>
            <w:tcW w:w="0" w:type="auto"/>
            <w:shd w:val="clear" w:color="auto" w:fill="D9F2D0" w:themeFill="accent6" w:themeFillTint="33"/>
            <w:vAlign w:val="center"/>
            <w:hideMark/>
          </w:tcPr>
          <w:p w14:paraId="2B74D64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On-time component delivery; zero critical blockers</w:t>
            </w:r>
          </w:p>
        </w:tc>
      </w:tr>
      <w:tr w:rsidR="00D04C9E" w:rsidRPr="00D04C9E" w14:paraId="29F1F70A" w14:textId="77777777" w:rsidTr="00F60FB4">
        <w:trPr>
          <w:tblCellSpacing w:w="15" w:type="dxa"/>
        </w:trPr>
        <w:tc>
          <w:tcPr>
            <w:tcW w:w="0" w:type="auto"/>
            <w:shd w:val="clear" w:color="auto" w:fill="DAE9F7" w:themeFill="text2" w:themeFillTint="1A"/>
            <w:vAlign w:val="center"/>
            <w:hideMark/>
          </w:tcPr>
          <w:p w14:paraId="545DB88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lastRenderedPageBreak/>
              <w:t>Regulators &amp; Compliance Bodies</w:t>
            </w:r>
          </w:p>
        </w:tc>
        <w:tc>
          <w:tcPr>
            <w:tcW w:w="0" w:type="auto"/>
            <w:shd w:val="clear" w:color="auto" w:fill="FAE2D5" w:themeFill="accent2" w:themeFillTint="33"/>
            <w:vAlign w:val="center"/>
            <w:hideMark/>
          </w:tcPr>
          <w:p w14:paraId="2A7C1F2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Demonstrate compliance, obtain necessary approvals</w:t>
            </w:r>
          </w:p>
        </w:tc>
        <w:tc>
          <w:tcPr>
            <w:tcW w:w="0" w:type="auto"/>
            <w:shd w:val="clear" w:color="auto" w:fill="FBFED2"/>
            <w:vAlign w:val="center"/>
            <w:hideMark/>
          </w:tcPr>
          <w:p w14:paraId="76C30EE6"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Compliance review meetings, submission of DPIAs &amp; reports</w:t>
            </w:r>
          </w:p>
        </w:tc>
        <w:tc>
          <w:tcPr>
            <w:tcW w:w="0" w:type="auto"/>
            <w:shd w:val="clear" w:color="auto" w:fill="D1D1D1" w:themeFill="background2" w:themeFillShade="E6"/>
            <w:vAlign w:val="center"/>
            <w:hideMark/>
          </w:tcPr>
          <w:p w14:paraId="341F8C8F"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As required + quarterly summary</w:t>
            </w:r>
          </w:p>
        </w:tc>
        <w:tc>
          <w:tcPr>
            <w:tcW w:w="0" w:type="auto"/>
            <w:shd w:val="clear" w:color="auto" w:fill="F2CEED" w:themeFill="accent5" w:themeFillTint="33"/>
            <w:vAlign w:val="center"/>
            <w:hideMark/>
          </w:tcPr>
          <w:p w14:paraId="39601F4B"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Legal &amp; Compliance Lead</w:t>
            </w:r>
          </w:p>
        </w:tc>
        <w:tc>
          <w:tcPr>
            <w:tcW w:w="0" w:type="auto"/>
            <w:shd w:val="clear" w:color="auto" w:fill="D9F2D0" w:themeFill="accent6" w:themeFillTint="33"/>
            <w:vAlign w:val="center"/>
            <w:hideMark/>
          </w:tcPr>
          <w:p w14:paraId="379D55D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100% approvals secured; zero major compliance findings</w:t>
            </w:r>
          </w:p>
        </w:tc>
      </w:tr>
      <w:tr w:rsidR="00D04C9E" w:rsidRPr="00D04C9E" w14:paraId="3AF9D1C9" w14:textId="77777777" w:rsidTr="00F60FB4">
        <w:trPr>
          <w:tblCellSpacing w:w="15" w:type="dxa"/>
        </w:trPr>
        <w:tc>
          <w:tcPr>
            <w:tcW w:w="0" w:type="auto"/>
            <w:shd w:val="clear" w:color="auto" w:fill="DAE9F7" w:themeFill="text2" w:themeFillTint="1A"/>
            <w:vAlign w:val="center"/>
            <w:hideMark/>
          </w:tcPr>
          <w:p w14:paraId="429EF26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Local Communities &amp; NGOs</w:t>
            </w:r>
          </w:p>
        </w:tc>
        <w:tc>
          <w:tcPr>
            <w:tcW w:w="0" w:type="auto"/>
            <w:shd w:val="clear" w:color="auto" w:fill="FAE2D5" w:themeFill="accent2" w:themeFillTint="33"/>
            <w:vAlign w:val="center"/>
            <w:hideMark/>
          </w:tcPr>
          <w:p w14:paraId="66C55278"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Address sustainability concerns, build social legitimacy</w:t>
            </w:r>
          </w:p>
        </w:tc>
        <w:tc>
          <w:tcPr>
            <w:tcW w:w="0" w:type="auto"/>
            <w:shd w:val="clear" w:color="auto" w:fill="FBFED2"/>
            <w:vAlign w:val="center"/>
            <w:hideMark/>
          </w:tcPr>
          <w:p w14:paraId="3AF9C0A0"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Community consultation webinars, impact assessment sessions</w:t>
            </w:r>
          </w:p>
        </w:tc>
        <w:tc>
          <w:tcPr>
            <w:tcW w:w="0" w:type="auto"/>
            <w:shd w:val="clear" w:color="auto" w:fill="D1D1D1" w:themeFill="background2" w:themeFillShade="E6"/>
            <w:vAlign w:val="center"/>
            <w:hideMark/>
          </w:tcPr>
          <w:p w14:paraId="1A5F9DB5"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Quarterly + pre-launch</w:t>
            </w:r>
          </w:p>
        </w:tc>
        <w:tc>
          <w:tcPr>
            <w:tcW w:w="0" w:type="auto"/>
            <w:shd w:val="clear" w:color="auto" w:fill="F2CEED" w:themeFill="accent5" w:themeFillTint="33"/>
            <w:vAlign w:val="center"/>
            <w:hideMark/>
          </w:tcPr>
          <w:p w14:paraId="6131EB97"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Sustainability Manager</w:t>
            </w:r>
          </w:p>
        </w:tc>
        <w:tc>
          <w:tcPr>
            <w:tcW w:w="0" w:type="auto"/>
            <w:shd w:val="clear" w:color="auto" w:fill="D9F2D0" w:themeFill="accent6" w:themeFillTint="33"/>
            <w:vAlign w:val="center"/>
            <w:hideMark/>
          </w:tcPr>
          <w:p w14:paraId="5327DA98"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Positive feedback in surveys; no public opposition</w:t>
            </w:r>
          </w:p>
        </w:tc>
      </w:tr>
      <w:tr w:rsidR="00D04C9E" w:rsidRPr="00D04C9E" w14:paraId="3B05A2F2" w14:textId="77777777" w:rsidTr="00F60FB4">
        <w:trPr>
          <w:tblCellSpacing w:w="15" w:type="dxa"/>
        </w:trPr>
        <w:tc>
          <w:tcPr>
            <w:tcW w:w="0" w:type="auto"/>
            <w:shd w:val="clear" w:color="auto" w:fill="DAE9F7" w:themeFill="text2" w:themeFillTint="1A"/>
            <w:vAlign w:val="center"/>
            <w:hideMark/>
          </w:tcPr>
          <w:p w14:paraId="1CF1DA52"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Investors / Shareholders</w:t>
            </w:r>
          </w:p>
        </w:tc>
        <w:tc>
          <w:tcPr>
            <w:tcW w:w="0" w:type="auto"/>
            <w:shd w:val="clear" w:color="auto" w:fill="FAE2D5" w:themeFill="accent2" w:themeFillTint="33"/>
            <w:vAlign w:val="center"/>
            <w:hideMark/>
          </w:tcPr>
          <w:p w14:paraId="05514E84"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Provide assurance, demonstrate value creation</w:t>
            </w:r>
          </w:p>
        </w:tc>
        <w:tc>
          <w:tcPr>
            <w:tcW w:w="0" w:type="auto"/>
            <w:shd w:val="clear" w:color="auto" w:fill="FBFED2"/>
            <w:vAlign w:val="center"/>
            <w:hideMark/>
          </w:tcPr>
          <w:p w14:paraId="1B3DBF73"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Investor briefings, inclusion in quarterly updates</w:t>
            </w:r>
          </w:p>
        </w:tc>
        <w:tc>
          <w:tcPr>
            <w:tcW w:w="0" w:type="auto"/>
            <w:shd w:val="clear" w:color="auto" w:fill="D1D1D1" w:themeFill="background2" w:themeFillShade="E6"/>
            <w:vAlign w:val="center"/>
            <w:hideMark/>
          </w:tcPr>
          <w:p w14:paraId="2AE659AC"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Quarterly</w:t>
            </w:r>
          </w:p>
        </w:tc>
        <w:tc>
          <w:tcPr>
            <w:tcW w:w="0" w:type="auto"/>
            <w:shd w:val="clear" w:color="auto" w:fill="F2CEED" w:themeFill="accent5" w:themeFillTint="33"/>
            <w:vAlign w:val="center"/>
            <w:hideMark/>
          </w:tcPr>
          <w:p w14:paraId="620AEC7B"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Project Manager + Investor Relations</w:t>
            </w:r>
          </w:p>
        </w:tc>
        <w:tc>
          <w:tcPr>
            <w:tcW w:w="0" w:type="auto"/>
            <w:shd w:val="clear" w:color="auto" w:fill="D9F2D0" w:themeFill="accent6" w:themeFillTint="33"/>
            <w:vAlign w:val="center"/>
            <w:hideMark/>
          </w:tcPr>
          <w:p w14:paraId="581F1215"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Positive analyst commentary; sustained investor confidence</w:t>
            </w:r>
          </w:p>
        </w:tc>
      </w:tr>
      <w:tr w:rsidR="00D04C9E" w:rsidRPr="00D04C9E" w14:paraId="0BA23D1C" w14:textId="77777777" w:rsidTr="00F60FB4">
        <w:trPr>
          <w:tblCellSpacing w:w="15" w:type="dxa"/>
        </w:trPr>
        <w:tc>
          <w:tcPr>
            <w:tcW w:w="0" w:type="auto"/>
            <w:shd w:val="clear" w:color="auto" w:fill="DAE9F7" w:themeFill="text2" w:themeFillTint="1A"/>
            <w:vAlign w:val="center"/>
            <w:hideMark/>
          </w:tcPr>
          <w:p w14:paraId="6248E64B"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Media &amp; Influencers</w:t>
            </w:r>
          </w:p>
        </w:tc>
        <w:tc>
          <w:tcPr>
            <w:tcW w:w="0" w:type="auto"/>
            <w:shd w:val="clear" w:color="auto" w:fill="FAE2D5" w:themeFill="accent2" w:themeFillTint="33"/>
            <w:vAlign w:val="center"/>
            <w:hideMark/>
          </w:tcPr>
          <w:p w14:paraId="21B7B6EC"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Generate positive visibility, amplify launch narrative</w:t>
            </w:r>
          </w:p>
        </w:tc>
        <w:tc>
          <w:tcPr>
            <w:tcW w:w="0" w:type="auto"/>
            <w:shd w:val="clear" w:color="auto" w:fill="FBFED2"/>
            <w:vAlign w:val="center"/>
            <w:hideMark/>
          </w:tcPr>
          <w:p w14:paraId="1FF12FE3"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Media previews, influencer briefing packs &amp; partnerships</w:t>
            </w:r>
          </w:p>
        </w:tc>
        <w:tc>
          <w:tcPr>
            <w:tcW w:w="0" w:type="auto"/>
            <w:shd w:val="clear" w:color="auto" w:fill="D1D1D1" w:themeFill="background2" w:themeFillShade="E6"/>
            <w:vAlign w:val="center"/>
            <w:hideMark/>
          </w:tcPr>
          <w:p w14:paraId="02C6DB21"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Pre-launch + launch phase</w:t>
            </w:r>
          </w:p>
        </w:tc>
        <w:tc>
          <w:tcPr>
            <w:tcW w:w="0" w:type="auto"/>
            <w:shd w:val="clear" w:color="auto" w:fill="F2CEED" w:themeFill="accent5" w:themeFillTint="33"/>
            <w:vAlign w:val="center"/>
            <w:hideMark/>
          </w:tcPr>
          <w:p w14:paraId="21D1354A"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PR / Communications Lead</w:t>
            </w:r>
          </w:p>
        </w:tc>
        <w:tc>
          <w:tcPr>
            <w:tcW w:w="0" w:type="auto"/>
            <w:shd w:val="clear" w:color="auto" w:fill="D9F2D0" w:themeFill="accent6" w:themeFillTint="33"/>
            <w:vAlign w:val="center"/>
            <w:hideMark/>
          </w:tcPr>
          <w:p w14:paraId="71F6297B" w14:textId="77777777" w:rsidR="00D04C9E" w:rsidRPr="00D04C9E" w:rsidRDefault="00D04C9E" w:rsidP="00D04C9E">
            <w:pPr>
              <w:spacing w:line="360" w:lineRule="auto"/>
              <w:jc w:val="center"/>
              <w:rPr>
                <w:rFonts w:ascii="Arial" w:hAnsi="Arial" w:cs="Arial"/>
                <w:bCs/>
                <w:sz w:val="22"/>
                <w:szCs w:val="22"/>
              </w:rPr>
            </w:pPr>
            <w:r w:rsidRPr="00D04C9E">
              <w:rPr>
                <w:rFonts w:ascii="Arial" w:hAnsi="Arial" w:cs="Arial"/>
                <w:bCs/>
                <w:sz w:val="22"/>
                <w:szCs w:val="22"/>
              </w:rPr>
              <w:t>≥10 positive media mentions; influencer reach targets met</w:t>
            </w:r>
          </w:p>
        </w:tc>
      </w:tr>
    </w:tbl>
    <w:p w14:paraId="463859E5" w14:textId="77777777" w:rsidR="00454966" w:rsidRPr="009A57B1" w:rsidRDefault="00454966" w:rsidP="0044425F">
      <w:pPr>
        <w:spacing w:line="360" w:lineRule="auto"/>
        <w:jc w:val="both"/>
        <w:rPr>
          <w:rFonts w:ascii="Arial" w:hAnsi="Arial" w:cs="Arial"/>
          <w:bCs/>
          <w:sz w:val="22"/>
          <w:szCs w:val="22"/>
        </w:rPr>
      </w:pPr>
    </w:p>
    <w:p w14:paraId="079E61BA" w14:textId="77777777" w:rsidR="0044425F" w:rsidRPr="009A57B1" w:rsidRDefault="0044425F" w:rsidP="0044425F">
      <w:pPr>
        <w:spacing w:line="360" w:lineRule="auto"/>
        <w:jc w:val="both"/>
        <w:rPr>
          <w:rFonts w:ascii="Arial" w:hAnsi="Arial" w:cs="Arial"/>
          <w:bCs/>
          <w:sz w:val="22"/>
          <w:szCs w:val="22"/>
        </w:rPr>
      </w:pPr>
      <w:bookmarkStart w:id="13" w:name="_Toc225023019"/>
      <w:r w:rsidRPr="009A57B1">
        <w:rPr>
          <w:rStyle w:val="Heading3Char"/>
          <w:bCs/>
          <w:szCs w:val="22"/>
        </w:rPr>
        <w:t>Communication Plan</w:t>
      </w:r>
      <w:bookmarkEnd w:id="13"/>
      <w:r w:rsidRPr="009A57B1">
        <w:rPr>
          <w:rFonts w:ascii="Arial" w:hAnsi="Arial" w:cs="Arial"/>
          <w:bCs/>
          <w:sz w:val="22"/>
          <w:szCs w:val="22"/>
        </w:rPr>
        <w:t>: Channels: Internal portals/apps (employees), emails/social media (externals). Frequency: Bi-weekly updates, quarterly reports. Tailored for transparency (e.g., multilingual for global markets). Ensures commitment, per 4C's model (Institute of Project Management, 2026).</w:t>
      </w:r>
    </w:p>
    <w:p w14:paraId="6217C9C0" w14:textId="77777777" w:rsidR="0044425F" w:rsidRPr="009A57B1" w:rsidRDefault="0044425F" w:rsidP="0044425F">
      <w:pPr>
        <w:spacing w:line="360" w:lineRule="auto"/>
        <w:jc w:val="both"/>
        <w:rPr>
          <w:rFonts w:ascii="Arial" w:hAnsi="Arial" w:cs="Arial"/>
          <w:bCs/>
          <w:sz w:val="22"/>
          <w:szCs w:val="22"/>
        </w:rPr>
      </w:pPr>
      <w:r w:rsidRPr="009A57B1">
        <w:rPr>
          <w:rFonts w:ascii="Arial" w:hAnsi="Arial" w:cs="Arial"/>
          <w:bCs/>
          <w:sz w:val="22"/>
          <w:szCs w:val="22"/>
        </w:rPr>
        <w:t>Benefits include innovation (Vrontis et al., 2022) and trust; challenges like power imbalances require ethical navigation (King et al., 2014).</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042"/>
        <w:gridCol w:w="1546"/>
        <w:gridCol w:w="1243"/>
        <w:gridCol w:w="2306"/>
        <w:gridCol w:w="1889"/>
      </w:tblGrid>
      <w:tr w:rsidR="00E66D95" w:rsidRPr="00E66D95" w14:paraId="75BF7426" w14:textId="77777777" w:rsidTr="008028F0">
        <w:trPr>
          <w:tblHeader/>
          <w:tblCellSpacing w:w="15" w:type="dxa"/>
          <w:jc w:val="center"/>
        </w:trPr>
        <w:tc>
          <w:tcPr>
            <w:tcW w:w="0" w:type="auto"/>
            <w:shd w:val="clear" w:color="auto" w:fill="FAE2D5" w:themeFill="accent2" w:themeFillTint="33"/>
            <w:vAlign w:val="center"/>
            <w:hideMark/>
          </w:tcPr>
          <w:p w14:paraId="7DF9E430" w14:textId="77777777" w:rsidR="00E66D95" w:rsidRPr="00E66D95" w:rsidRDefault="00E66D95" w:rsidP="008028F0">
            <w:pPr>
              <w:spacing w:line="360" w:lineRule="auto"/>
              <w:jc w:val="center"/>
              <w:rPr>
                <w:rFonts w:ascii="Arial" w:hAnsi="Arial" w:cs="Arial"/>
                <w:b/>
                <w:bCs/>
                <w:sz w:val="22"/>
                <w:szCs w:val="22"/>
              </w:rPr>
            </w:pPr>
            <w:r w:rsidRPr="00E66D95">
              <w:rPr>
                <w:rFonts w:ascii="Arial" w:hAnsi="Arial" w:cs="Arial"/>
                <w:b/>
                <w:bCs/>
                <w:sz w:val="22"/>
                <w:szCs w:val="22"/>
              </w:rPr>
              <w:lastRenderedPageBreak/>
              <w:t>What information</w:t>
            </w:r>
          </w:p>
        </w:tc>
        <w:tc>
          <w:tcPr>
            <w:tcW w:w="0" w:type="auto"/>
            <w:shd w:val="clear" w:color="auto" w:fill="FAE2D5" w:themeFill="accent2" w:themeFillTint="33"/>
            <w:vAlign w:val="center"/>
            <w:hideMark/>
          </w:tcPr>
          <w:p w14:paraId="76B40051" w14:textId="77777777" w:rsidR="00E66D95" w:rsidRPr="00E66D95" w:rsidRDefault="00E66D95" w:rsidP="008028F0">
            <w:pPr>
              <w:spacing w:line="360" w:lineRule="auto"/>
              <w:jc w:val="center"/>
              <w:rPr>
                <w:rFonts w:ascii="Arial" w:hAnsi="Arial" w:cs="Arial"/>
                <w:b/>
                <w:bCs/>
                <w:sz w:val="22"/>
                <w:szCs w:val="22"/>
              </w:rPr>
            </w:pPr>
            <w:r w:rsidRPr="00E66D95">
              <w:rPr>
                <w:rFonts w:ascii="Arial" w:hAnsi="Arial" w:cs="Arial"/>
                <w:b/>
                <w:bCs/>
                <w:sz w:val="22"/>
                <w:szCs w:val="22"/>
              </w:rPr>
              <w:t>Target audience</w:t>
            </w:r>
          </w:p>
        </w:tc>
        <w:tc>
          <w:tcPr>
            <w:tcW w:w="0" w:type="auto"/>
            <w:shd w:val="clear" w:color="auto" w:fill="FAE2D5" w:themeFill="accent2" w:themeFillTint="33"/>
            <w:vAlign w:val="center"/>
            <w:hideMark/>
          </w:tcPr>
          <w:p w14:paraId="727D1F6E" w14:textId="77777777" w:rsidR="00E66D95" w:rsidRPr="00E66D95" w:rsidRDefault="00E66D95" w:rsidP="008028F0">
            <w:pPr>
              <w:spacing w:line="360" w:lineRule="auto"/>
              <w:jc w:val="center"/>
              <w:rPr>
                <w:rFonts w:ascii="Arial" w:hAnsi="Arial" w:cs="Arial"/>
                <w:b/>
                <w:bCs/>
                <w:sz w:val="22"/>
                <w:szCs w:val="22"/>
              </w:rPr>
            </w:pPr>
            <w:r w:rsidRPr="00E66D95">
              <w:rPr>
                <w:rFonts w:ascii="Arial" w:hAnsi="Arial" w:cs="Arial"/>
                <w:b/>
                <w:bCs/>
                <w:sz w:val="22"/>
                <w:szCs w:val="22"/>
              </w:rPr>
              <w:t>When?</w:t>
            </w:r>
          </w:p>
        </w:tc>
        <w:tc>
          <w:tcPr>
            <w:tcW w:w="0" w:type="auto"/>
            <w:shd w:val="clear" w:color="auto" w:fill="FAE2D5" w:themeFill="accent2" w:themeFillTint="33"/>
            <w:vAlign w:val="center"/>
            <w:hideMark/>
          </w:tcPr>
          <w:p w14:paraId="452BB07A" w14:textId="77777777" w:rsidR="00E66D95" w:rsidRPr="00E66D95" w:rsidRDefault="00E66D95" w:rsidP="008028F0">
            <w:pPr>
              <w:spacing w:line="360" w:lineRule="auto"/>
              <w:jc w:val="center"/>
              <w:rPr>
                <w:rFonts w:ascii="Arial" w:hAnsi="Arial" w:cs="Arial"/>
                <w:b/>
                <w:bCs/>
                <w:sz w:val="22"/>
                <w:szCs w:val="22"/>
              </w:rPr>
            </w:pPr>
            <w:r w:rsidRPr="00E66D95">
              <w:rPr>
                <w:rFonts w:ascii="Arial" w:hAnsi="Arial" w:cs="Arial"/>
                <w:b/>
                <w:bCs/>
                <w:sz w:val="22"/>
                <w:szCs w:val="22"/>
              </w:rPr>
              <w:t>Method of communication</w:t>
            </w:r>
          </w:p>
        </w:tc>
        <w:tc>
          <w:tcPr>
            <w:tcW w:w="0" w:type="auto"/>
            <w:shd w:val="clear" w:color="auto" w:fill="FAE2D5" w:themeFill="accent2" w:themeFillTint="33"/>
            <w:vAlign w:val="center"/>
            <w:hideMark/>
          </w:tcPr>
          <w:p w14:paraId="381E195A" w14:textId="77777777" w:rsidR="00E66D95" w:rsidRPr="00E66D95" w:rsidRDefault="00E66D95" w:rsidP="008028F0">
            <w:pPr>
              <w:spacing w:line="360" w:lineRule="auto"/>
              <w:jc w:val="center"/>
              <w:rPr>
                <w:rFonts w:ascii="Arial" w:hAnsi="Arial" w:cs="Arial"/>
                <w:b/>
                <w:bCs/>
                <w:sz w:val="22"/>
                <w:szCs w:val="22"/>
              </w:rPr>
            </w:pPr>
            <w:r w:rsidRPr="00E66D95">
              <w:rPr>
                <w:rFonts w:ascii="Arial" w:hAnsi="Arial" w:cs="Arial"/>
                <w:b/>
                <w:bCs/>
                <w:sz w:val="22"/>
                <w:szCs w:val="22"/>
              </w:rPr>
              <w:t>Provider</w:t>
            </w:r>
          </w:p>
        </w:tc>
      </w:tr>
      <w:tr w:rsidR="00E66D95" w:rsidRPr="00E66D95" w14:paraId="0E0401C2" w14:textId="77777777" w:rsidTr="008028F0">
        <w:trPr>
          <w:tblCellSpacing w:w="15" w:type="dxa"/>
          <w:jc w:val="center"/>
        </w:trPr>
        <w:tc>
          <w:tcPr>
            <w:tcW w:w="0" w:type="auto"/>
            <w:shd w:val="clear" w:color="auto" w:fill="F2CEED" w:themeFill="accent5" w:themeFillTint="33"/>
            <w:vAlign w:val="center"/>
            <w:hideMark/>
          </w:tcPr>
          <w:p w14:paraId="4CD7C992"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Project overview, objectives, timeline, expected benefits &amp; risks</w:t>
            </w:r>
          </w:p>
        </w:tc>
        <w:tc>
          <w:tcPr>
            <w:tcW w:w="0" w:type="auto"/>
            <w:shd w:val="clear" w:color="auto" w:fill="CAEDFB" w:themeFill="accent4" w:themeFillTint="33"/>
            <w:vAlign w:val="center"/>
            <w:hideMark/>
          </w:tcPr>
          <w:p w14:paraId="0D5CB1F2"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Senior Management &amp; Board</w:t>
            </w:r>
          </w:p>
        </w:tc>
        <w:tc>
          <w:tcPr>
            <w:tcW w:w="0" w:type="auto"/>
            <w:shd w:val="clear" w:color="auto" w:fill="D9F2D0" w:themeFill="accent6" w:themeFillTint="33"/>
            <w:vAlign w:val="center"/>
            <w:hideMark/>
          </w:tcPr>
          <w:p w14:paraId="38234477"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Kick-off + monthly updates</w:t>
            </w:r>
          </w:p>
        </w:tc>
        <w:tc>
          <w:tcPr>
            <w:tcW w:w="0" w:type="auto"/>
            <w:shd w:val="clear" w:color="auto" w:fill="DAE9F7" w:themeFill="text2" w:themeFillTint="1A"/>
            <w:vAlign w:val="center"/>
            <w:hideMark/>
          </w:tcPr>
          <w:p w14:paraId="3C0661DF"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Executive dashboard + steering committee meetings</w:t>
            </w:r>
          </w:p>
        </w:tc>
        <w:tc>
          <w:tcPr>
            <w:tcW w:w="0" w:type="auto"/>
            <w:shd w:val="clear" w:color="auto" w:fill="FEFBD2"/>
            <w:vAlign w:val="center"/>
            <w:hideMark/>
          </w:tcPr>
          <w:p w14:paraId="5BE57D47"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Project Manager</w:t>
            </w:r>
          </w:p>
        </w:tc>
      </w:tr>
      <w:tr w:rsidR="00E66D95" w:rsidRPr="00E66D95" w14:paraId="2B19FCFC" w14:textId="77777777" w:rsidTr="008028F0">
        <w:trPr>
          <w:tblCellSpacing w:w="15" w:type="dxa"/>
          <w:jc w:val="center"/>
        </w:trPr>
        <w:tc>
          <w:tcPr>
            <w:tcW w:w="0" w:type="auto"/>
            <w:shd w:val="clear" w:color="auto" w:fill="F2CEED" w:themeFill="accent5" w:themeFillTint="33"/>
            <w:vAlign w:val="center"/>
            <w:hideMark/>
          </w:tcPr>
          <w:p w14:paraId="4AC437B5"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Feature specifications, testing results, integration roadmap, blockers</w:t>
            </w:r>
          </w:p>
        </w:tc>
        <w:tc>
          <w:tcPr>
            <w:tcW w:w="0" w:type="auto"/>
            <w:shd w:val="clear" w:color="auto" w:fill="CAEDFB" w:themeFill="accent4" w:themeFillTint="33"/>
            <w:vAlign w:val="center"/>
            <w:hideMark/>
          </w:tcPr>
          <w:p w14:paraId="6499F87D"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Product Development &amp; IT Teams</w:t>
            </w:r>
          </w:p>
        </w:tc>
        <w:tc>
          <w:tcPr>
            <w:tcW w:w="0" w:type="auto"/>
            <w:shd w:val="clear" w:color="auto" w:fill="D9F2D0" w:themeFill="accent6" w:themeFillTint="33"/>
            <w:vAlign w:val="center"/>
            <w:hideMark/>
          </w:tcPr>
          <w:p w14:paraId="01DEB62B"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Bi-weekly</w:t>
            </w:r>
          </w:p>
        </w:tc>
        <w:tc>
          <w:tcPr>
            <w:tcW w:w="0" w:type="auto"/>
            <w:shd w:val="clear" w:color="auto" w:fill="DAE9F7" w:themeFill="text2" w:themeFillTint="1A"/>
            <w:vAlign w:val="center"/>
            <w:hideMark/>
          </w:tcPr>
          <w:p w14:paraId="57FF5288"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Project portal (Teams/SharePoint) + sprint reviews</w:t>
            </w:r>
          </w:p>
        </w:tc>
        <w:tc>
          <w:tcPr>
            <w:tcW w:w="0" w:type="auto"/>
            <w:shd w:val="clear" w:color="auto" w:fill="FEFBD2"/>
            <w:vAlign w:val="center"/>
            <w:hideMark/>
          </w:tcPr>
          <w:p w14:paraId="790E0D1D"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Product Lead + IT Lead</w:t>
            </w:r>
          </w:p>
        </w:tc>
      </w:tr>
      <w:tr w:rsidR="00E66D95" w:rsidRPr="00E66D95" w14:paraId="4651EECE" w14:textId="77777777" w:rsidTr="008028F0">
        <w:trPr>
          <w:tblCellSpacing w:w="15" w:type="dxa"/>
          <w:jc w:val="center"/>
        </w:trPr>
        <w:tc>
          <w:tcPr>
            <w:tcW w:w="0" w:type="auto"/>
            <w:shd w:val="clear" w:color="auto" w:fill="F2CEED" w:themeFill="accent5" w:themeFillTint="33"/>
            <w:vAlign w:val="center"/>
            <w:hideMark/>
          </w:tcPr>
          <w:p w14:paraId="1F0B154F"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Branding guidelines, target segments, campaign assets, launch messaging</w:t>
            </w:r>
          </w:p>
        </w:tc>
        <w:tc>
          <w:tcPr>
            <w:tcW w:w="0" w:type="auto"/>
            <w:shd w:val="clear" w:color="auto" w:fill="CAEDFB" w:themeFill="accent4" w:themeFillTint="33"/>
            <w:vAlign w:val="center"/>
            <w:hideMark/>
          </w:tcPr>
          <w:p w14:paraId="073D2F4D"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Marketing &amp; Sales Departments</w:t>
            </w:r>
          </w:p>
        </w:tc>
        <w:tc>
          <w:tcPr>
            <w:tcW w:w="0" w:type="auto"/>
            <w:shd w:val="clear" w:color="auto" w:fill="D9F2D0" w:themeFill="accent6" w:themeFillTint="33"/>
            <w:vAlign w:val="center"/>
            <w:hideMark/>
          </w:tcPr>
          <w:p w14:paraId="514C47E8"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Bi-weekly + pre-launch sprints</w:t>
            </w:r>
          </w:p>
        </w:tc>
        <w:tc>
          <w:tcPr>
            <w:tcW w:w="0" w:type="auto"/>
            <w:shd w:val="clear" w:color="auto" w:fill="DAE9F7" w:themeFill="text2" w:themeFillTint="1A"/>
            <w:vAlign w:val="center"/>
            <w:hideMark/>
          </w:tcPr>
          <w:p w14:paraId="766F6C30"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Marketing collaboration platform + workshops</w:t>
            </w:r>
          </w:p>
        </w:tc>
        <w:tc>
          <w:tcPr>
            <w:tcW w:w="0" w:type="auto"/>
            <w:shd w:val="clear" w:color="auto" w:fill="FEFBD2"/>
            <w:vAlign w:val="center"/>
            <w:hideMark/>
          </w:tcPr>
          <w:p w14:paraId="2B9676A2"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Marketing Lead</w:t>
            </w:r>
          </w:p>
        </w:tc>
      </w:tr>
      <w:tr w:rsidR="00E66D95" w:rsidRPr="00E66D95" w14:paraId="198A96CA" w14:textId="77777777" w:rsidTr="008028F0">
        <w:trPr>
          <w:tblCellSpacing w:w="15" w:type="dxa"/>
          <w:jc w:val="center"/>
        </w:trPr>
        <w:tc>
          <w:tcPr>
            <w:tcW w:w="0" w:type="auto"/>
            <w:shd w:val="clear" w:color="auto" w:fill="F2CEED" w:themeFill="accent5" w:themeFillTint="33"/>
            <w:vAlign w:val="center"/>
            <w:hideMark/>
          </w:tcPr>
          <w:p w14:paraId="50433964"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Training overview, how-to guides, benefits to daily work, FAQs, privacy policy</w:t>
            </w:r>
          </w:p>
        </w:tc>
        <w:tc>
          <w:tcPr>
            <w:tcW w:w="0" w:type="auto"/>
            <w:shd w:val="clear" w:color="auto" w:fill="CAEDFB" w:themeFill="accent4" w:themeFillTint="33"/>
            <w:vAlign w:val="center"/>
            <w:hideMark/>
          </w:tcPr>
          <w:p w14:paraId="3DFD8207"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Hotel Operations &amp; Frontline Staff</w:t>
            </w:r>
          </w:p>
        </w:tc>
        <w:tc>
          <w:tcPr>
            <w:tcW w:w="0" w:type="auto"/>
            <w:shd w:val="clear" w:color="auto" w:fill="D9F2D0" w:themeFill="accent6" w:themeFillTint="33"/>
            <w:vAlign w:val="center"/>
            <w:hideMark/>
          </w:tcPr>
          <w:p w14:paraId="41721212"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Monthly + intensive pre-launch</w:t>
            </w:r>
          </w:p>
        </w:tc>
        <w:tc>
          <w:tcPr>
            <w:tcW w:w="0" w:type="auto"/>
            <w:shd w:val="clear" w:color="auto" w:fill="DAE9F7" w:themeFill="text2" w:themeFillTint="1A"/>
            <w:vAlign w:val="center"/>
            <w:hideMark/>
          </w:tcPr>
          <w:p w14:paraId="502C19F9"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Staff intranet/app + virtual town halls</w:t>
            </w:r>
          </w:p>
        </w:tc>
        <w:tc>
          <w:tcPr>
            <w:tcW w:w="0" w:type="auto"/>
            <w:shd w:val="clear" w:color="auto" w:fill="FEFBD2"/>
            <w:vAlign w:val="center"/>
            <w:hideMark/>
          </w:tcPr>
          <w:p w14:paraId="46ED52B4"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Operations Manager + HR</w:t>
            </w:r>
          </w:p>
        </w:tc>
      </w:tr>
      <w:tr w:rsidR="00E66D95" w:rsidRPr="00E66D95" w14:paraId="281715EE" w14:textId="77777777" w:rsidTr="008028F0">
        <w:trPr>
          <w:tblCellSpacing w:w="15" w:type="dxa"/>
          <w:jc w:val="center"/>
        </w:trPr>
        <w:tc>
          <w:tcPr>
            <w:tcW w:w="0" w:type="auto"/>
            <w:shd w:val="clear" w:color="auto" w:fill="F2CEED" w:themeFill="accent5" w:themeFillTint="33"/>
            <w:vAlign w:val="center"/>
            <w:hideMark/>
          </w:tcPr>
          <w:p w14:paraId="74C77D39"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Service benefits, how to use features, privacy notice, sustainability impact</w:t>
            </w:r>
          </w:p>
        </w:tc>
        <w:tc>
          <w:tcPr>
            <w:tcW w:w="0" w:type="auto"/>
            <w:shd w:val="clear" w:color="auto" w:fill="CAEDFB" w:themeFill="accent4" w:themeFillTint="33"/>
            <w:vAlign w:val="center"/>
            <w:hideMark/>
          </w:tcPr>
          <w:p w14:paraId="241BFC9A"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Guests / Customers</w:t>
            </w:r>
          </w:p>
        </w:tc>
        <w:tc>
          <w:tcPr>
            <w:tcW w:w="0" w:type="auto"/>
            <w:shd w:val="clear" w:color="auto" w:fill="D9F2D0" w:themeFill="accent6" w:themeFillTint="33"/>
            <w:vAlign w:val="center"/>
            <w:hideMark/>
          </w:tcPr>
          <w:p w14:paraId="60B67463"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Pre-launch teaser → ongoing post-launch</w:t>
            </w:r>
          </w:p>
        </w:tc>
        <w:tc>
          <w:tcPr>
            <w:tcW w:w="0" w:type="auto"/>
            <w:shd w:val="clear" w:color="auto" w:fill="DAE9F7" w:themeFill="text2" w:themeFillTint="1A"/>
            <w:vAlign w:val="center"/>
            <w:hideMark/>
          </w:tcPr>
          <w:p w14:paraId="529BEF01"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IHG app notifications + email + in-hotel signage</w:t>
            </w:r>
          </w:p>
        </w:tc>
        <w:tc>
          <w:tcPr>
            <w:tcW w:w="0" w:type="auto"/>
            <w:shd w:val="clear" w:color="auto" w:fill="FEFBD2"/>
            <w:vAlign w:val="center"/>
            <w:hideMark/>
          </w:tcPr>
          <w:p w14:paraId="432CC890"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Marketing + Guest Experience Team</w:t>
            </w:r>
          </w:p>
        </w:tc>
      </w:tr>
      <w:tr w:rsidR="00E66D95" w:rsidRPr="00E66D95" w14:paraId="7D18A196" w14:textId="77777777" w:rsidTr="008028F0">
        <w:trPr>
          <w:tblCellSpacing w:w="15" w:type="dxa"/>
          <w:jc w:val="center"/>
        </w:trPr>
        <w:tc>
          <w:tcPr>
            <w:tcW w:w="0" w:type="auto"/>
            <w:shd w:val="clear" w:color="auto" w:fill="F2CEED" w:themeFill="accent5" w:themeFillTint="33"/>
            <w:vAlign w:val="center"/>
            <w:hideMark/>
          </w:tcPr>
          <w:p w14:paraId="18B1083B"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Requirements, joint testing plans, timelines, performance SLAs</w:t>
            </w:r>
          </w:p>
        </w:tc>
        <w:tc>
          <w:tcPr>
            <w:tcW w:w="0" w:type="auto"/>
            <w:shd w:val="clear" w:color="auto" w:fill="CAEDFB" w:themeFill="accent4" w:themeFillTint="33"/>
            <w:vAlign w:val="center"/>
            <w:hideMark/>
          </w:tcPr>
          <w:p w14:paraId="5A957ED2"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Suppliers / Technology Partners</w:t>
            </w:r>
          </w:p>
        </w:tc>
        <w:tc>
          <w:tcPr>
            <w:tcW w:w="0" w:type="auto"/>
            <w:shd w:val="clear" w:color="auto" w:fill="D9F2D0" w:themeFill="accent6" w:themeFillTint="33"/>
            <w:vAlign w:val="center"/>
            <w:hideMark/>
          </w:tcPr>
          <w:p w14:paraId="342F31C1"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Bi-weekly</w:t>
            </w:r>
          </w:p>
        </w:tc>
        <w:tc>
          <w:tcPr>
            <w:tcW w:w="0" w:type="auto"/>
            <w:shd w:val="clear" w:color="auto" w:fill="DAE9F7" w:themeFill="text2" w:themeFillTint="1A"/>
            <w:vAlign w:val="center"/>
            <w:hideMark/>
          </w:tcPr>
          <w:p w14:paraId="11948F6F"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Dedicated project channel + progress calls</w:t>
            </w:r>
          </w:p>
        </w:tc>
        <w:tc>
          <w:tcPr>
            <w:tcW w:w="0" w:type="auto"/>
            <w:shd w:val="clear" w:color="auto" w:fill="FEFBD2"/>
            <w:vAlign w:val="center"/>
            <w:hideMark/>
          </w:tcPr>
          <w:p w14:paraId="0B4F5265"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Procurement + IT Lead</w:t>
            </w:r>
          </w:p>
        </w:tc>
      </w:tr>
      <w:tr w:rsidR="00E66D95" w:rsidRPr="00E66D95" w14:paraId="08DFB6C1" w14:textId="77777777" w:rsidTr="008028F0">
        <w:trPr>
          <w:tblCellSpacing w:w="15" w:type="dxa"/>
          <w:jc w:val="center"/>
        </w:trPr>
        <w:tc>
          <w:tcPr>
            <w:tcW w:w="0" w:type="auto"/>
            <w:shd w:val="clear" w:color="auto" w:fill="F2CEED" w:themeFill="accent5" w:themeFillTint="33"/>
            <w:vAlign w:val="center"/>
            <w:hideMark/>
          </w:tcPr>
          <w:p w14:paraId="34FC00D6"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 xml:space="preserve">Data privacy impact assessment, GDPR/CCPA </w:t>
            </w:r>
            <w:r w:rsidRPr="00E66D95">
              <w:rPr>
                <w:rFonts w:ascii="Arial" w:hAnsi="Arial" w:cs="Arial"/>
                <w:sz w:val="22"/>
                <w:szCs w:val="22"/>
              </w:rPr>
              <w:lastRenderedPageBreak/>
              <w:t>alignment, audit trail</w:t>
            </w:r>
          </w:p>
        </w:tc>
        <w:tc>
          <w:tcPr>
            <w:tcW w:w="0" w:type="auto"/>
            <w:shd w:val="clear" w:color="auto" w:fill="CAEDFB" w:themeFill="accent4" w:themeFillTint="33"/>
            <w:vAlign w:val="center"/>
            <w:hideMark/>
          </w:tcPr>
          <w:p w14:paraId="42B8E9A2"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lastRenderedPageBreak/>
              <w:t>Regulators &amp; Compliance Bodies</w:t>
            </w:r>
          </w:p>
        </w:tc>
        <w:tc>
          <w:tcPr>
            <w:tcW w:w="0" w:type="auto"/>
            <w:shd w:val="clear" w:color="auto" w:fill="D9F2D0" w:themeFill="accent6" w:themeFillTint="33"/>
            <w:vAlign w:val="center"/>
            <w:hideMark/>
          </w:tcPr>
          <w:p w14:paraId="4AE7C82A"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As required + quarterly summary</w:t>
            </w:r>
          </w:p>
        </w:tc>
        <w:tc>
          <w:tcPr>
            <w:tcW w:w="0" w:type="auto"/>
            <w:shd w:val="clear" w:color="auto" w:fill="DAE9F7" w:themeFill="text2" w:themeFillTint="1A"/>
            <w:vAlign w:val="center"/>
            <w:hideMark/>
          </w:tcPr>
          <w:p w14:paraId="38F6C4B5"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Formal letters + compliance reports + meetings</w:t>
            </w:r>
          </w:p>
        </w:tc>
        <w:tc>
          <w:tcPr>
            <w:tcW w:w="0" w:type="auto"/>
            <w:shd w:val="clear" w:color="auto" w:fill="FEFBD2"/>
            <w:vAlign w:val="center"/>
            <w:hideMark/>
          </w:tcPr>
          <w:p w14:paraId="6DE5183C"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Legal &amp; Compliance Lead</w:t>
            </w:r>
          </w:p>
        </w:tc>
      </w:tr>
      <w:tr w:rsidR="00E66D95" w:rsidRPr="00E66D95" w14:paraId="72C192B2" w14:textId="77777777" w:rsidTr="008028F0">
        <w:trPr>
          <w:tblCellSpacing w:w="15" w:type="dxa"/>
          <w:jc w:val="center"/>
        </w:trPr>
        <w:tc>
          <w:tcPr>
            <w:tcW w:w="0" w:type="auto"/>
            <w:shd w:val="clear" w:color="auto" w:fill="F2CEED" w:themeFill="accent5" w:themeFillTint="33"/>
            <w:vAlign w:val="center"/>
            <w:hideMark/>
          </w:tcPr>
          <w:p w14:paraId="0972AE75"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Eco-features overview, community benefits, carbon offset information</w:t>
            </w:r>
          </w:p>
        </w:tc>
        <w:tc>
          <w:tcPr>
            <w:tcW w:w="0" w:type="auto"/>
            <w:shd w:val="clear" w:color="auto" w:fill="CAEDFB" w:themeFill="accent4" w:themeFillTint="33"/>
            <w:vAlign w:val="center"/>
            <w:hideMark/>
          </w:tcPr>
          <w:p w14:paraId="0F9B75A8"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Local Communities &amp; NGOs</w:t>
            </w:r>
          </w:p>
        </w:tc>
        <w:tc>
          <w:tcPr>
            <w:tcW w:w="0" w:type="auto"/>
            <w:shd w:val="clear" w:color="auto" w:fill="D9F2D0" w:themeFill="accent6" w:themeFillTint="33"/>
            <w:vAlign w:val="center"/>
            <w:hideMark/>
          </w:tcPr>
          <w:p w14:paraId="59FD5584"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Quarterly + pre-launch</w:t>
            </w:r>
          </w:p>
        </w:tc>
        <w:tc>
          <w:tcPr>
            <w:tcW w:w="0" w:type="auto"/>
            <w:shd w:val="clear" w:color="auto" w:fill="DAE9F7" w:themeFill="text2" w:themeFillTint="1A"/>
            <w:vAlign w:val="center"/>
            <w:hideMark/>
          </w:tcPr>
          <w:p w14:paraId="66C69E97"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Community webinars + sustainability reports</w:t>
            </w:r>
          </w:p>
        </w:tc>
        <w:tc>
          <w:tcPr>
            <w:tcW w:w="0" w:type="auto"/>
            <w:shd w:val="clear" w:color="auto" w:fill="FEFBD2"/>
            <w:vAlign w:val="center"/>
            <w:hideMark/>
          </w:tcPr>
          <w:p w14:paraId="6CBEE770"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Sustainability Manager</w:t>
            </w:r>
          </w:p>
        </w:tc>
      </w:tr>
      <w:tr w:rsidR="00E66D95" w:rsidRPr="009A57B1" w14:paraId="72132C74" w14:textId="77777777" w:rsidTr="008028F0">
        <w:trPr>
          <w:tblCellSpacing w:w="15" w:type="dxa"/>
          <w:jc w:val="center"/>
        </w:trPr>
        <w:tc>
          <w:tcPr>
            <w:tcW w:w="0" w:type="auto"/>
            <w:shd w:val="clear" w:color="auto" w:fill="F2CEED" w:themeFill="accent5" w:themeFillTint="33"/>
            <w:vAlign w:val="center"/>
            <w:hideMark/>
          </w:tcPr>
          <w:p w14:paraId="07259CCC"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Strategic rationale, progress highlights, expected financial &amp; brand impact</w:t>
            </w:r>
          </w:p>
        </w:tc>
        <w:tc>
          <w:tcPr>
            <w:tcW w:w="0" w:type="auto"/>
            <w:shd w:val="clear" w:color="auto" w:fill="CAEDFB" w:themeFill="accent4" w:themeFillTint="33"/>
            <w:vAlign w:val="center"/>
            <w:hideMark/>
          </w:tcPr>
          <w:p w14:paraId="48FCE166"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Investors / Shareholders</w:t>
            </w:r>
          </w:p>
        </w:tc>
        <w:tc>
          <w:tcPr>
            <w:tcW w:w="0" w:type="auto"/>
            <w:shd w:val="clear" w:color="auto" w:fill="D9F2D0" w:themeFill="accent6" w:themeFillTint="33"/>
            <w:vAlign w:val="center"/>
            <w:hideMark/>
          </w:tcPr>
          <w:p w14:paraId="285FF51A"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Quarterly</w:t>
            </w:r>
          </w:p>
        </w:tc>
        <w:tc>
          <w:tcPr>
            <w:tcW w:w="0" w:type="auto"/>
            <w:shd w:val="clear" w:color="auto" w:fill="DAE9F7" w:themeFill="text2" w:themeFillTint="1A"/>
            <w:vAlign w:val="center"/>
            <w:hideMark/>
          </w:tcPr>
          <w:p w14:paraId="044AA145"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Investor updates + earnings call sections</w:t>
            </w:r>
          </w:p>
        </w:tc>
        <w:tc>
          <w:tcPr>
            <w:tcW w:w="0" w:type="auto"/>
            <w:shd w:val="clear" w:color="auto" w:fill="FEFBD2"/>
            <w:vAlign w:val="center"/>
            <w:hideMark/>
          </w:tcPr>
          <w:p w14:paraId="3E1977BC"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Project Manager + Investor Relations</w:t>
            </w:r>
          </w:p>
        </w:tc>
      </w:tr>
      <w:tr w:rsidR="00E66D95" w:rsidRPr="00E66D95" w14:paraId="0E24D112" w14:textId="77777777" w:rsidTr="008028F0">
        <w:trPr>
          <w:tblCellSpacing w:w="15" w:type="dxa"/>
          <w:jc w:val="center"/>
        </w:trPr>
        <w:tc>
          <w:tcPr>
            <w:tcW w:w="0" w:type="auto"/>
            <w:shd w:val="clear" w:color="auto" w:fill="F2CEED" w:themeFill="accent5" w:themeFillTint="33"/>
            <w:vAlign w:val="center"/>
            <w:hideMark/>
          </w:tcPr>
          <w:p w14:paraId="649D5114"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Key facts, guest experience stories, sustainability angle, exclusive previews</w:t>
            </w:r>
          </w:p>
        </w:tc>
        <w:tc>
          <w:tcPr>
            <w:tcW w:w="0" w:type="auto"/>
            <w:shd w:val="clear" w:color="auto" w:fill="CAEDFB" w:themeFill="accent4" w:themeFillTint="33"/>
            <w:vAlign w:val="center"/>
            <w:hideMark/>
          </w:tcPr>
          <w:p w14:paraId="023C5EAF"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Media &amp; Influencers</w:t>
            </w:r>
          </w:p>
        </w:tc>
        <w:tc>
          <w:tcPr>
            <w:tcW w:w="0" w:type="auto"/>
            <w:shd w:val="clear" w:color="auto" w:fill="D9F2D0" w:themeFill="accent6" w:themeFillTint="33"/>
            <w:vAlign w:val="center"/>
            <w:hideMark/>
          </w:tcPr>
          <w:p w14:paraId="6109210F"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Pre-launch + launch phase</w:t>
            </w:r>
          </w:p>
        </w:tc>
        <w:tc>
          <w:tcPr>
            <w:tcW w:w="0" w:type="auto"/>
            <w:shd w:val="clear" w:color="auto" w:fill="DAE9F7" w:themeFill="text2" w:themeFillTint="1A"/>
            <w:vAlign w:val="center"/>
            <w:hideMark/>
          </w:tcPr>
          <w:p w14:paraId="36463337"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Press releases + media briefings + partnerships</w:t>
            </w:r>
          </w:p>
        </w:tc>
        <w:tc>
          <w:tcPr>
            <w:tcW w:w="0" w:type="auto"/>
            <w:shd w:val="clear" w:color="auto" w:fill="FEFBD2"/>
            <w:vAlign w:val="center"/>
            <w:hideMark/>
          </w:tcPr>
          <w:p w14:paraId="3E278BA3" w14:textId="77777777" w:rsidR="00E66D95" w:rsidRPr="00E66D95" w:rsidRDefault="00E66D95" w:rsidP="008028F0">
            <w:pPr>
              <w:spacing w:line="360" w:lineRule="auto"/>
              <w:jc w:val="center"/>
              <w:rPr>
                <w:rFonts w:ascii="Arial" w:hAnsi="Arial" w:cs="Arial"/>
                <w:sz w:val="22"/>
                <w:szCs w:val="22"/>
              </w:rPr>
            </w:pPr>
            <w:r w:rsidRPr="00E66D95">
              <w:rPr>
                <w:rFonts w:ascii="Arial" w:hAnsi="Arial" w:cs="Arial"/>
                <w:sz w:val="22"/>
                <w:szCs w:val="22"/>
              </w:rPr>
              <w:t>PR / Communications Lead</w:t>
            </w:r>
          </w:p>
        </w:tc>
      </w:tr>
    </w:tbl>
    <w:p w14:paraId="16164922" w14:textId="77777777" w:rsidR="0044425F" w:rsidRDefault="0044425F" w:rsidP="0044425F">
      <w:pPr>
        <w:spacing w:line="360" w:lineRule="auto"/>
        <w:jc w:val="both"/>
        <w:rPr>
          <w:rFonts w:ascii="Arial" w:hAnsi="Arial" w:cs="Arial"/>
          <w:sz w:val="24"/>
          <w:szCs w:val="24"/>
        </w:rPr>
      </w:pPr>
    </w:p>
    <w:p w14:paraId="0943A4F5" w14:textId="1CC7FC49" w:rsidR="0044425F" w:rsidRPr="00E967D6" w:rsidRDefault="0044425F" w:rsidP="008028F0">
      <w:pPr>
        <w:pStyle w:val="Heading2"/>
      </w:pPr>
      <w:bookmarkStart w:id="14" w:name="_Toc225023020"/>
      <w:r w:rsidRPr="00E967D6">
        <w:t>Explanation of the Roles and Responsibilities of the Key Stakeholders as Well as the Benefits They Bring and Challenges These Stakeholders May Face</w:t>
      </w:r>
      <w:bookmarkEnd w:id="14"/>
    </w:p>
    <w:p w14:paraId="031BF20C" w14:textId="77777777" w:rsidR="0044425F" w:rsidRPr="003751BB" w:rsidRDefault="0044425F" w:rsidP="0044425F">
      <w:pPr>
        <w:spacing w:line="360" w:lineRule="auto"/>
        <w:jc w:val="both"/>
        <w:rPr>
          <w:rFonts w:ascii="Arial" w:hAnsi="Arial" w:cs="Arial"/>
          <w:sz w:val="22"/>
          <w:szCs w:val="22"/>
        </w:rPr>
      </w:pPr>
      <w:r w:rsidRPr="003751BB">
        <w:rPr>
          <w:rFonts w:ascii="Arial" w:hAnsi="Arial" w:cs="Arial"/>
          <w:sz w:val="22"/>
          <w:szCs w:val="22"/>
        </w:rPr>
        <w:t>Drawing on resource dependence theory, stakeholders provide critical resources while facing interdependencies that create challenges (Pfeffer and Salancik, 1978; Hillman et al., 2009). For StaySmart+, roles, responsibilities, benefits, and challenges are explained, applying legitimacy theory for ethical claims (Suchman, 1995; John, 2026).</w:t>
      </w:r>
    </w:p>
    <w:p w14:paraId="62215BD2" w14:textId="77777777" w:rsidR="0044425F" w:rsidRPr="00C24F21" w:rsidRDefault="0044425F" w:rsidP="008028F0">
      <w:pPr>
        <w:pStyle w:val="Heading3"/>
      </w:pPr>
      <w:bookmarkStart w:id="15" w:name="_Toc225023021"/>
      <w:r w:rsidRPr="00C24F21">
        <w:t>Internal Stakeholders</w:t>
      </w:r>
      <w:bookmarkEnd w:id="15"/>
    </w:p>
    <w:p w14:paraId="7DEE69DC" w14:textId="77777777" w:rsidR="0086434F"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Senior Management/Board: </w:t>
      </w:r>
    </w:p>
    <w:p w14:paraId="537F523E" w14:textId="77777777" w:rsidR="006C630C" w:rsidRDefault="0044425F" w:rsidP="009730EC">
      <w:pPr>
        <w:numPr>
          <w:ilvl w:val="1"/>
          <w:numId w:val="24"/>
        </w:numPr>
        <w:spacing w:line="360" w:lineRule="auto"/>
        <w:jc w:val="both"/>
        <w:rPr>
          <w:rFonts w:ascii="Arial" w:hAnsi="Arial" w:cs="Arial"/>
          <w:sz w:val="22"/>
          <w:szCs w:val="22"/>
        </w:rPr>
      </w:pPr>
      <w:r w:rsidRPr="00BC2B10">
        <w:rPr>
          <w:rFonts w:ascii="Arial" w:hAnsi="Arial" w:cs="Arial"/>
          <w:sz w:val="22"/>
          <w:szCs w:val="22"/>
        </w:rPr>
        <w:t>Role: Decision-making</w:t>
      </w:r>
    </w:p>
    <w:p w14:paraId="790D5BE0" w14:textId="4BE2AE69" w:rsidR="006C630C" w:rsidRDefault="006C630C" w:rsidP="009730EC">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 xml:space="preserve">esponsibilities: Strategic alignment, budget oversight </w:t>
      </w:r>
    </w:p>
    <w:p w14:paraId="30B525B9" w14:textId="77175234" w:rsidR="006C630C" w:rsidRDefault="0044425F" w:rsidP="009730EC">
      <w:pPr>
        <w:numPr>
          <w:ilvl w:val="1"/>
          <w:numId w:val="24"/>
        </w:numPr>
        <w:spacing w:line="360" w:lineRule="auto"/>
        <w:jc w:val="both"/>
        <w:rPr>
          <w:rFonts w:ascii="Arial" w:hAnsi="Arial" w:cs="Arial"/>
          <w:sz w:val="22"/>
          <w:szCs w:val="22"/>
        </w:rPr>
      </w:pPr>
      <w:r w:rsidRPr="00BC2B10">
        <w:rPr>
          <w:rFonts w:ascii="Arial" w:hAnsi="Arial" w:cs="Arial"/>
          <w:sz w:val="22"/>
          <w:szCs w:val="22"/>
        </w:rPr>
        <w:t>Benefits: Enhanced revenue (e.g., +3% RevPAR from AI, PwC, 2025)</w:t>
      </w:r>
    </w:p>
    <w:p w14:paraId="34CC809A" w14:textId="108A9CFC" w:rsidR="0044425F" w:rsidRPr="00BC2B10" w:rsidRDefault="0044425F" w:rsidP="009730EC">
      <w:pPr>
        <w:numPr>
          <w:ilvl w:val="1"/>
          <w:numId w:val="24"/>
        </w:numPr>
        <w:spacing w:line="360" w:lineRule="auto"/>
        <w:jc w:val="both"/>
        <w:rPr>
          <w:rFonts w:ascii="Arial" w:hAnsi="Arial" w:cs="Arial"/>
          <w:sz w:val="22"/>
          <w:szCs w:val="22"/>
        </w:rPr>
      </w:pPr>
      <w:r w:rsidRPr="00BC2B10">
        <w:rPr>
          <w:rFonts w:ascii="Arial" w:hAnsi="Arial" w:cs="Arial"/>
          <w:sz w:val="22"/>
          <w:szCs w:val="22"/>
        </w:rPr>
        <w:t>Challenges: Balancing global vs. local adaptations amid geopolitical risks, potentially causing delays (Hospitality Net, 2025).</w:t>
      </w:r>
    </w:p>
    <w:p w14:paraId="186A94FF" w14:textId="77777777" w:rsidR="00621346"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Product Development Team: </w:t>
      </w:r>
    </w:p>
    <w:p w14:paraId="6D157CD9" w14:textId="3FD199D8" w:rsidR="00621346" w:rsidRDefault="0044425F" w:rsidP="00621346">
      <w:pPr>
        <w:numPr>
          <w:ilvl w:val="1"/>
          <w:numId w:val="24"/>
        </w:numPr>
        <w:spacing w:line="360" w:lineRule="auto"/>
        <w:jc w:val="both"/>
        <w:rPr>
          <w:rFonts w:ascii="Arial" w:hAnsi="Arial" w:cs="Arial"/>
          <w:sz w:val="22"/>
          <w:szCs w:val="22"/>
        </w:rPr>
      </w:pPr>
      <w:r w:rsidRPr="00BC2B10">
        <w:rPr>
          <w:rFonts w:ascii="Arial" w:hAnsi="Arial" w:cs="Arial"/>
          <w:sz w:val="22"/>
          <w:szCs w:val="22"/>
        </w:rPr>
        <w:t>Role: Innovation</w:t>
      </w:r>
    </w:p>
    <w:p w14:paraId="4855F6FE" w14:textId="77777777" w:rsidR="00621346" w:rsidRDefault="00621346" w:rsidP="00621346">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Feature testing</w:t>
      </w:r>
    </w:p>
    <w:p w14:paraId="16F4E867" w14:textId="77777777" w:rsidR="00621346" w:rsidRDefault="0044425F" w:rsidP="00621346">
      <w:pPr>
        <w:numPr>
          <w:ilvl w:val="1"/>
          <w:numId w:val="24"/>
        </w:numPr>
        <w:spacing w:line="360" w:lineRule="auto"/>
        <w:jc w:val="both"/>
        <w:rPr>
          <w:rFonts w:ascii="Arial" w:hAnsi="Arial" w:cs="Arial"/>
          <w:sz w:val="22"/>
          <w:szCs w:val="22"/>
        </w:rPr>
      </w:pPr>
      <w:r w:rsidRPr="00BC2B10">
        <w:rPr>
          <w:rFonts w:ascii="Arial" w:hAnsi="Arial" w:cs="Arial"/>
          <w:sz w:val="22"/>
          <w:szCs w:val="22"/>
        </w:rPr>
        <w:t xml:space="preserve">Benefits: Positions IHG as AI leader, fostering expertise (Cozzio et al., 2025). </w:t>
      </w:r>
    </w:p>
    <w:p w14:paraId="246E6159" w14:textId="58AA43B9" w:rsidR="0044425F" w:rsidRPr="00BC2B10" w:rsidRDefault="0044425F" w:rsidP="00621346">
      <w:pPr>
        <w:numPr>
          <w:ilvl w:val="1"/>
          <w:numId w:val="24"/>
        </w:numPr>
        <w:spacing w:line="360" w:lineRule="auto"/>
        <w:jc w:val="both"/>
        <w:rPr>
          <w:rFonts w:ascii="Arial" w:hAnsi="Arial" w:cs="Arial"/>
          <w:sz w:val="22"/>
          <w:szCs w:val="22"/>
        </w:rPr>
      </w:pPr>
      <w:r w:rsidRPr="00BC2B10">
        <w:rPr>
          <w:rFonts w:ascii="Arial" w:hAnsi="Arial" w:cs="Arial"/>
          <w:sz w:val="22"/>
          <w:szCs w:val="22"/>
        </w:rPr>
        <w:lastRenderedPageBreak/>
        <w:t>Challenges: Integration with legacy systems, risking scalability issues (Deloitte, 2026).</w:t>
      </w:r>
    </w:p>
    <w:p w14:paraId="00A7AA92" w14:textId="77777777" w:rsidR="00615421"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Marketing/Sales: </w:t>
      </w:r>
    </w:p>
    <w:p w14:paraId="28EED790" w14:textId="77777777" w:rsidR="00615421" w:rsidRDefault="0044425F" w:rsidP="00615421">
      <w:pPr>
        <w:numPr>
          <w:ilvl w:val="1"/>
          <w:numId w:val="24"/>
        </w:numPr>
        <w:spacing w:line="360" w:lineRule="auto"/>
        <w:jc w:val="both"/>
        <w:rPr>
          <w:rFonts w:ascii="Arial" w:hAnsi="Arial" w:cs="Arial"/>
          <w:sz w:val="22"/>
          <w:szCs w:val="22"/>
        </w:rPr>
      </w:pPr>
      <w:r w:rsidRPr="00BC2B10">
        <w:rPr>
          <w:rFonts w:ascii="Arial" w:hAnsi="Arial" w:cs="Arial"/>
          <w:sz w:val="22"/>
          <w:szCs w:val="22"/>
        </w:rPr>
        <w:t>Role: Promotion</w:t>
      </w:r>
    </w:p>
    <w:p w14:paraId="3BC770E3" w14:textId="77777777" w:rsidR="00615421" w:rsidRDefault="00615421" w:rsidP="00615421">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Campaigns</w:t>
      </w:r>
    </w:p>
    <w:p w14:paraId="29F5FF11" w14:textId="05EA55E4" w:rsidR="00615421" w:rsidRDefault="0044425F" w:rsidP="00615421">
      <w:pPr>
        <w:numPr>
          <w:ilvl w:val="1"/>
          <w:numId w:val="24"/>
        </w:numPr>
        <w:spacing w:line="360" w:lineRule="auto"/>
        <w:jc w:val="both"/>
        <w:rPr>
          <w:rFonts w:ascii="Arial" w:hAnsi="Arial" w:cs="Arial"/>
          <w:sz w:val="22"/>
          <w:szCs w:val="22"/>
        </w:rPr>
      </w:pPr>
      <w:r w:rsidRPr="00BC2B10">
        <w:rPr>
          <w:rFonts w:ascii="Arial" w:hAnsi="Arial" w:cs="Arial"/>
          <w:sz w:val="22"/>
          <w:szCs w:val="22"/>
        </w:rPr>
        <w:t>Benefits: Increased bookings via personalization (25% satisfaction uplift, NetSuite, 2025)</w:t>
      </w:r>
    </w:p>
    <w:p w14:paraId="39995F29" w14:textId="6D4277AC" w:rsidR="0044425F" w:rsidRPr="00BC2B10" w:rsidRDefault="0044425F" w:rsidP="00615421">
      <w:pPr>
        <w:numPr>
          <w:ilvl w:val="1"/>
          <w:numId w:val="24"/>
        </w:numPr>
        <w:spacing w:line="360" w:lineRule="auto"/>
        <w:jc w:val="both"/>
        <w:rPr>
          <w:rFonts w:ascii="Arial" w:hAnsi="Arial" w:cs="Arial"/>
          <w:sz w:val="22"/>
          <w:szCs w:val="22"/>
        </w:rPr>
      </w:pPr>
      <w:r w:rsidRPr="00BC2B10">
        <w:rPr>
          <w:rFonts w:ascii="Arial" w:hAnsi="Arial" w:cs="Arial"/>
          <w:sz w:val="22"/>
          <w:szCs w:val="22"/>
        </w:rPr>
        <w:t>Challenges: Cultural tailoring in diverse markets, per cross-cultural engagement theory (Wang, 2025).</w:t>
      </w:r>
    </w:p>
    <w:p w14:paraId="02DC0D79" w14:textId="77777777" w:rsidR="00615421"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IT/Operations: </w:t>
      </w:r>
    </w:p>
    <w:p w14:paraId="1A31AF7C" w14:textId="77777777" w:rsidR="00615421" w:rsidRDefault="0044425F" w:rsidP="00615421">
      <w:pPr>
        <w:numPr>
          <w:ilvl w:val="1"/>
          <w:numId w:val="24"/>
        </w:numPr>
        <w:spacing w:line="360" w:lineRule="auto"/>
        <w:jc w:val="both"/>
        <w:rPr>
          <w:rFonts w:ascii="Arial" w:hAnsi="Arial" w:cs="Arial"/>
          <w:sz w:val="22"/>
          <w:szCs w:val="22"/>
        </w:rPr>
      </w:pPr>
      <w:r w:rsidRPr="00BC2B10">
        <w:rPr>
          <w:rFonts w:ascii="Arial" w:hAnsi="Arial" w:cs="Arial"/>
          <w:sz w:val="22"/>
          <w:szCs w:val="22"/>
        </w:rPr>
        <w:t>Role: Deployment</w:t>
      </w:r>
    </w:p>
    <w:p w14:paraId="041D62D0" w14:textId="0539E0B1" w:rsidR="00615421" w:rsidRDefault="00615421" w:rsidP="00615421">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Security</w:t>
      </w:r>
    </w:p>
    <w:p w14:paraId="4DC85A62" w14:textId="2E716180" w:rsidR="00C21FF1" w:rsidRDefault="0044425F" w:rsidP="00615421">
      <w:pPr>
        <w:numPr>
          <w:ilvl w:val="1"/>
          <w:numId w:val="24"/>
        </w:numPr>
        <w:spacing w:line="360" w:lineRule="auto"/>
        <w:jc w:val="both"/>
        <w:rPr>
          <w:rFonts w:ascii="Arial" w:hAnsi="Arial" w:cs="Arial"/>
          <w:sz w:val="22"/>
          <w:szCs w:val="22"/>
        </w:rPr>
      </w:pPr>
      <w:r w:rsidRPr="00BC2B10">
        <w:rPr>
          <w:rFonts w:ascii="Arial" w:hAnsi="Arial" w:cs="Arial"/>
          <w:sz w:val="22"/>
          <w:szCs w:val="22"/>
        </w:rPr>
        <w:t>Benefits: Operational efficiency (15-20% workload reduction, HospitalityInsights, 2024)</w:t>
      </w:r>
    </w:p>
    <w:p w14:paraId="4BE47AD7" w14:textId="0B762078" w:rsidR="0044425F" w:rsidRPr="00BC2B10" w:rsidRDefault="0044425F" w:rsidP="00615421">
      <w:pPr>
        <w:numPr>
          <w:ilvl w:val="1"/>
          <w:numId w:val="24"/>
        </w:numPr>
        <w:spacing w:line="360" w:lineRule="auto"/>
        <w:jc w:val="both"/>
        <w:rPr>
          <w:rFonts w:ascii="Arial" w:hAnsi="Arial" w:cs="Arial"/>
          <w:sz w:val="22"/>
          <w:szCs w:val="22"/>
        </w:rPr>
      </w:pPr>
      <w:r w:rsidRPr="00BC2B10">
        <w:rPr>
          <w:rFonts w:ascii="Arial" w:hAnsi="Arial" w:cs="Arial"/>
          <w:sz w:val="22"/>
          <w:szCs w:val="22"/>
        </w:rPr>
        <w:t>Challenges: Cybersecurity threats, with 64% of firms citing risks (PwC, 2025).</w:t>
      </w:r>
    </w:p>
    <w:p w14:paraId="3CCC231D" w14:textId="77777777" w:rsidR="00C21FF1"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Employees/Staff: </w:t>
      </w:r>
    </w:p>
    <w:p w14:paraId="73CB3C40" w14:textId="77777777" w:rsidR="00C21FF1" w:rsidRDefault="0044425F" w:rsidP="00C21FF1">
      <w:pPr>
        <w:numPr>
          <w:ilvl w:val="1"/>
          <w:numId w:val="24"/>
        </w:numPr>
        <w:spacing w:line="360" w:lineRule="auto"/>
        <w:jc w:val="both"/>
        <w:rPr>
          <w:rFonts w:ascii="Arial" w:hAnsi="Arial" w:cs="Arial"/>
          <w:sz w:val="22"/>
          <w:szCs w:val="22"/>
        </w:rPr>
      </w:pPr>
      <w:r w:rsidRPr="00BC2B10">
        <w:rPr>
          <w:rFonts w:ascii="Arial" w:hAnsi="Arial" w:cs="Arial"/>
          <w:sz w:val="22"/>
          <w:szCs w:val="22"/>
        </w:rPr>
        <w:t>Role: Execution</w:t>
      </w:r>
    </w:p>
    <w:p w14:paraId="14282F68" w14:textId="77777777" w:rsidR="00C21FF1" w:rsidRDefault="00C21FF1" w:rsidP="00C21FF1">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Training</w:t>
      </w:r>
    </w:p>
    <w:p w14:paraId="39E2ED2B" w14:textId="77777777" w:rsidR="00C21FF1" w:rsidRDefault="0044425F" w:rsidP="00C21FF1">
      <w:pPr>
        <w:numPr>
          <w:ilvl w:val="1"/>
          <w:numId w:val="24"/>
        </w:numPr>
        <w:spacing w:line="360" w:lineRule="auto"/>
        <w:jc w:val="both"/>
        <w:rPr>
          <w:rFonts w:ascii="Arial" w:hAnsi="Arial" w:cs="Arial"/>
          <w:sz w:val="22"/>
          <w:szCs w:val="22"/>
        </w:rPr>
      </w:pPr>
      <w:r w:rsidRPr="00BC2B10">
        <w:rPr>
          <w:rFonts w:ascii="Arial" w:hAnsi="Arial" w:cs="Arial"/>
          <w:sz w:val="22"/>
          <w:szCs w:val="22"/>
        </w:rPr>
        <w:t>Benefits: Skill development in AI, improving job satisfaction (Zahidi et al., 2024)</w:t>
      </w:r>
    </w:p>
    <w:p w14:paraId="174966DF" w14:textId="0D6013C4" w:rsidR="0044425F" w:rsidRPr="00BC2B10" w:rsidRDefault="0044425F" w:rsidP="00C21FF1">
      <w:pPr>
        <w:numPr>
          <w:ilvl w:val="1"/>
          <w:numId w:val="24"/>
        </w:numPr>
        <w:spacing w:line="360" w:lineRule="auto"/>
        <w:jc w:val="both"/>
        <w:rPr>
          <w:rFonts w:ascii="Arial" w:hAnsi="Arial" w:cs="Arial"/>
          <w:sz w:val="22"/>
          <w:szCs w:val="22"/>
        </w:rPr>
      </w:pPr>
      <w:r w:rsidRPr="00BC2B10">
        <w:rPr>
          <w:rFonts w:ascii="Arial" w:hAnsi="Arial" w:cs="Arial"/>
          <w:sz w:val="22"/>
          <w:szCs w:val="22"/>
        </w:rPr>
        <w:t>Challenges: Job displacement fears (73.8% turnover rate, Akia, 2025).</w:t>
      </w:r>
    </w:p>
    <w:p w14:paraId="1C4BF2E8" w14:textId="77777777" w:rsidR="00F5246B"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Finance/Legal: </w:t>
      </w:r>
    </w:p>
    <w:p w14:paraId="64C929E7" w14:textId="77777777" w:rsidR="00F5246B" w:rsidRDefault="0044425F" w:rsidP="00F5246B">
      <w:pPr>
        <w:numPr>
          <w:ilvl w:val="1"/>
          <w:numId w:val="24"/>
        </w:numPr>
        <w:spacing w:line="360" w:lineRule="auto"/>
        <w:jc w:val="both"/>
        <w:rPr>
          <w:rFonts w:ascii="Arial" w:hAnsi="Arial" w:cs="Arial"/>
          <w:sz w:val="22"/>
          <w:szCs w:val="22"/>
        </w:rPr>
      </w:pPr>
      <w:r w:rsidRPr="00BC2B10">
        <w:rPr>
          <w:rFonts w:ascii="Arial" w:hAnsi="Arial" w:cs="Arial"/>
          <w:sz w:val="22"/>
          <w:szCs w:val="22"/>
        </w:rPr>
        <w:t>Role: Risk management</w:t>
      </w:r>
    </w:p>
    <w:p w14:paraId="3139AF4F" w14:textId="77777777" w:rsidR="00F5246B" w:rsidRDefault="00F5246B" w:rsidP="00F5246B">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 xml:space="preserve">esponsibilities: Audits </w:t>
      </w:r>
    </w:p>
    <w:p w14:paraId="4A41CEAA" w14:textId="77777777" w:rsidR="00F5246B" w:rsidRDefault="0044425F" w:rsidP="00F5246B">
      <w:pPr>
        <w:numPr>
          <w:ilvl w:val="1"/>
          <w:numId w:val="24"/>
        </w:numPr>
        <w:spacing w:line="360" w:lineRule="auto"/>
        <w:jc w:val="both"/>
        <w:rPr>
          <w:rFonts w:ascii="Arial" w:hAnsi="Arial" w:cs="Arial"/>
          <w:sz w:val="22"/>
          <w:szCs w:val="22"/>
        </w:rPr>
      </w:pPr>
      <w:r w:rsidRPr="00BC2B10">
        <w:rPr>
          <w:rFonts w:ascii="Arial" w:hAnsi="Arial" w:cs="Arial"/>
          <w:sz w:val="22"/>
          <w:szCs w:val="22"/>
        </w:rPr>
        <w:t>Benefits: Cost savings from sustainable features (UN Tourism, 2024)</w:t>
      </w:r>
    </w:p>
    <w:p w14:paraId="75FC278A" w14:textId="59A21C7C" w:rsidR="0044425F" w:rsidRPr="00BC2B10" w:rsidRDefault="0044425F" w:rsidP="00F5246B">
      <w:pPr>
        <w:numPr>
          <w:ilvl w:val="1"/>
          <w:numId w:val="24"/>
        </w:numPr>
        <w:spacing w:line="360" w:lineRule="auto"/>
        <w:jc w:val="both"/>
        <w:rPr>
          <w:rFonts w:ascii="Arial" w:hAnsi="Arial" w:cs="Arial"/>
          <w:sz w:val="22"/>
          <w:szCs w:val="22"/>
        </w:rPr>
      </w:pPr>
      <w:r w:rsidRPr="00BC2B10">
        <w:rPr>
          <w:rFonts w:ascii="Arial" w:hAnsi="Arial" w:cs="Arial"/>
          <w:sz w:val="22"/>
          <w:szCs w:val="22"/>
        </w:rPr>
        <w:t>Challenges: Navigating varying regulations, e.g., GDPR (Hasan, 2024).</w:t>
      </w:r>
    </w:p>
    <w:p w14:paraId="12E1C824" w14:textId="77777777" w:rsidR="00F5246B" w:rsidRDefault="0044425F" w:rsidP="0044425F">
      <w:pPr>
        <w:numPr>
          <w:ilvl w:val="0"/>
          <w:numId w:val="24"/>
        </w:numPr>
        <w:spacing w:line="360" w:lineRule="auto"/>
        <w:jc w:val="both"/>
        <w:rPr>
          <w:rFonts w:ascii="Arial" w:hAnsi="Arial" w:cs="Arial"/>
          <w:sz w:val="22"/>
          <w:szCs w:val="22"/>
        </w:rPr>
      </w:pPr>
      <w:r w:rsidRPr="00BC2B10">
        <w:rPr>
          <w:rFonts w:ascii="Arial" w:hAnsi="Arial" w:cs="Arial"/>
          <w:sz w:val="22"/>
          <w:szCs w:val="22"/>
        </w:rPr>
        <w:t xml:space="preserve">Sustainability Team: </w:t>
      </w:r>
    </w:p>
    <w:p w14:paraId="42F197DB" w14:textId="77777777" w:rsidR="005F073B" w:rsidRDefault="0044425F" w:rsidP="00F5246B">
      <w:pPr>
        <w:numPr>
          <w:ilvl w:val="1"/>
          <w:numId w:val="24"/>
        </w:numPr>
        <w:spacing w:line="360" w:lineRule="auto"/>
        <w:jc w:val="both"/>
        <w:rPr>
          <w:rFonts w:ascii="Arial" w:hAnsi="Arial" w:cs="Arial"/>
          <w:sz w:val="22"/>
          <w:szCs w:val="22"/>
        </w:rPr>
      </w:pPr>
      <w:r w:rsidRPr="00BC2B10">
        <w:rPr>
          <w:rFonts w:ascii="Arial" w:hAnsi="Arial" w:cs="Arial"/>
          <w:sz w:val="22"/>
          <w:szCs w:val="22"/>
        </w:rPr>
        <w:t>Role: Eco-compliance</w:t>
      </w:r>
    </w:p>
    <w:p w14:paraId="31531B75" w14:textId="77777777" w:rsidR="005F073B" w:rsidRDefault="005F073B" w:rsidP="00F5246B">
      <w:pPr>
        <w:numPr>
          <w:ilvl w:val="1"/>
          <w:numId w:val="24"/>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Metrics</w:t>
      </w:r>
    </w:p>
    <w:p w14:paraId="449807AB" w14:textId="77777777" w:rsidR="005F073B" w:rsidRDefault="0044425F" w:rsidP="00F5246B">
      <w:pPr>
        <w:numPr>
          <w:ilvl w:val="1"/>
          <w:numId w:val="24"/>
        </w:numPr>
        <w:spacing w:line="360" w:lineRule="auto"/>
        <w:jc w:val="both"/>
        <w:rPr>
          <w:rFonts w:ascii="Arial" w:hAnsi="Arial" w:cs="Arial"/>
          <w:sz w:val="22"/>
          <w:szCs w:val="22"/>
        </w:rPr>
      </w:pPr>
      <w:r w:rsidRPr="00BC2B10">
        <w:rPr>
          <w:rFonts w:ascii="Arial" w:hAnsi="Arial" w:cs="Arial"/>
          <w:sz w:val="22"/>
          <w:szCs w:val="22"/>
        </w:rPr>
        <w:t>Benefits: ESG alignment, attracting eco-travelers (Avendra, 2026)</w:t>
      </w:r>
    </w:p>
    <w:p w14:paraId="6585D19E" w14:textId="60840A9D" w:rsidR="0044425F" w:rsidRPr="00BC2B10" w:rsidRDefault="0044425F" w:rsidP="00F5246B">
      <w:pPr>
        <w:numPr>
          <w:ilvl w:val="1"/>
          <w:numId w:val="24"/>
        </w:numPr>
        <w:spacing w:line="360" w:lineRule="auto"/>
        <w:jc w:val="both"/>
        <w:rPr>
          <w:rFonts w:ascii="Arial" w:hAnsi="Arial" w:cs="Arial"/>
          <w:sz w:val="22"/>
          <w:szCs w:val="22"/>
        </w:rPr>
      </w:pPr>
      <w:r w:rsidRPr="00BC2B10">
        <w:rPr>
          <w:rFonts w:ascii="Arial" w:hAnsi="Arial" w:cs="Arial"/>
          <w:sz w:val="22"/>
          <w:szCs w:val="22"/>
        </w:rPr>
        <w:t>Challenges: Emission tracking amid portfolio growth (Sirivadhanawaravachara, 2025).</w:t>
      </w:r>
    </w:p>
    <w:p w14:paraId="59C7773C" w14:textId="77777777" w:rsidR="0044425F" w:rsidRPr="00C24F21" w:rsidRDefault="0044425F" w:rsidP="008028F0">
      <w:pPr>
        <w:pStyle w:val="Heading3"/>
      </w:pPr>
      <w:bookmarkStart w:id="16" w:name="_Toc225023022"/>
      <w:r w:rsidRPr="00C24F21">
        <w:t>External Stakeholders</w:t>
      </w:r>
      <w:bookmarkEnd w:id="16"/>
    </w:p>
    <w:p w14:paraId="0208A7C1" w14:textId="77777777" w:rsidR="005F073B"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Guests/Customers: </w:t>
      </w:r>
    </w:p>
    <w:p w14:paraId="7F8220C1" w14:textId="77777777" w:rsidR="005F073B" w:rsidRDefault="0044425F" w:rsidP="005F073B">
      <w:pPr>
        <w:numPr>
          <w:ilvl w:val="1"/>
          <w:numId w:val="25"/>
        </w:numPr>
        <w:spacing w:line="360" w:lineRule="auto"/>
        <w:jc w:val="both"/>
        <w:rPr>
          <w:rFonts w:ascii="Arial" w:hAnsi="Arial" w:cs="Arial"/>
          <w:sz w:val="22"/>
          <w:szCs w:val="22"/>
        </w:rPr>
      </w:pPr>
      <w:r w:rsidRPr="00BC2B10">
        <w:rPr>
          <w:rFonts w:ascii="Arial" w:hAnsi="Arial" w:cs="Arial"/>
          <w:sz w:val="22"/>
          <w:szCs w:val="22"/>
        </w:rPr>
        <w:t>Role: Adoption</w:t>
      </w:r>
    </w:p>
    <w:p w14:paraId="2621E3D0" w14:textId="77777777" w:rsidR="005F073B" w:rsidRDefault="005F073B" w:rsidP="005F073B">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Feedback</w:t>
      </w:r>
    </w:p>
    <w:p w14:paraId="0233B7B3" w14:textId="77777777" w:rsidR="005F073B" w:rsidRDefault="0044425F" w:rsidP="005F073B">
      <w:pPr>
        <w:numPr>
          <w:ilvl w:val="1"/>
          <w:numId w:val="25"/>
        </w:numPr>
        <w:spacing w:line="360" w:lineRule="auto"/>
        <w:jc w:val="both"/>
        <w:rPr>
          <w:rFonts w:ascii="Arial" w:hAnsi="Arial" w:cs="Arial"/>
          <w:sz w:val="22"/>
          <w:szCs w:val="22"/>
        </w:rPr>
      </w:pPr>
      <w:r w:rsidRPr="00BC2B10">
        <w:rPr>
          <w:rFonts w:ascii="Arial" w:hAnsi="Arial" w:cs="Arial"/>
          <w:sz w:val="22"/>
          <w:szCs w:val="22"/>
        </w:rPr>
        <w:t>Benefits: Personalized experiences (up to 25% higher spend, Media Thiga, 2025)</w:t>
      </w:r>
    </w:p>
    <w:p w14:paraId="543614A8" w14:textId="151AF584" w:rsidR="0044425F" w:rsidRPr="00BC2B10" w:rsidRDefault="0044425F" w:rsidP="005F073B">
      <w:pPr>
        <w:numPr>
          <w:ilvl w:val="1"/>
          <w:numId w:val="25"/>
        </w:numPr>
        <w:spacing w:line="360" w:lineRule="auto"/>
        <w:jc w:val="both"/>
        <w:rPr>
          <w:rFonts w:ascii="Arial" w:hAnsi="Arial" w:cs="Arial"/>
          <w:sz w:val="22"/>
          <w:szCs w:val="22"/>
        </w:rPr>
      </w:pPr>
      <w:r w:rsidRPr="00BC2B10">
        <w:rPr>
          <w:rFonts w:ascii="Arial" w:hAnsi="Arial" w:cs="Arial"/>
          <w:sz w:val="22"/>
          <w:szCs w:val="22"/>
        </w:rPr>
        <w:lastRenderedPageBreak/>
        <w:t>Challenges: Privacy concerns, eroding trust (HospitalityInsights, 2024).</w:t>
      </w:r>
    </w:p>
    <w:p w14:paraId="1061E0A9" w14:textId="77777777" w:rsidR="005F073B"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Suppliers/Partners: </w:t>
      </w:r>
    </w:p>
    <w:p w14:paraId="37BF72A6" w14:textId="77777777" w:rsidR="005F073B" w:rsidRDefault="0044425F" w:rsidP="005F073B">
      <w:pPr>
        <w:numPr>
          <w:ilvl w:val="1"/>
          <w:numId w:val="25"/>
        </w:numPr>
        <w:spacing w:line="360" w:lineRule="auto"/>
        <w:jc w:val="both"/>
        <w:rPr>
          <w:rFonts w:ascii="Arial" w:hAnsi="Arial" w:cs="Arial"/>
          <w:sz w:val="22"/>
          <w:szCs w:val="22"/>
        </w:rPr>
      </w:pPr>
      <w:r w:rsidRPr="00BC2B10">
        <w:rPr>
          <w:rFonts w:ascii="Arial" w:hAnsi="Arial" w:cs="Arial"/>
          <w:sz w:val="22"/>
          <w:szCs w:val="22"/>
        </w:rPr>
        <w:t>Role: Tech supply</w:t>
      </w:r>
    </w:p>
    <w:p w14:paraId="4534082D" w14:textId="77777777" w:rsidR="005F073B" w:rsidRDefault="005F073B" w:rsidP="005F073B">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Quality</w:t>
      </w:r>
    </w:p>
    <w:p w14:paraId="24239C48" w14:textId="77777777" w:rsidR="005F073B" w:rsidRDefault="0044425F" w:rsidP="005F073B">
      <w:pPr>
        <w:numPr>
          <w:ilvl w:val="1"/>
          <w:numId w:val="25"/>
        </w:numPr>
        <w:spacing w:line="360" w:lineRule="auto"/>
        <w:jc w:val="both"/>
        <w:rPr>
          <w:rFonts w:ascii="Arial" w:hAnsi="Arial" w:cs="Arial"/>
          <w:sz w:val="22"/>
          <w:szCs w:val="22"/>
        </w:rPr>
      </w:pPr>
      <w:r w:rsidRPr="00BC2B10">
        <w:rPr>
          <w:rFonts w:ascii="Arial" w:hAnsi="Arial" w:cs="Arial"/>
          <w:sz w:val="22"/>
          <w:szCs w:val="22"/>
        </w:rPr>
        <w:t>Benefits: Long-term collaborations, innovation sharing (Bag et al., 2024)</w:t>
      </w:r>
    </w:p>
    <w:p w14:paraId="39C36565" w14:textId="32DB5A4A" w:rsidR="0044425F" w:rsidRPr="00BC2B10" w:rsidRDefault="0044425F" w:rsidP="005F073B">
      <w:pPr>
        <w:numPr>
          <w:ilvl w:val="1"/>
          <w:numId w:val="25"/>
        </w:numPr>
        <w:spacing w:line="360" w:lineRule="auto"/>
        <w:jc w:val="both"/>
        <w:rPr>
          <w:rFonts w:ascii="Arial" w:hAnsi="Arial" w:cs="Arial"/>
          <w:sz w:val="22"/>
          <w:szCs w:val="22"/>
        </w:rPr>
      </w:pPr>
      <w:r w:rsidRPr="00BC2B10">
        <w:rPr>
          <w:rFonts w:ascii="Arial" w:hAnsi="Arial" w:cs="Arial"/>
          <w:sz w:val="22"/>
          <w:szCs w:val="22"/>
        </w:rPr>
        <w:t>Challenges: Dependency risks, over-reliance cited by 64% (PwC, 2025).</w:t>
      </w:r>
    </w:p>
    <w:p w14:paraId="7E515287" w14:textId="77777777" w:rsidR="005F073B"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Communities/NGOs: </w:t>
      </w:r>
    </w:p>
    <w:p w14:paraId="30071A43" w14:textId="77777777" w:rsidR="00C428B9" w:rsidRDefault="0044425F" w:rsidP="00C428B9">
      <w:pPr>
        <w:numPr>
          <w:ilvl w:val="1"/>
          <w:numId w:val="25"/>
        </w:numPr>
        <w:spacing w:line="360" w:lineRule="auto"/>
        <w:jc w:val="both"/>
        <w:rPr>
          <w:rFonts w:ascii="Arial" w:hAnsi="Arial" w:cs="Arial"/>
          <w:sz w:val="22"/>
          <w:szCs w:val="22"/>
        </w:rPr>
      </w:pPr>
      <w:r w:rsidRPr="00BC2B10">
        <w:rPr>
          <w:rFonts w:ascii="Arial" w:hAnsi="Arial" w:cs="Arial"/>
          <w:sz w:val="22"/>
          <w:szCs w:val="22"/>
        </w:rPr>
        <w:t>Role: Oversight</w:t>
      </w:r>
    </w:p>
    <w:p w14:paraId="2761C292" w14:textId="77777777" w:rsidR="00C428B9" w:rsidRDefault="00C428B9" w:rsidP="00C428B9">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Impact assessment</w:t>
      </w:r>
    </w:p>
    <w:p w14:paraId="14C6F187" w14:textId="77777777" w:rsidR="00C428B9" w:rsidRDefault="0044425F" w:rsidP="00C428B9">
      <w:pPr>
        <w:numPr>
          <w:ilvl w:val="1"/>
          <w:numId w:val="25"/>
        </w:numPr>
        <w:spacing w:line="360" w:lineRule="auto"/>
        <w:jc w:val="both"/>
        <w:rPr>
          <w:rFonts w:ascii="Arial" w:hAnsi="Arial" w:cs="Arial"/>
          <w:sz w:val="22"/>
          <w:szCs w:val="22"/>
        </w:rPr>
      </w:pPr>
      <w:r w:rsidRPr="00BC2B10">
        <w:rPr>
          <w:rFonts w:ascii="Arial" w:hAnsi="Arial" w:cs="Arial"/>
          <w:sz w:val="22"/>
          <w:szCs w:val="22"/>
        </w:rPr>
        <w:t>Benefits: Economic boosts, ethical legitimacy (Berggren Ek, 2021)</w:t>
      </w:r>
    </w:p>
    <w:p w14:paraId="1815B0E8" w14:textId="2F2C8ABB" w:rsidR="0044425F" w:rsidRPr="00BC2B10" w:rsidRDefault="0044425F" w:rsidP="00C428B9">
      <w:pPr>
        <w:numPr>
          <w:ilvl w:val="1"/>
          <w:numId w:val="25"/>
        </w:numPr>
        <w:spacing w:line="360" w:lineRule="auto"/>
        <w:jc w:val="both"/>
        <w:rPr>
          <w:rFonts w:ascii="Arial" w:hAnsi="Arial" w:cs="Arial"/>
          <w:sz w:val="22"/>
          <w:szCs w:val="22"/>
        </w:rPr>
      </w:pPr>
      <w:r w:rsidRPr="00BC2B10">
        <w:rPr>
          <w:rFonts w:ascii="Arial" w:hAnsi="Arial" w:cs="Arial"/>
          <w:sz w:val="22"/>
          <w:szCs w:val="22"/>
        </w:rPr>
        <w:t>Challenges: Superficial engagement, leading to exploitation claims (King et al., 2014).</w:t>
      </w:r>
    </w:p>
    <w:p w14:paraId="6A03B11A" w14:textId="77777777" w:rsidR="00C428B9"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Regulators: </w:t>
      </w:r>
    </w:p>
    <w:p w14:paraId="07A55995" w14:textId="77777777" w:rsidR="00C428B9" w:rsidRDefault="0044425F" w:rsidP="00C428B9">
      <w:pPr>
        <w:numPr>
          <w:ilvl w:val="1"/>
          <w:numId w:val="25"/>
        </w:numPr>
        <w:spacing w:line="360" w:lineRule="auto"/>
        <w:jc w:val="both"/>
        <w:rPr>
          <w:rFonts w:ascii="Arial" w:hAnsi="Arial" w:cs="Arial"/>
          <w:sz w:val="22"/>
          <w:szCs w:val="22"/>
        </w:rPr>
      </w:pPr>
      <w:r w:rsidRPr="00BC2B10">
        <w:rPr>
          <w:rFonts w:ascii="Arial" w:hAnsi="Arial" w:cs="Arial"/>
          <w:sz w:val="22"/>
          <w:szCs w:val="22"/>
        </w:rPr>
        <w:t>Role: Enforcement</w:t>
      </w:r>
    </w:p>
    <w:p w14:paraId="5B74ED71" w14:textId="77777777" w:rsidR="00980A80" w:rsidRDefault="00C428B9" w:rsidP="00C428B9">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Approvals</w:t>
      </w:r>
    </w:p>
    <w:p w14:paraId="6519BEA3" w14:textId="77777777" w:rsidR="00980A80" w:rsidRDefault="0044425F" w:rsidP="00C428B9">
      <w:pPr>
        <w:numPr>
          <w:ilvl w:val="1"/>
          <w:numId w:val="25"/>
        </w:numPr>
        <w:spacing w:line="360" w:lineRule="auto"/>
        <w:jc w:val="both"/>
        <w:rPr>
          <w:rFonts w:ascii="Arial" w:hAnsi="Arial" w:cs="Arial"/>
          <w:sz w:val="22"/>
          <w:szCs w:val="22"/>
        </w:rPr>
      </w:pPr>
      <w:r w:rsidRPr="00BC2B10">
        <w:rPr>
          <w:rFonts w:ascii="Arial" w:hAnsi="Arial" w:cs="Arial"/>
          <w:sz w:val="22"/>
          <w:szCs w:val="22"/>
        </w:rPr>
        <w:t>Benefits: Ensures compliance, building trust (Yang, 2024)</w:t>
      </w:r>
    </w:p>
    <w:p w14:paraId="13306643" w14:textId="27B362A3" w:rsidR="0044425F" w:rsidRPr="00BC2B10" w:rsidRDefault="0044425F" w:rsidP="00C428B9">
      <w:pPr>
        <w:numPr>
          <w:ilvl w:val="1"/>
          <w:numId w:val="25"/>
        </w:numPr>
        <w:spacing w:line="360" w:lineRule="auto"/>
        <w:jc w:val="both"/>
        <w:rPr>
          <w:rFonts w:ascii="Arial" w:hAnsi="Arial" w:cs="Arial"/>
          <w:sz w:val="22"/>
          <w:szCs w:val="22"/>
        </w:rPr>
      </w:pPr>
      <w:r w:rsidRPr="00BC2B10">
        <w:rPr>
          <w:rFonts w:ascii="Arial" w:hAnsi="Arial" w:cs="Arial"/>
          <w:sz w:val="22"/>
          <w:szCs w:val="22"/>
        </w:rPr>
        <w:t>Challenges: Varying global standards, delaying launches (Deloitte, 2026).</w:t>
      </w:r>
    </w:p>
    <w:p w14:paraId="34288361" w14:textId="77777777" w:rsidR="00980A80"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Investors: </w:t>
      </w:r>
    </w:p>
    <w:p w14:paraId="628F1B18" w14:textId="77777777" w:rsidR="00980A8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Role: Funding</w:t>
      </w:r>
      <w:r w:rsidR="00980A80">
        <w:rPr>
          <w:rFonts w:ascii="Arial" w:hAnsi="Arial" w:cs="Arial"/>
          <w:sz w:val="22"/>
          <w:szCs w:val="22"/>
        </w:rPr>
        <w:t xml:space="preserve"> </w:t>
      </w:r>
    </w:p>
    <w:p w14:paraId="774B9BBF" w14:textId="77777777" w:rsidR="00980A80" w:rsidRDefault="00980A80" w:rsidP="00980A80">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Evaluation</w:t>
      </w:r>
    </w:p>
    <w:p w14:paraId="79661FB7" w14:textId="77777777" w:rsidR="00980A8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Benefits: Higher returns from AI efficiencies (LinkedIn, 2026)</w:t>
      </w:r>
    </w:p>
    <w:p w14:paraId="42CFD1BC" w14:textId="5DDBB5FA" w:rsidR="0044425F" w:rsidRPr="00BC2B1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Challenges: Short-term costs vs. long-term gains (HFTP, 2025).</w:t>
      </w:r>
    </w:p>
    <w:p w14:paraId="65B44EF6" w14:textId="77777777" w:rsidR="00980A80"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Media/Influencers: </w:t>
      </w:r>
    </w:p>
    <w:p w14:paraId="4D1E779B" w14:textId="77777777" w:rsidR="00980A80" w:rsidRDefault="00980A80" w:rsidP="00980A80">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ole: Amplification</w:t>
      </w:r>
    </w:p>
    <w:p w14:paraId="579A1D16" w14:textId="77777777" w:rsidR="00980A80" w:rsidRDefault="00980A80" w:rsidP="00980A80">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Reporting</w:t>
      </w:r>
    </w:p>
    <w:p w14:paraId="4B4C9D30" w14:textId="77777777" w:rsidR="00980A8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Benefits: Positive publicity, brand enhancement (Yadav, 2026)</w:t>
      </w:r>
    </w:p>
    <w:p w14:paraId="39ADF862" w14:textId="553723C9" w:rsidR="0044425F" w:rsidRPr="00BC2B1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Challenges: Negative coverage on ethics (HospitalityInside, 2025).</w:t>
      </w:r>
    </w:p>
    <w:p w14:paraId="16F482FD" w14:textId="77777777" w:rsidR="00980A80"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Associations: </w:t>
      </w:r>
    </w:p>
    <w:p w14:paraId="0E2FF85F" w14:textId="77777777" w:rsidR="00980A8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Role: Guidance</w:t>
      </w:r>
    </w:p>
    <w:p w14:paraId="1626F93B" w14:textId="77777777" w:rsidR="00980A80" w:rsidRDefault="00980A80" w:rsidP="00980A80">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Standards</w:t>
      </w:r>
    </w:p>
    <w:p w14:paraId="4A0726ED" w14:textId="77777777" w:rsidR="00980A8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Benefits: Industry benchmarks (UN Tourism, 2024)</w:t>
      </w:r>
    </w:p>
    <w:p w14:paraId="621E8E55" w14:textId="60F249D4" w:rsidR="0044425F" w:rsidRPr="00BC2B10" w:rsidRDefault="0044425F" w:rsidP="00980A80">
      <w:pPr>
        <w:numPr>
          <w:ilvl w:val="1"/>
          <w:numId w:val="25"/>
        </w:numPr>
        <w:spacing w:line="360" w:lineRule="auto"/>
        <w:jc w:val="both"/>
        <w:rPr>
          <w:rFonts w:ascii="Arial" w:hAnsi="Arial" w:cs="Arial"/>
          <w:sz w:val="22"/>
          <w:szCs w:val="22"/>
        </w:rPr>
      </w:pPr>
      <w:r w:rsidRPr="00BC2B10">
        <w:rPr>
          <w:rFonts w:ascii="Arial" w:hAnsi="Arial" w:cs="Arial"/>
          <w:sz w:val="22"/>
          <w:szCs w:val="22"/>
        </w:rPr>
        <w:t>Challenges: Alignment with competing frameworks.</w:t>
      </w:r>
    </w:p>
    <w:p w14:paraId="57A0D9AA" w14:textId="77777777" w:rsidR="006E3723" w:rsidRDefault="0044425F" w:rsidP="0044425F">
      <w:pPr>
        <w:numPr>
          <w:ilvl w:val="0"/>
          <w:numId w:val="25"/>
        </w:numPr>
        <w:spacing w:line="360" w:lineRule="auto"/>
        <w:jc w:val="both"/>
        <w:rPr>
          <w:rFonts w:ascii="Arial" w:hAnsi="Arial" w:cs="Arial"/>
          <w:sz w:val="22"/>
          <w:szCs w:val="22"/>
        </w:rPr>
      </w:pPr>
      <w:r w:rsidRPr="00BC2B10">
        <w:rPr>
          <w:rFonts w:ascii="Arial" w:hAnsi="Arial" w:cs="Arial"/>
          <w:sz w:val="22"/>
          <w:szCs w:val="22"/>
        </w:rPr>
        <w:t xml:space="preserve">Tech Providers: </w:t>
      </w:r>
    </w:p>
    <w:p w14:paraId="18AE8284" w14:textId="77777777" w:rsidR="006E3723" w:rsidRDefault="0044425F" w:rsidP="006E3723">
      <w:pPr>
        <w:numPr>
          <w:ilvl w:val="1"/>
          <w:numId w:val="25"/>
        </w:numPr>
        <w:spacing w:line="360" w:lineRule="auto"/>
        <w:jc w:val="both"/>
        <w:rPr>
          <w:rFonts w:ascii="Arial" w:hAnsi="Arial" w:cs="Arial"/>
          <w:sz w:val="22"/>
          <w:szCs w:val="22"/>
        </w:rPr>
      </w:pPr>
      <w:r w:rsidRPr="00BC2B10">
        <w:rPr>
          <w:rFonts w:ascii="Arial" w:hAnsi="Arial" w:cs="Arial"/>
          <w:sz w:val="22"/>
          <w:szCs w:val="22"/>
        </w:rPr>
        <w:t>Role: Support</w:t>
      </w:r>
    </w:p>
    <w:p w14:paraId="598ABA56" w14:textId="77777777" w:rsidR="006E3723" w:rsidRDefault="006E3723" w:rsidP="006E3723">
      <w:pPr>
        <w:numPr>
          <w:ilvl w:val="1"/>
          <w:numId w:val="25"/>
        </w:numPr>
        <w:spacing w:line="360" w:lineRule="auto"/>
        <w:jc w:val="both"/>
        <w:rPr>
          <w:rFonts w:ascii="Arial" w:hAnsi="Arial" w:cs="Arial"/>
          <w:sz w:val="22"/>
          <w:szCs w:val="22"/>
        </w:rPr>
      </w:pPr>
      <w:r>
        <w:rPr>
          <w:rFonts w:ascii="Arial" w:hAnsi="Arial" w:cs="Arial"/>
          <w:sz w:val="22"/>
          <w:szCs w:val="22"/>
        </w:rPr>
        <w:t>R</w:t>
      </w:r>
      <w:r w:rsidR="0044425F" w:rsidRPr="00BC2B10">
        <w:rPr>
          <w:rFonts w:ascii="Arial" w:hAnsi="Arial" w:cs="Arial"/>
          <w:sz w:val="22"/>
          <w:szCs w:val="22"/>
        </w:rPr>
        <w:t>esponsibilities: Updates</w:t>
      </w:r>
    </w:p>
    <w:p w14:paraId="5C51F15D" w14:textId="77777777" w:rsidR="006E3723" w:rsidRDefault="0044425F" w:rsidP="006E3723">
      <w:pPr>
        <w:numPr>
          <w:ilvl w:val="1"/>
          <w:numId w:val="25"/>
        </w:numPr>
        <w:spacing w:line="360" w:lineRule="auto"/>
        <w:jc w:val="both"/>
        <w:rPr>
          <w:rFonts w:ascii="Arial" w:hAnsi="Arial" w:cs="Arial"/>
          <w:sz w:val="22"/>
          <w:szCs w:val="22"/>
        </w:rPr>
      </w:pPr>
      <w:r w:rsidRPr="00BC2B10">
        <w:rPr>
          <w:rFonts w:ascii="Arial" w:hAnsi="Arial" w:cs="Arial"/>
          <w:sz w:val="22"/>
          <w:szCs w:val="22"/>
        </w:rPr>
        <w:t>Benefits: Shared R&amp;D (Hasan, 2024)</w:t>
      </w:r>
    </w:p>
    <w:p w14:paraId="49473EB3" w14:textId="4EA55F77" w:rsidR="0044425F" w:rsidRPr="00BC2B10" w:rsidRDefault="0044425F" w:rsidP="006E3723">
      <w:pPr>
        <w:numPr>
          <w:ilvl w:val="1"/>
          <w:numId w:val="25"/>
        </w:numPr>
        <w:spacing w:line="360" w:lineRule="auto"/>
        <w:jc w:val="both"/>
        <w:rPr>
          <w:rFonts w:ascii="Arial" w:hAnsi="Arial" w:cs="Arial"/>
          <w:sz w:val="22"/>
          <w:szCs w:val="22"/>
        </w:rPr>
      </w:pPr>
      <w:r w:rsidRPr="00BC2B10">
        <w:rPr>
          <w:rFonts w:ascii="Arial" w:hAnsi="Arial" w:cs="Arial"/>
          <w:sz w:val="22"/>
          <w:szCs w:val="22"/>
        </w:rPr>
        <w:t>Challenges: IP risks, vendor dependency (PwC, 2025).</w:t>
      </w:r>
    </w:p>
    <w:p w14:paraId="4D3D417A" w14:textId="77777777" w:rsidR="0044425F" w:rsidRPr="00BC2B10" w:rsidRDefault="0044425F" w:rsidP="0044425F">
      <w:pPr>
        <w:spacing w:line="360" w:lineRule="auto"/>
        <w:jc w:val="both"/>
        <w:rPr>
          <w:rFonts w:ascii="Arial" w:hAnsi="Arial" w:cs="Arial"/>
          <w:sz w:val="22"/>
          <w:szCs w:val="22"/>
        </w:rPr>
      </w:pPr>
      <w:r w:rsidRPr="00BC2B10">
        <w:rPr>
          <w:rFonts w:ascii="Arial" w:hAnsi="Arial" w:cs="Arial"/>
          <w:sz w:val="22"/>
          <w:szCs w:val="22"/>
        </w:rPr>
        <w:lastRenderedPageBreak/>
        <w:t>Interdependencies highlight benefits like trust-building but challenges such as skills gaps (76% cited, PwC, 2025), requiring ethical management (Zahidi et al., 2024).</w:t>
      </w:r>
    </w:p>
    <w:p w14:paraId="72B40BDB" w14:textId="413BF768" w:rsidR="0044425F" w:rsidRPr="00C24F21" w:rsidRDefault="0044425F" w:rsidP="008028F0">
      <w:pPr>
        <w:pStyle w:val="Heading2"/>
      </w:pPr>
      <w:bookmarkStart w:id="17" w:name="_Toc225023023"/>
      <w:r w:rsidRPr="00C24F21">
        <w:t>Range of Appropriate Frameworks, Models, and Theories for Engagement</w:t>
      </w:r>
      <w:bookmarkEnd w:id="17"/>
    </w:p>
    <w:p w14:paraId="0037C17B" w14:textId="77777777" w:rsidR="0044425F" w:rsidRPr="00A13B1A" w:rsidRDefault="0044425F" w:rsidP="0044425F">
      <w:pPr>
        <w:spacing w:line="360" w:lineRule="auto"/>
        <w:jc w:val="both"/>
        <w:rPr>
          <w:rFonts w:ascii="Arial" w:hAnsi="Arial" w:cs="Arial"/>
          <w:sz w:val="22"/>
          <w:szCs w:val="22"/>
        </w:rPr>
      </w:pPr>
      <w:r w:rsidRPr="00A13B1A">
        <w:rPr>
          <w:rFonts w:ascii="Arial" w:hAnsi="Arial" w:cs="Arial"/>
          <w:sz w:val="22"/>
          <w:szCs w:val="22"/>
        </w:rPr>
        <w:t>To engage stakeholders in StaySmart+, frameworks from strategic management are applied, justified for global hospitality contexts (Waligo et al., 2013; Vrontis et al., 2022). These integrate stakeholder theory for commitment across cultures (Saka-Helmhout, 2024; Bag et al., 2024).</w:t>
      </w:r>
    </w:p>
    <w:p w14:paraId="760634F7" w14:textId="77777777" w:rsidR="0044425F" w:rsidRPr="00A13B1A" w:rsidRDefault="0044425F" w:rsidP="0044425F">
      <w:pPr>
        <w:numPr>
          <w:ilvl w:val="0"/>
          <w:numId w:val="26"/>
        </w:numPr>
        <w:spacing w:line="360" w:lineRule="auto"/>
        <w:jc w:val="both"/>
        <w:rPr>
          <w:rFonts w:ascii="Arial" w:hAnsi="Arial" w:cs="Arial"/>
          <w:sz w:val="22"/>
          <w:szCs w:val="22"/>
        </w:rPr>
      </w:pPr>
      <w:r w:rsidRPr="00A13B1A">
        <w:rPr>
          <w:rFonts w:ascii="Arial" w:hAnsi="Arial" w:cs="Arial"/>
          <w:sz w:val="22"/>
          <w:szCs w:val="22"/>
        </w:rPr>
        <w:t>Stakeholder Matrix (Power-Interest Grid): Classifies by power/interest levels (Eden and Ackermann, 1998; Ackermann and Eden, 2011). Justification: Prioritizes engagement—e.g., manage management closely, inform employees—in hotel rebranding or launches (Switch Hotel Solutions, 2025). For StaySmart+, adapts to AI challenges like privacy (Cozzio et al., 2025).</w:t>
      </w:r>
    </w:p>
    <w:p w14:paraId="672AEB27" w14:textId="77777777" w:rsidR="0044425F" w:rsidRPr="00A13B1A" w:rsidRDefault="0044425F" w:rsidP="0044425F">
      <w:pPr>
        <w:numPr>
          <w:ilvl w:val="0"/>
          <w:numId w:val="26"/>
        </w:numPr>
        <w:spacing w:line="360" w:lineRule="auto"/>
        <w:jc w:val="both"/>
        <w:rPr>
          <w:rFonts w:ascii="Arial" w:hAnsi="Arial" w:cs="Arial"/>
          <w:sz w:val="22"/>
          <w:szCs w:val="22"/>
        </w:rPr>
      </w:pPr>
      <w:r w:rsidRPr="00A13B1A">
        <w:rPr>
          <w:rFonts w:ascii="Arial" w:hAnsi="Arial" w:cs="Arial"/>
          <w:sz w:val="22"/>
          <w:szCs w:val="22"/>
        </w:rPr>
        <w:t>Engagement Plan: Structured roadmap with objectives (trust-building), methods (workshops, surveys), timelines (monthly from March 2026), and metrics (80% satisfaction) (Yang, 2024). Justification: Fosters collaboration in global services, tailoring for cultures (e.g., consultative in Asia) to address skills gaps (Ni et al., 2015; Wang, 2025). In hospitality AI, it mitigates resistance (Hasan, 2024).</w:t>
      </w:r>
    </w:p>
    <w:p w14:paraId="748C3652" w14:textId="77777777" w:rsidR="0044425F" w:rsidRPr="00A13B1A" w:rsidRDefault="0044425F" w:rsidP="0044425F">
      <w:pPr>
        <w:numPr>
          <w:ilvl w:val="0"/>
          <w:numId w:val="26"/>
        </w:numPr>
        <w:spacing w:line="360" w:lineRule="auto"/>
        <w:jc w:val="both"/>
        <w:rPr>
          <w:rFonts w:ascii="Arial" w:hAnsi="Arial" w:cs="Arial"/>
          <w:sz w:val="22"/>
          <w:szCs w:val="22"/>
        </w:rPr>
      </w:pPr>
      <w:r w:rsidRPr="00A13B1A">
        <w:rPr>
          <w:rFonts w:ascii="Arial" w:hAnsi="Arial" w:cs="Arial"/>
          <w:sz w:val="22"/>
          <w:szCs w:val="22"/>
        </w:rPr>
        <w:t>Communication Plan: Details channels (internal portals, social media), frequency (bi-weekly), and content (updates, feedback) (Vrontis et al., 2022). Justification: Ensures transparency in AI ethics, reducing privacy concerns (64% challenge, PwC, 2025). Multilingual for global launches, per stakeholder models (Ivanova and Ivanov, 2011).</w:t>
      </w:r>
    </w:p>
    <w:p w14:paraId="420CCAFF" w14:textId="77777777" w:rsidR="0044425F" w:rsidRPr="00A13B1A" w:rsidRDefault="0044425F" w:rsidP="0044425F">
      <w:pPr>
        <w:numPr>
          <w:ilvl w:val="0"/>
          <w:numId w:val="26"/>
        </w:numPr>
        <w:spacing w:line="360" w:lineRule="auto"/>
        <w:jc w:val="both"/>
        <w:rPr>
          <w:rFonts w:ascii="Arial" w:hAnsi="Arial" w:cs="Arial"/>
          <w:sz w:val="22"/>
          <w:szCs w:val="22"/>
        </w:rPr>
      </w:pPr>
      <w:r w:rsidRPr="00A13B1A">
        <w:rPr>
          <w:rFonts w:ascii="Arial" w:hAnsi="Arial" w:cs="Arial"/>
          <w:sz w:val="22"/>
          <w:szCs w:val="22"/>
        </w:rPr>
        <w:t>RACI Matrix: Assigns Responsible, Accountable, Consulted, Informed roles (Project Management Institute, 2017). Justification: Clarifies responsibilities in multicultural teams, minimizing conflicts in outdoor hospitality projects (CRR Hospitality, 2023; extended to AI by HospitalityInside, 2025). For StaySmart+, product team Responsible for design, management Accountable.</w:t>
      </w:r>
    </w:p>
    <w:p w14:paraId="4878B0E3" w14:textId="469F1048" w:rsidR="0044425F" w:rsidRDefault="0044425F" w:rsidP="00A13B1A">
      <w:pPr>
        <w:spacing w:line="360" w:lineRule="auto"/>
        <w:jc w:val="both"/>
      </w:pPr>
      <w:r w:rsidRPr="00A13B1A">
        <w:rPr>
          <w:rFonts w:ascii="Arial" w:hAnsi="Arial" w:cs="Arial"/>
          <w:sz w:val="22"/>
          <w:szCs w:val="22"/>
        </w:rPr>
        <w:t>Additional theories: 4C's model (communication, consultation, collaboration, commitment) for trust (Institute of Project Management, 2026). Sustainable frameworks for hotels emphasize materiality assessment (Berggren Ek, 2021). These address AI barriers like integration (85% issue, PwC, 2025), promoting ethical engagement (John, 2026).</w:t>
      </w:r>
    </w:p>
    <w:p w14:paraId="0F114B2D" w14:textId="4AD42ABF" w:rsidR="0044425F" w:rsidRPr="00C24F21" w:rsidRDefault="0044425F" w:rsidP="008028F0">
      <w:pPr>
        <w:pStyle w:val="Heading2"/>
      </w:pPr>
      <w:bookmarkStart w:id="18" w:name="_Toc225023024"/>
      <w:r w:rsidRPr="00C24F21">
        <w:t>Critical Explanation of the Process to Engage Key Stakeholders and Manage Conflicts Using the 4C’s Model</w:t>
      </w:r>
      <w:bookmarkEnd w:id="18"/>
    </w:p>
    <w:p w14:paraId="168AAFB7"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 xml:space="preserve">As Project Manager for IHG’s StaySmart+ launch, I lead a structured, theory-driven stakeholder engagement process to ensure alignment across diverse global markets. Grounded in stakeholder theory (Freeman et al., 2010) and recent AI-hospitality research (Canary Technologies, 2026; Deloitte, 2026), the process follows four stages: </w:t>
      </w:r>
      <w:r w:rsidRPr="00CB3AD9">
        <w:rPr>
          <w:rFonts w:ascii="Arial" w:hAnsi="Arial" w:cs="Arial"/>
          <w:sz w:val="22"/>
          <w:szCs w:val="22"/>
        </w:rPr>
        <w:lastRenderedPageBreak/>
        <w:t>identification/mapping, planning, implementation via the 4C’s model (Communication, Consultation, Collaboration, Commitment), and monitoring. The 4C’s framework (Institute of Project Management, 2026) fosters trust and accountability but requires critical scrutiny for power imbalances and ethical risks in multicultural AI projects (Wang, 2025; PwC, 2025).</w:t>
      </w:r>
    </w:p>
    <w:p w14:paraId="6183B98C"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Stage 1–2: Identification, Mapping and Planning Using Mitchell et al.’s (1997) salience model and the power-interest grid, stakeholders are prioritised within the first two weeks. A tailored RACI matrix and engagement plan are developed, with cultural adaptations (e.g., formal consultation in Asia). This stage mitigates early risks but can oversimplify dynamic relationships if not reviewed iteratively (Bag et al., 2024).</w:t>
      </w:r>
    </w:p>
    <w:p w14:paraId="1572274C"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Implementation via the 4C’s Model Communication ensures transparency through bi-weekly internal portals and multilingual guest apps, sharing AI feature updates and privacy policies. While effective for building legitimacy, one-way communication risks disengagement in high-context cultures (Wang, 2025).</w:t>
      </w:r>
    </w:p>
    <w:p w14:paraId="575A569D"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Consultation gathers input via targeted workshops with staff and focus groups with guests and NGOs on personalization and sustainability features. This respects stakeholder claims and improves design (e.g., 25% higher satisfaction in pilots), yet tokenistic consultation can erode trust if feedback is ignored (PwC, 2025).</w:t>
      </w:r>
    </w:p>
    <w:p w14:paraId="3FB9B43B"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Collaboration involves co-design sessions with suppliers and joint pilots with regulators, pooling expertise for seamless integration. This drives innovation and cost-sharing (Canary Technologies, 2026), but unequal power can marginalise smaller stakeholders, requiring equitable agreements (Deloitte, 2026).</w:t>
      </w:r>
    </w:p>
    <w:p w14:paraId="52440430"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Commitment secures buy-in through sustainability bonuses for staff, loyalty rewards for guests, and signed partnership charters. This creates long-term ownership, yet superficial commitment may emerge without continuous reinforcement (Institute of Project Management, 2026).</w:t>
      </w:r>
    </w:p>
    <w:p w14:paraId="16618D97"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Conflict Management and My Role Conflicts (e.g., privacy concerns with regulators or AI resistance from staff) are managed by integrating the 4C’s: negotiation during consultation, mediation in collaborative sessions, and RACI-based escalation when needed. As PM, I facilitate, mediate, and ensure ethical compliance, maintaining neutrality while championing inclusivity (John, 2026).</w:t>
      </w:r>
    </w:p>
    <w:p w14:paraId="37819FC4"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t>Monitoring and Critical Evaluation Quarterly KPIs (engagement scores, conflict resolution time, adoption rates) enable real-time adjustments via feedback loops. While the 4C’s model demonstrably reduces rollout delays by up to 20% in AI hospitality projects (Canary Technologies, 2026), it risks overlooking structural inequalities and may over-emphasise consensus at the expense of decisive action (PwC, 2025). Ethical vigilance is therefore essential to prevent exploitation and ensure genuine value co-creation.</w:t>
      </w:r>
    </w:p>
    <w:p w14:paraId="02DAE7BE" w14:textId="77777777" w:rsidR="00CB3AD9" w:rsidRPr="00CB3AD9" w:rsidRDefault="00CB3AD9" w:rsidP="00CB3AD9">
      <w:pPr>
        <w:spacing w:line="360" w:lineRule="auto"/>
        <w:jc w:val="both"/>
        <w:rPr>
          <w:rFonts w:ascii="Arial" w:hAnsi="Arial" w:cs="Arial"/>
          <w:sz w:val="22"/>
          <w:szCs w:val="22"/>
        </w:rPr>
      </w:pPr>
      <w:r w:rsidRPr="00CB3AD9">
        <w:rPr>
          <w:rFonts w:ascii="Arial" w:hAnsi="Arial" w:cs="Arial"/>
          <w:sz w:val="22"/>
          <w:szCs w:val="22"/>
        </w:rPr>
        <w:lastRenderedPageBreak/>
        <w:t>Overall, this systematic yet adaptive process positions StaySmart+ for success by transforming stakeholders into committed partners while proactively addressing the ethical and cultural complexities inherent in global AI launches.</w:t>
      </w:r>
    </w:p>
    <w:p w14:paraId="7A2640FF" w14:textId="64861A62" w:rsidR="0044425F" w:rsidRPr="00C24F21" w:rsidRDefault="0044425F" w:rsidP="008028F0">
      <w:pPr>
        <w:pStyle w:val="Heading2"/>
      </w:pPr>
      <w:bookmarkStart w:id="19" w:name="_Toc225023025"/>
      <w:r w:rsidRPr="00C24F21">
        <w:t>Evaluation of the Impact of Stakeholders’ Engagement on Business Performance and Recommendations for the Future</w:t>
      </w:r>
      <w:bookmarkEnd w:id="19"/>
    </w:p>
    <w:p w14:paraId="052822A6" w14:textId="77777777" w:rsidR="0083130E" w:rsidRPr="0083130E" w:rsidRDefault="0083130E" w:rsidP="0083130E">
      <w:pPr>
        <w:spacing w:line="360" w:lineRule="auto"/>
        <w:jc w:val="both"/>
        <w:rPr>
          <w:rFonts w:ascii="Arial" w:hAnsi="Arial" w:cs="Arial"/>
          <w:sz w:val="22"/>
          <w:szCs w:val="22"/>
        </w:rPr>
      </w:pPr>
      <w:r w:rsidRPr="0083130E">
        <w:rPr>
          <w:rFonts w:ascii="Arial" w:hAnsi="Arial" w:cs="Arial"/>
          <w:sz w:val="22"/>
          <w:szCs w:val="22"/>
        </w:rPr>
        <w:t>Stakeholder engagement is a strategic driver of performance for IHG’s StaySmart+ project, transforming diverse groups into active contributors to value creation (Freeman et al., 2010; Saka-Helmhout, 2024). High-quality engagement delivers measurable benefits across financial, operational, and reputational dimensions, though superficial or unbalanced approaches can generate ethical risks and performance erosion (PwC, 2025; John, 2026).</w:t>
      </w:r>
    </w:p>
    <w:p w14:paraId="6FC5F69F" w14:textId="77777777" w:rsidR="0083130E" w:rsidRPr="0083130E" w:rsidRDefault="0083130E" w:rsidP="0083130E">
      <w:pPr>
        <w:spacing w:line="360" w:lineRule="auto"/>
        <w:jc w:val="both"/>
        <w:rPr>
          <w:rFonts w:ascii="Arial" w:hAnsi="Arial" w:cs="Arial"/>
          <w:sz w:val="22"/>
          <w:szCs w:val="22"/>
        </w:rPr>
      </w:pPr>
      <w:r w:rsidRPr="0083130E">
        <w:rPr>
          <w:rFonts w:ascii="Arial" w:hAnsi="Arial" w:cs="Arial"/>
          <w:sz w:val="22"/>
          <w:szCs w:val="22"/>
        </w:rPr>
        <w:t>Financial Impact Engagement directly boosts revenue and efficiency. Collaborative input from marketing, guests, and suppliers refines AI personalization and sustainability features, increasing guest spend by 15–25% through targeted upsells and eco-rewards (Media Thiga, 2025; Canary Technologies, 2026). Industry benchmarks show AI-driven personalization lifts RevPAR by 3–5% in hospitality (NetSuite, 2025). Supplier partnerships reduce development costs via shared R&amp;D, contributing to IHG’s 2025 adjusted free cash flow growth of 36% (IHG PLC, 2026b). Investors benefit from lower risk and clearer ROI visibility, supporting the 16% adjusted EPS increase achieved in 2025 (LinkedIn, 2026). However, poor engagement (e.g., ignoring privacy concerns) can trigger compliance costs or reputational fines, potentially offsetting gains by 10–15% (PwC, 2025).</w:t>
      </w:r>
    </w:p>
    <w:p w14:paraId="18931412" w14:textId="77777777" w:rsidR="0083130E" w:rsidRPr="0083130E" w:rsidRDefault="0083130E" w:rsidP="0083130E">
      <w:pPr>
        <w:spacing w:line="360" w:lineRule="auto"/>
        <w:jc w:val="both"/>
        <w:rPr>
          <w:rFonts w:ascii="Arial" w:hAnsi="Arial" w:cs="Arial"/>
          <w:sz w:val="22"/>
          <w:szCs w:val="22"/>
        </w:rPr>
      </w:pPr>
      <w:r w:rsidRPr="0083130E">
        <w:rPr>
          <w:rFonts w:ascii="Arial" w:hAnsi="Arial" w:cs="Arial"/>
          <w:sz w:val="22"/>
          <w:szCs w:val="22"/>
        </w:rPr>
        <w:t>Operational Impact Effective engagement improves execution and resilience. Internal collaboration via the 4C’s model accelerates AI integration and training, reducing rollout delays by up to 20% (Canary Technologies, 2026). Consultation with employees mitigates resistance and turnover (73.8% concern in hospitality), enhancing service delivery (Zahidi et al., 2024). Regulatory and NGO input ensures compliance and sustainable amenity design, achieving ~10% energy reduction per room (Avendra, 2026). Critically, however, power imbalances may sideline frontline staff, leading to suboptimal implementation and higher error rates (PwC, 2025). Ethical lapses in AI data use can also create operational friction across jurisdictions (Deloitte, 2026).</w:t>
      </w:r>
    </w:p>
    <w:p w14:paraId="5D75B600" w14:textId="59091D6F" w:rsidR="0083130E" w:rsidRPr="0083130E" w:rsidRDefault="0083130E" w:rsidP="0083130E">
      <w:pPr>
        <w:spacing w:line="360" w:lineRule="auto"/>
        <w:jc w:val="both"/>
        <w:rPr>
          <w:rFonts w:ascii="Arial" w:hAnsi="Arial" w:cs="Arial"/>
          <w:sz w:val="22"/>
          <w:szCs w:val="22"/>
        </w:rPr>
      </w:pPr>
      <w:r w:rsidRPr="0083130E">
        <w:rPr>
          <w:rFonts w:ascii="Arial" w:hAnsi="Arial" w:cs="Arial"/>
          <w:sz w:val="22"/>
          <w:szCs w:val="22"/>
        </w:rPr>
        <w:t xml:space="preserve">Reputational Impact Engagement strengthens brand trust and differentiation. Commitment from communities and NGOs reinforces IHG’s “True Hospitality for Good” ethos, attracting eco-conscious travellers (60–76% of the market) and talent amid labour shortages (UN Tourism, 2024; HFTP, 2025). Transparent communication with media and influencers amplifies positive narratives around AI ethics and sustainability (Yadav, 2026). Yet mismanaged engagement—particularly privacy breaches or perceived exploitation—can erode trust, with 64% of hospitality stakeholders citing data concerns as a major barrier (PwC, </w:t>
      </w:r>
      <w:r w:rsidRPr="0083130E">
        <w:rPr>
          <w:rFonts w:ascii="Arial" w:hAnsi="Arial" w:cs="Arial"/>
          <w:sz w:val="22"/>
          <w:szCs w:val="22"/>
        </w:rPr>
        <w:lastRenderedPageBreak/>
        <w:t>2025). Legitimacy theory warns that ethical failures reduce social licence, potentially costing 5–10% market share (John, 2026).</w:t>
      </w:r>
    </w:p>
    <w:p w14:paraId="07D41870" w14:textId="77777777" w:rsidR="0083130E" w:rsidRPr="0083130E" w:rsidRDefault="0083130E" w:rsidP="0083130E">
      <w:pPr>
        <w:spacing w:line="360" w:lineRule="auto"/>
        <w:jc w:val="both"/>
        <w:rPr>
          <w:rFonts w:ascii="Arial" w:hAnsi="Arial" w:cs="Arial"/>
          <w:sz w:val="24"/>
          <w:szCs w:val="24"/>
        </w:rPr>
      </w:pPr>
      <w:r w:rsidRPr="0083130E">
        <w:rPr>
          <w:rFonts w:ascii="Arial" w:hAnsi="Arial" w:cs="Arial"/>
          <w:sz w:val="22"/>
          <w:szCs w:val="22"/>
        </w:rPr>
        <w:t>Overall, high-quality engagement correlates with superior performance: 13–16% profit uplift in engaged firms, reduced risk, and stronger competitive positioning in AI-hospitality (Bag et al., 2024; Canary Technologies, 2026). However, benefits depend on addressing challenges—power asymmetries, cultural misalignment, and ethical risks—through inclusive, adaptive practices.</w:t>
      </w:r>
    </w:p>
    <w:p w14:paraId="6EBA2C85" w14:textId="77777777" w:rsidR="0083130E" w:rsidRPr="0083130E" w:rsidRDefault="0083130E" w:rsidP="008028F0">
      <w:pPr>
        <w:pStyle w:val="Heading3"/>
      </w:pPr>
      <w:bookmarkStart w:id="20" w:name="_Toc225023026"/>
      <w:r w:rsidRPr="0083130E">
        <w:rPr>
          <w:rFonts w:eastAsia="Times New Roman"/>
        </w:rPr>
        <w:t>Recommendations for Future Initiatives</w:t>
      </w:r>
      <w:bookmarkEnd w:id="20"/>
    </w:p>
    <w:p w14:paraId="774ACE1E" w14:textId="77777777" w:rsidR="0083130E" w:rsidRPr="0083130E" w:rsidRDefault="0083130E" w:rsidP="0083130E">
      <w:pPr>
        <w:numPr>
          <w:ilvl w:val="0"/>
          <w:numId w:val="28"/>
        </w:numPr>
        <w:spacing w:line="360" w:lineRule="auto"/>
        <w:jc w:val="both"/>
        <w:rPr>
          <w:rFonts w:ascii="Arial" w:hAnsi="Arial" w:cs="Arial"/>
          <w:sz w:val="22"/>
          <w:szCs w:val="22"/>
        </w:rPr>
      </w:pPr>
      <w:r w:rsidRPr="0083130E">
        <w:rPr>
          <w:rFonts w:ascii="Arial" w:hAnsi="Arial" w:cs="Arial"/>
          <w:sz w:val="22"/>
          <w:szCs w:val="22"/>
        </w:rPr>
        <w:t>Adopt AI-Driven Predictive Engagement Analytics Deploy sentiment analysis and predictive tools to forecast stakeholder needs and conflicts, reducing resolution time by ~30% (Deloitte, 2026).</w:t>
      </w:r>
    </w:p>
    <w:p w14:paraId="0BD25302" w14:textId="77777777" w:rsidR="0083130E" w:rsidRPr="0083130E" w:rsidRDefault="0083130E" w:rsidP="0083130E">
      <w:pPr>
        <w:numPr>
          <w:ilvl w:val="0"/>
          <w:numId w:val="28"/>
        </w:numPr>
        <w:spacing w:line="360" w:lineRule="auto"/>
        <w:jc w:val="both"/>
        <w:rPr>
          <w:rFonts w:ascii="Arial" w:hAnsi="Arial" w:cs="Arial"/>
          <w:sz w:val="22"/>
          <w:szCs w:val="22"/>
        </w:rPr>
      </w:pPr>
      <w:r w:rsidRPr="0083130E">
        <w:rPr>
          <w:rFonts w:ascii="Arial" w:hAnsi="Arial" w:cs="Arial"/>
          <w:sz w:val="22"/>
          <w:szCs w:val="22"/>
        </w:rPr>
        <w:t>Mandate Cross-Cultural 4C’s Training Implement annual training on cultural nuances and ethical AI engagement to improve efficacy by 20–25% in diverse markets (Wang, 2025).</w:t>
      </w:r>
    </w:p>
    <w:p w14:paraId="1EC71BD1" w14:textId="77777777" w:rsidR="0083130E" w:rsidRPr="0083130E" w:rsidRDefault="0083130E" w:rsidP="0083130E">
      <w:pPr>
        <w:numPr>
          <w:ilvl w:val="0"/>
          <w:numId w:val="28"/>
        </w:numPr>
        <w:spacing w:line="360" w:lineRule="auto"/>
        <w:jc w:val="both"/>
        <w:rPr>
          <w:rFonts w:ascii="Arial" w:hAnsi="Arial" w:cs="Arial"/>
          <w:sz w:val="22"/>
          <w:szCs w:val="22"/>
        </w:rPr>
      </w:pPr>
      <w:r w:rsidRPr="0083130E">
        <w:rPr>
          <w:rFonts w:ascii="Arial" w:hAnsi="Arial" w:cs="Arial"/>
          <w:sz w:val="22"/>
          <w:szCs w:val="22"/>
        </w:rPr>
        <w:t>Conduct Annual Ethical &amp; Materiality Audits Establish independent reviews using ESG frameworks to prevent exploitation and ensure legitimacy (UN Tourism, 2024; John, 2026).</w:t>
      </w:r>
    </w:p>
    <w:p w14:paraId="5782DB38" w14:textId="77777777" w:rsidR="0083130E" w:rsidRPr="0083130E" w:rsidRDefault="0083130E" w:rsidP="0083130E">
      <w:pPr>
        <w:numPr>
          <w:ilvl w:val="0"/>
          <w:numId w:val="28"/>
        </w:numPr>
        <w:spacing w:line="360" w:lineRule="auto"/>
        <w:jc w:val="both"/>
        <w:rPr>
          <w:rFonts w:ascii="Arial" w:hAnsi="Arial" w:cs="Arial"/>
          <w:sz w:val="22"/>
          <w:szCs w:val="22"/>
        </w:rPr>
      </w:pPr>
      <w:r w:rsidRPr="0083130E">
        <w:rPr>
          <w:rFonts w:ascii="Arial" w:hAnsi="Arial" w:cs="Arial"/>
          <w:sz w:val="22"/>
          <w:szCs w:val="22"/>
        </w:rPr>
        <w:t>Deepen ESG Partnerships Formalise alliances with NGOs and associations for joint sustainability initiatives, yielding cost savings and reputational gains (Avendra, 2026).</w:t>
      </w:r>
    </w:p>
    <w:p w14:paraId="5220D952" w14:textId="77777777" w:rsidR="0083130E" w:rsidRPr="0083130E" w:rsidRDefault="0083130E" w:rsidP="0083130E">
      <w:pPr>
        <w:numPr>
          <w:ilvl w:val="0"/>
          <w:numId w:val="28"/>
        </w:numPr>
        <w:spacing w:line="360" w:lineRule="auto"/>
        <w:jc w:val="both"/>
        <w:rPr>
          <w:rFonts w:ascii="Arial" w:hAnsi="Arial" w:cs="Arial"/>
          <w:sz w:val="22"/>
          <w:szCs w:val="22"/>
        </w:rPr>
      </w:pPr>
      <w:r w:rsidRPr="0083130E">
        <w:rPr>
          <w:rFonts w:ascii="Arial" w:hAnsi="Arial" w:cs="Arial"/>
          <w:sz w:val="22"/>
          <w:szCs w:val="22"/>
        </w:rPr>
        <w:t>Establish Continuous Digital Feedback Loops Create real-time platforms for stakeholder input, enabling iterative adjustments and sustained alignment (Yang, 2024).</w:t>
      </w:r>
    </w:p>
    <w:p w14:paraId="513E00CB" w14:textId="77777777" w:rsidR="0083130E" w:rsidRPr="0083130E" w:rsidRDefault="0083130E" w:rsidP="0083130E">
      <w:pPr>
        <w:numPr>
          <w:ilvl w:val="0"/>
          <w:numId w:val="28"/>
        </w:numPr>
        <w:spacing w:line="360" w:lineRule="auto"/>
        <w:jc w:val="both"/>
        <w:rPr>
          <w:rFonts w:ascii="Arial" w:hAnsi="Arial" w:cs="Arial"/>
          <w:sz w:val="22"/>
          <w:szCs w:val="22"/>
        </w:rPr>
      </w:pPr>
      <w:r w:rsidRPr="0083130E">
        <w:rPr>
          <w:rFonts w:ascii="Arial" w:hAnsi="Arial" w:cs="Arial"/>
          <w:sz w:val="22"/>
          <w:szCs w:val="22"/>
        </w:rPr>
        <w:t>Link Incentives to AI &amp; Sustainability Outcomes Offer staff bonuses and guest rewards tied to engagement contributions, boosting retention and adoption (Zahidi et al., 2024).</w:t>
      </w:r>
    </w:p>
    <w:p w14:paraId="52B15C10" w14:textId="77777777" w:rsidR="0083130E" w:rsidRPr="0083130E" w:rsidRDefault="0083130E" w:rsidP="0083130E">
      <w:pPr>
        <w:spacing w:line="360" w:lineRule="auto"/>
        <w:jc w:val="both"/>
        <w:rPr>
          <w:rFonts w:ascii="Arial" w:hAnsi="Arial" w:cs="Arial"/>
          <w:sz w:val="22"/>
          <w:szCs w:val="22"/>
        </w:rPr>
      </w:pPr>
      <w:r w:rsidRPr="0083130E">
        <w:rPr>
          <w:rFonts w:ascii="Arial" w:hAnsi="Arial" w:cs="Arial"/>
          <w:sz w:val="22"/>
          <w:szCs w:val="22"/>
        </w:rPr>
        <w:t>These measures will embed stakeholder-centric, ethical practices into IHG’s DNA, maximising long-term value from StaySmart+ and future innovations.</w:t>
      </w:r>
    </w:p>
    <w:p w14:paraId="2AB804B5" w14:textId="77777777" w:rsidR="0044425F" w:rsidRPr="00C24F21" w:rsidRDefault="0044425F" w:rsidP="00956A81">
      <w:pPr>
        <w:pStyle w:val="Heading2"/>
      </w:pPr>
      <w:bookmarkStart w:id="21" w:name="_Toc225023027"/>
      <w:r w:rsidRPr="00C24F21">
        <w:t>Conclusion</w:t>
      </w:r>
      <w:bookmarkEnd w:id="21"/>
    </w:p>
    <w:p w14:paraId="41517D54" w14:textId="77777777" w:rsidR="005A3541" w:rsidRPr="005A3541" w:rsidRDefault="005A3541" w:rsidP="005A3541">
      <w:pPr>
        <w:spacing w:line="360" w:lineRule="auto"/>
        <w:jc w:val="both"/>
        <w:rPr>
          <w:rFonts w:ascii="Arial" w:hAnsi="Arial" w:cs="Arial"/>
          <w:sz w:val="22"/>
          <w:szCs w:val="22"/>
        </w:rPr>
      </w:pPr>
      <w:r w:rsidRPr="005A3541">
        <w:rPr>
          <w:rFonts w:ascii="Arial" w:hAnsi="Arial" w:cs="Arial"/>
          <w:sz w:val="22"/>
          <w:szCs w:val="22"/>
        </w:rPr>
        <w:t>This report has outlined a comprehensive stakeholder management strategy for launching StaySmart+ at InterContinental Hotels Group (IHG)—a premium AI-driven service combining intelligent guest interactions, personalised travel planning, and sustainability-focused amenities across global markets.</w:t>
      </w:r>
    </w:p>
    <w:p w14:paraId="6E41D229" w14:textId="77777777" w:rsidR="005A3541" w:rsidRPr="005A3541" w:rsidRDefault="005A3541" w:rsidP="005A3541">
      <w:pPr>
        <w:spacing w:line="360" w:lineRule="auto"/>
        <w:jc w:val="both"/>
        <w:rPr>
          <w:rFonts w:ascii="Arial" w:hAnsi="Arial" w:cs="Arial"/>
          <w:sz w:val="22"/>
          <w:szCs w:val="22"/>
        </w:rPr>
      </w:pPr>
      <w:r w:rsidRPr="005A3541">
        <w:rPr>
          <w:rFonts w:ascii="Arial" w:hAnsi="Arial" w:cs="Arial"/>
          <w:sz w:val="22"/>
          <w:szCs w:val="22"/>
        </w:rPr>
        <w:t>The situational analysis (SWOT and PESTLE) confirmed IHG’s strong foundation: a vast portfolio (6,963 hotels, over 1 million rooms), asset-light model, powerful loyalty programme (160 million members), and resilient 2025 financials (+1.5% RevPAR, +13% operating profit, 64.8% fee margin). Opportunities in AI personalisation and sustainable travel align well with the project, while geopolitical volatility, competition, regulatory complexity, and internal challenges demand careful stakeholder coordination.</w:t>
      </w:r>
    </w:p>
    <w:p w14:paraId="6E285625" w14:textId="77777777" w:rsidR="005A3541" w:rsidRPr="005A3541" w:rsidRDefault="005A3541" w:rsidP="005A3541">
      <w:pPr>
        <w:spacing w:line="360" w:lineRule="auto"/>
        <w:jc w:val="both"/>
        <w:rPr>
          <w:rFonts w:ascii="Arial" w:hAnsi="Arial" w:cs="Arial"/>
          <w:sz w:val="22"/>
          <w:szCs w:val="22"/>
        </w:rPr>
      </w:pPr>
      <w:r w:rsidRPr="005A3541">
        <w:rPr>
          <w:rFonts w:ascii="Arial" w:hAnsi="Arial" w:cs="Arial"/>
          <w:sz w:val="22"/>
          <w:szCs w:val="22"/>
        </w:rPr>
        <w:lastRenderedPageBreak/>
        <w:t>Stakeholders were systematically identified and categorised—internal (senior management, product development, IT, marketing, employees, sustainability, finance/legal) and external (guests, suppliers, regulators, communities/NGOs, investors, media, associations). Their roles, benefits (innovation, revenue growth, trust, efficiency), and challenges (cultural misalignment, privacy risks, resistance, power imbalances) were critically assessed using salience, resource dependence, and legitimacy theories.</w:t>
      </w:r>
    </w:p>
    <w:p w14:paraId="1C7DAEF9" w14:textId="77777777" w:rsidR="005A3541" w:rsidRPr="005A3541" w:rsidRDefault="005A3541" w:rsidP="005A3541">
      <w:pPr>
        <w:spacing w:line="360" w:lineRule="auto"/>
        <w:jc w:val="both"/>
        <w:rPr>
          <w:rFonts w:ascii="Arial" w:hAnsi="Arial" w:cs="Arial"/>
          <w:sz w:val="22"/>
          <w:szCs w:val="22"/>
        </w:rPr>
      </w:pPr>
      <w:r w:rsidRPr="005A3541">
        <w:rPr>
          <w:rFonts w:ascii="Arial" w:hAnsi="Arial" w:cs="Arial"/>
          <w:sz w:val="22"/>
          <w:szCs w:val="22"/>
        </w:rPr>
        <w:t>Engagement was structured through the power-interest grid, RACI matrix, tailored plans, and the 4C’s model (Communication, Consultation, Collaboration, Commitment). Conflicts were managed via negotiation, mediation, and escalation, with ongoing monitoring to ensure adaptability.</w:t>
      </w:r>
    </w:p>
    <w:p w14:paraId="1CAE3EBB" w14:textId="77777777" w:rsidR="005A3541" w:rsidRPr="005A3541" w:rsidRDefault="005A3541" w:rsidP="005A3541">
      <w:pPr>
        <w:spacing w:line="360" w:lineRule="auto"/>
        <w:jc w:val="both"/>
        <w:rPr>
          <w:rFonts w:ascii="Arial" w:hAnsi="Arial" w:cs="Arial"/>
          <w:sz w:val="22"/>
          <w:szCs w:val="22"/>
        </w:rPr>
      </w:pPr>
      <w:r w:rsidRPr="005A3541">
        <w:rPr>
          <w:rFonts w:ascii="Arial" w:hAnsi="Arial" w:cs="Arial"/>
          <w:sz w:val="22"/>
          <w:szCs w:val="22"/>
        </w:rPr>
        <w:t>High-quality engagement delivers clear business value: financial gains (3–5% RevPAR uplift, cost efficiencies), operational improvements (faster rollout, lower turnover), and reputational enhancement (stronger trust and ESG leadership). Poor or unbalanced engagement, however, risks ethical breaches, exclusion, and performance setbacks.</w:t>
      </w:r>
    </w:p>
    <w:p w14:paraId="63A94F38" w14:textId="77777777" w:rsidR="005A3541" w:rsidRPr="005A3541" w:rsidRDefault="005A3541" w:rsidP="005A3541">
      <w:pPr>
        <w:spacing w:line="360" w:lineRule="auto"/>
        <w:jc w:val="both"/>
        <w:rPr>
          <w:rFonts w:ascii="Arial" w:hAnsi="Arial" w:cs="Arial"/>
          <w:sz w:val="22"/>
          <w:szCs w:val="22"/>
        </w:rPr>
      </w:pPr>
      <w:r w:rsidRPr="005A3541">
        <w:rPr>
          <w:rFonts w:ascii="Arial" w:hAnsi="Arial" w:cs="Arial"/>
          <w:sz w:val="22"/>
          <w:szCs w:val="22"/>
        </w:rPr>
        <w:t>StaySmart+ offers IHG a strategic opportunity to lead in responsible, technology-enabled hospitality. Embedding inclusive, ethical, and adaptive stakeholder practices—supported by AI analytics, cross-cultural training, ethical audits, ESG partnerships, continuous feedback, and aligned incentives—will maximise long-term value and reinforce IHG’s purpose of “True Hospitality for Good” in a rapidly evolving global landscape.</w:t>
      </w:r>
    </w:p>
    <w:p w14:paraId="70D68ED3" w14:textId="4B902319" w:rsidR="002F5D4C" w:rsidRPr="00AB4637" w:rsidRDefault="002F5D4C" w:rsidP="005A3541">
      <w:pPr>
        <w:spacing w:line="360" w:lineRule="auto"/>
        <w:jc w:val="both"/>
        <w:rPr>
          <w:rFonts w:ascii="Arial" w:hAnsi="Arial" w:cs="Arial"/>
          <w:sz w:val="22"/>
          <w:szCs w:val="22"/>
        </w:rPr>
      </w:pPr>
    </w:p>
    <w:p w14:paraId="739F57B6" w14:textId="77777777" w:rsidR="002F5D4C" w:rsidRDefault="002F5D4C">
      <w:pPr>
        <w:spacing w:after="160" w:line="278" w:lineRule="auto"/>
        <w:rPr>
          <w:rFonts w:ascii="Arial" w:hAnsi="Arial" w:cs="Arial"/>
          <w:sz w:val="24"/>
          <w:szCs w:val="24"/>
        </w:rPr>
      </w:pPr>
      <w:r>
        <w:rPr>
          <w:rFonts w:ascii="Arial" w:hAnsi="Arial" w:cs="Arial"/>
          <w:sz w:val="24"/>
          <w:szCs w:val="24"/>
        </w:rPr>
        <w:br w:type="page"/>
      </w:r>
    </w:p>
    <w:p w14:paraId="4ECA8D00" w14:textId="0F98406C" w:rsidR="0017471A" w:rsidRDefault="007D62C4" w:rsidP="00956A81">
      <w:pPr>
        <w:pStyle w:val="Heading2"/>
      </w:pPr>
      <w:bookmarkStart w:id="22" w:name="_Toc225023028"/>
      <w:r>
        <w:lastRenderedPageBreak/>
        <w:t>References:</w:t>
      </w:r>
      <w:bookmarkEnd w:id="22"/>
    </w:p>
    <w:p w14:paraId="50840642" w14:textId="76B07868"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IHG PLC (2026a) </w:t>
      </w:r>
      <w:r w:rsidRPr="00CE032A">
        <w:rPr>
          <w:rFonts w:ascii="Arial" w:hAnsi="Arial" w:cs="Arial"/>
          <w:i/>
          <w:iCs/>
          <w:sz w:val="22"/>
          <w:szCs w:val="22"/>
        </w:rPr>
        <w:t>About us</w:t>
      </w:r>
      <w:r w:rsidRPr="00CE032A">
        <w:rPr>
          <w:rFonts w:ascii="Arial" w:hAnsi="Arial" w:cs="Arial"/>
          <w:sz w:val="22"/>
          <w:szCs w:val="22"/>
        </w:rPr>
        <w:t xml:space="preserve">. Available at: </w:t>
      </w:r>
      <w:hyperlink r:id="rId14" w:tgtFrame="_blank" w:history="1">
        <w:r w:rsidRPr="00CE032A">
          <w:rPr>
            <w:rStyle w:val="Hyperlink"/>
            <w:rFonts w:ascii="Arial" w:hAnsi="Arial" w:cs="Arial"/>
            <w:sz w:val="22"/>
            <w:szCs w:val="22"/>
          </w:rPr>
          <w:t>https://www.ihgplc.com/about-us</w:t>
        </w:r>
      </w:hyperlink>
      <w:r w:rsidRPr="00CE032A">
        <w:rPr>
          <w:rFonts w:ascii="Arial" w:hAnsi="Arial" w:cs="Arial"/>
          <w:sz w:val="22"/>
          <w:szCs w:val="22"/>
        </w:rPr>
        <w:t xml:space="preserve"> (Accessed: </w:t>
      </w:r>
      <w:r w:rsidR="00D8196F">
        <w:rPr>
          <w:rFonts w:ascii="Arial" w:hAnsi="Arial" w:cs="Arial"/>
          <w:sz w:val="22"/>
          <w:szCs w:val="22"/>
        </w:rPr>
        <w:t>7</w:t>
      </w:r>
      <w:r w:rsidRPr="00CE032A">
        <w:rPr>
          <w:rFonts w:ascii="Arial" w:hAnsi="Arial" w:cs="Arial"/>
          <w:sz w:val="22"/>
          <w:szCs w:val="22"/>
        </w:rPr>
        <w:t xml:space="preserve"> March 2026).</w:t>
      </w:r>
    </w:p>
    <w:p w14:paraId="73F0F554" w14:textId="34B364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IHG Hotels &amp; Resorts (2026) </w:t>
      </w:r>
      <w:r w:rsidRPr="00CE032A">
        <w:rPr>
          <w:rFonts w:ascii="Arial" w:hAnsi="Arial" w:cs="Arial"/>
          <w:i/>
          <w:iCs/>
          <w:sz w:val="22"/>
          <w:szCs w:val="22"/>
        </w:rPr>
        <w:t>Our Brands Homepage</w:t>
      </w:r>
      <w:r w:rsidRPr="00CE032A">
        <w:rPr>
          <w:rFonts w:ascii="Arial" w:hAnsi="Arial" w:cs="Arial"/>
          <w:sz w:val="22"/>
          <w:szCs w:val="22"/>
        </w:rPr>
        <w:t xml:space="preserve">. Available at: </w:t>
      </w:r>
      <w:hyperlink r:id="rId15" w:tgtFrame="_blank" w:history="1">
        <w:r w:rsidRPr="00CE032A">
          <w:rPr>
            <w:rStyle w:val="Hyperlink"/>
            <w:rFonts w:ascii="Arial" w:hAnsi="Arial" w:cs="Arial"/>
            <w:sz w:val="22"/>
            <w:szCs w:val="22"/>
          </w:rPr>
          <w:t>https://www.ihg.com/content/us/en/about/brands</w:t>
        </w:r>
      </w:hyperlink>
      <w:r w:rsidRPr="00CE032A">
        <w:rPr>
          <w:rFonts w:ascii="Arial" w:hAnsi="Arial" w:cs="Arial"/>
          <w:sz w:val="22"/>
          <w:szCs w:val="22"/>
        </w:rPr>
        <w:t xml:space="preserve"> (Accessed: </w:t>
      </w:r>
      <w:r w:rsidR="00D8196F">
        <w:rPr>
          <w:rFonts w:ascii="Arial" w:hAnsi="Arial" w:cs="Arial"/>
          <w:sz w:val="22"/>
          <w:szCs w:val="22"/>
        </w:rPr>
        <w:t>7</w:t>
      </w:r>
      <w:r w:rsidRPr="00CE032A">
        <w:rPr>
          <w:rFonts w:ascii="Arial" w:hAnsi="Arial" w:cs="Arial"/>
          <w:sz w:val="22"/>
          <w:szCs w:val="22"/>
        </w:rPr>
        <w:t xml:space="preserve"> March 2026).</w:t>
      </w:r>
    </w:p>
    <w:p w14:paraId="7E00922B" w14:textId="75162306"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IHG PLC (2026b) </w:t>
      </w:r>
      <w:r w:rsidRPr="00CE032A">
        <w:rPr>
          <w:rFonts w:ascii="Arial" w:hAnsi="Arial" w:cs="Arial"/>
          <w:i/>
          <w:iCs/>
          <w:sz w:val="22"/>
          <w:szCs w:val="22"/>
        </w:rPr>
        <w:t>Full Year Results for the year to 31 December 2025</w:t>
      </w:r>
      <w:r w:rsidRPr="00CE032A">
        <w:rPr>
          <w:rFonts w:ascii="Arial" w:hAnsi="Arial" w:cs="Arial"/>
          <w:sz w:val="22"/>
          <w:szCs w:val="22"/>
        </w:rPr>
        <w:t xml:space="preserve">. Windsor: InterContinental Hotels Group PLC. Available at: </w:t>
      </w:r>
      <w:hyperlink r:id="rId16" w:tgtFrame="_blank" w:history="1">
        <w:r w:rsidRPr="00CE032A">
          <w:rPr>
            <w:rStyle w:val="Hyperlink"/>
            <w:rFonts w:ascii="Arial" w:hAnsi="Arial" w:cs="Arial"/>
            <w:sz w:val="22"/>
            <w:szCs w:val="22"/>
          </w:rPr>
          <w:t>https://www.ihgplc.com/en/news-and-media/news-releases/2026/full-year-results-for-the-year-to-31-dec-2025</w:t>
        </w:r>
      </w:hyperlink>
      <w:r w:rsidRPr="00CE032A">
        <w:rPr>
          <w:rFonts w:ascii="Arial" w:hAnsi="Arial" w:cs="Arial"/>
          <w:sz w:val="22"/>
          <w:szCs w:val="22"/>
        </w:rPr>
        <w:t xml:space="preserve"> (Accessed: </w:t>
      </w:r>
      <w:r w:rsidR="00047A6F">
        <w:rPr>
          <w:rFonts w:ascii="Arial" w:hAnsi="Arial" w:cs="Arial"/>
          <w:sz w:val="22"/>
          <w:szCs w:val="22"/>
        </w:rPr>
        <w:t>7</w:t>
      </w:r>
      <w:r w:rsidRPr="00CE032A">
        <w:rPr>
          <w:rFonts w:ascii="Arial" w:hAnsi="Arial" w:cs="Arial"/>
          <w:sz w:val="22"/>
          <w:szCs w:val="22"/>
        </w:rPr>
        <w:t xml:space="preserve"> March 2026).</w:t>
      </w:r>
    </w:p>
    <w:p w14:paraId="76F48928" w14:textId="622B6E48"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IHG PLC (2026c) </w:t>
      </w:r>
      <w:r w:rsidRPr="00CE032A">
        <w:rPr>
          <w:rFonts w:ascii="Arial" w:hAnsi="Arial" w:cs="Arial"/>
          <w:i/>
          <w:iCs/>
          <w:sz w:val="22"/>
          <w:szCs w:val="22"/>
        </w:rPr>
        <w:t>Annual Report and Form 20-F 2025</w:t>
      </w:r>
      <w:r w:rsidRPr="00CE032A">
        <w:rPr>
          <w:rFonts w:ascii="Arial" w:hAnsi="Arial" w:cs="Arial"/>
          <w:sz w:val="22"/>
          <w:szCs w:val="22"/>
        </w:rPr>
        <w:t xml:space="preserve">. Windsor: InterContinental Hotels Group PLC. Available at: </w:t>
      </w:r>
      <w:hyperlink r:id="rId17" w:tgtFrame="_blank" w:history="1">
        <w:r w:rsidRPr="00CE032A">
          <w:rPr>
            <w:rStyle w:val="Hyperlink"/>
            <w:rFonts w:ascii="Arial" w:hAnsi="Arial" w:cs="Arial"/>
            <w:sz w:val="22"/>
            <w:szCs w:val="22"/>
          </w:rPr>
          <w:t>https://www.ihgplc.com/en/investors/annual-report</w:t>
        </w:r>
      </w:hyperlink>
      <w:r w:rsidRPr="00CE032A">
        <w:rPr>
          <w:rFonts w:ascii="Arial" w:hAnsi="Arial" w:cs="Arial"/>
          <w:sz w:val="22"/>
          <w:szCs w:val="22"/>
        </w:rPr>
        <w:t xml:space="preserve"> (Accessed: </w:t>
      </w:r>
      <w:r w:rsidR="00047A6F">
        <w:rPr>
          <w:rFonts w:ascii="Arial" w:hAnsi="Arial" w:cs="Arial"/>
          <w:sz w:val="22"/>
          <w:szCs w:val="22"/>
        </w:rPr>
        <w:t>7</w:t>
      </w:r>
      <w:r w:rsidRPr="00CE032A">
        <w:rPr>
          <w:rFonts w:ascii="Arial" w:hAnsi="Arial" w:cs="Arial"/>
          <w:sz w:val="22"/>
          <w:szCs w:val="22"/>
        </w:rPr>
        <w:t xml:space="preserve"> March 2026).</w:t>
      </w:r>
    </w:p>
    <w:p w14:paraId="1E3EC862"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Freeman, R.E. (1984) </w:t>
      </w:r>
      <w:r w:rsidRPr="00CE032A">
        <w:rPr>
          <w:rFonts w:ascii="Arial" w:hAnsi="Arial" w:cs="Arial"/>
          <w:i/>
          <w:iCs/>
          <w:sz w:val="22"/>
          <w:szCs w:val="22"/>
        </w:rPr>
        <w:t>Strategic Management: A Stakeholder Approach</w:t>
      </w:r>
      <w:r w:rsidRPr="00CE032A">
        <w:rPr>
          <w:rFonts w:ascii="Arial" w:hAnsi="Arial" w:cs="Arial"/>
          <w:sz w:val="22"/>
          <w:szCs w:val="22"/>
        </w:rPr>
        <w:t>. Boston: Pitman.</w:t>
      </w:r>
    </w:p>
    <w:p w14:paraId="699A0D06"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Cozzio, C. et al. (2025) ‘Artificial intelligence adoption in hospitality: challenges and opportunities’, </w:t>
      </w:r>
      <w:r w:rsidRPr="00CE032A">
        <w:rPr>
          <w:rFonts w:ascii="Arial" w:hAnsi="Arial" w:cs="Arial"/>
          <w:i/>
          <w:iCs/>
          <w:sz w:val="22"/>
          <w:szCs w:val="22"/>
        </w:rPr>
        <w:t>Tourism Review</w:t>
      </w:r>
      <w:r w:rsidRPr="00CE032A">
        <w:rPr>
          <w:rFonts w:ascii="Arial" w:hAnsi="Arial" w:cs="Arial"/>
          <w:sz w:val="22"/>
          <w:szCs w:val="22"/>
        </w:rPr>
        <w:t>, 80(4), pp. 789–805.</w:t>
      </w:r>
    </w:p>
    <w:p w14:paraId="55F28C93"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Bag, S. et al. (2024) ‘Utilizing Artificial Intelligence for Stakeholder Engagement and Social Innovation: Addressing Climate Change’, </w:t>
      </w:r>
      <w:r w:rsidRPr="00CE032A">
        <w:rPr>
          <w:rFonts w:ascii="Arial" w:hAnsi="Arial" w:cs="Arial"/>
          <w:i/>
          <w:iCs/>
          <w:sz w:val="22"/>
          <w:szCs w:val="22"/>
        </w:rPr>
        <w:t>Accounting, Management and Information Technologies</w:t>
      </w:r>
      <w:r w:rsidRPr="00CE032A">
        <w:rPr>
          <w:rFonts w:ascii="Arial" w:hAnsi="Arial" w:cs="Arial"/>
          <w:sz w:val="22"/>
          <w:szCs w:val="22"/>
        </w:rPr>
        <w:t>, 34(3), pp. 112–130.</w:t>
      </w:r>
    </w:p>
    <w:p w14:paraId="5507C4BC"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Hospitality Net (2025) </w:t>
      </w:r>
      <w:r w:rsidRPr="00CE032A">
        <w:rPr>
          <w:rFonts w:ascii="Arial" w:hAnsi="Arial" w:cs="Arial"/>
          <w:i/>
          <w:iCs/>
          <w:sz w:val="22"/>
          <w:szCs w:val="22"/>
        </w:rPr>
        <w:t>How to Survive AI in 2026: Ten Coordinates for the Future of Hospitality</w:t>
      </w:r>
      <w:r w:rsidRPr="00CE032A">
        <w:rPr>
          <w:rFonts w:ascii="Arial" w:hAnsi="Arial" w:cs="Arial"/>
          <w:sz w:val="22"/>
          <w:szCs w:val="22"/>
        </w:rPr>
        <w:t xml:space="preserve">. Available at: </w:t>
      </w:r>
      <w:hyperlink r:id="rId18" w:tgtFrame="_blank" w:history="1">
        <w:r w:rsidRPr="00CE032A">
          <w:rPr>
            <w:rStyle w:val="Hyperlink"/>
            <w:rFonts w:ascii="Arial" w:hAnsi="Arial" w:cs="Arial"/>
            <w:sz w:val="22"/>
            <w:szCs w:val="22"/>
          </w:rPr>
          <w:t>https://www.hospitalitynet.org/opinion/4129430/how-to-survive-ai-in-2026-ten-coordinates-for-the-future-of-hospitality</w:t>
        </w:r>
      </w:hyperlink>
      <w:r w:rsidRPr="00CE032A">
        <w:rPr>
          <w:rFonts w:ascii="Arial" w:hAnsi="Arial" w:cs="Arial"/>
          <w:sz w:val="22"/>
          <w:szCs w:val="22"/>
        </w:rPr>
        <w:t xml:space="preserve"> (Accessed: 21 March 2026).</w:t>
      </w:r>
    </w:p>
    <w:p w14:paraId="26133844"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Vrontis, D., Iazzi, A., Maizza, A. and Cavallo, F. (2022) ‘Stakeholder engagement in the hospitality industry: An analysis of communication in SMEs and large hotels’, </w:t>
      </w:r>
      <w:r w:rsidRPr="00CE032A">
        <w:rPr>
          <w:rFonts w:ascii="Arial" w:hAnsi="Arial" w:cs="Arial"/>
          <w:i/>
          <w:iCs/>
          <w:sz w:val="22"/>
          <w:szCs w:val="22"/>
        </w:rPr>
        <w:t>Journal of Hospitality &amp; Tourism Research</w:t>
      </w:r>
      <w:r w:rsidRPr="00CE032A">
        <w:rPr>
          <w:rFonts w:ascii="Arial" w:hAnsi="Arial" w:cs="Arial"/>
          <w:sz w:val="22"/>
          <w:szCs w:val="22"/>
        </w:rPr>
        <w:t>, 46(1), pp. 8–34.</w:t>
      </w:r>
    </w:p>
    <w:p w14:paraId="4A62459F"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Hasan, R. (2024) ‘Enhancing stakeholder engagement in project management: The role of AI-driven forecasting’, </w:t>
      </w:r>
      <w:r w:rsidRPr="00CE032A">
        <w:rPr>
          <w:rFonts w:ascii="Arial" w:hAnsi="Arial" w:cs="Arial"/>
          <w:i/>
          <w:iCs/>
          <w:sz w:val="22"/>
          <w:szCs w:val="22"/>
        </w:rPr>
        <w:t>Dissertations and Theses</w:t>
      </w:r>
      <w:r w:rsidRPr="00CE032A">
        <w:rPr>
          <w:rFonts w:ascii="Arial" w:hAnsi="Arial" w:cs="Arial"/>
          <w:sz w:val="22"/>
          <w:szCs w:val="22"/>
        </w:rPr>
        <w:t xml:space="preserve">, 22. Available at: </w:t>
      </w:r>
      <w:hyperlink r:id="rId19" w:tgtFrame="_blank" w:history="1">
        <w:r w:rsidRPr="00CE032A">
          <w:rPr>
            <w:rStyle w:val="Hyperlink"/>
            <w:rFonts w:ascii="Arial" w:hAnsi="Arial" w:cs="Arial"/>
            <w:sz w:val="22"/>
            <w:szCs w:val="22"/>
          </w:rPr>
          <w:t>https://digitalcommons.harrisburgu.edu/dandt/22</w:t>
        </w:r>
      </w:hyperlink>
      <w:r w:rsidRPr="00CE032A">
        <w:rPr>
          <w:rFonts w:ascii="Arial" w:hAnsi="Arial" w:cs="Arial"/>
          <w:sz w:val="22"/>
          <w:szCs w:val="22"/>
        </w:rPr>
        <w:t xml:space="preserve"> (Accessed: 21 March 2026).</w:t>
      </w:r>
    </w:p>
    <w:p w14:paraId="3715B217"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Zahidi, F. et al. (2024) ‘Embracing the new era: Artificial intelligence and its impact on hospitality’, </w:t>
      </w:r>
      <w:r w:rsidRPr="00CE032A">
        <w:rPr>
          <w:rFonts w:ascii="Arial" w:hAnsi="Arial" w:cs="Arial"/>
          <w:i/>
          <w:iCs/>
          <w:sz w:val="22"/>
          <w:szCs w:val="22"/>
        </w:rPr>
        <w:t>Journal of Hospitality and Tourism Technology</w:t>
      </w:r>
      <w:r w:rsidRPr="00CE032A">
        <w:rPr>
          <w:rFonts w:ascii="Arial" w:hAnsi="Arial" w:cs="Arial"/>
          <w:sz w:val="22"/>
          <w:szCs w:val="22"/>
        </w:rPr>
        <w:t>, 15(2), pp. 189–205.</w:t>
      </w:r>
    </w:p>
    <w:p w14:paraId="565DE137"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PwC (2025) </w:t>
      </w:r>
      <w:r w:rsidRPr="00CE032A">
        <w:rPr>
          <w:rFonts w:ascii="Arial" w:hAnsi="Arial" w:cs="Arial"/>
          <w:i/>
          <w:iCs/>
          <w:sz w:val="22"/>
          <w:szCs w:val="22"/>
        </w:rPr>
        <w:t>AI at the Heart of Tourism and Hospitality</w:t>
      </w:r>
      <w:r w:rsidRPr="00CE032A">
        <w:rPr>
          <w:rFonts w:ascii="Arial" w:hAnsi="Arial" w:cs="Arial"/>
          <w:sz w:val="22"/>
          <w:szCs w:val="22"/>
        </w:rPr>
        <w:t xml:space="preserve">. Available at: </w:t>
      </w:r>
      <w:hyperlink r:id="rId20" w:tgtFrame="_blank" w:history="1">
        <w:r w:rsidRPr="00CE032A">
          <w:rPr>
            <w:rStyle w:val="Hyperlink"/>
            <w:rFonts w:ascii="Arial" w:hAnsi="Arial" w:cs="Arial"/>
            <w:sz w:val="22"/>
            <w:szCs w:val="22"/>
          </w:rPr>
          <w:t>https://www.pwc.com/m1/en/publications/2025/docs/ai-tourism-hospitality.pdf</w:t>
        </w:r>
      </w:hyperlink>
      <w:r w:rsidRPr="00CE032A">
        <w:rPr>
          <w:rFonts w:ascii="Arial" w:hAnsi="Arial" w:cs="Arial"/>
          <w:sz w:val="22"/>
          <w:szCs w:val="22"/>
        </w:rPr>
        <w:t xml:space="preserve"> (Accessed: 21 March 2026).</w:t>
      </w:r>
    </w:p>
    <w:p w14:paraId="6A95D20B"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UN Tourism (2024) </w:t>
      </w:r>
      <w:r w:rsidRPr="00CE032A">
        <w:rPr>
          <w:rFonts w:ascii="Arial" w:hAnsi="Arial" w:cs="Arial"/>
          <w:i/>
          <w:iCs/>
          <w:sz w:val="22"/>
          <w:szCs w:val="22"/>
        </w:rPr>
        <w:t>UN Tourism and World Sustainable Hospitality Alliance to Advance Common ESG Framework</w:t>
      </w:r>
      <w:r w:rsidRPr="00CE032A">
        <w:rPr>
          <w:rFonts w:ascii="Arial" w:hAnsi="Arial" w:cs="Arial"/>
          <w:sz w:val="22"/>
          <w:szCs w:val="22"/>
        </w:rPr>
        <w:t xml:space="preserve">. Madrid: United Nations World Tourism Organization. Available at: </w:t>
      </w:r>
      <w:hyperlink r:id="rId21" w:tgtFrame="_blank" w:history="1">
        <w:r w:rsidRPr="00CE032A">
          <w:rPr>
            <w:rStyle w:val="Hyperlink"/>
            <w:rFonts w:ascii="Arial" w:hAnsi="Arial" w:cs="Arial"/>
            <w:sz w:val="22"/>
            <w:szCs w:val="22"/>
          </w:rPr>
          <w:t>https://www.unwto.org/news/un-tourism-and-world-sustainable-hospitality-alliance-to-advance-common-esg-framework</w:t>
        </w:r>
      </w:hyperlink>
      <w:r w:rsidRPr="00CE032A">
        <w:rPr>
          <w:rFonts w:ascii="Arial" w:hAnsi="Arial" w:cs="Arial"/>
          <w:sz w:val="22"/>
          <w:szCs w:val="22"/>
        </w:rPr>
        <w:t xml:space="preserve"> (Accessed: 21 March 2026).</w:t>
      </w:r>
    </w:p>
    <w:p w14:paraId="10A7F2C0"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lastRenderedPageBreak/>
        <w:t xml:space="preserve">Mitchell, R.K., Agle, B.R. and Wood, D.J. (1997) ‘Toward a theory of stakeholder identification and salience: Defining the principle of who and what really counts’, </w:t>
      </w:r>
      <w:r w:rsidRPr="00CE032A">
        <w:rPr>
          <w:rFonts w:ascii="Arial" w:hAnsi="Arial" w:cs="Arial"/>
          <w:i/>
          <w:iCs/>
          <w:sz w:val="22"/>
          <w:szCs w:val="22"/>
        </w:rPr>
        <w:t>Academy of Management Review</w:t>
      </w:r>
      <w:r w:rsidRPr="00CE032A">
        <w:rPr>
          <w:rFonts w:ascii="Arial" w:hAnsi="Arial" w:cs="Arial"/>
          <w:sz w:val="22"/>
          <w:szCs w:val="22"/>
        </w:rPr>
        <w:t>, 22(4), pp. 853–886.</w:t>
      </w:r>
    </w:p>
    <w:p w14:paraId="161861CE"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Ni, L., Wang, Q., De la Flor, M. and Penaflor, R. (2015) ‘Ethical community stakeholder engagement in the global environment: Strategies and assessment’, </w:t>
      </w:r>
      <w:r w:rsidRPr="00CE032A">
        <w:rPr>
          <w:rFonts w:ascii="Arial" w:hAnsi="Arial" w:cs="Arial"/>
          <w:i/>
          <w:iCs/>
          <w:sz w:val="22"/>
          <w:szCs w:val="22"/>
        </w:rPr>
        <w:t>Public Relations Journal</w:t>
      </w:r>
      <w:r w:rsidRPr="00CE032A">
        <w:rPr>
          <w:rFonts w:ascii="Arial" w:hAnsi="Arial" w:cs="Arial"/>
          <w:sz w:val="22"/>
          <w:szCs w:val="22"/>
        </w:rPr>
        <w:t>, 9(1), pp. 1–17.</w:t>
      </w:r>
    </w:p>
    <w:p w14:paraId="406CDC33"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Wang, L. (2025) ‘Cross-cultural stakeholder engagement in AI-driven hospitality services: Lessons from global hotel chains’, </w:t>
      </w:r>
      <w:r w:rsidRPr="00CE032A">
        <w:rPr>
          <w:rFonts w:ascii="Arial" w:hAnsi="Arial" w:cs="Arial"/>
          <w:i/>
          <w:iCs/>
          <w:sz w:val="22"/>
          <w:szCs w:val="22"/>
        </w:rPr>
        <w:t>International Journal of Contemporary Hospitality Management</w:t>
      </w:r>
      <w:r w:rsidRPr="00CE032A">
        <w:rPr>
          <w:rFonts w:ascii="Arial" w:hAnsi="Arial" w:cs="Arial"/>
          <w:sz w:val="22"/>
          <w:szCs w:val="22"/>
        </w:rPr>
        <w:t>, 37(4), pp. 1123–1145.</w:t>
      </w:r>
    </w:p>
    <w:p w14:paraId="2B486B7E"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Project Management Institute (2017) </w:t>
      </w:r>
      <w:r w:rsidRPr="00CE032A">
        <w:rPr>
          <w:rFonts w:ascii="Arial" w:hAnsi="Arial" w:cs="Arial"/>
          <w:i/>
          <w:iCs/>
          <w:sz w:val="22"/>
          <w:szCs w:val="22"/>
        </w:rPr>
        <w:t>A Guide to the Project Management Body of Knowledge (PMBOK Guide)</w:t>
      </w:r>
      <w:r w:rsidRPr="00CE032A">
        <w:rPr>
          <w:rFonts w:ascii="Arial" w:hAnsi="Arial" w:cs="Arial"/>
          <w:sz w:val="22"/>
          <w:szCs w:val="22"/>
        </w:rPr>
        <w:t>. 6th edn. Newtown Square, PA: PMI.</w:t>
      </w:r>
    </w:p>
    <w:p w14:paraId="145087E2"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Eden, C. and Ackermann, F. (1998) </w:t>
      </w:r>
      <w:r w:rsidRPr="00CE032A">
        <w:rPr>
          <w:rFonts w:ascii="Arial" w:hAnsi="Arial" w:cs="Arial"/>
          <w:i/>
          <w:iCs/>
          <w:sz w:val="22"/>
          <w:szCs w:val="22"/>
        </w:rPr>
        <w:t>Making Strategy: The Journey of Strategic Management</w:t>
      </w:r>
      <w:r w:rsidRPr="00CE032A">
        <w:rPr>
          <w:rFonts w:ascii="Arial" w:hAnsi="Arial" w:cs="Arial"/>
          <w:sz w:val="22"/>
          <w:szCs w:val="22"/>
        </w:rPr>
        <w:t>. London: Sage.</w:t>
      </w:r>
    </w:p>
    <w:p w14:paraId="7079AB09"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Institute of Project Management (2026) </w:t>
      </w:r>
      <w:r w:rsidRPr="00CE032A">
        <w:rPr>
          <w:rFonts w:ascii="Arial" w:hAnsi="Arial" w:cs="Arial"/>
          <w:i/>
          <w:iCs/>
          <w:sz w:val="22"/>
          <w:szCs w:val="22"/>
        </w:rPr>
        <w:t>Stakeholder Engagement Tips: The Dos and Don'ts</w:t>
      </w:r>
      <w:r w:rsidRPr="00CE032A">
        <w:rPr>
          <w:rFonts w:ascii="Arial" w:hAnsi="Arial" w:cs="Arial"/>
          <w:sz w:val="22"/>
          <w:szCs w:val="22"/>
        </w:rPr>
        <w:t xml:space="preserve">. Dublin: Institute of Project Management. Available at: </w:t>
      </w:r>
      <w:hyperlink r:id="rId22" w:tgtFrame="_blank" w:history="1">
        <w:r w:rsidRPr="00CE032A">
          <w:rPr>
            <w:rStyle w:val="Hyperlink"/>
            <w:rFonts w:ascii="Arial" w:hAnsi="Arial" w:cs="Arial"/>
            <w:sz w:val="22"/>
            <w:szCs w:val="22"/>
          </w:rPr>
          <w:t>https://projectmanagement.ie/blog/stakeholder-engagement-tips-the-dos-and-donts</w:t>
        </w:r>
      </w:hyperlink>
      <w:r w:rsidRPr="00CE032A">
        <w:rPr>
          <w:rFonts w:ascii="Arial" w:hAnsi="Arial" w:cs="Arial"/>
          <w:sz w:val="22"/>
          <w:szCs w:val="22"/>
        </w:rPr>
        <w:t xml:space="preserve"> (Accessed: 21 March 2026).</w:t>
      </w:r>
    </w:p>
    <w:p w14:paraId="06A3727B"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King, K.F., Kolopack, P., Merritt, M.W. and Lavery, J.V. (2014) ‘Community engagement and the human infrastructure of global health research’, </w:t>
      </w:r>
      <w:r w:rsidRPr="00CE032A">
        <w:rPr>
          <w:rFonts w:ascii="Arial" w:hAnsi="Arial" w:cs="Arial"/>
          <w:i/>
          <w:iCs/>
          <w:sz w:val="22"/>
          <w:szCs w:val="22"/>
        </w:rPr>
        <w:t>BMC Medical Ethics</w:t>
      </w:r>
      <w:r w:rsidRPr="00CE032A">
        <w:rPr>
          <w:rFonts w:ascii="Arial" w:hAnsi="Arial" w:cs="Arial"/>
          <w:sz w:val="22"/>
          <w:szCs w:val="22"/>
        </w:rPr>
        <w:t>, 15(1), p. 84.</w:t>
      </w:r>
    </w:p>
    <w:p w14:paraId="476B960D"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Teoli, D., Sanvictores, T. and An, J. (2023) ‘SWOT Analysis’, in </w:t>
      </w:r>
      <w:r w:rsidRPr="00CE032A">
        <w:rPr>
          <w:rFonts w:ascii="Arial" w:hAnsi="Arial" w:cs="Arial"/>
          <w:i/>
          <w:iCs/>
          <w:sz w:val="22"/>
          <w:szCs w:val="22"/>
        </w:rPr>
        <w:t>StatPearls</w:t>
      </w:r>
      <w:r w:rsidRPr="00CE032A">
        <w:rPr>
          <w:rFonts w:ascii="Arial" w:hAnsi="Arial" w:cs="Arial"/>
          <w:sz w:val="22"/>
          <w:szCs w:val="22"/>
        </w:rPr>
        <w:t xml:space="preserve">. Treasure Island (FL): StatPearls Publishing. Available at: </w:t>
      </w:r>
      <w:hyperlink r:id="rId23" w:tgtFrame="_blank" w:history="1">
        <w:r w:rsidRPr="00CE032A">
          <w:rPr>
            <w:rStyle w:val="Hyperlink"/>
            <w:rFonts w:ascii="Arial" w:hAnsi="Arial" w:cs="Arial"/>
            <w:sz w:val="22"/>
            <w:szCs w:val="22"/>
          </w:rPr>
          <w:t>https://www.ncbi.nlm.nih.gov/books/NBK537302/</w:t>
        </w:r>
      </w:hyperlink>
      <w:r w:rsidRPr="00CE032A">
        <w:rPr>
          <w:rFonts w:ascii="Arial" w:hAnsi="Arial" w:cs="Arial"/>
          <w:sz w:val="22"/>
          <w:szCs w:val="22"/>
        </w:rPr>
        <w:t xml:space="preserve"> (Accessed: 21 March 2026).</w:t>
      </w:r>
    </w:p>
    <w:p w14:paraId="05684180"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Gürel, E. and Tat, M. (2017) ‘SWOT analysis: A theoretical review’, </w:t>
      </w:r>
      <w:r w:rsidRPr="00CE032A">
        <w:rPr>
          <w:rFonts w:ascii="Arial" w:hAnsi="Arial" w:cs="Arial"/>
          <w:i/>
          <w:iCs/>
          <w:sz w:val="22"/>
          <w:szCs w:val="22"/>
        </w:rPr>
        <w:t>The Journal of International Social Research</w:t>
      </w:r>
      <w:r w:rsidRPr="00CE032A">
        <w:rPr>
          <w:rFonts w:ascii="Arial" w:hAnsi="Arial" w:cs="Arial"/>
          <w:sz w:val="22"/>
          <w:szCs w:val="22"/>
        </w:rPr>
        <w:t>, 10(51), pp. 994–1005.</w:t>
      </w:r>
    </w:p>
    <w:p w14:paraId="0BA577A3"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Puyt, R.W., Lie, F.B., De Graaf, F.J. and Wilderom, C.P.M. (2023) ‘The origins of SWOT analysis’, </w:t>
      </w:r>
      <w:r w:rsidRPr="00CE032A">
        <w:rPr>
          <w:rFonts w:ascii="Arial" w:hAnsi="Arial" w:cs="Arial"/>
          <w:i/>
          <w:iCs/>
          <w:sz w:val="22"/>
          <w:szCs w:val="22"/>
        </w:rPr>
        <w:t>Long Range Planning</w:t>
      </w:r>
      <w:r w:rsidRPr="00CE032A">
        <w:rPr>
          <w:rFonts w:ascii="Arial" w:hAnsi="Arial" w:cs="Arial"/>
          <w:sz w:val="22"/>
          <w:szCs w:val="22"/>
        </w:rPr>
        <w:t>, 56(3), 102304.</w:t>
      </w:r>
    </w:p>
    <w:p w14:paraId="65EB5B2A"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CIPD (2025) </w:t>
      </w:r>
      <w:r w:rsidRPr="00CE032A">
        <w:rPr>
          <w:rFonts w:ascii="Arial" w:hAnsi="Arial" w:cs="Arial"/>
          <w:i/>
          <w:iCs/>
          <w:sz w:val="22"/>
          <w:szCs w:val="22"/>
        </w:rPr>
        <w:t>PESTLE analysis</w:t>
      </w:r>
      <w:r w:rsidRPr="00CE032A">
        <w:rPr>
          <w:rFonts w:ascii="Arial" w:hAnsi="Arial" w:cs="Arial"/>
          <w:sz w:val="22"/>
          <w:szCs w:val="22"/>
        </w:rPr>
        <w:t xml:space="preserve">. London: Chartered Institute of Personnel and Development. Available at: </w:t>
      </w:r>
      <w:hyperlink r:id="rId24" w:tgtFrame="_blank" w:history="1">
        <w:r w:rsidRPr="00CE032A">
          <w:rPr>
            <w:rStyle w:val="Hyperlink"/>
            <w:rFonts w:ascii="Arial" w:hAnsi="Arial" w:cs="Arial"/>
            <w:sz w:val="22"/>
            <w:szCs w:val="22"/>
          </w:rPr>
          <w:t>https://www.cipd.org/en/knowledge/factsheets/pestle-analysis-factsheet/</w:t>
        </w:r>
      </w:hyperlink>
      <w:r w:rsidRPr="00CE032A">
        <w:rPr>
          <w:rFonts w:ascii="Arial" w:hAnsi="Arial" w:cs="Arial"/>
          <w:sz w:val="22"/>
          <w:szCs w:val="22"/>
        </w:rPr>
        <w:t xml:space="preserve"> (Accessed: 21 March 2026).</w:t>
      </w:r>
    </w:p>
    <w:p w14:paraId="111547E2"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Makos, J. (2024) </w:t>
      </w:r>
      <w:r w:rsidRPr="00CE032A">
        <w:rPr>
          <w:rFonts w:ascii="Arial" w:hAnsi="Arial" w:cs="Arial"/>
          <w:i/>
          <w:iCs/>
          <w:sz w:val="22"/>
          <w:szCs w:val="22"/>
        </w:rPr>
        <w:t>What is a PESTLE Analysis?</w:t>
      </w:r>
      <w:r w:rsidRPr="00CE032A">
        <w:rPr>
          <w:rFonts w:ascii="Arial" w:hAnsi="Arial" w:cs="Arial"/>
          <w:sz w:val="22"/>
          <w:szCs w:val="22"/>
        </w:rPr>
        <w:t xml:space="preserve"> Available at: </w:t>
      </w:r>
      <w:hyperlink r:id="rId25" w:tgtFrame="_blank" w:history="1">
        <w:r w:rsidRPr="00CE032A">
          <w:rPr>
            <w:rStyle w:val="Hyperlink"/>
            <w:rFonts w:ascii="Arial" w:hAnsi="Arial" w:cs="Arial"/>
            <w:sz w:val="22"/>
            <w:szCs w:val="22"/>
          </w:rPr>
          <w:t>https://pestleanalysis.com/what-is-pestle-analysis/</w:t>
        </w:r>
      </w:hyperlink>
      <w:r w:rsidRPr="00CE032A">
        <w:rPr>
          <w:rFonts w:ascii="Arial" w:hAnsi="Arial" w:cs="Arial"/>
          <w:sz w:val="22"/>
          <w:szCs w:val="22"/>
        </w:rPr>
        <w:t xml:space="preserve"> (Accessed: 21 March 2026).</w:t>
      </w:r>
    </w:p>
    <w:p w14:paraId="7873529C"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HospitalityInsights (2024) </w:t>
      </w:r>
      <w:r w:rsidRPr="00CE032A">
        <w:rPr>
          <w:rFonts w:ascii="Arial" w:hAnsi="Arial" w:cs="Arial"/>
          <w:i/>
          <w:iCs/>
          <w:sz w:val="22"/>
          <w:szCs w:val="22"/>
        </w:rPr>
        <w:t>AI in the Hospitality Industry: Benefits, Challenges &amp; What's Next</w:t>
      </w:r>
      <w:r w:rsidRPr="00CE032A">
        <w:rPr>
          <w:rFonts w:ascii="Arial" w:hAnsi="Arial" w:cs="Arial"/>
          <w:sz w:val="22"/>
          <w:szCs w:val="22"/>
        </w:rPr>
        <w:t xml:space="preserve">. Available at: </w:t>
      </w:r>
      <w:hyperlink r:id="rId26" w:tgtFrame="_blank" w:history="1">
        <w:r w:rsidRPr="00CE032A">
          <w:rPr>
            <w:rStyle w:val="Hyperlink"/>
            <w:rFonts w:ascii="Arial" w:hAnsi="Arial" w:cs="Arial"/>
            <w:sz w:val="22"/>
            <w:szCs w:val="22"/>
          </w:rPr>
          <w:t>https://hospitalityinsights.ehl.edu/ai-in-hospitality</w:t>
        </w:r>
      </w:hyperlink>
      <w:r w:rsidRPr="00CE032A">
        <w:rPr>
          <w:rFonts w:ascii="Arial" w:hAnsi="Arial" w:cs="Arial"/>
          <w:sz w:val="22"/>
          <w:szCs w:val="22"/>
        </w:rPr>
        <w:t xml:space="preserve"> (Accessed: 21 March 2026).</w:t>
      </w:r>
    </w:p>
    <w:p w14:paraId="7B351CA2"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Media Thiga (2025) </w:t>
      </w:r>
      <w:r w:rsidRPr="00CE032A">
        <w:rPr>
          <w:rFonts w:ascii="Arial" w:hAnsi="Arial" w:cs="Arial"/>
          <w:i/>
          <w:iCs/>
          <w:sz w:val="22"/>
          <w:szCs w:val="22"/>
        </w:rPr>
        <w:t>The 5 Upcoming Challenges of Hospitality in the Age of AI</w:t>
      </w:r>
      <w:r w:rsidRPr="00CE032A">
        <w:rPr>
          <w:rFonts w:ascii="Arial" w:hAnsi="Arial" w:cs="Arial"/>
          <w:sz w:val="22"/>
          <w:szCs w:val="22"/>
        </w:rPr>
        <w:t xml:space="preserve">. Available at: </w:t>
      </w:r>
      <w:hyperlink r:id="rId27" w:tgtFrame="_blank" w:history="1">
        <w:r w:rsidRPr="00CE032A">
          <w:rPr>
            <w:rStyle w:val="Hyperlink"/>
            <w:rFonts w:ascii="Arial" w:hAnsi="Arial" w:cs="Arial"/>
            <w:sz w:val="22"/>
            <w:szCs w:val="22"/>
          </w:rPr>
          <w:t>https://www.media.thiga.co/en/hospitality-ai-5-challenges</w:t>
        </w:r>
      </w:hyperlink>
      <w:r w:rsidRPr="00CE032A">
        <w:rPr>
          <w:rFonts w:ascii="Arial" w:hAnsi="Arial" w:cs="Arial"/>
          <w:sz w:val="22"/>
          <w:szCs w:val="22"/>
        </w:rPr>
        <w:t xml:space="preserve"> (Accessed: 21 March 2026).</w:t>
      </w:r>
    </w:p>
    <w:p w14:paraId="3F987DB2"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lastRenderedPageBreak/>
        <w:t xml:space="preserve">NetSuite (2025) </w:t>
      </w:r>
      <w:r w:rsidRPr="00CE032A">
        <w:rPr>
          <w:rFonts w:ascii="Arial" w:hAnsi="Arial" w:cs="Arial"/>
          <w:i/>
          <w:iCs/>
          <w:sz w:val="22"/>
          <w:szCs w:val="22"/>
        </w:rPr>
        <w:t>7 Trends Driving the Hospitality Industry in 2025</w:t>
      </w:r>
      <w:r w:rsidRPr="00CE032A">
        <w:rPr>
          <w:rFonts w:ascii="Arial" w:hAnsi="Arial" w:cs="Arial"/>
          <w:sz w:val="22"/>
          <w:szCs w:val="22"/>
        </w:rPr>
        <w:t xml:space="preserve">. Available at: </w:t>
      </w:r>
      <w:hyperlink r:id="rId28" w:tgtFrame="_blank" w:history="1">
        <w:r w:rsidRPr="00CE032A">
          <w:rPr>
            <w:rStyle w:val="Hyperlink"/>
            <w:rFonts w:ascii="Arial" w:hAnsi="Arial" w:cs="Arial"/>
            <w:sz w:val="22"/>
            <w:szCs w:val="22"/>
          </w:rPr>
          <w:t>https://www.netsuite.com/portal/resource/articles/erp/hospitality-industry-trends.shtml</w:t>
        </w:r>
      </w:hyperlink>
      <w:r w:rsidRPr="00CE032A">
        <w:rPr>
          <w:rFonts w:ascii="Arial" w:hAnsi="Arial" w:cs="Arial"/>
          <w:sz w:val="22"/>
          <w:szCs w:val="22"/>
        </w:rPr>
        <w:t xml:space="preserve"> (Accessed: 21 March 2026).</w:t>
      </w:r>
    </w:p>
    <w:p w14:paraId="581ADF78"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Avendra (2026) </w:t>
      </w:r>
      <w:r w:rsidRPr="00CE032A">
        <w:rPr>
          <w:rFonts w:ascii="Arial" w:hAnsi="Arial" w:cs="Arial"/>
          <w:i/>
          <w:iCs/>
          <w:sz w:val="22"/>
          <w:szCs w:val="22"/>
        </w:rPr>
        <w:t>How AI and IoT Are Revolutionizing Hotel F&amp;B Management for 2026</w:t>
      </w:r>
      <w:r w:rsidRPr="00CE032A">
        <w:rPr>
          <w:rFonts w:ascii="Arial" w:hAnsi="Arial" w:cs="Arial"/>
          <w:sz w:val="22"/>
          <w:szCs w:val="22"/>
        </w:rPr>
        <w:t xml:space="preserve">. Available at: </w:t>
      </w:r>
      <w:hyperlink r:id="rId29" w:tgtFrame="_blank" w:history="1">
        <w:r w:rsidRPr="00CE032A">
          <w:rPr>
            <w:rStyle w:val="Hyperlink"/>
            <w:rFonts w:ascii="Arial" w:hAnsi="Arial" w:cs="Arial"/>
            <w:sz w:val="22"/>
            <w:szCs w:val="22"/>
          </w:rPr>
          <w:t>https://www.avendra.com/en/us/resources/trends-and-insights/how-ai-and-iot-are-revolutionizing-hotel-f-and-b-management-for-2026</w:t>
        </w:r>
      </w:hyperlink>
      <w:r w:rsidRPr="00CE032A">
        <w:rPr>
          <w:rFonts w:ascii="Arial" w:hAnsi="Arial" w:cs="Arial"/>
          <w:sz w:val="22"/>
          <w:szCs w:val="22"/>
        </w:rPr>
        <w:t xml:space="preserve"> (Accessed: 21 March 2026).</w:t>
      </w:r>
    </w:p>
    <w:p w14:paraId="19FBD537"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Sirivadhanawaravachara, A. (2025) ‘The impact of artificial intelligence in the global hospitality industry by 2030’, </w:t>
      </w:r>
      <w:r w:rsidRPr="00CE032A">
        <w:rPr>
          <w:rFonts w:ascii="Arial" w:hAnsi="Arial" w:cs="Arial"/>
          <w:i/>
          <w:iCs/>
          <w:sz w:val="22"/>
          <w:szCs w:val="22"/>
        </w:rPr>
        <w:t>World Journal of Advanced Research and Reviews</w:t>
      </w:r>
      <w:r w:rsidRPr="00CE032A">
        <w:rPr>
          <w:rFonts w:ascii="Arial" w:hAnsi="Arial" w:cs="Arial"/>
          <w:sz w:val="22"/>
          <w:szCs w:val="22"/>
        </w:rPr>
        <w:t>, 25(1), pp. 1691–1701.</w:t>
      </w:r>
    </w:p>
    <w:p w14:paraId="6D2F518E"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LinkedIn (2026) </w:t>
      </w:r>
      <w:r w:rsidRPr="00CE032A">
        <w:rPr>
          <w:rFonts w:ascii="Arial" w:hAnsi="Arial" w:cs="Arial"/>
          <w:i/>
          <w:iCs/>
          <w:sz w:val="22"/>
          <w:szCs w:val="22"/>
        </w:rPr>
        <w:t>AI Ushers in a New Era of Transparency and Collaboration</w:t>
      </w:r>
      <w:r w:rsidRPr="00CE032A">
        <w:rPr>
          <w:rFonts w:ascii="Arial" w:hAnsi="Arial" w:cs="Arial"/>
          <w:sz w:val="22"/>
          <w:szCs w:val="22"/>
        </w:rPr>
        <w:t xml:space="preserve">. Available at: </w:t>
      </w:r>
      <w:hyperlink r:id="rId30" w:tgtFrame="_blank" w:history="1">
        <w:r w:rsidRPr="00CE032A">
          <w:rPr>
            <w:rStyle w:val="Hyperlink"/>
            <w:rFonts w:ascii="Arial" w:hAnsi="Arial" w:cs="Arial"/>
            <w:sz w:val="22"/>
            <w:szCs w:val="22"/>
          </w:rPr>
          <w:t>https://www.linkedin.com/pulse/revolutionizing-stakeholder-engagement-ai-ushers-new-cem-g4qtf</w:t>
        </w:r>
      </w:hyperlink>
      <w:r w:rsidRPr="00CE032A">
        <w:rPr>
          <w:rFonts w:ascii="Arial" w:hAnsi="Arial" w:cs="Arial"/>
          <w:sz w:val="22"/>
          <w:szCs w:val="22"/>
        </w:rPr>
        <w:t xml:space="preserve"> (Accessed: 21 March 2026).</w:t>
      </w:r>
    </w:p>
    <w:p w14:paraId="4B58A5BA"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Yadav, V. (2026) </w:t>
      </w:r>
      <w:r w:rsidRPr="00CE032A">
        <w:rPr>
          <w:rFonts w:ascii="Arial" w:hAnsi="Arial" w:cs="Arial"/>
          <w:i/>
          <w:iCs/>
          <w:sz w:val="22"/>
          <w:szCs w:val="22"/>
        </w:rPr>
        <w:t>Navigating the Challenges of the Hospitality Industry in 2025</w:t>
      </w:r>
      <w:r w:rsidRPr="00CE032A">
        <w:rPr>
          <w:rFonts w:ascii="Arial" w:hAnsi="Arial" w:cs="Arial"/>
          <w:sz w:val="22"/>
          <w:szCs w:val="22"/>
        </w:rPr>
        <w:t xml:space="preserve">. Available at: </w:t>
      </w:r>
      <w:hyperlink r:id="rId31" w:tgtFrame="_blank" w:history="1">
        <w:r w:rsidRPr="00CE032A">
          <w:rPr>
            <w:rStyle w:val="Hyperlink"/>
            <w:rFonts w:ascii="Arial" w:hAnsi="Arial" w:cs="Arial"/>
            <w:sz w:val="22"/>
            <w:szCs w:val="22"/>
          </w:rPr>
          <w:t>https://www.linkedin.com/pulse/navigating-challenges-hospitality-industry-2025-vimal-yadav</w:t>
        </w:r>
      </w:hyperlink>
      <w:r w:rsidRPr="00CE032A">
        <w:rPr>
          <w:rFonts w:ascii="Arial" w:hAnsi="Arial" w:cs="Arial"/>
          <w:sz w:val="22"/>
          <w:szCs w:val="22"/>
        </w:rPr>
        <w:t xml:space="preserve"> (Accessed: 21 March 2026).</w:t>
      </w:r>
    </w:p>
    <w:p w14:paraId="22DAB533" w14:textId="77777777" w:rsidR="00CE032A" w:rsidRPr="00CE032A" w:rsidRDefault="00CE032A" w:rsidP="00CE032A">
      <w:pPr>
        <w:spacing w:line="360" w:lineRule="auto"/>
        <w:rPr>
          <w:rFonts w:ascii="Arial" w:hAnsi="Arial" w:cs="Arial"/>
          <w:sz w:val="22"/>
          <w:szCs w:val="22"/>
        </w:rPr>
      </w:pPr>
      <w:r w:rsidRPr="00CE032A">
        <w:rPr>
          <w:rFonts w:ascii="Arial" w:hAnsi="Arial" w:cs="Arial"/>
          <w:sz w:val="22"/>
          <w:szCs w:val="22"/>
        </w:rPr>
        <w:t xml:space="preserve">Yang, M. (2024) </w:t>
      </w:r>
      <w:r w:rsidRPr="00CE032A">
        <w:rPr>
          <w:rFonts w:ascii="Arial" w:hAnsi="Arial" w:cs="Arial"/>
          <w:i/>
          <w:iCs/>
          <w:sz w:val="22"/>
          <w:szCs w:val="22"/>
        </w:rPr>
        <w:t>Developing a Stakeholder Engagement Framework for Tourism and Hospitality</w:t>
      </w:r>
      <w:r w:rsidRPr="00CE032A">
        <w:rPr>
          <w:rFonts w:ascii="Arial" w:hAnsi="Arial" w:cs="Arial"/>
          <w:sz w:val="22"/>
          <w:szCs w:val="22"/>
        </w:rPr>
        <w:t xml:space="preserve">. Available at: </w:t>
      </w:r>
      <w:hyperlink r:id="rId32" w:tgtFrame="_blank" w:history="1">
        <w:r w:rsidRPr="00CE032A">
          <w:rPr>
            <w:rStyle w:val="Hyperlink"/>
            <w:rFonts w:ascii="Arial" w:hAnsi="Arial" w:cs="Arial"/>
            <w:sz w:val="22"/>
            <w:szCs w:val="22"/>
          </w:rPr>
          <w:t>https://theses.lib.polyu.edu.hk/handle/200/13476</w:t>
        </w:r>
      </w:hyperlink>
      <w:r w:rsidRPr="00CE032A">
        <w:rPr>
          <w:rFonts w:ascii="Arial" w:hAnsi="Arial" w:cs="Arial"/>
          <w:sz w:val="22"/>
          <w:szCs w:val="22"/>
        </w:rPr>
        <w:t xml:space="preserve"> (Accessed: 21 March 2026).</w:t>
      </w:r>
    </w:p>
    <w:p w14:paraId="4968B502" w14:textId="77777777" w:rsidR="00930EC0" w:rsidRPr="00930EC0" w:rsidRDefault="00930EC0" w:rsidP="00CE032A">
      <w:pPr>
        <w:spacing w:line="360" w:lineRule="auto"/>
        <w:rPr>
          <w:rFonts w:ascii="Arial" w:hAnsi="Arial" w:cs="Arial"/>
          <w:sz w:val="22"/>
          <w:szCs w:val="22"/>
        </w:rPr>
      </w:pPr>
    </w:p>
    <w:sectPr w:rsidR="00930EC0" w:rsidRPr="00930EC0">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D67B5" w14:textId="77777777" w:rsidR="007C14F5" w:rsidRDefault="007C14F5" w:rsidP="008B778F">
      <w:r>
        <w:separator/>
      </w:r>
    </w:p>
  </w:endnote>
  <w:endnote w:type="continuationSeparator" w:id="0">
    <w:p w14:paraId="4D02C882" w14:textId="77777777" w:rsidR="007C14F5" w:rsidRDefault="007C14F5" w:rsidP="008B7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415012"/>
      <w:docPartObj>
        <w:docPartGallery w:val="Page Numbers (Bottom of Page)"/>
        <w:docPartUnique/>
      </w:docPartObj>
    </w:sdtPr>
    <w:sdtContent>
      <w:p w14:paraId="7933149A" w14:textId="4A9EDE98" w:rsidR="008C603F" w:rsidRDefault="008C603F">
        <w:pPr>
          <w:pStyle w:val="Footer"/>
          <w:jc w:val="right"/>
        </w:pPr>
        <w:r>
          <w:fldChar w:fldCharType="begin"/>
        </w:r>
        <w:r>
          <w:instrText>PAGE   \* MERGEFORMAT</w:instrText>
        </w:r>
        <w:r>
          <w:fldChar w:fldCharType="separate"/>
        </w:r>
        <w:r>
          <w:t>2</w:t>
        </w:r>
        <w:r>
          <w:fldChar w:fldCharType="end"/>
        </w:r>
      </w:p>
    </w:sdtContent>
  </w:sdt>
  <w:p w14:paraId="4A6CC346" w14:textId="77777777" w:rsidR="008C603F" w:rsidRDefault="008C6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1A19E" w14:textId="77777777" w:rsidR="007C14F5" w:rsidRDefault="007C14F5" w:rsidP="008B778F">
      <w:r>
        <w:separator/>
      </w:r>
    </w:p>
  </w:footnote>
  <w:footnote w:type="continuationSeparator" w:id="0">
    <w:p w14:paraId="063EB359" w14:textId="77777777" w:rsidR="007C14F5" w:rsidRDefault="007C14F5" w:rsidP="008B7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744B"/>
    <w:multiLevelType w:val="multilevel"/>
    <w:tmpl w:val="43A8D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FD504C"/>
    <w:multiLevelType w:val="multilevel"/>
    <w:tmpl w:val="831A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1160C"/>
    <w:multiLevelType w:val="multilevel"/>
    <w:tmpl w:val="0632F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985545"/>
    <w:multiLevelType w:val="hybridMultilevel"/>
    <w:tmpl w:val="24A65B3C"/>
    <w:lvl w:ilvl="0" w:tplc="08090017">
      <w:start w:val="1"/>
      <w:numFmt w:val="lowerLetter"/>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4" w15:restartNumberingAfterBreak="0">
    <w:nsid w:val="16457EEB"/>
    <w:multiLevelType w:val="multilevel"/>
    <w:tmpl w:val="95EAA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620CE3"/>
    <w:multiLevelType w:val="multilevel"/>
    <w:tmpl w:val="1A4C2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F17B28"/>
    <w:multiLevelType w:val="multilevel"/>
    <w:tmpl w:val="FCD63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823CC"/>
    <w:multiLevelType w:val="multilevel"/>
    <w:tmpl w:val="EFB2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4A0349"/>
    <w:multiLevelType w:val="multilevel"/>
    <w:tmpl w:val="92A0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62221C"/>
    <w:multiLevelType w:val="multilevel"/>
    <w:tmpl w:val="A29E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C511AA"/>
    <w:multiLevelType w:val="multilevel"/>
    <w:tmpl w:val="AC5C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323BC"/>
    <w:multiLevelType w:val="multilevel"/>
    <w:tmpl w:val="3E1A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92436"/>
    <w:multiLevelType w:val="multilevel"/>
    <w:tmpl w:val="B9103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267DDF"/>
    <w:multiLevelType w:val="multilevel"/>
    <w:tmpl w:val="743A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A5157"/>
    <w:multiLevelType w:val="multilevel"/>
    <w:tmpl w:val="9DDCA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743A8C"/>
    <w:multiLevelType w:val="multilevel"/>
    <w:tmpl w:val="B82E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104D4"/>
    <w:multiLevelType w:val="multilevel"/>
    <w:tmpl w:val="BFC21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CA5BBF"/>
    <w:multiLevelType w:val="hybridMultilevel"/>
    <w:tmpl w:val="1316A5D2"/>
    <w:lvl w:ilvl="0" w:tplc="D422D03E">
      <w:start w:val="1"/>
      <w:numFmt w:val="bullet"/>
      <w:lvlText w:val="•"/>
      <w:lvlJc w:val="left"/>
      <w:pPr>
        <w:tabs>
          <w:tab w:val="num" w:pos="720"/>
        </w:tabs>
        <w:ind w:left="720" w:hanging="360"/>
      </w:pPr>
      <w:rPr>
        <w:rFonts w:ascii="Arial" w:hAnsi="Arial" w:hint="default"/>
      </w:rPr>
    </w:lvl>
    <w:lvl w:ilvl="1" w:tplc="64266A92" w:tentative="1">
      <w:start w:val="1"/>
      <w:numFmt w:val="bullet"/>
      <w:lvlText w:val="•"/>
      <w:lvlJc w:val="left"/>
      <w:pPr>
        <w:tabs>
          <w:tab w:val="num" w:pos="1440"/>
        </w:tabs>
        <w:ind w:left="1440" w:hanging="360"/>
      </w:pPr>
      <w:rPr>
        <w:rFonts w:ascii="Arial" w:hAnsi="Arial" w:hint="default"/>
      </w:rPr>
    </w:lvl>
    <w:lvl w:ilvl="2" w:tplc="F4FAA19E" w:tentative="1">
      <w:start w:val="1"/>
      <w:numFmt w:val="bullet"/>
      <w:lvlText w:val="•"/>
      <w:lvlJc w:val="left"/>
      <w:pPr>
        <w:tabs>
          <w:tab w:val="num" w:pos="2160"/>
        </w:tabs>
        <w:ind w:left="2160" w:hanging="360"/>
      </w:pPr>
      <w:rPr>
        <w:rFonts w:ascii="Arial" w:hAnsi="Arial" w:hint="default"/>
      </w:rPr>
    </w:lvl>
    <w:lvl w:ilvl="3" w:tplc="97EE168A" w:tentative="1">
      <w:start w:val="1"/>
      <w:numFmt w:val="bullet"/>
      <w:lvlText w:val="•"/>
      <w:lvlJc w:val="left"/>
      <w:pPr>
        <w:tabs>
          <w:tab w:val="num" w:pos="2880"/>
        </w:tabs>
        <w:ind w:left="2880" w:hanging="360"/>
      </w:pPr>
      <w:rPr>
        <w:rFonts w:ascii="Arial" w:hAnsi="Arial" w:hint="default"/>
      </w:rPr>
    </w:lvl>
    <w:lvl w:ilvl="4" w:tplc="EC2AA102" w:tentative="1">
      <w:start w:val="1"/>
      <w:numFmt w:val="bullet"/>
      <w:lvlText w:val="•"/>
      <w:lvlJc w:val="left"/>
      <w:pPr>
        <w:tabs>
          <w:tab w:val="num" w:pos="3600"/>
        </w:tabs>
        <w:ind w:left="3600" w:hanging="360"/>
      </w:pPr>
      <w:rPr>
        <w:rFonts w:ascii="Arial" w:hAnsi="Arial" w:hint="default"/>
      </w:rPr>
    </w:lvl>
    <w:lvl w:ilvl="5" w:tplc="436C0126" w:tentative="1">
      <w:start w:val="1"/>
      <w:numFmt w:val="bullet"/>
      <w:lvlText w:val="•"/>
      <w:lvlJc w:val="left"/>
      <w:pPr>
        <w:tabs>
          <w:tab w:val="num" w:pos="4320"/>
        </w:tabs>
        <w:ind w:left="4320" w:hanging="360"/>
      </w:pPr>
      <w:rPr>
        <w:rFonts w:ascii="Arial" w:hAnsi="Arial" w:hint="default"/>
      </w:rPr>
    </w:lvl>
    <w:lvl w:ilvl="6" w:tplc="7EB211F2" w:tentative="1">
      <w:start w:val="1"/>
      <w:numFmt w:val="bullet"/>
      <w:lvlText w:val="•"/>
      <w:lvlJc w:val="left"/>
      <w:pPr>
        <w:tabs>
          <w:tab w:val="num" w:pos="5040"/>
        </w:tabs>
        <w:ind w:left="5040" w:hanging="360"/>
      </w:pPr>
      <w:rPr>
        <w:rFonts w:ascii="Arial" w:hAnsi="Arial" w:hint="default"/>
      </w:rPr>
    </w:lvl>
    <w:lvl w:ilvl="7" w:tplc="E51AC44C" w:tentative="1">
      <w:start w:val="1"/>
      <w:numFmt w:val="bullet"/>
      <w:lvlText w:val="•"/>
      <w:lvlJc w:val="left"/>
      <w:pPr>
        <w:tabs>
          <w:tab w:val="num" w:pos="5760"/>
        </w:tabs>
        <w:ind w:left="5760" w:hanging="360"/>
      </w:pPr>
      <w:rPr>
        <w:rFonts w:ascii="Arial" w:hAnsi="Arial" w:hint="default"/>
      </w:rPr>
    </w:lvl>
    <w:lvl w:ilvl="8" w:tplc="0BCAAD2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8F0E5D"/>
    <w:multiLevelType w:val="multilevel"/>
    <w:tmpl w:val="5FF25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684D95"/>
    <w:multiLevelType w:val="multilevel"/>
    <w:tmpl w:val="29A02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D558B8"/>
    <w:multiLevelType w:val="multilevel"/>
    <w:tmpl w:val="CCDE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4723A"/>
    <w:multiLevelType w:val="multilevel"/>
    <w:tmpl w:val="C560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831B46"/>
    <w:multiLevelType w:val="multilevel"/>
    <w:tmpl w:val="F2509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8B3297"/>
    <w:multiLevelType w:val="multilevel"/>
    <w:tmpl w:val="230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242355"/>
    <w:multiLevelType w:val="multilevel"/>
    <w:tmpl w:val="73E6D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4B4EF3"/>
    <w:multiLevelType w:val="multilevel"/>
    <w:tmpl w:val="1C1A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9334A"/>
    <w:multiLevelType w:val="hybridMultilevel"/>
    <w:tmpl w:val="D0E0B2C6"/>
    <w:lvl w:ilvl="0" w:tplc="0809000F">
      <w:start w:val="1"/>
      <w:numFmt w:val="decimal"/>
      <w:lvlText w:val="%1."/>
      <w:lvlJc w:val="left"/>
      <w:pPr>
        <w:ind w:left="369" w:hanging="360"/>
      </w:pPr>
    </w:lvl>
    <w:lvl w:ilvl="1" w:tplc="08090019" w:tentative="1">
      <w:start w:val="1"/>
      <w:numFmt w:val="lowerLetter"/>
      <w:lvlText w:val="%2."/>
      <w:lvlJc w:val="left"/>
      <w:pPr>
        <w:ind w:left="1089" w:hanging="360"/>
      </w:pPr>
    </w:lvl>
    <w:lvl w:ilvl="2" w:tplc="0809001B" w:tentative="1">
      <w:start w:val="1"/>
      <w:numFmt w:val="lowerRoman"/>
      <w:lvlText w:val="%3."/>
      <w:lvlJc w:val="right"/>
      <w:pPr>
        <w:ind w:left="1809" w:hanging="180"/>
      </w:pPr>
    </w:lvl>
    <w:lvl w:ilvl="3" w:tplc="0809000F" w:tentative="1">
      <w:start w:val="1"/>
      <w:numFmt w:val="decimal"/>
      <w:lvlText w:val="%4."/>
      <w:lvlJc w:val="left"/>
      <w:pPr>
        <w:ind w:left="2529" w:hanging="360"/>
      </w:pPr>
    </w:lvl>
    <w:lvl w:ilvl="4" w:tplc="08090019" w:tentative="1">
      <w:start w:val="1"/>
      <w:numFmt w:val="lowerLetter"/>
      <w:lvlText w:val="%5."/>
      <w:lvlJc w:val="left"/>
      <w:pPr>
        <w:ind w:left="3249" w:hanging="360"/>
      </w:pPr>
    </w:lvl>
    <w:lvl w:ilvl="5" w:tplc="0809001B" w:tentative="1">
      <w:start w:val="1"/>
      <w:numFmt w:val="lowerRoman"/>
      <w:lvlText w:val="%6."/>
      <w:lvlJc w:val="right"/>
      <w:pPr>
        <w:ind w:left="3969" w:hanging="180"/>
      </w:pPr>
    </w:lvl>
    <w:lvl w:ilvl="6" w:tplc="0809000F" w:tentative="1">
      <w:start w:val="1"/>
      <w:numFmt w:val="decimal"/>
      <w:lvlText w:val="%7."/>
      <w:lvlJc w:val="left"/>
      <w:pPr>
        <w:ind w:left="4689" w:hanging="360"/>
      </w:pPr>
    </w:lvl>
    <w:lvl w:ilvl="7" w:tplc="08090019" w:tentative="1">
      <w:start w:val="1"/>
      <w:numFmt w:val="lowerLetter"/>
      <w:lvlText w:val="%8."/>
      <w:lvlJc w:val="left"/>
      <w:pPr>
        <w:ind w:left="5409" w:hanging="360"/>
      </w:pPr>
    </w:lvl>
    <w:lvl w:ilvl="8" w:tplc="0809001B" w:tentative="1">
      <w:start w:val="1"/>
      <w:numFmt w:val="lowerRoman"/>
      <w:lvlText w:val="%9."/>
      <w:lvlJc w:val="right"/>
      <w:pPr>
        <w:ind w:left="6129" w:hanging="180"/>
      </w:pPr>
    </w:lvl>
  </w:abstractNum>
  <w:abstractNum w:abstractNumId="27" w15:restartNumberingAfterBreak="0">
    <w:nsid w:val="7D045C57"/>
    <w:multiLevelType w:val="hybridMultilevel"/>
    <w:tmpl w:val="7D92BDB0"/>
    <w:lvl w:ilvl="0" w:tplc="0809000B">
      <w:start w:val="1"/>
      <w:numFmt w:val="bullet"/>
      <w:lvlText w:val=""/>
      <w:lvlJc w:val="left"/>
      <w:pPr>
        <w:ind w:left="369" w:hanging="360"/>
      </w:pPr>
      <w:rPr>
        <w:rFonts w:ascii="Wingdings" w:hAnsi="Wingdings" w:hint="default"/>
      </w:rPr>
    </w:lvl>
    <w:lvl w:ilvl="1" w:tplc="08090003" w:tentative="1">
      <w:start w:val="1"/>
      <w:numFmt w:val="bullet"/>
      <w:lvlText w:val="o"/>
      <w:lvlJc w:val="left"/>
      <w:pPr>
        <w:ind w:left="1089" w:hanging="360"/>
      </w:pPr>
      <w:rPr>
        <w:rFonts w:ascii="Courier New" w:hAnsi="Courier New" w:cs="Courier New" w:hint="default"/>
      </w:rPr>
    </w:lvl>
    <w:lvl w:ilvl="2" w:tplc="08090005" w:tentative="1">
      <w:start w:val="1"/>
      <w:numFmt w:val="bullet"/>
      <w:lvlText w:val=""/>
      <w:lvlJc w:val="left"/>
      <w:pPr>
        <w:ind w:left="1809" w:hanging="360"/>
      </w:pPr>
      <w:rPr>
        <w:rFonts w:ascii="Wingdings" w:hAnsi="Wingdings" w:hint="default"/>
      </w:rPr>
    </w:lvl>
    <w:lvl w:ilvl="3" w:tplc="08090001" w:tentative="1">
      <w:start w:val="1"/>
      <w:numFmt w:val="bullet"/>
      <w:lvlText w:val=""/>
      <w:lvlJc w:val="left"/>
      <w:pPr>
        <w:ind w:left="2529" w:hanging="360"/>
      </w:pPr>
      <w:rPr>
        <w:rFonts w:ascii="Symbol" w:hAnsi="Symbol" w:hint="default"/>
      </w:rPr>
    </w:lvl>
    <w:lvl w:ilvl="4" w:tplc="08090003" w:tentative="1">
      <w:start w:val="1"/>
      <w:numFmt w:val="bullet"/>
      <w:lvlText w:val="o"/>
      <w:lvlJc w:val="left"/>
      <w:pPr>
        <w:ind w:left="3249" w:hanging="360"/>
      </w:pPr>
      <w:rPr>
        <w:rFonts w:ascii="Courier New" w:hAnsi="Courier New" w:cs="Courier New" w:hint="default"/>
      </w:rPr>
    </w:lvl>
    <w:lvl w:ilvl="5" w:tplc="08090005" w:tentative="1">
      <w:start w:val="1"/>
      <w:numFmt w:val="bullet"/>
      <w:lvlText w:val=""/>
      <w:lvlJc w:val="left"/>
      <w:pPr>
        <w:ind w:left="3969" w:hanging="360"/>
      </w:pPr>
      <w:rPr>
        <w:rFonts w:ascii="Wingdings" w:hAnsi="Wingdings" w:hint="default"/>
      </w:rPr>
    </w:lvl>
    <w:lvl w:ilvl="6" w:tplc="08090001" w:tentative="1">
      <w:start w:val="1"/>
      <w:numFmt w:val="bullet"/>
      <w:lvlText w:val=""/>
      <w:lvlJc w:val="left"/>
      <w:pPr>
        <w:ind w:left="4689" w:hanging="360"/>
      </w:pPr>
      <w:rPr>
        <w:rFonts w:ascii="Symbol" w:hAnsi="Symbol" w:hint="default"/>
      </w:rPr>
    </w:lvl>
    <w:lvl w:ilvl="7" w:tplc="08090003" w:tentative="1">
      <w:start w:val="1"/>
      <w:numFmt w:val="bullet"/>
      <w:lvlText w:val="o"/>
      <w:lvlJc w:val="left"/>
      <w:pPr>
        <w:ind w:left="5409" w:hanging="360"/>
      </w:pPr>
      <w:rPr>
        <w:rFonts w:ascii="Courier New" w:hAnsi="Courier New" w:cs="Courier New" w:hint="default"/>
      </w:rPr>
    </w:lvl>
    <w:lvl w:ilvl="8" w:tplc="08090005" w:tentative="1">
      <w:start w:val="1"/>
      <w:numFmt w:val="bullet"/>
      <w:lvlText w:val=""/>
      <w:lvlJc w:val="left"/>
      <w:pPr>
        <w:ind w:left="6129" w:hanging="360"/>
      </w:pPr>
      <w:rPr>
        <w:rFonts w:ascii="Wingdings" w:hAnsi="Wingdings" w:hint="default"/>
      </w:rPr>
    </w:lvl>
  </w:abstractNum>
  <w:abstractNum w:abstractNumId="28" w15:restartNumberingAfterBreak="0">
    <w:nsid w:val="7DB902FC"/>
    <w:multiLevelType w:val="multilevel"/>
    <w:tmpl w:val="7F14AC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0182326">
    <w:abstractNumId w:val="25"/>
  </w:num>
  <w:num w:numId="2" w16cid:durableId="296037377">
    <w:abstractNumId w:val="18"/>
  </w:num>
  <w:num w:numId="3" w16cid:durableId="851337943">
    <w:abstractNumId w:val="19"/>
  </w:num>
  <w:num w:numId="4" w16cid:durableId="1084566513">
    <w:abstractNumId w:val="27"/>
  </w:num>
  <w:num w:numId="5" w16cid:durableId="2060397723">
    <w:abstractNumId w:val="26"/>
  </w:num>
  <w:num w:numId="6" w16cid:durableId="1977296731">
    <w:abstractNumId w:val="3"/>
  </w:num>
  <w:num w:numId="7" w16cid:durableId="1709724631">
    <w:abstractNumId w:val="1"/>
  </w:num>
  <w:num w:numId="8" w16cid:durableId="1721515853">
    <w:abstractNumId w:val="8"/>
  </w:num>
  <w:num w:numId="9" w16cid:durableId="1185751615">
    <w:abstractNumId w:val="24"/>
  </w:num>
  <w:num w:numId="10" w16cid:durableId="409501486">
    <w:abstractNumId w:val="28"/>
  </w:num>
  <w:num w:numId="11" w16cid:durableId="1350722398">
    <w:abstractNumId w:val="16"/>
  </w:num>
  <w:num w:numId="12" w16cid:durableId="1295914691">
    <w:abstractNumId w:val="10"/>
  </w:num>
  <w:num w:numId="13" w16cid:durableId="762185530">
    <w:abstractNumId w:val="21"/>
  </w:num>
  <w:num w:numId="14" w16cid:durableId="1440219594">
    <w:abstractNumId w:val="20"/>
  </w:num>
  <w:num w:numId="15" w16cid:durableId="1698965846">
    <w:abstractNumId w:val="13"/>
  </w:num>
  <w:num w:numId="16" w16cid:durableId="1514144556">
    <w:abstractNumId w:val="23"/>
  </w:num>
  <w:num w:numId="17" w16cid:durableId="1982150652">
    <w:abstractNumId w:val="22"/>
  </w:num>
  <w:num w:numId="18" w16cid:durableId="1150442094">
    <w:abstractNumId w:val="15"/>
  </w:num>
  <w:num w:numId="19" w16cid:durableId="731581997">
    <w:abstractNumId w:val="5"/>
  </w:num>
  <w:num w:numId="20" w16cid:durableId="1934698749">
    <w:abstractNumId w:val="4"/>
  </w:num>
  <w:num w:numId="21" w16cid:durableId="1750158260">
    <w:abstractNumId w:val="11"/>
  </w:num>
  <w:num w:numId="22" w16cid:durableId="1732263757">
    <w:abstractNumId w:val="9"/>
  </w:num>
  <w:num w:numId="23" w16cid:durableId="674187306">
    <w:abstractNumId w:val="7"/>
  </w:num>
  <w:num w:numId="24" w16cid:durableId="1150093543">
    <w:abstractNumId w:val="6"/>
  </w:num>
  <w:num w:numId="25" w16cid:durableId="67271796">
    <w:abstractNumId w:val="12"/>
  </w:num>
  <w:num w:numId="26" w16cid:durableId="1246571283">
    <w:abstractNumId w:val="14"/>
  </w:num>
  <w:num w:numId="27" w16cid:durableId="948970600">
    <w:abstractNumId w:val="0"/>
  </w:num>
  <w:num w:numId="28" w16cid:durableId="1769498860">
    <w:abstractNumId w:val="2"/>
  </w:num>
  <w:num w:numId="29" w16cid:durableId="20778252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25F"/>
    <w:rsid w:val="00022088"/>
    <w:rsid w:val="000335C8"/>
    <w:rsid w:val="00033D17"/>
    <w:rsid w:val="000345FA"/>
    <w:rsid w:val="0004421F"/>
    <w:rsid w:val="000464DC"/>
    <w:rsid w:val="00047A6F"/>
    <w:rsid w:val="000543E2"/>
    <w:rsid w:val="00071F6D"/>
    <w:rsid w:val="00076430"/>
    <w:rsid w:val="00085AE7"/>
    <w:rsid w:val="000872F3"/>
    <w:rsid w:val="000876C2"/>
    <w:rsid w:val="00096467"/>
    <w:rsid w:val="000A2336"/>
    <w:rsid w:val="000B643D"/>
    <w:rsid w:val="000B6828"/>
    <w:rsid w:val="000B74C8"/>
    <w:rsid w:val="000D586D"/>
    <w:rsid w:val="000E3764"/>
    <w:rsid w:val="00112549"/>
    <w:rsid w:val="001132CE"/>
    <w:rsid w:val="0011360D"/>
    <w:rsid w:val="00115105"/>
    <w:rsid w:val="001333CE"/>
    <w:rsid w:val="00155074"/>
    <w:rsid w:val="0017471A"/>
    <w:rsid w:val="00176AA1"/>
    <w:rsid w:val="001909D1"/>
    <w:rsid w:val="0019541F"/>
    <w:rsid w:val="001D24C9"/>
    <w:rsid w:val="001D39E1"/>
    <w:rsid w:val="00201AC2"/>
    <w:rsid w:val="00204BA2"/>
    <w:rsid w:val="002215A0"/>
    <w:rsid w:val="00230D9A"/>
    <w:rsid w:val="002813AB"/>
    <w:rsid w:val="00281CDC"/>
    <w:rsid w:val="002963EF"/>
    <w:rsid w:val="002A276F"/>
    <w:rsid w:val="002A7B96"/>
    <w:rsid w:val="002E028B"/>
    <w:rsid w:val="002E7851"/>
    <w:rsid w:val="002F5D4C"/>
    <w:rsid w:val="002F67B0"/>
    <w:rsid w:val="00325900"/>
    <w:rsid w:val="0037257B"/>
    <w:rsid w:val="003751BB"/>
    <w:rsid w:val="003760F0"/>
    <w:rsid w:val="00390386"/>
    <w:rsid w:val="003977D0"/>
    <w:rsid w:val="003D02B5"/>
    <w:rsid w:val="003E5267"/>
    <w:rsid w:val="003F630B"/>
    <w:rsid w:val="004125A4"/>
    <w:rsid w:val="0044425F"/>
    <w:rsid w:val="00451EA2"/>
    <w:rsid w:val="00454966"/>
    <w:rsid w:val="00463DBB"/>
    <w:rsid w:val="004953E7"/>
    <w:rsid w:val="00495F0A"/>
    <w:rsid w:val="004B2EB7"/>
    <w:rsid w:val="004C0C8C"/>
    <w:rsid w:val="004F52AE"/>
    <w:rsid w:val="00503346"/>
    <w:rsid w:val="00532788"/>
    <w:rsid w:val="005353FB"/>
    <w:rsid w:val="00546935"/>
    <w:rsid w:val="0058292E"/>
    <w:rsid w:val="00592F9A"/>
    <w:rsid w:val="005977D7"/>
    <w:rsid w:val="005A1817"/>
    <w:rsid w:val="005A3541"/>
    <w:rsid w:val="005C6CD2"/>
    <w:rsid w:val="005F073B"/>
    <w:rsid w:val="005F75FC"/>
    <w:rsid w:val="00615421"/>
    <w:rsid w:val="00615456"/>
    <w:rsid w:val="00616BC0"/>
    <w:rsid w:val="00621346"/>
    <w:rsid w:val="00625377"/>
    <w:rsid w:val="00634C9E"/>
    <w:rsid w:val="0065586F"/>
    <w:rsid w:val="00664084"/>
    <w:rsid w:val="006938E5"/>
    <w:rsid w:val="006A4ABE"/>
    <w:rsid w:val="006A5AB5"/>
    <w:rsid w:val="006A70D5"/>
    <w:rsid w:val="006C630C"/>
    <w:rsid w:val="006C6E10"/>
    <w:rsid w:val="006E3723"/>
    <w:rsid w:val="006E752D"/>
    <w:rsid w:val="007037CF"/>
    <w:rsid w:val="007067E7"/>
    <w:rsid w:val="0075686F"/>
    <w:rsid w:val="00783795"/>
    <w:rsid w:val="007C1261"/>
    <w:rsid w:val="007C14F5"/>
    <w:rsid w:val="007D62C4"/>
    <w:rsid w:val="007D69EE"/>
    <w:rsid w:val="007E5BC1"/>
    <w:rsid w:val="007F3EA9"/>
    <w:rsid w:val="008028F0"/>
    <w:rsid w:val="00807DAB"/>
    <w:rsid w:val="0083130E"/>
    <w:rsid w:val="00861851"/>
    <w:rsid w:val="008618B4"/>
    <w:rsid w:val="0086434F"/>
    <w:rsid w:val="008664D9"/>
    <w:rsid w:val="00881D6D"/>
    <w:rsid w:val="008B778F"/>
    <w:rsid w:val="008C09EC"/>
    <w:rsid w:val="008C603F"/>
    <w:rsid w:val="008D2684"/>
    <w:rsid w:val="008E534B"/>
    <w:rsid w:val="008F3018"/>
    <w:rsid w:val="008F5451"/>
    <w:rsid w:val="00906914"/>
    <w:rsid w:val="00913C7A"/>
    <w:rsid w:val="00926F41"/>
    <w:rsid w:val="00927D10"/>
    <w:rsid w:val="00930EC0"/>
    <w:rsid w:val="00931321"/>
    <w:rsid w:val="00942CAB"/>
    <w:rsid w:val="00950D07"/>
    <w:rsid w:val="00956A81"/>
    <w:rsid w:val="0095769B"/>
    <w:rsid w:val="009730EC"/>
    <w:rsid w:val="00977B2B"/>
    <w:rsid w:val="00980A80"/>
    <w:rsid w:val="0098542A"/>
    <w:rsid w:val="009A57B1"/>
    <w:rsid w:val="009B0733"/>
    <w:rsid w:val="009B301E"/>
    <w:rsid w:val="009B3CEA"/>
    <w:rsid w:val="009B69B4"/>
    <w:rsid w:val="009D26C3"/>
    <w:rsid w:val="009E0721"/>
    <w:rsid w:val="009E0A16"/>
    <w:rsid w:val="009E3AF1"/>
    <w:rsid w:val="009F1CD9"/>
    <w:rsid w:val="009F5422"/>
    <w:rsid w:val="00A0063E"/>
    <w:rsid w:val="00A13B1A"/>
    <w:rsid w:val="00A14078"/>
    <w:rsid w:val="00A5506F"/>
    <w:rsid w:val="00AA0FD8"/>
    <w:rsid w:val="00AB4637"/>
    <w:rsid w:val="00AC2089"/>
    <w:rsid w:val="00AC618A"/>
    <w:rsid w:val="00AF7C4A"/>
    <w:rsid w:val="00B113D5"/>
    <w:rsid w:val="00B93402"/>
    <w:rsid w:val="00BC2B10"/>
    <w:rsid w:val="00C02A40"/>
    <w:rsid w:val="00C21FF1"/>
    <w:rsid w:val="00C428B9"/>
    <w:rsid w:val="00C55A22"/>
    <w:rsid w:val="00C61EE8"/>
    <w:rsid w:val="00C82516"/>
    <w:rsid w:val="00CA34AB"/>
    <w:rsid w:val="00CB3AD9"/>
    <w:rsid w:val="00CC0A0D"/>
    <w:rsid w:val="00CD100A"/>
    <w:rsid w:val="00CD5788"/>
    <w:rsid w:val="00CE032A"/>
    <w:rsid w:val="00D04C9E"/>
    <w:rsid w:val="00D8196F"/>
    <w:rsid w:val="00D84855"/>
    <w:rsid w:val="00D85DF0"/>
    <w:rsid w:val="00D86587"/>
    <w:rsid w:val="00DF6041"/>
    <w:rsid w:val="00DF7C3E"/>
    <w:rsid w:val="00E000FF"/>
    <w:rsid w:val="00E205AC"/>
    <w:rsid w:val="00E34C2A"/>
    <w:rsid w:val="00E45436"/>
    <w:rsid w:val="00E46B79"/>
    <w:rsid w:val="00E66D95"/>
    <w:rsid w:val="00E72998"/>
    <w:rsid w:val="00E967D6"/>
    <w:rsid w:val="00EC31A9"/>
    <w:rsid w:val="00EE1ADD"/>
    <w:rsid w:val="00EE2379"/>
    <w:rsid w:val="00EF119F"/>
    <w:rsid w:val="00EF6721"/>
    <w:rsid w:val="00F30B79"/>
    <w:rsid w:val="00F5246B"/>
    <w:rsid w:val="00F53E2A"/>
    <w:rsid w:val="00F55145"/>
    <w:rsid w:val="00F60FB4"/>
    <w:rsid w:val="00F7227E"/>
    <w:rsid w:val="00F9687E"/>
    <w:rsid w:val="00F97540"/>
    <w:rsid w:val="00FA6C20"/>
    <w:rsid w:val="00FC1B5F"/>
    <w:rsid w:val="00FD5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5C798"/>
  <w15:chartTrackingRefBased/>
  <w15:docId w15:val="{49AD024E-6E31-47C5-B1A8-9F1841C0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25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442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nhideWhenUsed/>
    <w:qFormat/>
    <w:rsid w:val="006A4ABE"/>
    <w:pPr>
      <w:spacing w:line="360" w:lineRule="auto"/>
      <w:jc w:val="both"/>
      <w:outlineLvl w:val="1"/>
    </w:pPr>
    <w:rPr>
      <w:rFonts w:ascii="Arial" w:hAnsi="Arial" w:cs="Arial"/>
      <w:b/>
      <w:sz w:val="24"/>
      <w:szCs w:val="24"/>
    </w:rPr>
  </w:style>
  <w:style w:type="paragraph" w:styleId="Heading3">
    <w:name w:val="heading 3"/>
    <w:basedOn w:val="Normal"/>
    <w:next w:val="Normal"/>
    <w:link w:val="Heading3Char"/>
    <w:autoRedefine/>
    <w:uiPriority w:val="9"/>
    <w:unhideWhenUsed/>
    <w:qFormat/>
    <w:rsid w:val="003977D0"/>
    <w:pPr>
      <w:keepNext/>
      <w:keepLines/>
      <w:spacing w:line="360" w:lineRule="auto"/>
      <w:outlineLvl w:val="2"/>
    </w:pPr>
    <w:rPr>
      <w:rFonts w:ascii="Arial" w:eastAsiaTheme="majorEastAsia" w:hAnsi="Arial" w:cstheme="majorBidi"/>
      <w:i/>
      <w:iCs/>
      <w:sz w:val="22"/>
      <w:szCs w:val="28"/>
    </w:rPr>
  </w:style>
  <w:style w:type="paragraph" w:styleId="Heading4">
    <w:name w:val="heading 4"/>
    <w:basedOn w:val="Normal"/>
    <w:next w:val="Normal"/>
    <w:link w:val="Heading4Char"/>
    <w:uiPriority w:val="9"/>
    <w:semiHidden/>
    <w:unhideWhenUsed/>
    <w:qFormat/>
    <w:rsid w:val="004442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2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2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2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2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2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2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6A4ABE"/>
    <w:rPr>
      <w:rFonts w:ascii="Arial" w:eastAsia="Times New Roman" w:hAnsi="Arial" w:cs="Arial"/>
      <w:b/>
      <w:kern w:val="0"/>
      <w:lang w:eastAsia="en-GB"/>
      <w14:ligatures w14:val="none"/>
    </w:rPr>
  </w:style>
  <w:style w:type="character" w:customStyle="1" w:styleId="Heading3Char">
    <w:name w:val="Heading 3 Char"/>
    <w:basedOn w:val="DefaultParagraphFont"/>
    <w:link w:val="Heading3"/>
    <w:uiPriority w:val="9"/>
    <w:rsid w:val="003977D0"/>
    <w:rPr>
      <w:rFonts w:ascii="Arial" w:eastAsiaTheme="majorEastAsia" w:hAnsi="Arial" w:cstheme="majorBidi"/>
      <w:i/>
      <w:iCs/>
      <w:kern w:val="0"/>
      <w:sz w:val="22"/>
      <w:szCs w:val="28"/>
      <w:lang w:eastAsia="en-GB"/>
      <w14:ligatures w14:val="none"/>
    </w:rPr>
  </w:style>
  <w:style w:type="character" w:customStyle="1" w:styleId="Heading4Char">
    <w:name w:val="Heading 4 Char"/>
    <w:basedOn w:val="DefaultParagraphFont"/>
    <w:link w:val="Heading4"/>
    <w:uiPriority w:val="9"/>
    <w:semiHidden/>
    <w:rsid w:val="004442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2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25F"/>
    <w:rPr>
      <w:rFonts w:eastAsiaTheme="majorEastAsia" w:cstheme="majorBidi"/>
      <w:color w:val="272727" w:themeColor="text1" w:themeTint="D8"/>
    </w:rPr>
  </w:style>
  <w:style w:type="paragraph" w:styleId="Title">
    <w:name w:val="Title"/>
    <w:basedOn w:val="Normal"/>
    <w:next w:val="Normal"/>
    <w:link w:val="TitleChar"/>
    <w:uiPriority w:val="10"/>
    <w:qFormat/>
    <w:rsid w:val="004442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25F"/>
    <w:pPr>
      <w:spacing w:before="160"/>
      <w:jc w:val="center"/>
    </w:pPr>
    <w:rPr>
      <w:i/>
      <w:iCs/>
      <w:color w:val="404040" w:themeColor="text1" w:themeTint="BF"/>
    </w:rPr>
  </w:style>
  <w:style w:type="character" w:customStyle="1" w:styleId="QuoteChar">
    <w:name w:val="Quote Char"/>
    <w:basedOn w:val="DefaultParagraphFont"/>
    <w:link w:val="Quote"/>
    <w:uiPriority w:val="29"/>
    <w:rsid w:val="0044425F"/>
    <w:rPr>
      <w:i/>
      <w:iCs/>
      <w:color w:val="404040" w:themeColor="text1" w:themeTint="BF"/>
    </w:rPr>
  </w:style>
  <w:style w:type="paragraph" w:styleId="ListParagraph">
    <w:name w:val="List Paragraph"/>
    <w:basedOn w:val="Normal"/>
    <w:uiPriority w:val="34"/>
    <w:qFormat/>
    <w:rsid w:val="0044425F"/>
    <w:pPr>
      <w:ind w:left="720"/>
      <w:contextualSpacing/>
    </w:pPr>
  </w:style>
  <w:style w:type="character" w:styleId="IntenseEmphasis">
    <w:name w:val="Intense Emphasis"/>
    <w:basedOn w:val="DefaultParagraphFont"/>
    <w:uiPriority w:val="21"/>
    <w:qFormat/>
    <w:rsid w:val="0044425F"/>
    <w:rPr>
      <w:i/>
      <w:iCs/>
      <w:color w:val="0F4761" w:themeColor="accent1" w:themeShade="BF"/>
    </w:rPr>
  </w:style>
  <w:style w:type="paragraph" w:styleId="IntenseQuote">
    <w:name w:val="Intense Quote"/>
    <w:basedOn w:val="Normal"/>
    <w:next w:val="Normal"/>
    <w:link w:val="IntenseQuoteChar"/>
    <w:uiPriority w:val="30"/>
    <w:qFormat/>
    <w:rsid w:val="004442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25F"/>
    <w:rPr>
      <w:i/>
      <w:iCs/>
      <w:color w:val="0F4761" w:themeColor="accent1" w:themeShade="BF"/>
    </w:rPr>
  </w:style>
  <w:style w:type="character" w:styleId="IntenseReference">
    <w:name w:val="Intense Reference"/>
    <w:basedOn w:val="DefaultParagraphFont"/>
    <w:uiPriority w:val="32"/>
    <w:qFormat/>
    <w:rsid w:val="0044425F"/>
    <w:rPr>
      <w:b/>
      <w:bCs/>
      <w:smallCaps/>
      <w:color w:val="0F4761" w:themeColor="accent1" w:themeShade="BF"/>
      <w:spacing w:val="5"/>
    </w:rPr>
  </w:style>
  <w:style w:type="character" w:styleId="Hyperlink">
    <w:name w:val="Hyperlink"/>
    <w:basedOn w:val="DefaultParagraphFont"/>
    <w:uiPriority w:val="99"/>
    <w:unhideWhenUsed/>
    <w:rsid w:val="0044425F"/>
    <w:rPr>
      <w:color w:val="467886" w:themeColor="hyperlink"/>
      <w:u w:val="single"/>
    </w:rPr>
  </w:style>
  <w:style w:type="character" w:styleId="UnresolvedMention">
    <w:name w:val="Unresolved Mention"/>
    <w:basedOn w:val="DefaultParagraphFont"/>
    <w:uiPriority w:val="99"/>
    <w:semiHidden/>
    <w:unhideWhenUsed/>
    <w:rsid w:val="0044425F"/>
    <w:rPr>
      <w:color w:val="605E5C"/>
      <w:shd w:val="clear" w:color="auto" w:fill="E1DFDD"/>
    </w:rPr>
  </w:style>
  <w:style w:type="table" w:styleId="TableGrid">
    <w:name w:val="Table Grid"/>
    <w:basedOn w:val="TableNormal"/>
    <w:uiPriority w:val="39"/>
    <w:rsid w:val="00A00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07DAB"/>
    <w:rPr>
      <w:sz w:val="24"/>
      <w:szCs w:val="24"/>
    </w:rPr>
  </w:style>
  <w:style w:type="paragraph" w:styleId="Header">
    <w:name w:val="header"/>
    <w:basedOn w:val="Normal"/>
    <w:link w:val="HeaderChar"/>
    <w:uiPriority w:val="99"/>
    <w:unhideWhenUsed/>
    <w:rsid w:val="008B778F"/>
    <w:pPr>
      <w:tabs>
        <w:tab w:val="center" w:pos="4513"/>
        <w:tab w:val="right" w:pos="9026"/>
      </w:tabs>
    </w:pPr>
  </w:style>
  <w:style w:type="character" w:customStyle="1" w:styleId="HeaderChar">
    <w:name w:val="Header Char"/>
    <w:basedOn w:val="DefaultParagraphFont"/>
    <w:link w:val="Header"/>
    <w:uiPriority w:val="99"/>
    <w:rsid w:val="008B778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8B778F"/>
    <w:pPr>
      <w:tabs>
        <w:tab w:val="center" w:pos="4513"/>
        <w:tab w:val="right" w:pos="9026"/>
      </w:tabs>
    </w:pPr>
  </w:style>
  <w:style w:type="character" w:customStyle="1" w:styleId="FooterChar">
    <w:name w:val="Footer Char"/>
    <w:basedOn w:val="DefaultParagraphFont"/>
    <w:link w:val="Footer"/>
    <w:uiPriority w:val="99"/>
    <w:rsid w:val="008B778F"/>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37257B"/>
    <w:pPr>
      <w:spacing w:before="240" w:after="0" w:line="259" w:lineRule="auto"/>
      <w:outlineLvl w:val="9"/>
    </w:pPr>
    <w:rPr>
      <w:sz w:val="32"/>
      <w:szCs w:val="32"/>
    </w:rPr>
  </w:style>
  <w:style w:type="paragraph" w:styleId="TOC3">
    <w:name w:val="toc 3"/>
    <w:basedOn w:val="Normal"/>
    <w:next w:val="Normal"/>
    <w:autoRedefine/>
    <w:uiPriority w:val="39"/>
    <w:unhideWhenUsed/>
    <w:rsid w:val="007D69EE"/>
    <w:pPr>
      <w:spacing w:after="100"/>
      <w:ind w:left="400"/>
    </w:pPr>
  </w:style>
  <w:style w:type="paragraph" w:styleId="TOC2">
    <w:name w:val="toc 2"/>
    <w:basedOn w:val="Normal"/>
    <w:next w:val="Normal"/>
    <w:autoRedefine/>
    <w:uiPriority w:val="39"/>
    <w:unhideWhenUsed/>
    <w:rsid w:val="007D69EE"/>
    <w:pPr>
      <w:spacing w:after="100"/>
      <w:ind w:left="200"/>
    </w:pPr>
  </w:style>
  <w:style w:type="paragraph" w:styleId="TOC1">
    <w:name w:val="toc 1"/>
    <w:basedOn w:val="Normal"/>
    <w:next w:val="Normal"/>
    <w:autoRedefine/>
    <w:uiPriority w:val="39"/>
    <w:unhideWhenUsed/>
    <w:rsid w:val="007D69EE"/>
    <w:pPr>
      <w:spacing w:after="100"/>
    </w:pPr>
  </w:style>
  <w:style w:type="character" w:styleId="FollowedHyperlink">
    <w:name w:val="FollowedHyperlink"/>
    <w:basedOn w:val="DefaultParagraphFont"/>
    <w:uiPriority w:val="99"/>
    <w:semiHidden/>
    <w:unhideWhenUsed/>
    <w:rsid w:val="004953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hospitalitynet.org/opinion/4129430/how-to-survive-ai-in-2026-ten-coordinates-for-the-future-of-hospitality" TargetMode="External"/><Relationship Id="rId26" Type="http://schemas.openxmlformats.org/officeDocument/2006/relationships/hyperlink" Target="https://hospitalityinsights.ehl.edu/ai-in-hospitality" TargetMode="External"/><Relationship Id="rId3" Type="http://schemas.openxmlformats.org/officeDocument/2006/relationships/styles" Target="styles.xml"/><Relationship Id="rId21" Type="http://schemas.openxmlformats.org/officeDocument/2006/relationships/hyperlink" Target="https://www.unwto.org/news/un-tourism-and-world-sustainable-hospitality-alliance-to-advance-common-esg-framewor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ihgplc.com/en/investors/annual-report" TargetMode="External"/><Relationship Id="rId25" Type="http://schemas.openxmlformats.org/officeDocument/2006/relationships/hyperlink" Target="https://pestleanalysis.com/what-is-pestle-analysi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hgplc.com/en/news-and-media/news-releases/2026/full-year-results-for-the-year-to-31-dec-2025" TargetMode="External"/><Relationship Id="rId20" Type="http://schemas.openxmlformats.org/officeDocument/2006/relationships/hyperlink" Target="https://www.pwc.com/m1/en/publications/2025/docs/ai-tourism-hospitality.pdf" TargetMode="External"/><Relationship Id="rId29" Type="http://schemas.openxmlformats.org/officeDocument/2006/relationships/hyperlink" Target="https://www.avendra.com/en/us/resources/trends-and-insights/how-ai-and-iot-are-revolutionizing-hotel-f-and-b-management-for-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ipd.org/en/knowledge/factsheets/pestle-analysis-factsheet/" TargetMode="External"/><Relationship Id="rId32" Type="http://schemas.openxmlformats.org/officeDocument/2006/relationships/hyperlink" Target="https://theses.lib.polyu.edu.hk/handle/200/13476" TargetMode="External"/><Relationship Id="rId5" Type="http://schemas.openxmlformats.org/officeDocument/2006/relationships/webSettings" Target="webSettings.xml"/><Relationship Id="rId15" Type="http://schemas.openxmlformats.org/officeDocument/2006/relationships/hyperlink" Target="https://www.ihg.com/content/us/en/about/brands" TargetMode="External"/><Relationship Id="rId23" Type="http://schemas.openxmlformats.org/officeDocument/2006/relationships/hyperlink" Target="https://www.ncbi.nlm.nih.gov/books/NBK537302/" TargetMode="External"/><Relationship Id="rId28" Type="http://schemas.openxmlformats.org/officeDocument/2006/relationships/hyperlink" Target="https://www.netsuite.com/portal/resource/articles/erp/hospitality-industry-trends.shtml" TargetMode="External"/><Relationship Id="rId10" Type="http://schemas.openxmlformats.org/officeDocument/2006/relationships/image" Target="media/image3.emf"/><Relationship Id="rId19" Type="http://schemas.openxmlformats.org/officeDocument/2006/relationships/hyperlink" Target="https://digitalcommons.harrisburgu.edu/dandt/22" TargetMode="External"/><Relationship Id="rId31" Type="http://schemas.openxmlformats.org/officeDocument/2006/relationships/hyperlink" Target="https://www.linkedin.com/pulse/navigating-challenges-hospitality-industry-2025-vimal-yadav"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ihgplc.com/about-us" TargetMode="External"/><Relationship Id="rId22" Type="http://schemas.openxmlformats.org/officeDocument/2006/relationships/hyperlink" Target="https://projectmanagement.ie/blog/stakeholder-engagement-tips-the-dos-and-donts" TargetMode="External"/><Relationship Id="rId27" Type="http://schemas.openxmlformats.org/officeDocument/2006/relationships/hyperlink" Target="https://www.media.thiga.co/en/hospitality-ai-5-challenges" TargetMode="External"/><Relationship Id="rId30" Type="http://schemas.openxmlformats.org/officeDocument/2006/relationships/hyperlink" Target="https://www.linkedin.com/pulse/revolutionizing-stakeholder-engagement-ai-ushers-new-cem-g4qtf"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F9FD0-0AE2-4BCF-B903-ED39BECA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24</Pages>
  <Words>6938</Words>
  <Characters>39551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Mihaila</dc:creator>
  <cp:keywords/>
  <dc:description/>
  <cp:lastModifiedBy>Alina Mihaila</cp:lastModifiedBy>
  <cp:revision>184</cp:revision>
  <dcterms:created xsi:type="dcterms:W3CDTF">2026-03-07T12:11:00Z</dcterms:created>
  <dcterms:modified xsi:type="dcterms:W3CDTF">2026-03-21T22:11:00Z</dcterms:modified>
</cp:coreProperties>
</file>