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lang w:val="en-GB"/>
          <w14:ligatures w14:val="standardContextual"/>
        </w:rPr>
        <w:id w:val="-2055619037"/>
        <w:docPartObj>
          <w:docPartGallery w:val="Cover Pages"/>
          <w:docPartUnique/>
        </w:docPartObj>
      </w:sdtPr>
      <w:sdtEndPr>
        <w:rPr>
          <w:color w:val="auto"/>
        </w:rPr>
      </w:sdtEndPr>
      <w:sdtContent>
        <w:p w14:paraId="67548E76" w14:textId="4860C044" w:rsidR="00CF1C31" w:rsidRDefault="00CF1C31">
          <w:pPr>
            <w:pStyle w:val="NoSpacing"/>
            <w:spacing w:before="1540" w:after="240"/>
            <w:jc w:val="center"/>
            <w:rPr>
              <w:color w:val="156082" w:themeColor="accent1"/>
            </w:rPr>
          </w:pPr>
          <w:r>
            <w:rPr>
              <w:noProof/>
              <w:color w:val="156082" w:themeColor="accent1"/>
            </w:rPr>
            <w:drawing>
              <wp:inline distT="0" distB="0" distL="0" distR="0" wp14:anchorId="409F87C2" wp14:editId="4327E24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31B6985305BF4D82BE8AD977CDD4E46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1EA3A48" w14:textId="0B17A784" w:rsidR="00CF1C31" w:rsidRDefault="00DB1A45">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component 2: Coursework essay</w:t>
              </w:r>
            </w:p>
          </w:sdtContent>
        </w:sdt>
        <w:sdt>
          <w:sdtPr>
            <w:rPr>
              <w:color w:val="156082" w:themeColor="accent1"/>
              <w:sz w:val="28"/>
              <w:szCs w:val="28"/>
            </w:rPr>
            <w:alias w:val="Subtitle"/>
            <w:tag w:val=""/>
            <w:id w:val="328029620"/>
            <w:placeholder>
              <w:docPart w:val="BA1C9E2506664B95B9846FBFB8215D06"/>
            </w:placeholder>
            <w:dataBinding w:prefixMappings="xmlns:ns0='http://purl.org/dc/elements/1.1/' xmlns:ns1='http://schemas.openxmlformats.org/package/2006/metadata/core-properties' " w:xpath="/ns1:coreProperties[1]/ns0:subject[1]" w:storeItemID="{6C3C8BC8-F283-45AE-878A-BAB7291924A1}"/>
            <w:text/>
          </w:sdtPr>
          <w:sdtContent>
            <w:p w14:paraId="01CAA7D7" w14:textId="214B9A35" w:rsidR="00CF1C31" w:rsidRDefault="00E94AD4">
              <w:pPr>
                <w:pStyle w:val="NoSpacing"/>
                <w:jc w:val="center"/>
                <w:rPr>
                  <w:color w:val="156082" w:themeColor="accent1"/>
                  <w:sz w:val="28"/>
                  <w:szCs w:val="28"/>
                </w:rPr>
              </w:pPr>
              <w:r>
                <w:rPr>
                  <w:color w:val="156082" w:themeColor="accent1"/>
                  <w:sz w:val="28"/>
                  <w:szCs w:val="28"/>
                </w:rPr>
                <w:t>Magdalena Vintila 2216452</w:t>
              </w:r>
            </w:p>
          </w:sdtContent>
        </w:sdt>
        <w:p w14:paraId="569581C0" w14:textId="626EDD54" w:rsidR="00CF1C31" w:rsidRDefault="00CF1C31">
          <w:pPr>
            <w:pStyle w:val="NoSpacing"/>
            <w:spacing w:before="480"/>
            <w:jc w:val="center"/>
            <w:rPr>
              <w:color w:val="156082" w:themeColor="accent1"/>
            </w:rPr>
          </w:pPr>
          <w:r>
            <w:rPr>
              <w:noProof/>
              <w:color w:val="156082" w:themeColor="accent1"/>
            </w:rPr>
            <w:drawing>
              <wp:inline distT="0" distB="0" distL="0" distR="0" wp14:anchorId="642B4F34" wp14:editId="31AC7B4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2EF5A4E" w14:textId="522DC890" w:rsidR="00CF1C31" w:rsidRDefault="00C5327B">
          <w:r>
            <w:rPr>
              <w:noProof/>
              <w:color w:val="156082" w:themeColor="accent1"/>
            </w:rPr>
            <mc:AlternateContent>
              <mc:Choice Requires="wps">
                <w:drawing>
                  <wp:anchor distT="0" distB="0" distL="114300" distR="114300" simplePos="0" relativeHeight="251659264" behindDoc="0" locked="0" layoutInCell="1" allowOverlap="1" wp14:anchorId="6C1FF470" wp14:editId="2BF1D2D9">
                    <wp:simplePos x="0" y="0"/>
                    <wp:positionH relativeFrom="margin">
                      <wp:align>right</wp:align>
                    </wp:positionH>
                    <wp:positionV relativeFrom="page">
                      <wp:posOffset>5568950</wp:posOffset>
                    </wp:positionV>
                    <wp:extent cx="6553200" cy="1644650"/>
                    <wp:effectExtent l="0" t="0" r="2540" b="12700"/>
                    <wp:wrapNone/>
                    <wp:docPr id="142" name="Text Box 146"/>
                    <wp:cNvGraphicFramePr/>
                    <a:graphic xmlns:a="http://schemas.openxmlformats.org/drawingml/2006/main">
                      <a:graphicData uri="http://schemas.microsoft.com/office/word/2010/wordprocessingShape">
                        <wps:wsp>
                          <wps:cNvSpPr txBox="1"/>
                          <wps:spPr>
                            <a:xfrm>
                              <a:off x="0" y="0"/>
                              <a:ext cx="6553200" cy="164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E0D71D" w14:textId="548E410A" w:rsidR="00325EF2" w:rsidRDefault="004362FE" w:rsidP="00325EF2">
                                <w:pPr>
                                  <w:pStyle w:val="NoSpacing"/>
                                  <w:jc w:val="center"/>
                                  <w:rPr>
                                    <w:color w:val="156082" w:themeColor="accent1"/>
                                  </w:rPr>
                                </w:pPr>
                                <w:r>
                                  <w:rPr>
                                    <w:color w:val="156082" w:themeColor="accent1"/>
                                  </w:rPr>
                                  <w:t>PROJECT MANAGEMENT</w:t>
                                </w:r>
                              </w:p>
                              <w:p w14:paraId="2CCDED87" w14:textId="0C1B2180" w:rsidR="00CF1C31" w:rsidRDefault="004362FE" w:rsidP="00325EF2">
                                <w:pPr>
                                  <w:pStyle w:val="NoSpacing"/>
                                  <w:jc w:val="center"/>
                                  <w:rPr>
                                    <w:color w:val="156082" w:themeColor="accent1"/>
                                  </w:rPr>
                                </w:pPr>
                                <w:r>
                                  <w:rPr>
                                    <w:color w:val="156082" w:themeColor="accent1"/>
                                  </w:rPr>
                                  <w:t>LCBB6006</w:t>
                                </w:r>
                              </w:p>
                              <w:p w14:paraId="63C5A828" w14:textId="77777777" w:rsidR="004362FE" w:rsidRDefault="004362FE" w:rsidP="00325EF2">
                                <w:pPr>
                                  <w:pStyle w:val="NoSpacing"/>
                                  <w:jc w:val="center"/>
                                  <w:rPr>
                                    <w:color w:val="156082" w:themeColor="accent1"/>
                                  </w:rPr>
                                </w:pPr>
                              </w:p>
                              <w:p w14:paraId="34AE45EC" w14:textId="75C7141C" w:rsidR="004362FE" w:rsidRDefault="00325EF2" w:rsidP="00325EF2">
                                <w:pPr>
                                  <w:pStyle w:val="NoSpacing"/>
                                  <w:jc w:val="center"/>
                                  <w:rPr>
                                    <w:color w:val="156082" w:themeColor="accent1"/>
                                  </w:rPr>
                                </w:pPr>
                                <w:r>
                                  <w:rPr>
                                    <w:color w:val="156082" w:themeColor="accent1"/>
                                  </w:rPr>
                                  <w:t>DEADLINE 19 NOVEMBER, 2PM</w:t>
                                </w:r>
                              </w:p>
                              <w:p w14:paraId="5B71C2DC" w14:textId="77777777" w:rsidR="00325EF2" w:rsidRDefault="00325EF2">
                                <w:pPr>
                                  <w:pStyle w:val="NoSpacing"/>
                                  <w:jc w:val="center"/>
                                  <w:rPr>
                                    <w:color w:val="156082" w:themeColor="accent1"/>
                                  </w:rPr>
                                </w:pPr>
                              </w:p>
                              <w:p w14:paraId="52DE15C8" w14:textId="77777777" w:rsidR="00325EF2" w:rsidRDefault="00325EF2">
                                <w:pPr>
                                  <w:pStyle w:val="NoSpacing"/>
                                  <w:jc w:val="center"/>
                                  <w:rPr>
                                    <w:color w:val="156082" w:themeColor="accent1"/>
                                  </w:rPr>
                                </w:pPr>
                              </w:p>
                              <w:p w14:paraId="05D65F85" w14:textId="77777777" w:rsidR="00325EF2" w:rsidRDefault="00325EF2">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C1FF470" id="_x0000_t202" coordsize="21600,21600" o:spt="202" path="m,l,21600r21600,l21600,xe">
                    <v:stroke joinstyle="miter"/>
                    <v:path gradientshapeok="t" o:connecttype="rect"/>
                  </v:shapetype>
                  <v:shape id="Text Box 146" o:spid="_x0000_s1026" type="#_x0000_t202" style="position:absolute;margin-left:464.8pt;margin-top:438.5pt;width:516pt;height:129.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" filled="f" stroked="f" strokeweight=".5pt">
                    <v:textbox inset="0,0,0,0">
                      <w:txbxContent>
                        <w:p w14:paraId="07E0D71D" w14:textId="548E410A" w:rsidR="00325EF2" w:rsidRDefault="004362FE" w:rsidP="00325EF2">
                          <w:pPr>
                            <w:pStyle w:val="NoSpacing"/>
                            <w:jc w:val="center"/>
                            <w:rPr>
                              <w:color w:val="156082" w:themeColor="accent1"/>
                            </w:rPr>
                          </w:pPr>
                          <w:r>
                            <w:rPr>
                              <w:color w:val="156082" w:themeColor="accent1"/>
                            </w:rPr>
                            <w:t>PROJECT MANAGEMENT</w:t>
                          </w:r>
                        </w:p>
                        <w:p w14:paraId="2CCDED87" w14:textId="0C1B2180" w:rsidR="00CF1C31" w:rsidRDefault="004362FE" w:rsidP="00325EF2">
                          <w:pPr>
                            <w:pStyle w:val="NoSpacing"/>
                            <w:jc w:val="center"/>
                            <w:rPr>
                              <w:color w:val="156082" w:themeColor="accent1"/>
                            </w:rPr>
                          </w:pPr>
                          <w:r>
                            <w:rPr>
                              <w:color w:val="156082" w:themeColor="accent1"/>
                            </w:rPr>
                            <w:t>LCBB6006</w:t>
                          </w:r>
                        </w:p>
                        <w:p w14:paraId="63C5A828" w14:textId="77777777" w:rsidR="004362FE" w:rsidRDefault="004362FE" w:rsidP="00325EF2">
                          <w:pPr>
                            <w:pStyle w:val="NoSpacing"/>
                            <w:jc w:val="center"/>
                            <w:rPr>
                              <w:color w:val="156082" w:themeColor="accent1"/>
                            </w:rPr>
                          </w:pPr>
                        </w:p>
                        <w:p w14:paraId="34AE45EC" w14:textId="75C7141C" w:rsidR="004362FE" w:rsidRDefault="00325EF2" w:rsidP="00325EF2">
                          <w:pPr>
                            <w:pStyle w:val="NoSpacing"/>
                            <w:jc w:val="center"/>
                            <w:rPr>
                              <w:color w:val="156082" w:themeColor="accent1"/>
                            </w:rPr>
                          </w:pPr>
                          <w:r>
                            <w:rPr>
                              <w:color w:val="156082" w:themeColor="accent1"/>
                            </w:rPr>
                            <w:t>DEADLINE 19 NOVEMBER, 2PM</w:t>
                          </w:r>
                        </w:p>
                        <w:p w14:paraId="5B71C2DC" w14:textId="77777777" w:rsidR="00325EF2" w:rsidRDefault="00325EF2">
                          <w:pPr>
                            <w:pStyle w:val="NoSpacing"/>
                            <w:jc w:val="center"/>
                            <w:rPr>
                              <w:color w:val="156082" w:themeColor="accent1"/>
                            </w:rPr>
                          </w:pPr>
                        </w:p>
                        <w:p w14:paraId="52DE15C8" w14:textId="77777777" w:rsidR="00325EF2" w:rsidRDefault="00325EF2">
                          <w:pPr>
                            <w:pStyle w:val="NoSpacing"/>
                            <w:jc w:val="center"/>
                            <w:rPr>
                              <w:color w:val="156082" w:themeColor="accent1"/>
                            </w:rPr>
                          </w:pPr>
                        </w:p>
                        <w:p w14:paraId="05D65F85" w14:textId="77777777" w:rsidR="00325EF2" w:rsidRDefault="00325EF2">
                          <w:pPr>
                            <w:pStyle w:val="NoSpacing"/>
                            <w:jc w:val="center"/>
                            <w:rPr>
                              <w:color w:val="156082" w:themeColor="accent1"/>
                            </w:rPr>
                          </w:pPr>
                        </w:p>
                      </w:txbxContent>
                    </v:textbox>
                    <w10:wrap anchorx="margin" anchory="page"/>
                  </v:shape>
                </w:pict>
              </mc:Fallback>
            </mc:AlternateContent>
          </w:r>
          <w:r w:rsidR="00CF1C31">
            <w:br w:type="page"/>
          </w:r>
        </w:p>
      </w:sdtContent>
    </w:sdt>
    <w:sdt>
      <w:sdtPr>
        <w:rPr>
          <w:rFonts w:asciiTheme="minorHAnsi" w:eastAsiaTheme="minorHAnsi" w:hAnsiTheme="minorHAnsi" w:cstheme="minorBidi"/>
          <w:color w:val="auto"/>
          <w:kern w:val="2"/>
          <w:sz w:val="22"/>
          <w:szCs w:val="22"/>
          <w:lang w:val="en-GB"/>
          <w14:ligatures w14:val="standardContextual"/>
        </w:rPr>
        <w:id w:val="1248381695"/>
        <w:docPartObj>
          <w:docPartGallery w:val="Table of Contents"/>
          <w:docPartUnique/>
        </w:docPartObj>
      </w:sdtPr>
      <w:sdtEndPr>
        <w:rPr>
          <w:b/>
          <w:bCs/>
          <w:noProof/>
        </w:rPr>
      </w:sdtEndPr>
      <w:sdtContent>
        <w:p w14:paraId="0E679916" w14:textId="22DD773F" w:rsidR="00325EF2" w:rsidRDefault="00325EF2">
          <w:pPr>
            <w:pStyle w:val="TOCHeading"/>
          </w:pPr>
          <w:r>
            <w:t>Contents</w:t>
          </w:r>
        </w:p>
        <w:p w14:paraId="42F16C11" w14:textId="27505FC8" w:rsidR="00356C44" w:rsidRDefault="00325EF2">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4351113" w:history="1">
            <w:r w:rsidR="00356C44" w:rsidRPr="00F30C8C">
              <w:rPr>
                <w:rStyle w:val="Hyperlink"/>
                <w:rFonts w:ascii="Arial" w:hAnsi="Arial" w:cs="Arial"/>
                <w:noProof/>
              </w:rPr>
              <w:t>1.</w:t>
            </w:r>
            <w:r w:rsidR="00356C44">
              <w:rPr>
                <w:rFonts w:eastAsiaTheme="minorEastAsia"/>
                <w:noProof/>
                <w:sz w:val="24"/>
                <w:szCs w:val="24"/>
                <w:lang w:eastAsia="en-GB"/>
              </w:rPr>
              <w:tab/>
            </w:r>
            <w:r w:rsidR="00356C44" w:rsidRPr="00F30C8C">
              <w:rPr>
                <w:rStyle w:val="Hyperlink"/>
                <w:rFonts w:ascii="Arial" w:hAnsi="Arial" w:cs="Arial"/>
                <w:noProof/>
              </w:rPr>
              <w:t>INTRODUCTION</w:t>
            </w:r>
            <w:r w:rsidR="00356C44">
              <w:rPr>
                <w:noProof/>
                <w:webHidden/>
              </w:rPr>
              <w:tab/>
            </w:r>
            <w:r w:rsidR="00356C44">
              <w:rPr>
                <w:noProof/>
                <w:webHidden/>
              </w:rPr>
              <w:fldChar w:fldCharType="begin"/>
            </w:r>
            <w:r w:rsidR="00356C44">
              <w:rPr>
                <w:noProof/>
                <w:webHidden/>
              </w:rPr>
              <w:instrText xml:space="preserve"> PAGEREF _Toc214351113 \h </w:instrText>
            </w:r>
            <w:r w:rsidR="00356C44">
              <w:rPr>
                <w:noProof/>
                <w:webHidden/>
              </w:rPr>
            </w:r>
            <w:r w:rsidR="00356C44">
              <w:rPr>
                <w:noProof/>
                <w:webHidden/>
              </w:rPr>
              <w:fldChar w:fldCharType="separate"/>
            </w:r>
            <w:r w:rsidR="00356C44">
              <w:rPr>
                <w:noProof/>
                <w:webHidden/>
              </w:rPr>
              <w:t>2</w:t>
            </w:r>
            <w:r w:rsidR="00356C44">
              <w:rPr>
                <w:noProof/>
                <w:webHidden/>
              </w:rPr>
              <w:fldChar w:fldCharType="end"/>
            </w:r>
          </w:hyperlink>
        </w:p>
        <w:p w14:paraId="42CB9A86" w14:textId="677FB8AE" w:rsidR="00356C44" w:rsidRDefault="00356C44">
          <w:pPr>
            <w:pStyle w:val="TOC1"/>
            <w:tabs>
              <w:tab w:val="left" w:pos="480"/>
              <w:tab w:val="right" w:leader="dot" w:pos="9016"/>
            </w:tabs>
            <w:rPr>
              <w:rFonts w:eastAsiaTheme="minorEastAsia"/>
              <w:noProof/>
              <w:sz w:val="24"/>
              <w:szCs w:val="24"/>
              <w:lang w:eastAsia="en-GB"/>
            </w:rPr>
          </w:pPr>
          <w:hyperlink w:anchor="_Toc214351114" w:history="1">
            <w:r w:rsidRPr="00F30C8C">
              <w:rPr>
                <w:rStyle w:val="Hyperlink"/>
                <w:rFonts w:ascii="Arial" w:hAnsi="Arial" w:cs="Arial"/>
                <w:noProof/>
              </w:rPr>
              <w:t>2.</w:t>
            </w:r>
            <w:r>
              <w:rPr>
                <w:rFonts w:eastAsiaTheme="minorEastAsia"/>
                <w:noProof/>
                <w:sz w:val="24"/>
                <w:szCs w:val="24"/>
                <w:lang w:eastAsia="en-GB"/>
              </w:rPr>
              <w:tab/>
            </w:r>
            <w:r w:rsidRPr="00F30C8C">
              <w:rPr>
                <w:rStyle w:val="Hyperlink"/>
                <w:rFonts w:ascii="Arial" w:hAnsi="Arial" w:cs="Arial"/>
                <w:noProof/>
              </w:rPr>
              <w:t>Contacting in Project management</w:t>
            </w:r>
            <w:r>
              <w:rPr>
                <w:noProof/>
                <w:webHidden/>
              </w:rPr>
              <w:tab/>
            </w:r>
            <w:r>
              <w:rPr>
                <w:noProof/>
                <w:webHidden/>
              </w:rPr>
              <w:fldChar w:fldCharType="begin"/>
            </w:r>
            <w:r>
              <w:rPr>
                <w:noProof/>
                <w:webHidden/>
              </w:rPr>
              <w:instrText xml:space="preserve"> PAGEREF _Toc214351114 \h </w:instrText>
            </w:r>
            <w:r>
              <w:rPr>
                <w:noProof/>
                <w:webHidden/>
              </w:rPr>
            </w:r>
            <w:r>
              <w:rPr>
                <w:noProof/>
                <w:webHidden/>
              </w:rPr>
              <w:fldChar w:fldCharType="separate"/>
            </w:r>
            <w:r>
              <w:rPr>
                <w:noProof/>
                <w:webHidden/>
              </w:rPr>
              <w:t>2</w:t>
            </w:r>
            <w:r>
              <w:rPr>
                <w:noProof/>
                <w:webHidden/>
              </w:rPr>
              <w:fldChar w:fldCharType="end"/>
            </w:r>
          </w:hyperlink>
        </w:p>
        <w:p w14:paraId="17F3D20F" w14:textId="1A1DC03F" w:rsidR="00356C44" w:rsidRDefault="00356C44">
          <w:pPr>
            <w:pStyle w:val="TOC2"/>
            <w:tabs>
              <w:tab w:val="right" w:leader="dot" w:pos="9016"/>
            </w:tabs>
            <w:rPr>
              <w:rFonts w:eastAsiaTheme="minorEastAsia"/>
              <w:noProof/>
              <w:sz w:val="24"/>
              <w:szCs w:val="24"/>
              <w:lang w:eastAsia="en-GB"/>
            </w:rPr>
          </w:pPr>
          <w:hyperlink w:anchor="_Toc214351115" w:history="1">
            <w:r w:rsidRPr="00F30C8C">
              <w:rPr>
                <w:rStyle w:val="Hyperlink"/>
                <w:rFonts w:ascii="Arial" w:hAnsi="Arial" w:cs="Arial"/>
                <w:noProof/>
              </w:rPr>
              <w:t>2.1. Turnkey contracting</w:t>
            </w:r>
            <w:r>
              <w:rPr>
                <w:noProof/>
                <w:webHidden/>
              </w:rPr>
              <w:tab/>
            </w:r>
            <w:r>
              <w:rPr>
                <w:noProof/>
                <w:webHidden/>
              </w:rPr>
              <w:fldChar w:fldCharType="begin"/>
            </w:r>
            <w:r>
              <w:rPr>
                <w:noProof/>
                <w:webHidden/>
              </w:rPr>
              <w:instrText xml:space="preserve"> PAGEREF _Toc214351115 \h </w:instrText>
            </w:r>
            <w:r>
              <w:rPr>
                <w:noProof/>
                <w:webHidden/>
              </w:rPr>
            </w:r>
            <w:r>
              <w:rPr>
                <w:noProof/>
                <w:webHidden/>
              </w:rPr>
              <w:fldChar w:fldCharType="separate"/>
            </w:r>
            <w:r>
              <w:rPr>
                <w:noProof/>
                <w:webHidden/>
              </w:rPr>
              <w:t>3</w:t>
            </w:r>
            <w:r>
              <w:rPr>
                <w:noProof/>
                <w:webHidden/>
              </w:rPr>
              <w:fldChar w:fldCharType="end"/>
            </w:r>
          </w:hyperlink>
        </w:p>
        <w:p w14:paraId="7FCE58F2" w14:textId="72AB0030" w:rsidR="00356C44" w:rsidRDefault="00356C44">
          <w:pPr>
            <w:pStyle w:val="TOC2"/>
            <w:tabs>
              <w:tab w:val="right" w:leader="dot" w:pos="9016"/>
            </w:tabs>
            <w:rPr>
              <w:rFonts w:eastAsiaTheme="minorEastAsia"/>
              <w:noProof/>
              <w:sz w:val="24"/>
              <w:szCs w:val="24"/>
              <w:lang w:eastAsia="en-GB"/>
            </w:rPr>
          </w:pPr>
          <w:hyperlink w:anchor="_Toc214351116" w:history="1">
            <w:r w:rsidRPr="00F30C8C">
              <w:rPr>
                <w:rStyle w:val="Hyperlink"/>
                <w:rFonts w:ascii="Arial" w:hAnsi="Arial" w:cs="Arial"/>
                <w:noProof/>
              </w:rPr>
              <w:t>2.2. Multicontract contracting</w:t>
            </w:r>
            <w:r>
              <w:rPr>
                <w:noProof/>
                <w:webHidden/>
              </w:rPr>
              <w:tab/>
            </w:r>
            <w:r>
              <w:rPr>
                <w:noProof/>
                <w:webHidden/>
              </w:rPr>
              <w:fldChar w:fldCharType="begin"/>
            </w:r>
            <w:r>
              <w:rPr>
                <w:noProof/>
                <w:webHidden/>
              </w:rPr>
              <w:instrText xml:space="preserve"> PAGEREF _Toc214351116 \h </w:instrText>
            </w:r>
            <w:r>
              <w:rPr>
                <w:noProof/>
                <w:webHidden/>
              </w:rPr>
            </w:r>
            <w:r>
              <w:rPr>
                <w:noProof/>
                <w:webHidden/>
              </w:rPr>
              <w:fldChar w:fldCharType="separate"/>
            </w:r>
            <w:r>
              <w:rPr>
                <w:noProof/>
                <w:webHidden/>
              </w:rPr>
              <w:t>4</w:t>
            </w:r>
            <w:r>
              <w:rPr>
                <w:noProof/>
                <w:webHidden/>
              </w:rPr>
              <w:fldChar w:fldCharType="end"/>
            </w:r>
          </w:hyperlink>
        </w:p>
        <w:p w14:paraId="2A373167" w14:textId="37776FAA" w:rsidR="00356C44" w:rsidRDefault="00356C44">
          <w:pPr>
            <w:pStyle w:val="TOC2"/>
            <w:tabs>
              <w:tab w:val="left" w:pos="960"/>
              <w:tab w:val="right" w:leader="dot" w:pos="9016"/>
            </w:tabs>
            <w:rPr>
              <w:rFonts w:eastAsiaTheme="minorEastAsia"/>
              <w:noProof/>
              <w:sz w:val="24"/>
              <w:szCs w:val="24"/>
              <w:lang w:eastAsia="en-GB"/>
            </w:rPr>
          </w:pPr>
          <w:hyperlink w:anchor="_Toc214351117" w:history="1">
            <w:r w:rsidRPr="00F30C8C">
              <w:rPr>
                <w:rStyle w:val="Hyperlink"/>
                <w:rFonts w:ascii="Arial" w:hAnsi="Arial" w:cs="Arial"/>
                <w:noProof/>
              </w:rPr>
              <w:t>2.3.</w:t>
            </w:r>
            <w:r>
              <w:rPr>
                <w:rFonts w:eastAsiaTheme="minorEastAsia"/>
                <w:noProof/>
                <w:sz w:val="24"/>
                <w:szCs w:val="24"/>
                <w:lang w:eastAsia="en-GB"/>
              </w:rPr>
              <w:tab/>
            </w:r>
            <w:r w:rsidRPr="00F30C8C">
              <w:rPr>
                <w:rStyle w:val="Hyperlink"/>
                <w:rFonts w:ascii="Arial" w:hAnsi="Arial" w:cs="Arial"/>
                <w:noProof/>
              </w:rPr>
              <w:t>Do-It-Yourself (DIY) Explanation</w:t>
            </w:r>
            <w:r>
              <w:rPr>
                <w:noProof/>
                <w:webHidden/>
              </w:rPr>
              <w:tab/>
            </w:r>
            <w:r>
              <w:rPr>
                <w:noProof/>
                <w:webHidden/>
              </w:rPr>
              <w:fldChar w:fldCharType="begin"/>
            </w:r>
            <w:r>
              <w:rPr>
                <w:noProof/>
                <w:webHidden/>
              </w:rPr>
              <w:instrText xml:space="preserve"> PAGEREF _Toc214351117 \h </w:instrText>
            </w:r>
            <w:r>
              <w:rPr>
                <w:noProof/>
                <w:webHidden/>
              </w:rPr>
            </w:r>
            <w:r>
              <w:rPr>
                <w:noProof/>
                <w:webHidden/>
              </w:rPr>
              <w:fldChar w:fldCharType="separate"/>
            </w:r>
            <w:r>
              <w:rPr>
                <w:noProof/>
                <w:webHidden/>
              </w:rPr>
              <w:t>5</w:t>
            </w:r>
            <w:r>
              <w:rPr>
                <w:noProof/>
                <w:webHidden/>
              </w:rPr>
              <w:fldChar w:fldCharType="end"/>
            </w:r>
          </w:hyperlink>
        </w:p>
        <w:p w14:paraId="226F0F11" w14:textId="343D6031" w:rsidR="00356C44" w:rsidRDefault="00356C44">
          <w:pPr>
            <w:pStyle w:val="TOC2"/>
            <w:tabs>
              <w:tab w:val="left" w:pos="960"/>
              <w:tab w:val="right" w:leader="dot" w:pos="9016"/>
            </w:tabs>
            <w:rPr>
              <w:rFonts w:eastAsiaTheme="minorEastAsia"/>
              <w:noProof/>
              <w:sz w:val="24"/>
              <w:szCs w:val="24"/>
              <w:lang w:eastAsia="en-GB"/>
            </w:rPr>
          </w:pPr>
          <w:hyperlink w:anchor="_Toc214351118" w:history="1">
            <w:r w:rsidRPr="00F30C8C">
              <w:rPr>
                <w:rStyle w:val="Hyperlink"/>
                <w:rFonts w:ascii="Arial" w:hAnsi="Arial" w:cs="Arial"/>
                <w:noProof/>
              </w:rPr>
              <w:t>2.4.</w:t>
            </w:r>
            <w:r>
              <w:rPr>
                <w:rFonts w:eastAsiaTheme="minorEastAsia"/>
                <w:noProof/>
                <w:sz w:val="24"/>
                <w:szCs w:val="24"/>
                <w:lang w:eastAsia="en-GB"/>
              </w:rPr>
              <w:tab/>
            </w:r>
            <w:r w:rsidRPr="00F30C8C">
              <w:rPr>
                <w:rStyle w:val="Hyperlink"/>
                <w:rFonts w:ascii="Arial" w:hAnsi="Arial" w:cs="Arial"/>
                <w:noProof/>
              </w:rPr>
              <w:t>Multicontract + DIY (Hybrid Method) Explanation</w:t>
            </w:r>
            <w:r>
              <w:rPr>
                <w:noProof/>
                <w:webHidden/>
              </w:rPr>
              <w:tab/>
            </w:r>
            <w:r>
              <w:rPr>
                <w:noProof/>
                <w:webHidden/>
              </w:rPr>
              <w:fldChar w:fldCharType="begin"/>
            </w:r>
            <w:r>
              <w:rPr>
                <w:noProof/>
                <w:webHidden/>
              </w:rPr>
              <w:instrText xml:space="preserve"> PAGEREF _Toc214351118 \h </w:instrText>
            </w:r>
            <w:r>
              <w:rPr>
                <w:noProof/>
                <w:webHidden/>
              </w:rPr>
            </w:r>
            <w:r>
              <w:rPr>
                <w:noProof/>
                <w:webHidden/>
              </w:rPr>
              <w:fldChar w:fldCharType="separate"/>
            </w:r>
            <w:r>
              <w:rPr>
                <w:noProof/>
                <w:webHidden/>
              </w:rPr>
              <w:t>7</w:t>
            </w:r>
            <w:r>
              <w:rPr>
                <w:noProof/>
                <w:webHidden/>
              </w:rPr>
              <w:fldChar w:fldCharType="end"/>
            </w:r>
          </w:hyperlink>
        </w:p>
        <w:p w14:paraId="19A1C011" w14:textId="65A088F0" w:rsidR="00356C44" w:rsidRDefault="00356C44">
          <w:pPr>
            <w:pStyle w:val="TOC1"/>
            <w:tabs>
              <w:tab w:val="left" w:pos="480"/>
              <w:tab w:val="right" w:leader="dot" w:pos="9016"/>
            </w:tabs>
            <w:rPr>
              <w:rFonts w:eastAsiaTheme="minorEastAsia"/>
              <w:noProof/>
              <w:sz w:val="24"/>
              <w:szCs w:val="24"/>
              <w:lang w:eastAsia="en-GB"/>
            </w:rPr>
          </w:pPr>
          <w:hyperlink w:anchor="_Toc214351119" w:history="1">
            <w:r w:rsidRPr="00F30C8C">
              <w:rPr>
                <w:rStyle w:val="Hyperlink"/>
                <w:rFonts w:ascii="Arial" w:hAnsi="Arial" w:cs="Arial"/>
                <w:noProof/>
              </w:rPr>
              <w:t>3.</w:t>
            </w:r>
            <w:r>
              <w:rPr>
                <w:rFonts w:eastAsiaTheme="minorEastAsia"/>
                <w:noProof/>
                <w:sz w:val="24"/>
                <w:szCs w:val="24"/>
                <w:lang w:eastAsia="en-GB"/>
              </w:rPr>
              <w:tab/>
            </w:r>
            <w:r w:rsidRPr="00F30C8C">
              <w:rPr>
                <w:rStyle w:val="Hyperlink"/>
                <w:rFonts w:ascii="Arial" w:hAnsi="Arial" w:cs="Arial"/>
                <w:noProof/>
              </w:rPr>
              <w:t>Comparative Assessment</w:t>
            </w:r>
            <w:r>
              <w:rPr>
                <w:noProof/>
                <w:webHidden/>
              </w:rPr>
              <w:tab/>
            </w:r>
            <w:r>
              <w:rPr>
                <w:noProof/>
                <w:webHidden/>
              </w:rPr>
              <w:fldChar w:fldCharType="begin"/>
            </w:r>
            <w:r>
              <w:rPr>
                <w:noProof/>
                <w:webHidden/>
              </w:rPr>
              <w:instrText xml:space="preserve"> PAGEREF _Toc214351119 \h </w:instrText>
            </w:r>
            <w:r>
              <w:rPr>
                <w:noProof/>
                <w:webHidden/>
              </w:rPr>
            </w:r>
            <w:r>
              <w:rPr>
                <w:noProof/>
                <w:webHidden/>
              </w:rPr>
              <w:fldChar w:fldCharType="separate"/>
            </w:r>
            <w:r>
              <w:rPr>
                <w:noProof/>
                <w:webHidden/>
              </w:rPr>
              <w:t>8</w:t>
            </w:r>
            <w:r>
              <w:rPr>
                <w:noProof/>
                <w:webHidden/>
              </w:rPr>
              <w:fldChar w:fldCharType="end"/>
            </w:r>
          </w:hyperlink>
        </w:p>
        <w:p w14:paraId="6D520B30" w14:textId="03B84268" w:rsidR="00356C44" w:rsidRDefault="00356C44">
          <w:pPr>
            <w:pStyle w:val="TOC1"/>
            <w:tabs>
              <w:tab w:val="left" w:pos="480"/>
              <w:tab w:val="right" w:leader="dot" w:pos="9016"/>
            </w:tabs>
            <w:rPr>
              <w:rFonts w:eastAsiaTheme="minorEastAsia"/>
              <w:noProof/>
              <w:sz w:val="24"/>
              <w:szCs w:val="24"/>
              <w:lang w:eastAsia="en-GB"/>
            </w:rPr>
          </w:pPr>
          <w:hyperlink w:anchor="_Toc214351120" w:history="1">
            <w:r w:rsidRPr="00F30C8C">
              <w:rPr>
                <w:rStyle w:val="Hyperlink"/>
                <w:rFonts w:ascii="Arial" w:hAnsi="Arial" w:cs="Arial"/>
                <w:noProof/>
              </w:rPr>
              <w:t>4.</w:t>
            </w:r>
            <w:r>
              <w:rPr>
                <w:rFonts w:eastAsiaTheme="minorEastAsia"/>
                <w:noProof/>
                <w:sz w:val="24"/>
                <w:szCs w:val="24"/>
                <w:lang w:eastAsia="en-GB"/>
              </w:rPr>
              <w:tab/>
            </w:r>
            <w:r w:rsidRPr="00F30C8C">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_Toc214351120 \h </w:instrText>
            </w:r>
            <w:r>
              <w:rPr>
                <w:noProof/>
                <w:webHidden/>
              </w:rPr>
            </w:r>
            <w:r>
              <w:rPr>
                <w:noProof/>
                <w:webHidden/>
              </w:rPr>
              <w:fldChar w:fldCharType="separate"/>
            </w:r>
            <w:r>
              <w:rPr>
                <w:noProof/>
                <w:webHidden/>
              </w:rPr>
              <w:t>9</w:t>
            </w:r>
            <w:r>
              <w:rPr>
                <w:noProof/>
                <w:webHidden/>
              </w:rPr>
              <w:fldChar w:fldCharType="end"/>
            </w:r>
          </w:hyperlink>
        </w:p>
        <w:p w14:paraId="7F84276C" w14:textId="59BB8B18" w:rsidR="00356C44" w:rsidRDefault="00356C44">
          <w:pPr>
            <w:pStyle w:val="TOC1"/>
            <w:tabs>
              <w:tab w:val="left" w:pos="480"/>
              <w:tab w:val="right" w:leader="dot" w:pos="9016"/>
            </w:tabs>
            <w:rPr>
              <w:rFonts w:eastAsiaTheme="minorEastAsia"/>
              <w:noProof/>
              <w:sz w:val="24"/>
              <w:szCs w:val="24"/>
              <w:lang w:eastAsia="en-GB"/>
            </w:rPr>
          </w:pPr>
          <w:hyperlink w:anchor="_Toc214351121" w:history="1">
            <w:r w:rsidRPr="00F30C8C">
              <w:rPr>
                <w:rStyle w:val="Hyperlink"/>
                <w:rFonts w:ascii="Arial" w:hAnsi="Arial" w:cs="Arial"/>
                <w:noProof/>
              </w:rPr>
              <w:t>5.</w:t>
            </w:r>
            <w:r>
              <w:rPr>
                <w:rFonts w:eastAsiaTheme="minorEastAsia"/>
                <w:noProof/>
                <w:sz w:val="24"/>
                <w:szCs w:val="24"/>
                <w:lang w:eastAsia="en-GB"/>
              </w:rPr>
              <w:tab/>
            </w:r>
            <w:r w:rsidRPr="00F30C8C">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_Toc214351121 \h </w:instrText>
            </w:r>
            <w:r>
              <w:rPr>
                <w:noProof/>
                <w:webHidden/>
              </w:rPr>
            </w:r>
            <w:r>
              <w:rPr>
                <w:noProof/>
                <w:webHidden/>
              </w:rPr>
              <w:fldChar w:fldCharType="separate"/>
            </w:r>
            <w:r>
              <w:rPr>
                <w:noProof/>
                <w:webHidden/>
              </w:rPr>
              <w:t>11</w:t>
            </w:r>
            <w:r>
              <w:rPr>
                <w:noProof/>
                <w:webHidden/>
              </w:rPr>
              <w:fldChar w:fldCharType="end"/>
            </w:r>
          </w:hyperlink>
        </w:p>
        <w:p w14:paraId="37689837" w14:textId="0BE94529" w:rsidR="00325EF2" w:rsidRDefault="00325EF2">
          <w:r>
            <w:rPr>
              <w:b/>
              <w:bCs/>
              <w:noProof/>
              <w:lang w:val="en-US"/>
            </w:rPr>
            <w:fldChar w:fldCharType="end"/>
          </w:r>
        </w:p>
      </w:sdtContent>
    </w:sdt>
    <w:p w14:paraId="396856FA" w14:textId="77777777" w:rsidR="00754D00" w:rsidRDefault="00754D00"/>
    <w:p w14:paraId="3F824549" w14:textId="77777777" w:rsidR="00325EF2" w:rsidRDefault="00325EF2"/>
    <w:p w14:paraId="7CACCFDA" w14:textId="77777777" w:rsidR="00325EF2" w:rsidRDefault="00325EF2"/>
    <w:p w14:paraId="2DA1E944" w14:textId="77777777" w:rsidR="00325EF2" w:rsidRDefault="00325EF2"/>
    <w:p w14:paraId="0FF0B264" w14:textId="77777777" w:rsidR="00325EF2" w:rsidRDefault="00325EF2"/>
    <w:p w14:paraId="153B29C7" w14:textId="77777777" w:rsidR="00325EF2" w:rsidRDefault="00325EF2"/>
    <w:p w14:paraId="3C2395EF" w14:textId="77777777" w:rsidR="00325EF2" w:rsidRDefault="00325EF2"/>
    <w:p w14:paraId="5B0FC0CD" w14:textId="77777777" w:rsidR="00325EF2" w:rsidRDefault="00325EF2"/>
    <w:p w14:paraId="5500D2D7" w14:textId="77777777" w:rsidR="00325EF2" w:rsidRDefault="00325EF2"/>
    <w:p w14:paraId="34B92293" w14:textId="77777777" w:rsidR="00325EF2" w:rsidRDefault="00325EF2"/>
    <w:p w14:paraId="14197CA8" w14:textId="77777777" w:rsidR="00325EF2" w:rsidRDefault="00325EF2"/>
    <w:p w14:paraId="36828870" w14:textId="77777777" w:rsidR="00325EF2" w:rsidRDefault="00325EF2"/>
    <w:p w14:paraId="7DFB0D08" w14:textId="77777777" w:rsidR="00325EF2" w:rsidRDefault="00325EF2"/>
    <w:p w14:paraId="7E28FB05" w14:textId="77777777" w:rsidR="00325EF2" w:rsidRDefault="00325EF2"/>
    <w:p w14:paraId="0CE611B4" w14:textId="77777777" w:rsidR="00325EF2" w:rsidRDefault="00325EF2"/>
    <w:p w14:paraId="0777FE01" w14:textId="77777777" w:rsidR="00325EF2" w:rsidRDefault="00325EF2"/>
    <w:p w14:paraId="4C5D11B1" w14:textId="77777777" w:rsidR="00325EF2" w:rsidRDefault="00325EF2"/>
    <w:p w14:paraId="36995AC5" w14:textId="77777777" w:rsidR="00325EF2" w:rsidRDefault="00325EF2"/>
    <w:p w14:paraId="6A263DD9" w14:textId="77777777" w:rsidR="00BF60AF" w:rsidRDefault="00BF60AF"/>
    <w:p w14:paraId="4DAD1742" w14:textId="77777777" w:rsidR="00BF60AF" w:rsidRDefault="00BF60AF"/>
    <w:p w14:paraId="2335560A" w14:textId="6C509F73" w:rsidR="00325EF2" w:rsidRPr="00CD646B" w:rsidRDefault="00FF2B71" w:rsidP="002B6863">
      <w:pPr>
        <w:pStyle w:val="Heading1"/>
        <w:numPr>
          <w:ilvl w:val="0"/>
          <w:numId w:val="6"/>
        </w:numPr>
        <w:spacing w:line="360" w:lineRule="auto"/>
        <w:jc w:val="both"/>
        <w:rPr>
          <w:rFonts w:ascii="Arial" w:hAnsi="Arial" w:cs="Arial"/>
          <w:sz w:val="22"/>
          <w:szCs w:val="22"/>
        </w:rPr>
      </w:pPr>
      <w:bookmarkStart w:id="0" w:name="_Toc214351113"/>
      <w:r w:rsidRPr="00CD646B">
        <w:rPr>
          <w:rFonts w:ascii="Arial" w:hAnsi="Arial" w:cs="Arial"/>
          <w:sz w:val="22"/>
          <w:szCs w:val="22"/>
        </w:rPr>
        <w:lastRenderedPageBreak/>
        <w:t>INTRODUCTION</w:t>
      </w:r>
      <w:bookmarkEnd w:id="0"/>
      <w:r w:rsidRPr="00CD646B">
        <w:rPr>
          <w:rFonts w:ascii="Arial" w:hAnsi="Arial" w:cs="Arial"/>
          <w:sz w:val="22"/>
          <w:szCs w:val="22"/>
        </w:rPr>
        <w:t xml:space="preserve"> </w:t>
      </w:r>
    </w:p>
    <w:p w14:paraId="6B162D24" w14:textId="26965746" w:rsidR="003146E6" w:rsidRPr="00CD646B" w:rsidRDefault="003146E6" w:rsidP="002B6863">
      <w:pPr>
        <w:spacing w:line="360" w:lineRule="auto"/>
        <w:jc w:val="both"/>
        <w:rPr>
          <w:rFonts w:ascii="Arial" w:hAnsi="Arial" w:cs="Arial"/>
        </w:rPr>
      </w:pPr>
      <w:r w:rsidRPr="00CD646B">
        <w:rPr>
          <w:rFonts w:ascii="Arial" w:hAnsi="Arial" w:cs="Arial"/>
        </w:rPr>
        <w:t xml:space="preserve">Project management (PM) is essential to an organization's ability to deliver strategic projects, efficiently manage resources, and adapt to shifting market demands. Project management is the application of knowledge, skills, tools, and techniques to project operations in order to </w:t>
      </w:r>
      <w:r w:rsidR="00453198" w:rsidRPr="00CD646B">
        <w:rPr>
          <w:rFonts w:ascii="Arial" w:hAnsi="Arial" w:cs="Arial"/>
        </w:rPr>
        <w:t>fulfil</w:t>
      </w:r>
      <w:r w:rsidRPr="00CD646B">
        <w:rPr>
          <w:rFonts w:ascii="Arial" w:hAnsi="Arial" w:cs="Arial"/>
        </w:rPr>
        <w:t xml:space="preserve"> project requirements, according to the Project Management Institute (PMI) (PMI, 2021). Contracting, or the practice of assigning portions or the entirety of a project to outside parties, is one of the most important strategic choices in project management. Contracting ultimately affects a project's overall success by deciding how duties, risks, control, and expenses are distributed (Burke, 2018</w:t>
      </w:r>
      <w:r w:rsidR="0033205B" w:rsidRPr="00CD646B">
        <w:rPr>
          <w:rFonts w:ascii="Arial" w:hAnsi="Arial" w:cs="Arial"/>
        </w:rPr>
        <w:t xml:space="preserve">, </w:t>
      </w:r>
      <w:r w:rsidR="00497D1E" w:rsidRPr="00CD646B">
        <w:rPr>
          <w:rFonts w:ascii="Arial" w:hAnsi="Arial" w:cs="Arial"/>
        </w:rPr>
        <w:t>Luo, 2024</w:t>
      </w:r>
      <w:r w:rsidRPr="00CD646B">
        <w:rPr>
          <w:rFonts w:ascii="Arial" w:hAnsi="Arial" w:cs="Arial"/>
        </w:rPr>
        <w:t>).</w:t>
      </w:r>
    </w:p>
    <w:p w14:paraId="4CCEB583" w14:textId="08A4DBF1" w:rsidR="003146E6" w:rsidRPr="00CD646B" w:rsidRDefault="003146E6" w:rsidP="002B6863">
      <w:pPr>
        <w:spacing w:line="360" w:lineRule="auto"/>
        <w:jc w:val="both"/>
        <w:rPr>
          <w:rFonts w:ascii="Arial" w:hAnsi="Arial" w:cs="Arial"/>
        </w:rPr>
      </w:pPr>
      <w:r w:rsidRPr="00CD646B">
        <w:rPr>
          <w:rFonts w:ascii="Arial" w:hAnsi="Arial" w:cs="Arial"/>
        </w:rPr>
        <w:t>Organizations decide to contract for a number of reasons, such as getting access to specialized knowledge, lowering the amount of work their employees have to do, controlling risk, and making things more cost-effective (Lock, 2020</w:t>
      </w:r>
      <w:r w:rsidR="00637E9F" w:rsidRPr="00CD646B">
        <w:rPr>
          <w:rFonts w:ascii="Arial" w:hAnsi="Arial" w:cs="Arial"/>
        </w:rPr>
        <w:t xml:space="preserve">; </w:t>
      </w:r>
      <w:r w:rsidR="00375540" w:rsidRPr="00CD646B">
        <w:rPr>
          <w:rFonts w:ascii="Arial" w:hAnsi="Arial" w:cs="Arial"/>
        </w:rPr>
        <w:t>Castro,2024</w:t>
      </w:r>
      <w:r w:rsidRPr="00CD646B">
        <w:rPr>
          <w:rFonts w:ascii="Arial" w:hAnsi="Arial" w:cs="Arial"/>
        </w:rPr>
        <w:t xml:space="preserve">). </w:t>
      </w:r>
    </w:p>
    <w:p w14:paraId="51124EE7" w14:textId="5DEF2FD6" w:rsidR="00FF2B71" w:rsidRPr="00CD646B" w:rsidRDefault="003146E6" w:rsidP="002B6863">
      <w:pPr>
        <w:spacing w:line="360" w:lineRule="auto"/>
        <w:jc w:val="both"/>
        <w:rPr>
          <w:rFonts w:ascii="Arial" w:hAnsi="Arial" w:cs="Arial"/>
        </w:rPr>
      </w:pPr>
      <w:r w:rsidRPr="00CD646B">
        <w:rPr>
          <w:rFonts w:ascii="Arial" w:hAnsi="Arial" w:cs="Arial"/>
        </w:rPr>
        <w:t>In several industries such as construction, information technology, manufacturing and energy, contracting is vital since no single organisation holds all the competences required to deliver complex projects.</w:t>
      </w:r>
      <w:r w:rsidR="001259A1" w:rsidRPr="00CD646B">
        <w:rPr>
          <w:rFonts w:ascii="Arial" w:hAnsi="Arial" w:cs="Arial"/>
        </w:rPr>
        <w:t xml:space="preserve"> (Kineber et al. 2024) </w:t>
      </w:r>
    </w:p>
    <w:p w14:paraId="60CD5385" w14:textId="7F3F6BF9" w:rsidR="003146E6" w:rsidRPr="00CD646B" w:rsidRDefault="004A409B" w:rsidP="002B6863">
      <w:pPr>
        <w:spacing w:line="360" w:lineRule="auto"/>
        <w:jc w:val="both"/>
        <w:rPr>
          <w:rFonts w:ascii="Arial" w:hAnsi="Arial" w:cs="Arial"/>
        </w:rPr>
      </w:pPr>
      <w:r w:rsidRPr="00CD646B">
        <w:rPr>
          <w:rFonts w:ascii="Arial" w:hAnsi="Arial" w:cs="Arial"/>
        </w:rPr>
        <w:t>The four primary contracting approaches covered in this module—Turnkey, Multicontract, Do-It-Yourself (DIY), and Multicontract + DIY—are examined in this essay. It describes each approach, outlines its benefits and drawbacks, and talks about the kinds of projects that each approach works best for. Additionally, the essay summarizes the strategies' consequences for project contexts and offers a comparative analysis of the approaches. Through these ideas, the essay seeks to show why particular contracting approaches are more appropriate for particular project attributes, organizational capacities, and risk profiles.</w:t>
      </w:r>
      <w:r w:rsidR="00771980" w:rsidRPr="00CD646B">
        <w:rPr>
          <w:rFonts w:ascii="Arial" w:hAnsi="Arial" w:cs="Arial"/>
        </w:rPr>
        <w:t xml:space="preserve"> (Muller and Turner 2007; </w:t>
      </w:r>
      <w:r w:rsidR="00E31822" w:rsidRPr="00CD646B">
        <w:rPr>
          <w:rFonts w:ascii="Arial" w:hAnsi="Arial" w:cs="Arial"/>
        </w:rPr>
        <w:t xml:space="preserve">Oyekunle, 2024) </w:t>
      </w:r>
    </w:p>
    <w:p w14:paraId="4D7A6B66" w14:textId="6CA7EBBA" w:rsidR="004A409B" w:rsidRPr="00CD646B" w:rsidRDefault="006D083C" w:rsidP="002B6863">
      <w:pPr>
        <w:pStyle w:val="Heading1"/>
        <w:numPr>
          <w:ilvl w:val="0"/>
          <w:numId w:val="6"/>
        </w:numPr>
        <w:spacing w:line="360" w:lineRule="auto"/>
        <w:jc w:val="both"/>
        <w:rPr>
          <w:rFonts w:ascii="Arial" w:hAnsi="Arial" w:cs="Arial"/>
          <w:sz w:val="22"/>
          <w:szCs w:val="22"/>
        </w:rPr>
      </w:pPr>
      <w:bookmarkStart w:id="1" w:name="_Toc214351114"/>
      <w:r w:rsidRPr="00CD646B">
        <w:rPr>
          <w:rFonts w:ascii="Arial" w:hAnsi="Arial" w:cs="Arial"/>
          <w:sz w:val="22"/>
          <w:szCs w:val="22"/>
        </w:rPr>
        <w:t>Contacting in Project management</w:t>
      </w:r>
      <w:bookmarkEnd w:id="1"/>
    </w:p>
    <w:p w14:paraId="09F0559B" w14:textId="44800495" w:rsidR="0076520E" w:rsidRPr="00CD646B" w:rsidRDefault="0076520E" w:rsidP="002B6863">
      <w:pPr>
        <w:spacing w:line="360" w:lineRule="auto"/>
        <w:jc w:val="both"/>
        <w:rPr>
          <w:rFonts w:ascii="Arial" w:hAnsi="Arial" w:cs="Arial"/>
        </w:rPr>
      </w:pPr>
      <w:r w:rsidRPr="00CD646B">
        <w:rPr>
          <w:rFonts w:ascii="Arial" w:hAnsi="Arial" w:cs="Arial"/>
        </w:rPr>
        <w:t>In project management, contracting is the process of hiring outside vendors, suppliers, or contractors to carry out particular project tasks under binding contracts. The scope of work, duties, deadlines, expenses, risk distribution, and performance requirements are all specified in these agreements (Turner, 2014</w:t>
      </w:r>
      <w:r w:rsidR="00E41774" w:rsidRPr="00CD646B">
        <w:rPr>
          <w:rFonts w:ascii="Arial" w:hAnsi="Arial" w:cs="Arial"/>
        </w:rPr>
        <w:t>, Castro 2024</w:t>
      </w:r>
      <w:r w:rsidRPr="00CD646B">
        <w:rPr>
          <w:rFonts w:ascii="Arial" w:hAnsi="Arial" w:cs="Arial"/>
        </w:rPr>
        <w:t>). Contracting is a strategic choice that affects governance, quality, risk management, and resource use; it is not just a procurement activity.</w:t>
      </w:r>
    </w:p>
    <w:p w14:paraId="2D7200E0" w14:textId="6A802B58" w:rsidR="000D4267" w:rsidRPr="00CD646B" w:rsidRDefault="000D4267" w:rsidP="002B6863">
      <w:pPr>
        <w:spacing w:line="360" w:lineRule="auto"/>
        <w:jc w:val="both"/>
        <w:rPr>
          <w:rFonts w:ascii="Arial" w:hAnsi="Arial" w:cs="Arial"/>
        </w:rPr>
      </w:pPr>
      <w:r w:rsidRPr="00CD646B">
        <w:rPr>
          <w:rFonts w:ascii="Arial" w:hAnsi="Arial" w:cs="Arial"/>
        </w:rPr>
        <w:t>Crucially, the contract price model and the contracting process are not the same. While pricing models govern how the contractor is paid (e.g., fixed fee, cost-plus, time and materials), contracting techniques specify who is responsible for what job. Because it influences control, communication styles, and the level of team cohesion, the contracting method selection has a substantial impact on project success (Meredith and Mantel, 2017</w:t>
      </w:r>
      <w:r w:rsidR="00E41774" w:rsidRPr="00CD646B">
        <w:rPr>
          <w:rFonts w:ascii="Arial" w:hAnsi="Arial" w:cs="Arial"/>
        </w:rPr>
        <w:t>, Luo</w:t>
      </w:r>
      <w:r w:rsidR="00625E20" w:rsidRPr="00CD646B">
        <w:rPr>
          <w:rFonts w:ascii="Arial" w:hAnsi="Arial" w:cs="Arial"/>
        </w:rPr>
        <w:t>,2024</w:t>
      </w:r>
      <w:r w:rsidRPr="00CD646B">
        <w:rPr>
          <w:rFonts w:ascii="Arial" w:hAnsi="Arial" w:cs="Arial"/>
        </w:rPr>
        <w:t>).</w:t>
      </w:r>
    </w:p>
    <w:p w14:paraId="493F949D" w14:textId="4E3F6D0D" w:rsidR="00EE7723" w:rsidRPr="00CD646B" w:rsidRDefault="000D4267" w:rsidP="002B6863">
      <w:pPr>
        <w:spacing w:line="360" w:lineRule="auto"/>
        <w:jc w:val="both"/>
        <w:rPr>
          <w:rFonts w:ascii="Arial" w:hAnsi="Arial" w:cs="Arial"/>
        </w:rPr>
      </w:pPr>
      <w:r w:rsidRPr="00CD646B">
        <w:rPr>
          <w:rFonts w:ascii="Arial" w:hAnsi="Arial" w:cs="Arial"/>
        </w:rPr>
        <w:lastRenderedPageBreak/>
        <w:t>For a variety of reasons, including a lack of internal knowledge (building a power plant, for example), the necessity to expedite project completion, the desire to transfer risk, or cost savings through specialized contractors, projects contract out work. But there are drawbacks to contracting as well, such as problems with coordination, reliance on outside parties, and possible loss of control over project results (Winch, 2010</w:t>
      </w:r>
      <w:r w:rsidR="00DE729C" w:rsidRPr="00CD646B">
        <w:rPr>
          <w:rFonts w:ascii="Arial" w:hAnsi="Arial" w:cs="Arial"/>
        </w:rPr>
        <w:t>, Lester 2021</w:t>
      </w:r>
      <w:r w:rsidRPr="00CD646B">
        <w:rPr>
          <w:rFonts w:ascii="Arial" w:hAnsi="Arial" w:cs="Arial"/>
        </w:rPr>
        <w:t>). Therefore, choosing the right contracting approach is essential to accomplishing the project's goals.</w:t>
      </w:r>
      <w:r w:rsidRPr="00CD646B">
        <w:rPr>
          <w:rFonts w:ascii="Arial" w:hAnsi="Arial" w:cs="Arial"/>
        </w:rPr>
        <w:br/>
      </w:r>
      <w:r w:rsidR="005B73D9" w:rsidRPr="00CD646B">
        <w:rPr>
          <w:rFonts w:ascii="Arial" w:hAnsi="Arial" w:cs="Arial"/>
        </w:rPr>
        <w:t>The four main contracting approaches—Turnkey, Multicontract, DIY, and Multicontract + DIY—are examined in the sections that follow, showing how each distributes risk, power, and obligations in a different way.</w:t>
      </w:r>
    </w:p>
    <w:p w14:paraId="25EBE136" w14:textId="22D67E14" w:rsidR="005B73D9" w:rsidRPr="00CD646B" w:rsidRDefault="00EA7CA6" w:rsidP="002B6863">
      <w:pPr>
        <w:spacing w:line="360" w:lineRule="auto"/>
        <w:jc w:val="both"/>
        <w:rPr>
          <w:rFonts w:ascii="Arial" w:hAnsi="Arial" w:cs="Arial"/>
          <w:b/>
          <w:bCs/>
        </w:rPr>
      </w:pPr>
      <w:r w:rsidRPr="00CD646B">
        <w:rPr>
          <w:rFonts w:ascii="Arial" w:hAnsi="Arial" w:cs="Arial"/>
          <w:b/>
          <w:bCs/>
        </w:rPr>
        <w:t>Contracting methods</w:t>
      </w:r>
      <w:r w:rsidR="009557BB" w:rsidRPr="00CD646B">
        <w:rPr>
          <w:rFonts w:ascii="Arial" w:hAnsi="Arial" w:cs="Arial"/>
          <w:b/>
          <w:bCs/>
        </w:rPr>
        <w:t xml:space="preserve">: </w:t>
      </w:r>
    </w:p>
    <w:p w14:paraId="0DE63F77" w14:textId="11904A5D" w:rsidR="00EA7CA6" w:rsidRPr="00CD646B" w:rsidRDefault="009557BB" w:rsidP="002B6863">
      <w:pPr>
        <w:pStyle w:val="Heading2"/>
        <w:spacing w:line="360" w:lineRule="auto"/>
        <w:jc w:val="both"/>
        <w:rPr>
          <w:rFonts w:ascii="Arial" w:hAnsi="Arial" w:cs="Arial"/>
          <w:sz w:val="22"/>
          <w:szCs w:val="22"/>
        </w:rPr>
      </w:pPr>
      <w:bookmarkStart w:id="2" w:name="_Toc214351115"/>
      <w:r w:rsidRPr="00CD646B">
        <w:rPr>
          <w:rFonts w:ascii="Arial" w:hAnsi="Arial" w:cs="Arial"/>
          <w:sz w:val="22"/>
          <w:szCs w:val="22"/>
        </w:rPr>
        <w:t>2.1</w:t>
      </w:r>
      <w:r w:rsidR="00F6147B" w:rsidRPr="00CD646B">
        <w:rPr>
          <w:rFonts w:ascii="Arial" w:hAnsi="Arial" w:cs="Arial"/>
          <w:sz w:val="22"/>
          <w:szCs w:val="22"/>
        </w:rPr>
        <w:t>.</w:t>
      </w:r>
      <w:r w:rsidRPr="00CD646B">
        <w:rPr>
          <w:rFonts w:ascii="Arial" w:hAnsi="Arial" w:cs="Arial"/>
          <w:sz w:val="22"/>
          <w:szCs w:val="22"/>
        </w:rPr>
        <w:t xml:space="preserve"> </w:t>
      </w:r>
      <w:r w:rsidR="005521F2" w:rsidRPr="00CD646B">
        <w:rPr>
          <w:rFonts w:ascii="Arial" w:hAnsi="Arial" w:cs="Arial"/>
          <w:sz w:val="22"/>
          <w:szCs w:val="22"/>
        </w:rPr>
        <w:t>Turnkey contracting</w:t>
      </w:r>
      <w:bookmarkEnd w:id="2"/>
    </w:p>
    <w:p w14:paraId="34445FF2" w14:textId="528E0159" w:rsidR="005521F2" w:rsidRPr="00CD646B" w:rsidRDefault="004C1D11" w:rsidP="002B6863">
      <w:pPr>
        <w:spacing w:line="360" w:lineRule="auto"/>
        <w:jc w:val="both"/>
        <w:rPr>
          <w:rFonts w:ascii="Arial" w:hAnsi="Arial" w:cs="Arial"/>
        </w:rPr>
      </w:pPr>
      <w:r w:rsidRPr="00CD646B">
        <w:rPr>
          <w:rFonts w:ascii="Arial" w:hAnsi="Arial" w:cs="Arial"/>
        </w:rPr>
        <w:t>With turnkey contracting, one contractor handles every aspect of the project, from concept to completion. The client receives a fully functional facility or system when the contractor offers a "ready-to-operate" or "turn-the-key" solution (Kerzner, 2017). The contractor oversees design, procurement, construction, and commissioning under this system. Turnkey contracts are particularly prevalent in industrial engineer</w:t>
      </w:r>
      <w:r w:rsidR="0083217E" w:rsidRPr="00CD646B">
        <w:rPr>
          <w:rFonts w:ascii="Arial" w:hAnsi="Arial" w:cs="Arial"/>
        </w:rPr>
        <w:t xml:space="preserve"> With turnkey contracts, the contractor bears most of the project risk, including design flaws, cost overruns, and schedule delays. According to Burke (2018), clients who seek predictable results find this risk transfer appealing</w:t>
      </w:r>
      <w:r w:rsidR="00D42006" w:rsidRPr="00CD646B">
        <w:rPr>
          <w:rFonts w:ascii="Arial" w:hAnsi="Arial" w:cs="Arial"/>
        </w:rPr>
        <w:t xml:space="preserve"> </w:t>
      </w:r>
      <w:r w:rsidRPr="00CD646B">
        <w:rPr>
          <w:rFonts w:ascii="Arial" w:hAnsi="Arial" w:cs="Arial"/>
        </w:rPr>
        <w:t>and construction projects.</w:t>
      </w:r>
    </w:p>
    <w:p w14:paraId="791A54D7" w14:textId="77777777" w:rsidR="008841BC" w:rsidRPr="00CD646B" w:rsidRDefault="008841BC" w:rsidP="002B6863">
      <w:pPr>
        <w:spacing w:line="360" w:lineRule="auto"/>
        <w:jc w:val="both"/>
        <w:rPr>
          <w:rFonts w:ascii="Arial" w:hAnsi="Arial" w:cs="Arial"/>
        </w:rPr>
      </w:pPr>
    </w:p>
    <w:p w14:paraId="60276FA8" w14:textId="38D6E8FE" w:rsidR="008841BC" w:rsidRPr="00CD646B" w:rsidRDefault="008841BC" w:rsidP="002B6863">
      <w:pPr>
        <w:spacing w:line="360" w:lineRule="auto"/>
        <w:jc w:val="both"/>
        <w:rPr>
          <w:rFonts w:ascii="Arial" w:hAnsi="Arial" w:cs="Arial"/>
          <w:b/>
          <w:bCs/>
        </w:rPr>
      </w:pPr>
      <w:r w:rsidRPr="00CD646B">
        <w:rPr>
          <w:rFonts w:ascii="Arial" w:hAnsi="Arial" w:cs="Arial"/>
          <w:b/>
          <w:bCs/>
        </w:rPr>
        <w:t xml:space="preserve">Advantages </w:t>
      </w:r>
    </w:p>
    <w:p w14:paraId="29E11838" w14:textId="697E73E5" w:rsidR="002742D5" w:rsidRPr="00885591" w:rsidRDefault="002742D5" w:rsidP="002B6863">
      <w:pPr>
        <w:spacing w:line="360" w:lineRule="auto"/>
        <w:jc w:val="both"/>
        <w:rPr>
          <w:rFonts w:ascii="Arial" w:hAnsi="Arial" w:cs="Arial"/>
        </w:rPr>
      </w:pPr>
      <w:r w:rsidRPr="00885591">
        <w:rPr>
          <w:rFonts w:ascii="Arial" w:hAnsi="Arial" w:cs="Arial"/>
          <w:u w:val="single"/>
        </w:rPr>
        <w:t xml:space="preserve">Single point of responsibility. </w:t>
      </w:r>
      <w:r w:rsidR="00D84D4D" w:rsidRPr="00885591">
        <w:rPr>
          <w:rFonts w:ascii="Arial" w:hAnsi="Arial" w:cs="Arial"/>
        </w:rPr>
        <w:t>One significant benefit is that the client simply works with one contractor, which simplifies coordination and communication. The possibility of disagreements between several contractors over the cause of delays or flaws is reduced by this single point of accountability (Lock, 2020).</w:t>
      </w:r>
    </w:p>
    <w:p w14:paraId="29239857" w14:textId="4C5225F4" w:rsidR="00D84D4D" w:rsidRPr="00885591" w:rsidRDefault="00C10907" w:rsidP="002B6863">
      <w:pPr>
        <w:spacing w:line="360" w:lineRule="auto"/>
        <w:jc w:val="both"/>
        <w:rPr>
          <w:rFonts w:ascii="Arial" w:hAnsi="Arial" w:cs="Arial"/>
        </w:rPr>
      </w:pPr>
      <w:r w:rsidRPr="00885591">
        <w:rPr>
          <w:rFonts w:ascii="Arial" w:hAnsi="Arial" w:cs="Arial"/>
          <w:u w:val="single"/>
        </w:rPr>
        <w:t>Reduces client risk.</w:t>
      </w:r>
      <w:r w:rsidRPr="00885591">
        <w:rPr>
          <w:rFonts w:ascii="Arial" w:hAnsi="Arial" w:cs="Arial"/>
        </w:rPr>
        <w:t xml:space="preserve"> </w:t>
      </w:r>
      <w:r w:rsidR="0083217E" w:rsidRPr="00885591">
        <w:rPr>
          <w:rFonts w:ascii="Arial" w:hAnsi="Arial" w:cs="Arial"/>
        </w:rPr>
        <w:t>With turnkey contracts, the contractor bears most of the project risk, including design flaws, cost overruns, and schedule delays. According to Burke (2018), clients who seek predictable results find this risk transfer appealing.</w:t>
      </w:r>
    </w:p>
    <w:p w14:paraId="020B87EA" w14:textId="4BF5D7AD" w:rsidR="0083217E" w:rsidRPr="00885591" w:rsidRDefault="00C34D7B" w:rsidP="002B6863">
      <w:pPr>
        <w:spacing w:line="360" w:lineRule="auto"/>
        <w:jc w:val="both"/>
        <w:rPr>
          <w:rFonts w:ascii="Arial" w:hAnsi="Arial" w:cs="Arial"/>
        </w:rPr>
      </w:pPr>
      <w:r w:rsidRPr="00885591">
        <w:rPr>
          <w:rFonts w:ascii="Arial" w:hAnsi="Arial" w:cs="Arial"/>
          <w:u w:val="single"/>
        </w:rPr>
        <w:t>Predictability of time and cost.</w:t>
      </w:r>
      <w:r w:rsidRPr="00885591">
        <w:rPr>
          <w:rFonts w:ascii="Arial" w:hAnsi="Arial" w:cs="Arial"/>
        </w:rPr>
        <w:t xml:space="preserve"> </w:t>
      </w:r>
      <w:r w:rsidR="00C70F09" w:rsidRPr="00885591">
        <w:rPr>
          <w:rFonts w:ascii="Arial" w:hAnsi="Arial" w:cs="Arial"/>
        </w:rPr>
        <w:t xml:space="preserve">Turnkey agreements frequently include a set scope and </w:t>
      </w:r>
      <w:r w:rsidR="008A4A04" w:rsidRPr="00885591">
        <w:rPr>
          <w:rFonts w:ascii="Arial" w:hAnsi="Arial" w:cs="Arial"/>
        </w:rPr>
        <w:t>well-defined</w:t>
      </w:r>
      <w:r w:rsidR="00C70F09" w:rsidRPr="00885591">
        <w:rPr>
          <w:rFonts w:ascii="Arial" w:hAnsi="Arial" w:cs="Arial"/>
        </w:rPr>
        <w:t xml:space="preserve"> deliverables, enabling the contractor to commit to schedule and cost goals. This assurance benefits clients with limited technical capabilities (PMI, 2021).</w:t>
      </w:r>
    </w:p>
    <w:p w14:paraId="37408036" w14:textId="561B4631" w:rsidR="00C70F09" w:rsidRPr="00885591" w:rsidRDefault="00DA0A92" w:rsidP="002B6863">
      <w:pPr>
        <w:spacing w:line="360" w:lineRule="auto"/>
        <w:jc w:val="both"/>
        <w:rPr>
          <w:rFonts w:ascii="Arial" w:hAnsi="Arial" w:cs="Arial"/>
        </w:rPr>
      </w:pPr>
      <w:r w:rsidRPr="00885591">
        <w:rPr>
          <w:rFonts w:ascii="Arial" w:hAnsi="Arial" w:cs="Arial"/>
          <w:u w:val="single"/>
        </w:rPr>
        <w:lastRenderedPageBreak/>
        <w:t>Minimal client involvement required.</w:t>
      </w:r>
      <w:r w:rsidRPr="00885591">
        <w:rPr>
          <w:rFonts w:ascii="Arial" w:hAnsi="Arial" w:cs="Arial"/>
        </w:rPr>
        <w:t xml:space="preserve"> </w:t>
      </w:r>
      <w:r w:rsidR="00CF1968" w:rsidRPr="00885591">
        <w:rPr>
          <w:rFonts w:ascii="Arial" w:hAnsi="Arial" w:cs="Arial"/>
        </w:rPr>
        <w:t>For clients who lack the experience to oversee intricate technological tasks, turnkey contracts are perfect. The client's daily involvement is less necessary due to the contractor's high degree of accountability.</w:t>
      </w:r>
    </w:p>
    <w:p w14:paraId="69AAFECF" w14:textId="65CFE11B" w:rsidR="00CF1968" w:rsidRPr="00CD646B" w:rsidRDefault="008A4A04" w:rsidP="002B6863">
      <w:pPr>
        <w:spacing w:line="360" w:lineRule="auto"/>
        <w:jc w:val="both"/>
        <w:rPr>
          <w:rFonts w:ascii="Arial" w:hAnsi="Arial" w:cs="Arial"/>
          <w:b/>
          <w:bCs/>
        </w:rPr>
      </w:pPr>
      <w:r w:rsidRPr="00CD646B">
        <w:rPr>
          <w:rFonts w:ascii="Arial" w:hAnsi="Arial" w:cs="Arial"/>
          <w:b/>
          <w:bCs/>
        </w:rPr>
        <w:t xml:space="preserve">Disadvantages </w:t>
      </w:r>
    </w:p>
    <w:p w14:paraId="5C66C223" w14:textId="43D957A9" w:rsidR="008A4A04" w:rsidRPr="00885591" w:rsidRDefault="005F7E90" w:rsidP="002B6863">
      <w:pPr>
        <w:spacing w:line="360" w:lineRule="auto"/>
        <w:jc w:val="both"/>
        <w:rPr>
          <w:rFonts w:ascii="Arial" w:hAnsi="Arial" w:cs="Arial"/>
        </w:rPr>
      </w:pPr>
      <w:r w:rsidRPr="00885591">
        <w:rPr>
          <w:rFonts w:ascii="Arial" w:hAnsi="Arial" w:cs="Arial"/>
          <w:u w:val="single"/>
        </w:rPr>
        <w:t>Limited client control</w:t>
      </w:r>
      <w:r w:rsidRPr="00885591">
        <w:rPr>
          <w:rFonts w:ascii="Arial" w:hAnsi="Arial" w:cs="Arial"/>
        </w:rPr>
        <w:t xml:space="preserve">. </w:t>
      </w:r>
      <w:r w:rsidR="00C537E9" w:rsidRPr="00885591">
        <w:rPr>
          <w:rFonts w:ascii="Arial" w:hAnsi="Arial" w:cs="Arial"/>
        </w:rPr>
        <w:t>After the contract is signed, the client may have minimal influence and little control over the design process. If the client later requests changes or higher design requirements, this could be troublesome (Turner, 2014).</w:t>
      </w:r>
    </w:p>
    <w:p w14:paraId="60410298" w14:textId="493CD8D6" w:rsidR="00C537E9" w:rsidRPr="00885591" w:rsidRDefault="00332602" w:rsidP="002B6863">
      <w:pPr>
        <w:spacing w:line="360" w:lineRule="auto"/>
        <w:jc w:val="both"/>
        <w:rPr>
          <w:rFonts w:ascii="Arial" w:hAnsi="Arial" w:cs="Arial"/>
        </w:rPr>
      </w:pPr>
      <w:r w:rsidRPr="00885591">
        <w:rPr>
          <w:rFonts w:ascii="Arial" w:hAnsi="Arial" w:cs="Arial"/>
          <w:u w:val="single"/>
        </w:rPr>
        <w:t xml:space="preserve">Changes </w:t>
      </w:r>
      <w:r w:rsidR="00557F9F" w:rsidRPr="00885591">
        <w:rPr>
          <w:rFonts w:ascii="Arial" w:hAnsi="Arial" w:cs="Arial"/>
          <w:u w:val="single"/>
        </w:rPr>
        <w:t xml:space="preserve">are costly. </w:t>
      </w:r>
      <w:r w:rsidR="000309C6" w:rsidRPr="00885591">
        <w:rPr>
          <w:rFonts w:ascii="Arial" w:hAnsi="Arial" w:cs="Arial"/>
        </w:rPr>
        <w:t>After a contract is signed, requests for variations usually result in significant cost increases. Even minor modifications may necessitate redesigns or procurement adjustments because turnkey projects entail interconnected processes.</w:t>
      </w:r>
    </w:p>
    <w:p w14:paraId="3CB8F897" w14:textId="0B481D28" w:rsidR="000309C6" w:rsidRPr="00885591" w:rsidRDefault="003B62F3" w:rsidP="002B6863">
      <w:pPr>
        <w:spacing w:line="360" w:lineRule="auto"/>
        <w:jc w:val="both"/>
        <w:rPr>
          <w:rFonts w:ascii="Arial" w:hAnsi="Arial" w:cs="Arial"/>
        </w:rPr>
      </w:pPr>
      <w:r w:rsidRPr="00885591">
        <w:rPr>
          <w:rFonts w:ascii="Arial" w:hAnsi="Arial" w:cs="Arial"/>
          <w:u w:val="single"/>
        </w:rPr>
        <w:t xml:space="preserve">Potential for quality compromise. </w:t>
      </w:r>
      <w:r w:rsidR="00BE54D6" w:rsidRPr="00885591">
        <w:rPr>
          <w:rFonts w:ascii="Arial" w:hAnsi="Arial" w:cs="Arial"/>
        </w:rPr>
        <w:t>Unless the contract has stringent quality requirements, the contractor may be encouraged to utilize less expensive materials or simpler designs since their profit is impacted by cost savings (Meredith and Mantel, 2017).</w:t>
      </w:r>
    </w:p>
    <w:p w14:paraId="6BDB49A3" w14:textId="77777777" w:rsidR="00885591" w:rsidRDefault="00A7543A" w:rsidP="002B6863">
      <w:pPr>
        <w:spacing w:line="360" w:lineRule="auto"/>
        <w:jc w:val="both"/>
        <w:rPr>
          <w:rFonts w:ascii="Arial" w:hAnsi="Arial" w:cs="Arial"/>
          <w:b/>
          <w:bCs/>
        </w:rPr>
      </w:pPr>
      <w:r w:rsidRPr="00885591">
        <w:rPr>
          <w:rFonts w:ascii="Arial" w:hAnsi="Arial" w:cs="Arial"/>
          <w:b/>
          <w:bCs/>
        </w:rPr>
        <w:t xml:space="preserve">Suitable </w:t>
      </w:r>
      <w:r w:rsidR="000266AF" w:rsidRPr="00885591">
        <w:rPr>
          <w:rFonts w:ascii="Arial" w:hAnsi="Arial" w:cs="Arial"/>
          <w:b/>
          <w:bCs/>
        </w:rPr>
        <w:t>project</w:t>
      </w:r>
      <w:r w:rsidRPr="00885591">
        <w:rPr>
          <w:rFonts w:ascii="Arial" w:hAnsi="Arial" w:cs="Arial"/>
          <w:b/>
          <w:bCs/>
        </w:rPr>
        <w:t xml:space="preserve"> Types: </w:t>
      </w:r>
    </w:p>
    <w:p w14:paraId="7745AC80" w14:textId="7A24ABAF" w:rsidR="00A7543A" w:rsidRPr="00885591" w:rsidRDefault="00682F48" w:rsidP="002B6863">
      <w:pPr>
        <w:spacing w:line="360" w:lineRule="auto"/>
        <w:jc w:val="both"/>
        <w:rPr>
          <w:rFonts w:ascii="Arial" w:hAnsi="Arial" w:cs="Arial"/>
          <w:b/>
          <w:bCs/>
        </w:rPr>
      </w:pPr>
      <w:r w:rsidRPr="00CD646B">
        <w:rPr>
          <w:rFonts w:ascii="Arial" w:hAnsi="Arial" w:cs="Arial"/>
        </w:rPr>
        <w:t xml:space="preserve">Turnkey contracting is appropriate for: power plants, </w:t>
      </w:r>
      <w:r w:rsidR="008F1D16" w:rsidRPr="00CD646B">
        <w:rPr>
          <w:rFonts w:ascii="Arial" w:hAnsi="Arial" w:cs="Arial"/>
        </w:rPr>
        <w:t xml:space="preserve">industrial production facilities, road and infrastructure projects, </w:t>
      </w:r>
      <w:r w:rsidR="00410F61" w:rsidRPr="00CD646B">
        <w:rPr>
          <w:rFonts w:ascii="Arial" w:hAnsi="Arial" w:cs="Arial"/>
        </w:rPr>
        <w:t xml:space="preserve">IT infrastructure and data centre installation. </w:t>
      </w:r>
    </w:p>
    <w:p w14:paraId="14F1FAF0" w14:textId="77777777" w:rsidR="006541CE" w:rsidRPr="00CD646B" w:rsidRDefault="00C35C5B" w:rsidP="002B6863">
      <w:pPr>
        <w:spacing w:line="360" w:lineRule="auto"/>
        <w:jc w:val="both"/>
        <w:rPr>
          <w:rFonts w:ascii="Arial" w:hAnsi="Arial" w:cs="Arial"/>
        </w:rPr>
      </w:pPr>
      <w:r w:rsidRPr="00CD646B">
        <w:rPr>
          <w:rFonts w:ascii="Arial" w:hAnsi="Arial" w:cs="Arial"/>
        </w:rPr>
        <w:t xml:space="preserve">Such projects benefit from the contractor’s specialised </w:t>
      </w:r>
      <w:r w:rsidR="00A34E2F" w:rsidRPr="00CD646B">
        <w:rPr>
          <w:rFonts w:ascii="Arial" w:hAnsi="Arial" w:cs="Arial"/>
        </w:rPr>
        <w:t>capabilities and the client</w:t>
      </w:r>
      <w:r w:rsidR="00EF5A29" w:rsidRPr="00CD646B">
        <w:rPr>
          <w:rFonts w:ascii="Arial" w:hAnsi="Arial" w:cs="Arial"/>
        </w:rPr>
        <w:t xml:space="preserve">’s reduced management burden. </w:t>
      </w:r>
    </w:p>
    <w:p w14:paraId="6A573FDB" w14:textId="18B9236A" w:rsidR="00846F73" w:rsidRPr="00CD646B" w:rsidRDefault="00EF5A29" w:rsidP="002B6863">
      <w:pPr>
        <w:spacing w:line="360" w:lineRule="auto"/>
        <w:ind w:left="360"/>
        <w:jc w:val="both"/>
        <w:rPr>
          <w:rFonts w:ascii="Arial" w:hAnsi="Arial" w:cs="Arial"/>
        </w:rPr>
      </w:pPr>
      <w:r w:rsidRPr="00CD646B">
        <w:rPr>
          <w:rFonts w:ascii="Arial" w:hAnsi="Arial" w:cs="Arial"/>
        </w:rPr>
        <w:br/>
      </w:r>
      <w:bookmarkStart w:id="3" w:name="_Toc214351116"/>
      <w:r w:rsidR="00F6147B" w:rsidRPr="00CD646B">
        <w:rPr>
          <w:rStyle w:val="Heading2Char"/>
          <w:rFonts w:ascii="Arial" w:hAnsi="Arial" w:cs="Arial"/>
          <w:sz w:val="22"/>
          <w:szCs w:val="22"/>
        </w:rPr>
        <w:t xml:space="preserve">2.2. </w:t>
      </w:r>
      <w:r w:rsidR="006541CE" w:rsidRPr="00CD646B">
        <w:rPr>
          <w:rStyle w:val="Heading2Char"/>
          <w:rFonts w:ascii="Arial" w:hAnsi="Arial" w:cs="Arial"/>
          <w:sz w:val="22"/>
          <w:szCs w:val="22"/>
        </w:rPr>
        <w:t>Multicontract contracting</w:t>
      </w:r>
      <w:bookmarkEnd w:id="3"/>
      <w:r w:rsidR="006541CE" w:rsidRPr="00CD646B">
        <w:rPr>
          <w:rFonts w:ascii="Arial" w:hAnsi="Arial" w:cs="Arial"/>
        </w:rPr>
        <w:t xml:space="preserve"> </w:t>
      </w:r>
    </w:p>
    <w:p w14:paraId="43F1DAFD" w14:textId="4E87ABF1" w:rsidR="006541CE" w:rsidRPr="00CD646B" w:rsidRDefault="006D27A7" w:rsidP="002B6863">
      <w:pPr>
        <w:spacing w:line="360" w:lineRule="auto"/>
        <w:jc w:val="both"/>
        <w:rPr>
          <w:rFonts w:ascii="Arial" w:hAnsi="Arial" w:cs="Arial"/>
        </w:rPr>
      </w:pPr>
      <w:r w:rsidRPr="00CD646B">
        <w:rPr>
          <w:rFonts w:ascii="Arial" w:hAnsi="Arial" w:cs="Arial"/>
        </w:rPr>
        <w:t>In multicontract contracting, the customer employs several contractors independently for various project components (e.g., design firms, structural engineers, electrical contractors, and equipment suppliers). All contractors must be coordinated by the client or a paid project manager (Lock, 2020). Large-scale infrastructure projects and IT installations that call for specialized knowledge frequently use this strategy.</w:t>
      </w:r>
    </w:p>
    <w:p w14:paraId="68475274" w14:textId="5A7817CA" w:rsidR="006D27A7" w:rsidRPr="00CD646B" w:rsidRDefault="006D27A7" w:rsidP="002B6863">
      <w:pPr>
        <w:spacing w:line="360" w:lineRule="auto"/>
        <w:jc w:val="both"/>
        <w:rPr>
          <w:rFonts w:ascii="Arial" w:hAnsi="Arial" w:cs="Arial"/>
          <w:b/>
          <w:bCs/>
        </w:rPr>
      </w:pPr>
      <w:r w:rsidRPr="00CD646B">
        <w:rPr>
          <w:rFonts w:ascii="Arial" w:hAnsi="Arial" w:cs="Arial"/>
          <w:b/>
          <w:bCs/>
        </w:rPr>
        <w:t xml:space="preserve">Advantages </w:t>
      </w:r>
    </w:p>
    <w:p w14:paraId="557CE7AA" w14:textId="42F38818" w:rsidR="00E94AD4" w:rsidRPr="00CD646B" w:rsidRDefault="00812F51" w:rsidP="002B6863">
      <w:pPr>
        <w:spacing w:line="360" w:lineRule="auto"/>
        <w:jc w:val="both"/>
        <w:rPr>
          <w:rFonts w:ascii="Arial" w:hAnsi="Arial" w:cs="Arial"/>
        </w:rPr>
      </w:pPr>
      <w:r w:rsidRPr="00CD646B">
        <w:rPr>
          <w:rFonts w:ascii="Arial" w:hAnsi="Arial" w:cs="Arial"/>
          <w:u w:val="single"/>
        </w:rPr>
        <w:t>High level of client control</w:t>
      </w:r>
      <w:r w:rsidRPr="00CD646B">
        <w:rPr>
          <w:rFonts w:ascii="Arial" w:hAnsi="Arial" w:cs="Arial"/>
        </w:rPr>
        <w:t xml:space="preserve">. </w:t>
      </w:r>
      <w:r w:rsidR="00E94AD4" w:rsidRPr="00CD646B">
        <w:rPr>
          <w:rFonts w:ascii="Arial" w:hAnsi="Arial" w:cs="Arial"/>
        </w:rPr>
        <w:t>The client maintains direct oversight of contractors and can affect design quality, technical choices, and contractor selection.  This benefits organisations with robust technological proficiency and certain criteria.</w:t>
      </w:r>
    </w:p>
    <w:p w14:paraId="33D048DE" w14:textId="594BB78B" w:rsidR="00E94AD4" w:rsidRPr="00CD646B" w:rsidRDefault="00E94AD4" w:rsidP="002B6863">
      <w:pPr>
        <w:spacing w:line="360" w:lineRule="auto"/>
        <w:jc w:val="both"/>
        <w:rPr>
          <w:rFonts w:ascii="Arial" w:hAnsi="Arial" w:cs="Arial"/>
          <w:u w:val="single"/>
        </w:rPr>
      </w:pPr>
      <w:r w:rsidRPr="00CD646B">
        <w:rPr>
          <w:rFonts w:ascii="Arial" w:hAnsi="Arial" w:cs="Arial"/>
          <w:u w:val="single"/>
        </w:rPr>
        <w:t>Adaptability</w:t>
      </w:r>
    </w:p>
    <w:p w14:paraId="7AD4CB51" w14:textId="48CD2A29" w:rsidR="00E94AD4" w:rsidRPr="00CD646B" w:rsidRDefault="00E94AD4" w:rsidP="002B6863">
      <w:pPr>
        <w:spacing w:line="360" w:lineRule="auto"/>
        <w:jc w:val="both"/>
        <w:rPr>
          <w:rFonts w:ascii="Arial" w:hAnsi="Arial" w:cs="Arial"/>
        </w:rPr>
      </w:pPr>
      <w:r w:rsidRPr="00CD646B">
        <w:rPr>
          <w:rFonts w:ascii="Arial" w:hAnsi="Arial" w:cs="Arial"/>
        </w:rPr>
        <w:lastRenderedPageBreak/>
        <w:t>Should a contractor exhibit subpar performance, the client may substitute them without compromising the overall project.  The modularity facilitates scope modifications or concurrent workstreams (Burke, 2018).</w:t>
      </w:r>
    </w:p>
    <w:p w14:paraId="10B3033C" w14:textId="77777777" w:rsidR="006148EF" w:rsidRDefault="00E94AD4" w:rsidP="002B6863">
      <w:pPr>
        <w:spacing w:line="360" w:lineRule="auto"/>
        <w:jc w:val="both"/>
        <w:rPr>
          <w:rFonts w:ascii="Arial" w:hAnsi="Arial" w:cs="Arial"/>
          <w:u w:val="single"/>
        </w:rPr>
      </w:pPr>
      <w:r w:rsidRPr="00CD646B">
        <w:rPr>
          <w:rFonts w:ascii="Arial" w:hAnsi="Arial" w:cs="Arial"/>
          <w:u w:val="single"/>
        </w:rPr>
        <w:t>Cost-effectiveness</w:t>
      </w:r>
    </w:p>
    <w:p w14:paraId="59B8591D" w14:textId="600A92EA" w:rsidR="00E94AD4" w:rsidRPr="006148EF" w:rsidRDefault="00E94AD4" w:rsidP="002B6863">
      <w:pPr>
        <w:spacing w:line="360" w:lineRule="auto"/>
        <w:jc w:val="both"/>
        <w:rPr>
          <w:rFonts w:ascii="Arial" w:hAnsi="Arial" w:cs="Arial"/>
          <w:u w:val="single"/>
        </w:rPr>
      </w:pPr>
      <w:r w:rsidRPr="00CD646B">
        <w:rPr>
          <w:rFonts w:ascii="Arial" w:hAnsi="Arial" w:cs="Arial"/>
        </w:rPr>
        <w:t xml:space="preserve"> By engaging various partners directly, the customer can circumvent the overhead expenses associated with a primary contractor.  Specialist contractors frequently provide competitive rates for their specialised services.</w:t>
      </w:r>
    </w:p>
    <w:p w14:paraId="701C80D6" w14:textId="3E8FE1AC" w:rsidR="00E94AD4" w:rsidRPr="00CD646B" w:rsidRDefault="000A27A8" w:rsidP="002B6863">
      <w:pPr>
        <w:spacing w:line="360" w:lineRule="auto"/>
        <w:jc w:val="both"/>
        <w:rPr>
          <w:rFonts w:ascii="Arial" w:hAnsi="Arial" w:cs="Arial"/>
          <w:b/>
          <w:bCs/>
        </w:rPr>
      </w:pPr>
      <w:r w:rsidRPr="00CD646B">
        <w:rPr>
          <w:rFonts w:ascii="Arial" w:hAnsi="Arial" w:cs="Arial"/>
          <w:b/>
          <w:bCs/>
        </w:rPr>
        <w:t xml:space="preserve">Disadvantages </w:t>
      </w:r>
    </w:p>
    <w:p w14:paraId="10879458" w14:textId="57B7E0DD" w:rsidR="00E94AD4" w:rsidRPr="00CD646B" w:rsidRDefault="00E94AD4" w:rsidP="002B6863">
      <w:pPr>
        <w:spacing w:line="360" w:lineRule="auto"/>
        <w:jc w:val="both"/>
        <w:rPr>
          <w:rFonts w:ascii="Arial" w:hAnsi="Arial" w:cs="Arial"/>
          <w:u w:val="single"/>
        </w:rPr>
      </w:pPr>
      <w:r w:rsidRPr="00CD646B">
        <w:rPr>
          <w:rFonts w:ascii="Arial" w:hAnsi="Arial" w:cs="Arial"/>
          <w:u w:val="single"/>
        </w:rPr>
        <w:t>Elevated coordination complexity</w:t>
      </w:r>
    </w:p>
    <w:p w14:paraId="4D63EA41" w14:textId="443A507B" w:rsidR="00E94AD4" w:rsidRPr="00CD646B" w:rsidRDefault="00E94AD4" w:rsidP="002B6863">
      <w:pPr>
        <w:spacing w:line="360" w:lineRule="auto"/>
        <w:jc w:val="both"/>
        <w:rPr>
          <w:rFonts w:ascii="Arial" w:hAnsi="Arial" w:cs="Arial"/>
        </w:rPr>
      </w:pPr>
      <w:r w:rsidRPr="00CD646B">
        <w:rPr>
          <w:rFonts w:ascii="Arial" w:hAnsi="Arial" w:cs="Arial"/>
        </w:rPr>
        <w:t>Overseeing several contractors necessitates considerable coordinating efforts.  Communication failures, conflicting timelines, and ambiguous duties can lead to delays (Meredith and Mantel, 2017).</w:t>
      </w:r>
    </w:p>
    <w:p w14:paraId="0D1E95B6" w14:textId="0C2E627E" w:rsidR="00E94AD4" w:rsidRPr="00CD646B" w:rsidRDefault="00E94AD4" w:rsidP="002B6863">
      <w:pPr>
        <w:spacing w:line="360" w:lineRule="auto"/>
        <w:jc w:val="both"/>
        <w:rPr>
          <w:rFonts w:ascii="Arial" w:hAnsi="Arial" w:cs="Arial"/>
          <w:u w:val="single"/>
        </w:rPr>
      </w:pPr>
      <w:r w:rsidRPr="00CD646B">
        <w:rPr>
          <w:rFonts w:ascii="Arial" w:hAnsi="Arial" w:cs="Arial"/>
          <w:u w:val="single"/>
        </w:rPr>
        <w:t>Heightened client risk</w:t>
      </w:r>
    </w:p>
    <w:p w14:paraId="71F0FE6B" w14:textId="6A852D26" w:rsidR="00E94AD4" w:rsidRPr="00CD646B" w:rsidRDefault="00E94AD4" w:rsidP="002B6863">
      <w:pPr>
        <w:spacing w:line="360" w:lineRule="auto"/>
        <w:jc w:val="both"/>
        <w:rPr>
          <w:rFonts w:ascii="Arial" w:hAnsi="Arial" w:cs="Arial"/>
        </w:rPr>
      </w:pPr>
      <w:r w:rsidRPr="00CD646B">
        <w:rPr>
          <w:rFonts w:ascii="Arial" w:hAnsi="Arial" w:cs="Arial"/>
        </w:rPr>
        <w:t>The client assumes significant risks, including interface hazards among contractors.  When an issue arises, ascertaining accountability becomes difficult.</w:t>
      </w:r>
    </w:p>
    <w:p w14:paraId="455D30BA" w14:textId="25E77AD6" w:rsidR="00E94AD4" w:rsidRPr="00CD646B" w:rsidRDefault="00E94AD4" w:rsidP="002B6863">
      <w:pPr>
        <w:spacing w:line="360" w:lineRule="auto"/>
        <w:jc w:val="both"/>
        <w:rPr>
          <w:rFonts w:ascii="Arial" w:hAnsi="Arial" w:cs="Arial"/>
          <w:u w:val="single"/>
        </w:rPr>
      </w:pPr>
      <w:r w:rsidRPr="00CD646B">
        <w:rPr>
          <w:rFonts w:ascii="Arial" w:hAnsi="Arial" w:cs="Arial"/>
          <w:u w:val="single"/>
        </w:rPr>
        <w:t>Reliance on robust project management</w:t>
      </w:r>
    </w:p>
    <w:p w14:paraId="2323321A" w14:textId="3C603198" w:rsidR="00E94AD4" w:rsidRPr="00CD646B" w:rsidRDefault="00E94AD4" w:rsidP="002B6863">
      <w:pPr>
        <w:spacing w:line="360" w:lineRule="auto"/>
        <w:jc w:val="both"/>
        <w:rPr>
          <w:rFonts w:ascii="Arial" w:hAnsi="Arial" w:cs="Arial"/>
        </w:rPr>
      </w:pPr>
      <w:r w:rsidRPr="00CD646B">
        <w:rPr>
          <w:rFonts w:ascii="Arial" w:hAnsi="Arial" w:cs="Arial"/>
        </w:rPr>
        <w:t>Clients must possess a proficient internal project management team to organise contractors, handle interfaces, and assure timely delivery (Kerzner, 2017).</w:t>
      </w:r>
    </w:p>
    <w:p w14:paraId="1845E3D1" w14:textId="77777777" w:rsidR="00E94AD4" w:rsidRPr="00CD646B" w:rsidRDefault="00E94AD4" w:rsidP="002B6863">
      <w:pPr>
        <w:spacing w:line="360" w:lineRule="auto"/>
        <w:ind w:left="360"/>
        <w:jc w:val="both"/>
        <w:rPr>
          <w:rFonts w:ascii="Arial" w:hAnsi="Arial" w:cs="Arial"/>
        </w:rPr>
      </w:pPr>
    </w:p>
    <w:p w14:paraId="5406B85C" w14:textId="4BFC376F" w:rsidR="00E94AD4" w:rsidRPr="00A876FD" w:rsidRDefault="00955037" w:rsidP="002B6863">
      <w:pPr>
        <w:spacing w:line="360" w:lineRule="auto"/>
        <w:jc w:val="both"/>
        <w:rPr>
          <w:rFonts w:ascii="Arial" w:hAnsi="Arial" w:cs="Arial"/>
          <w:b/>
          <w:bCs/>
        </w:rPr>
      </w:pPr>
      <w:r w:rsidRPr="00CD646B">
        <w:rPr>
          <w:rFonts w:ascii="Arial" w:hAnsi="Arial" w:cs="Arial"/>
          <w:b/>
          <w:bCs/>
        </w:rPr>
        <w:t xml:space="preserve">Suitable Project Types: </w:t>
      </w:r>
    </w:p>
    <w:p w14:paraId="2E4E205A" w14:textId="77777777" w:rsidR="00CD4707" w:rsidRPr="00CD646B" w:rsidRDefault="00E94AD4" w:rsidP="002B6863">
      <w:pPr>
        <w:pStyle w:val="ListParagraph"/>
        <w:numPr>
          <w:ilvl w:val="0"/>
          <w:numId w:val="3"/>
        </w:numPr>
        <w:spacing w:line="360" w:lineRule="auto"/>
        <w:jc w:val="both"/>
        <w:rPr>
          <w:rFonts w:ascii="Arial" w:hAnsi="Arial" w:cs="Arial"/>
        </w:rPr>
      </w:pPr>
      <w:r w:rsidRPr="00CD646B">
        <w:rPr>
          <w:rFonts w:ascii="Arial" w:hAnsi="Arial" w:cs="Arial"/>
        </w:rPr>
        <w:t>Extensive building endeavours need stringent design oversight</w:t>
      </w:r>
    </w:p>
    <w:p w14:paraId="744034E8" w14:textId="77777777" w:rsidR="00CD4707" w:rsidRPr="00CD646B" w:rsidRDefault="00E94AD4" w:rsidP="002B6863">
      <w:pPr>
        <w:pStyle w:val="ListParagraph"/>
        <w:numPr>
          <w:ilvl w:val="0"/>
          <w:numId w:val="3"/>
        </w:numPr>
        <w:spacing w:line="360" w:lineRule="auto"/>
        <w:jc w:val="both"/>
        <w:rPr>
          <w:rFonts w:ascii="Arial" w:hAnsi="Arial" w:cs="Arial"/>
        </w:rPr>
      </w:pPr>
      <w:r w:rsidRPr="00CD646B">
        <w:rPr>
          <w:rFonts w:ascii="Arial" w:hAnsi="Arial" w:cs="Arial"/>
        </w:rPr>
        <w:t xml:space="preserve"> Infrastructure, including rail lines and roadways</w:t>
      </w:r>
    </w:p>
    <w:p w14:paraId="5D1FAE06" w14:textId="77777777" w:rsidR="00CD4707" w:rsidRPr="00CD646B" w:rsidRDefault="00E94AD4" w:rsidP="002B6863">
      <w:pPr>
        <w:pStyle w:val="ListParagraph"/>
        <w:numPr>
          <w:ilvl w:val="0"/>
          <w:numId w:val="3"/>
        </w:numPr>
        <w:spacing w:line="360" w:lineRule="auto"/>
        <w:jc w:val="both"/>
        <w:rPr>
          <w:rFonts w:ascii="Arial" w:hAnsi="Arial" w:cs="Arial"/>
        </w:rPr>
      </w:pPr>
      <w:r w:rsidRPr="00CD646B">
        <w:rPr>
          <w:rFonts w:ascii="Arial" w:hAnsi="Arial" w:cs="Arial"/>
        </w:rPr>
        <w:t>Integration initiatives for IT systems involving various specialised vendors</w:t>
      </w:r>
    </w:p>
    <w:p w14:paraId="22E4F5BE" w14:textId="4B06C0CF" w:rsidR="00E94AD4" w:rsidRPr="00CD646B" w:rsidRDefault="00E94AD4" w:rsidP="002B6863">
      <w:pPr>
        <w:pStyle w:val="ListParagraph"/>
        <w:numPr>
          <w:ilvl w:val="0"/>
          <w:numId w:val="3"/>
        </w:numPr>
        <w:spacing w:line="360" w:lineRule="auto"/>
        <w:jc w:val="both"/>
        <w:rPr>
          <w:rFonts w:ascii="Arial" w:hAnsi="Arial" w:cs="Arial"/>
        </w:rPr>
      </w:pPr>
      <w:r w:rsidRPr="00CD646B">
        <w:rPr>
          <w:rFonts w:ascii="Arial" w:hAnsi="Arial" w:cs="Arial"/>
        </w:rPr>
        <w:t>Public sector initiatives where transparency and oversight are paramount</w:t>
      </w:r>
    </w:p>
    <w:p w14:paraId="44B446E6" w14:textId="77777777" w:rsidR="00E94AD4" w:rsidRPr="00CD646B" w:rsidRDefault="00E94AD4" w:rsidP="002B6863">
      <w:pPr>
        <w:spacing w:line="360" w:lineRule="auto"/>
        <w:ind w:left="360"/>
        <w:jc w:val="both"/>
        <w:rPr>
          <w:rFonts w:ascii="Arial" w:hAnsi="Arial" w:cs="Arial"/>
        </w:rPr>
      </w:pPr>
    </w:p>
    <w:p w14:paraId="46A1FF4F" w14:textId="04DD5223" w:rsidR="00E94AD4" w:rsidRPr="00CD646B" w:rsidRDefault="00D42006" w:rsidP="002B6863">
      <w:pPr>
        <w:pStyle w:val="Heading2"/>
        <w:numPr>
          <w:ilvl w:val="1"/>
          <w:numId w:val="6"/>
        </w:numPr>
        <w:spacing w:line="360" w:lineRule="auto"/>
        <w:jc w:val="both"/>
        <w:rPr>
          <w:rFonts w:ascii="Arial" w:hAnsi="Arial" w:cs="Arial"/>
          <w:sz w:val="22"/>
          <w:szCs w:val="22"/>
        </w:rPr>
      </w:pPr>
      <w:r w:rsidRPr="00CD646B">
        <w:rPr>
          <w:rFonts w:ascii="Arial" w:hAnsi="Arial" w:cs="Arial"/>
          <w:sz w:val="22"/>
          <w:szCs w:val="22"/>
        </w:rPr>
        <w:t xml:space="preserve"> </w:t>
      </w:r>
      <w:bookmarkStart w:id="4" w:name="_Toc214351117"/>
      <w:r w:rsidR="00E94AD4" w:rsidRPr="00CD646B">
        <w:rPr>
          <w:rFonts w:ascii="Arial" w:hAnsi="Arial" w:cs="Arial"/>
          <w:sz w:val="22"/>
          <w:szCs w:val="22"/>
        </w:rPr>
        <w:t>Do-It-Yourself (DIY) Explanation</w:t>
      </w:r>
      <w:bookmarkEnd w:id="4"/>
    </w:p>
    <w:p w14:paraId="4FCC53D6" w14:textId="1221FF8C" w:rsidR="00E94AD4" w:rsidRPr="00CD646B" w:rsidRDefault="00E94AD4" w:rsidP="002B6863">
      <w:pPr>
        <w:spacing w:line="360" w:lineRule="auto"/>
        <w:jc w:val="both"/>
        <w:rPr>
          <w:rFonts w:ascii="Arial" w:hAnsi="Arial" w:cs="Arial"/>
        </w:rPr>
      </w:pPr>
      <w:r w:rsidRPr="00CD646B">
        <w:rPr>
          <w:rFonts w:ascii="Arial" w:hAnsi="Arial" w:cs="Arial"/>
        </w:rPr>
        <w:t>In DIY contracting, the client executes the majority of the project tasks internally utilising in-house personnel, equipment, and resources.  Contractors may still be employed for specialist jobs; however, the majority of work is conducted internally.  DIY is appropriate when the organisation have robust technical expertise and capacity (Lock, 2020).</w:t>
      </w:r>
    </w:p>
    <w:p w14:paraId="6CB92649" w14:textId="77777777" w:rsidR="00E94AD4" w:rsidRPr="00CD646B" w:rsidRDefault="00E94AD4" w:rsidP="002B6863">
      <w:pPr>
        <w:spacing w:line="360" w:lineRule="auto"/>
        <w:jc w:val="both"/>
        <w:rPr>
          <w:rFonts w:ascii="Arial" w:hAnsi="Arial" w:cs="Arial"/>
        </w:rPr>
      </w:pPr>
    </w:p>
    <w:p w14:paraId="665DEE2E" w14:textId="3D555130" w:rsidR="00E94AD4" w:rsidRPr="00CD646B" w:rsidRDefault="00CD4707" w:rsidP="002B6863">
      <w:pPr>
        <w:spacing w:line="360" w:lineRule="auto"/>
        <w:jc w:val="both"/>
        <w:rPr>
          <w:rFonts w:ascii="Arial" w:hAnsi="Arial" w:cs="Arial"/>
          <w:b/>
          <w:bCs/>
        </w:rPr>
      </w:pPr>
      <w:r w:rsidRPr="00CD646B">
        <w:rPr>
          <w:rFonts w:ascii="Arial" w:hAnsi="Arial" w:cs="Arial"/>
          <w:b/>
          <w:bCs/>
        </w:rPr>
        <w:t xml:space="preserve">Advantages </w:t>
      </w:r>
    </w:p>
    <w:p w14:paraId="1782AA06" w14:textId="77777777" w:rsidR="002D4928" w:rsidRDefault="00E94AD4" w:rsidP="002B6863">
      <w:pPr>
        <w:spacing w:line="360" w:lineRule="auto"/>
        <w:jc w:val="both"/>
        <w:rPr>
          <w:rFonts w:ascii="Arial" w:hAnsi="Arial" w:cs="Arial"/>
        </w:rPr>
      </w:pPr>
      <w:r w:rsidRPr="00CD646B">
        <w:rPr>
          <w:rFonts w:ascii="Arial" w:hAnsi="Arial" w:cs="Arial"/>
        </w:rPr>
        <w:t>Complete control DIY provides the organisation with total authority over design choices, operational procedures, quality standards, and schedules.</w:t>
      </w:r>
    </w:p>
    <w:p w14:paraId="48F8A18B" w14:textId="2B4F2D1E" w:rsidR="00E94AD4" w:rsidRPr="002D4928" w:rsidRDefault="00E94AD4" w:rsidP="002B6863">
      <w:pPr>
        <w:spacing w:line="360" w:lineRule="auto"/>
        <w:jc w:val="both"/>
        <w:rPr>
          <w:rFonts w:ascii="Arial" w:hAnsi="Arial" w:cs="Arial"/>
        </w:rPr>
      </w:pPr>
      <w:r w:rsidRPr="00CD646B">
        <w:rPr>
          <w:rFonts w:ascii="Arial" w:hAnsi="Arial" w:cs="Arial"/>
          <w:u w:val="single"/>
        </w:rPr>
        <w:t>Financial efficiencies</w:t>
      </w:r>
    </w:p>
    <w:p w14:paraId="6EDB984F" w14:textId="0AC15EA8" w:rsidR="00E94AD4" w:rsidRPr="00CD646B" w:rsidRDefault="00E94AD4" w:rsidP="002B6863">
      <w:pPr>
        <w:spacing w:line="360" w:lineRule="auto"/>
        <w:jc w:val="both"/>
        <w:rPr>
          <w:rFonts w:ascii="Arial" w:hAnsi="Arial" w:cs="Arial"/>
        </w:rPr>
      </w:pPr>
      <w:r w:rsidRPr="00CD646B">
        <w:rPr>
          <w:rFonts w:ascii="Arial" w:hAnsi="Arial" w:cs="Arial"/>
        </w:rPr>
        <w:t>Internal labour is frequently more economical than using external contractors.  Organisations also conserve contractor profit margins (Burke, 2018).</w:t>
      </w:r>
    </w:p>
    <w:p w14:paraId="70C00056" w14:textId="77777777" w:rsidR="002B6863" w:rsidRDefault="00E94AD4" w:rsidP="002B6863">
      <w:pPr>
        <w:spacing w:line="360" w:lineRule="auto"/>
        <w:jc w:val="both"/>
        <w:rPr>
          <w:rFonts w:ascii="Arial" w:hAnsi="Arial" w:cs="Arial"/>
          <w:u w:val="single"/>
        </w:rPr>
      </w:pPr>
      <w:r w:rsidRPr="00CD646B">
        <w:rPr>
          <w:rFonts w:ascii="Arial" w:hAnsi="Arial" w:cs="Arial"/>
          <w:u w:val="single"/>
        </w:rPr>
        <w:t>Development of capabilities</w:t>
      </w:r>
    </w:p>
    <w:p w14:paraId="0AC78F50" w14:textId="7ADFA4BE" w:rsidR="00E94AD4" w:rsidRPr="002B6863" w:rsidRDefault="00E94AD4" w:rsidP="002B6863">
      <w:pPr>
        <w:spacing w:line="360" w:lineRule="auto"/>
        <w:jc w:val="both"/>
        <w:rPr>
          <w:rFonts w:ascii="Arial" w:hAnsi="Arial" w:cs="Arial"/>
          <w:u w:val="single"/>
        </w:rPr>
      </w:pPr>
      <w:r w:rsidRPr="00CD646B">
        <w:rPr>
          <w:rFonts w:ascii="Arial" w:hAnsi="Arial" w:cs="Arial"/>
        </w:rPr>
        <w:t>Internal teams enhance their expertise and fortify organisational strengths, hence benefiting future initiatives.</w:t>
      </w:r>
    </w:p>
    <w:p w14:paraId="24D1A291" w14:textId="10D9D210" w:rsidR="00E94AD4" w:rsidRPr="00CD646B" w:rsidRDefault="00E94AD4" w:rsidP="002B6863">
      <w:pPr>
        <w:spacing w:line="360" w:lineRule="auto"/>
        <w:jc w:val="both"/>
        <w:rPr>
          <w:rFonts w:ascii="Arial" w:hAnsi="Arial" w:cs="Arial"/>
          <w:u w:val="single"/>
        </w:rPr>
      </w:pPr>
      <w:r w:rsidRPr="00CD646B">
        <w:rPr>
          <w:rFonts w:ascii="Arial" w:hAnsi="Arial" w:cs="Arial"/>
          <w:u w:val="single"/>
        </w:rPr>
        <w:t>Adaptability in decision-making</w:t>
      </w:r>
    </w:p>
    <w:p w14:paraId="208D75A6" w14:textId="0F5C7C2B" w:rsidR="00E94AD4" w:rsidRPr="00CD646B" w:rsidRDefault="00E94AD4" w:rsidP="002B6863">
      <w:pPr>
        <w:spacing w:line="360" w:lineRule="auto"/>
        <w:jc w:val="both"/>
        <w:rPr>
          <w:rFonts w:ascii="Arial" w:hAnsi="Arial" w:cs="Arial"/>
        </w:rPr>
      </w:pPr>
      <w:r w:rsidRPr="00CD646B">
        <w:rPr>
          <w:rFonts w:ascii="Arial" w:hAnsi="Arial" w:cs="Arial"/>
        </w:rPr>
        <w:t>The organisation can alter priorities or modify scope without engaging in contract negotiations.</w:t>
      </w:r>
    </w:p>
    <w:p w14:paraId="585C6890" w14:textId="6A14349E" w:rsidR="00E94AD4" w:rsidRPr="00CD646B" w:rsidRDefault="00CC2864" w:rsidP="002B6863">
      <w:pPr>
        <w:spacing w:line="360" w:lineRule="auto"/>
        <w:jc w:val="both"/>
        <w:rPr>
          <w:rFonts w:ascii="Arial" w:hAnsi="Arial" w:cs="Arial"/>
          <w:b/>
          <w:bCs/>
        </w:rPr>
      </w:pPr>
      <w:r w:rsidRPr="00CD646B">
        <w:rPr>
          <w:rFonts w:ascii="Arial" w:hAnsi="Arial" w:cs="Arial"/>
          <w:b/>
          <w:bCs/>
        </w:rPr>
        <w:t>Disadvantages</w:t>
      </w:r>
    </w:p>
    <w:p w14:paraId="76822AAF" w14:textId="77777777" w:rsidR="002B6863" w:rsidRDefault="00E94AD4" w:rsidP="002B6863">
      <w:pPr>
        <w:spacing w:line="360" w:lineRule="auto"/>
        <w:jc w:val="both"/>
        <w:rPr>
          <w:rFonts w:ascii="Arial" w:hAnsi="Arial" w:cs="Arial"/>
          <w:u w:val="single"/>
        </w:rPr>
      </w:pPr>
      <w:r w:rsidRPr="00CD646B">
        <w:rPr>
          <w:rFonts w:ascii="Arial" w:hAnsi="Arial" w:cs="Arial"/>
          <w:u w:val="single"/>
        </w:rPr>
        <w:t>Elevated resource demand</w:t>
      </w:r>
    </w:p>
    <w:p w14:paraId="7C5B39A7" w14:textId="7AAC7E9F" w:rsidR="00E94AD4" w:rsidRPr="002B6863" w:rsidRDefault="00E94AD4" w:rsidP="002B6863">
      <w:pPr>
        <w:spacing w:line="360" w:lineRule="auto"/>
        <w:jc w:val="both"/>
        <w:rPr>
          <w:rFonts w:ascii="Arial" w:hAnsi="Arial" w:cs="Arial"/>
          <w:u w:val="single"/>
        </w:rPr>
      </w:pPr>
      <w:r w:rsidRPr="00CD646B">
        <w:rPr>
          <w:rFonts w:ascii="Arial" w:hAnsi="Arial" w:cs="Arial"/>
        </w:rPr>
        <w:t>DIY necessitates considerable internal labour capacity and specialised skills.  This could impose strain on current operations or lead to burnout (Turner, 2014).</w:t>
      </w:r>
    </w:p>
    <w:p w14:paraId="52BFC2FD" w14:textId="46828E20" w:rsidR="00E94AD4" w:rsidRPr="00CD646B" w:rsidRDefault="00E94AD4" w:rsidP="002B6863">
      <w:pPr>
        <w:spacing w:line="360" w:lineRule="auto"/>
        <w:jc w:val="both"/>
        <w:rPr>
          <w:rFonts w:ascii="Arial" w:hAnsi="Arial" w:cs="Arial"/>
          <w:u w:val="single"/>
        </w:rPr>
      </w:pPr>
      <w:r w:rsidRPr="00CD646B">
        <w:rPr>
          <w:rFonts w:ascii="Arial" w:hAnsi="Arial" w:cs="Arial"/>
          <w:u w:val="single"/>
        </w:rPr>
        <w:t>Delayed project completion</w:t>
      </w:r>
    </w:p>
    <w:p w14:paraId="4E9ABD51" w14:textId="22120DF9" w:rsidR="00E94AD4" w:rsidRPr="00CD646B" w:rsidRDefault="002B6863" w:rsidP="002B6863">
      <w:pPr>
        <w:spacing w:line="360" w:lineRule="auto"/>
        <w:jc w:val="both"/>
        <w:rPr>
          <w:rFonts w:ascii="Arial" w:hAnsi="Arial" w:cs="Arial"/>
        </w:rPr>
      </w:pPr>
      <w:r>
        <w:rPr>
          <w:rFonts w:ascii="Arial" w:hAnsi="Arial" w:cs="Arial"/>
        </w:rPr>
        <w:t>I</w:t>
      </w:r>
      <w:r w:rsidR="00E94AD4" w:rsidRPr="00CD646B">
        <w:rPr>
          <w:rFonts w:ascii="Arial" w:hAnsi="Arial" w:cs="Arial"/>
        </w:rPr>
        <w:t>nternal teams may not operate as efficiently as seasoned contractors, particularly if they lack specialist expertise.</w:t>
      </w:r>
    </w:p>
    <w:p w14:paraId="215DB600" w14:textId="29AED9A2" w:rsidR="00E94AD4" w:rsidRPr="00CD646B" w:rsidRDefault="00E94AD4" w:rsidP="002B6863">
      <w:pPr>
        <w:spacing w:line="360" w:lineRule="auto"/>
        <w:jc w:val="both"/>
        <w:rPr>
          <w:rFonts w:ascii="Arial" w:hAnsi="Arial" w:cs="Arial"/>
          <w:u w:val="single"/>
        </w:rPr>
      </w:pPr>
      <w:r w:rsidRPr="00CD646B">
        <w:rPr>
          <w:rFonts w:ascii="Arial" w:hAnsi="Arial" w:cs="Arial"/>
          <w:u w:val="single"/>
        </w:rPr>
        <w:t>Potential for quality fluctuation</w:t>
      </w:r>
    </w:p>
    <w:p w14:paraId="029B294F" w14:textId="33DFDCF7" w:rsidR="00E94AD4" w:rsidRPr="00CD646B" w:rsidRDefault="00E94AD4" w:rsidP="002B6863">
      <w:pPr>
        <w:spacing w:line="360" w:lineRule="auto"/>
        <w:jc w:val="both"/>
        <w:rPr>
          <w:rFonts w:ascii="Arial" w:hAnsi="Arial" w:cs="Arial"/>
        </w:rPr>
      </w:pPr>
      <w:r w:rsidRPr="00CD646B">
        <w:rPr>
          <w:rFonts w:ascii="Arial" w:hAnsi="Arial" w:cs="Arial"/>
        </w:rPr>
        <w:t>In the absence of experience, internal teams may generate worse quality work, particularly in technically demanding domains.</w:t>
      </w:r>
    </w:p>
    <w:p w14:paraId="461F13B4" w14:textId="2E2CC3A7" w:rsidR="00E94AD4" w:rsidRPr="00CD646B" w:rsidRDefault="007547AF" w:rsidP="002B6863">
      <w:pPr>
        <w:spacing w:line="360" w:lineRule="auto"/>
        <w:jc w:val="both"/>
        <w:rPr>
          <w:rFonts w:ascii="Arial" w:hAnsi="Arial" w:cs="Arial"/>
          <w:b/>
          <w:bCs/>
        </w:rPr>
      </w:pPr>
      <w:r w:rsidRPr="00CD646B">
        <w:rPr>
          <w:rFonts w:ascii="Arial" w:hAnsi="Arial" w:cs="Arial"/>
          <w:b/>
          <w:bCs/>
        </w:rPr>
        <w:t xml:space="preserve">Suitable </w:t>
      </w:r>
      <w:r w:rsidR="000266AF" w:rsidRPr="00CD646B">
        <w:rPr>
          <w:rFonts w:ascii="Arial" w:hAnsi="Arial" w:cs="Arial"/>
          <w:b/>
          <w:bCs/>
        </w:rPr>
        <w:t>project</w:t>
      </w:r>
      <w:r w:rsidRPr="00CD646B">
        <w:rPr>
          <w:rFonts w:ascii="Arial" w:hAnsi="Arial" w:cs="Arial"/>
          <w:b/>
          <w:bCs/>
        </w:rPr>
        <w:t xml:space="preserve"> Types: </w:t>
      </w:r>
    </w:p>
    <w:p w14:paraId="10DB9D9F" w14:textId="065AA1EE" w:rsidR="00E94AD4" w:rsidRPr="00CD646B" w:rsidRDefault="00E94AD4" w:rsidP="002B6863">
      <w:pPr>
        <w:spacing w:line="360" w:lineRule="auto"/>
        <w:jc w:val="both"/>
        <w:rPr>
          <w:rFonts w:ascii="Arial" w:hAnsi="Arial" w:cs="Arial"/>
        </w:rPr>
      </w:pPr>
      <w:r w:rsidRPr="00CD646B">
        <w:rPr>
          <w:rFonts w:ascii="Arial" w:hAnsi="Arial" w:cs="Arial"/>
        </w:rPr>
        <w:t>DIY is particularly advantageous for:</w:t>
      </w:r>
    </w:p>
    <w:p w14:paraId="689664FB" w14:textId="4F5659EC" w:rsidR="00E94AD4" w:rsidRPr="00CD646B" w:rsidRDefault="00E94AD4" w:rsidP="002B6863">
      <w:pPr>
        <w:pStyle w:val="ListParagraph"/>
        <w:numPr>
          <w:ilvl w:val="0"/>
          <w:numId w:val="4"/>
        </w:numPr>
        <w:spacing w:line="360" w:lineRule="auto"/>
        <w:jc w:val="both"/>
        <w:rPr>
          <w:rFonts w:ascii="Arial" w:hAnsi="Arial" w:cs="Arial"/>
        </w:rPr>
      </w:pPr>
      <w:r w:rsidRPr="00CD646B">
        <w:rPr>
          <w:rFonts w:ascii="Arial" w:hAnsi="Arial" w:cs="Arial"/>
        </w:rPr>
        <w:t>Software engineering initiatives</w:t>
      </w:r>
    </w:p>
    <w:p w14:paraId="4000484B" w14:textId="3E8FF951" w:rsidR="00E94AD4" w:rsidRPr="00CD646B" w:rsidRDefault="00E94AD4" w:rsidP="002B6863">
      <w:pPr>
        <w:pStyle w:val="ListParagraph"/>
        <w:numPr>
          <w:ilvl w:val="0"/>
          <w:numId w:val="4"/>
        </w:numPr>
        <w:spacing w:line="360" w:lineRule="auto"/>
        <w:jc w:val="both"/>
        <w:rPr>
          <w:rFonts w:ascii="Arial" w:hAnsi="Arial" w:cs="Arial"/>
        </w:rPr>
      </w:pPr>
      <w:r w:rsidRPr="00CD646B">
        <w:rPr>
          <w:rFonts w:ascii="Arial" w:hAnsi="Arial" w:cs="Arial"/>
        </w:rPr>
        <w:t>Internal system enhancements</w:t>
      </w:r>
    </w:p>
    <w:p w14:paraId="35726B75" w14:textId="65C92CF7" w:rsidR="00E94AD4" w:rsidRPr="00CD646B" w:rsidRDefault="00E94AD4" w:rsidP="002B6863">
      <w:pPr>
        <w:pStyle w:val="ListParagraph"/>
        <w:numPr>
          <w:ilvl w:val="0"/>
          <w:numId w:val="4"/>
        </w:numPr>
        <w:spacing w:line="360" w:lineRule="auto"/>
        <w:jc w:val="both"/>
        <w:rPr>
          <w:rFonts w:ascii="Arial" w:hAnsi="Arial" w:cs="Arial"/>
        </w:rPr>
      </w:pPr>
      <w:r w:rsidRPr="00CD646B">
        <w:rPr>
          <w:rFonts w:ascii="Arial" w:hAnsi="Arial" w:cs="Arial"/>
        </w:rPr>
        <w:t>Promotional initiatives</w:t>
      </w:r>
    </w:p>
    <w:p w14:paraId="38E70849" w14:textId="25E09D34" w:rsidR="00E94AD4" w:rsidRPr="00CD646B" w:rsidRDefault="00E94AD4" w:rsidP="002B6863">
      <w:pPr>
        <w:pStyle w:val="ListParagraph"/>
        <w:numPr>
          <w:ilvl w:val="0"/>
          <w:numId w:val="4"/>
        </w:numPr>
        <w:spacing w:line="360" w:lineRule="auto"/>
        <w:jc w:val="both"/>
        <w:rPr>
          <w:rFonts w:ascii="Arial" w:hAnsi="Arial" w:cs="Arial"/>
        </w:rPr>
      </w:pPr>
      <w:r w:rsidRPr="00CD646B">
        <w:rPr>
          <w:rFonts w:ascii="Arial" w:hAnsi="Arial" w:cs="Arial"/>
        </w:rPr>
        <w:t>Minor construction or remodelling undertakings</w:t>
      </w:r>
    </w:p>
    <w:p w14:paraId="5D08E050" w14:textId="77777777" w:rsidR="002B6863" w:rsidRDefault="00E94AD4" w:rsidP="002B6863">
      <w:pPr>
        <w:pStyle w:val="ListParagraph"/>
        <w:numPr>
          <w:ilvl w:val="0"/>
          <w:numId w:val="4"/>
        </w:numPr>
        <w:spacing w:line="360" w:lineRule="auto"/>
        <w:jc w:val="both"/>
        <w:rPr>
          <w:rFonts w:ascii="Arial" w:hAnsi="Arial" w:cs="Arial"/>
        </w:rPr>
      </w:pPr>
      <w:r w:rsidRPr="00CD646B">
        <w:rPr>
          <w:rFonts w:ascii="Arial" w:hAnsi="Arial" w:cs="Arial"/>
        </w:rPr>
        <w:t>Investigative and inventive initiatives</w:t>
      </w:r>
    </w:p>
    <w:p w14:paraId="1B9DF6F1" w14:textId="38923FAB" w:rsidR="00E94AD4" w:rsidRPr="002B6863" w:rsidRDefault="00E94AD4" w:rsidP="002B6863">
      <w:pPr>
        <w:pStyle w:val="ListParagraph"/>
        <w:spacing w:line="360" w:lineRule="auto"/>
        <w:ind w:left="185"/>
        <w:jc w:val="both"/>
        <w:rPr>
          <w:rFonts w:ascii="Arial" w:hAnsi="Arial" w:cs="Arial"/>
        </w:rPr>
      </w:pPr>
      <w:r w:rsidRPr="002B6863">
        <w:rPr>
          <w:rFonts w:ascii="Arial" w:hAnsi="Arial" w:cs="Arial"/>
        </w:rPr>
        <w:lastRenderedPageBreak/>
        <w:t>These projects enable the organisation to leverage internal expertise and circumvent outsourcing expenses.</w:t>
      </w:r>
    </w:p>
    <w:p w14:paraId="161734E0" w14:textId="77777777" w:rsidR="00E94AD4" w:rsidRPr="00CD646B" w:rsidRDefault="00E94AD4" w:rsidP="002B6863">
      <w:pPr>
        <w:spacing w:line="360" w:lineRule="auto"/>
        <w:jc w:val="both"/>
        <w:rPr>
          <w:rFonts w:ascii="Arial" w:hAnsi="Arial" w:cs="Arial"/>
        </w:rPr>
      </w:pPr>
    </w:p>
    <w:p w14:paraId="1E6DE7D8" w14:textId="57889933" w:rsidR="00E94AD4" w:rsidRPr="00CD646B" w:rsidRDefault="00E94AD4" w:rsidP="002B6863">
      <w:pPr>
        <w:pStyle w:val="Heading2"/>
        <w:numPr>
          <w:ilvl w:val="1"/>
          <w:numId w:val="6"/>
        </w:numPr>
        <w:spacing w:line="360" w:lineRule="auto"/>
        <w:jc w:val="both"/>
        <w:rPr>
          <w:rFonts w:ascii="Arial" w:hAnsi="Arial" w:cs="Arial"/>
          <w:sz w:val="22"/>
          <w:szCs w:val="22"/>
        </w:rPr>
      </w:pPr>
      <w:bookmarkStart w:id="5" w:name="_Toc214351118"/>
      <w:r w:rsidRPr="00CD646B">
        <w:rPr>
          <w:rFonts w:ascii="Arial" w:hAnsi="Arial" w:cs="Arial"/>
          <w:sz w:val="22"/>
          <w:szCs w:val="22"/>
        </w:rPr>
        <w:t>Multicontract + DIY (Hybrid Method) Explanation</w:t>
      </w:r>
      <w:bookmarkEnd w:id="5"/>
    </w:p>
    <w:p w14:paraId="79640E8D" w14:textId="5DA15E75" w:rsidR="00E94AD4" w:rsidRPr="00CD646B" w:rsidRDefault="00E94AD4" w:rsidP="002B6863">
      <w:pPr>
        <w:spacing w:line="360" w:lineRule="auto"/>
        <w:jc w:val="both"/>
        <w:rPr>
          <w:rFonts w:ascii="Arial" w:hAnsi="Arial" w:cs="Arial"/>
        </w:rPr>
      </w:pPr>
      <w:r w:rsidRPr="00CD646B">
        <w:rPr>
          <w:rFonts w:ascii="Arial" w:hAnsi="Arial" w:cs="Arial"/>
        </w:rPr>
        <w:t>The hybrid approach integrates do-it-yourself and multicontract contracting methodologies.  The client executes strategic, managerial, or specialised components internally, while various contractors manage other aspects of the project (Kerzner, 2017).  This model harmonises control and proficiency, rendering it appropriate for technically intricate yet strategically delicate projects.</w:t>
      </w:r>
    </w:p>
    <w:p w14:paraId="2D44BBD9" w14:textId="23AC8076" w:rsidR="00E94AD4" w:rsidRPr="00CD646B" w:rsidRDefault="00BB7E2A" w:rsidP="002B6863">
      <w:pPr>
        <w:spacing w:line="360" w:lineRule="auto"/>
        <w:jc w:val="both"/>
        <w:rPr>
          <w:rFonts w:ascii="Arial" w:hAnsi="Arial" w:cs="Arial"/>
          <w:b/>
          <w:bCs/>
        </w:rPr>
      </w:pPr>
      <w:r w:rsidRPr="00CD646B">
        <w:rPr>
          <w:rFonts w:ascii="Arial" w:hAnsi="Arial" w:cs="Arial"/>
          <w:b/>
          <w:bCs/>
        </w:rPr>
        <w:t xml:space="preserve">Advantages </w:t>
      </w:r>
    </w:p>
    <w:p w14:paraId="40E74BDF" w14:textId="5D89FF5B" w:rsidR="00E94AD4" w:rsidRPr="00CD646B" w:rsidRDefault="00E94AD4" w:rsidP="002B6863">
      <w:pPr>
        <w:spacing w:line="360" w:lineRule="auto"/>
        <w:jc w:val="both"/>
        <w:rPr>
          <w:rFonts w:ascii="Arial" w:hAnsi="Arial" w:cs="Arial"/>
          <w:u w:val="single"/>
        </w:rPr>
      </w:pPr>
      <w:r w:rsidRPr="00CD646B">
        <w:rPr>
          <w:rFonts w:ascii="Arial" w:hAnsi="Arial" w:cs="Arial"/>
          <w:u w:val="single"/>
        </w:rPr>
        <w:t>Equitable allocation of tasks</w:t>
      </w:r>
    </w:p>
    <w:p w14:paraId="0882978C" w14:textId="12163A0D" w:rsidR="00E94AD4" w:rsidRPr="00CD646B" w:rsidRDefault="00E94AD4" w:rsidP="002B6863">
      <w:pPr>
        <w:spacing w:line="360" w:lineRule="auto"/>
        <w:jc w:val="both"/>
        <w:rPr>
          <w:rFonts w:ascii="Arial" w:hAnsi="Arial" w:cs="Arial"/>
        </w:rPr>
      </w:pPr>
      <w:r w:rsidRPr="00CD646B">
        <w:rPr>
          <w:rFonts w:ascii="Arial" w:hAnsi="Arial" w:cs="Arial"/>
        </w:rPr>
        <w:t>The organisation maintains authority over essential functions while delegating specialised domains necessitating considerable technical expertise.</w:t>
      </w:r>
    </w:p>
    <w:p w14:paraId="048E05EA" w14:textId="77777777" w:rsidR="002B6863" w:rsidRDefault="00E94AD4" w:rsidP="002B6863">
      <w:pPr>
        <w:spacing w:line="360" w:lineRule="auto"/>
        <w:jc w:val="both"/>
        <w:rPr>
          <w:rFonts w:ascii="Arial" w:hAnsi="Arial" w:cs="Arial"/>
          <w:u w:val="single"/>
        </w:rPr>
      </w:pPr>
      <w:r w:rsidRPr="00CD646B">
        <w:rPr>
          <w:rFonts w:ascii="Arial" w:hAnsi="Arial" w:cs="Arial"/>
          <w:u w:val="single"/>
        </w:rPr>
        <w:t>Cost optimisation</w:t>
      </w:r>
    </w:p>
    <w:p w14:paraId="7DDAE77B" w14:textId="57858273" w:rsidR="00E94AD4" w:rsidRPr="002B6863" w:rsidRDefault="00E94AD4" w:rsidP="002B6863">
      <w:pPr>
        <w:spacing w:line="360" w:lineRule="auto"/>
        <w:jc w:val="both"/>
        <w:rPr>
          <w:rFonts w:ascii="Arial" w:hAnsi="Arial" w:cs="Arial"/>
          <w:u w:val="single"/>
        </w:rPr>
      </w:pPr>
      <w:r w:rsidRPr="00CD646B">
        <w:rPr>
          <w:rFonts w:ascii="Arial" w:hAnsi="Arial" w:cs="Arial"/>
        </w:rPr>
        <w:t>Internally completable tasks are managed by in-house teams, thereby minimising costs.</w:t>
      </w:r>
    </w:p>
    <w:p w14:paraId="51EF5A56" w14:textId="37EA6891" w:rsidR="00E94AD4" w:rsidRPr="00CD646B" w:rsidRDefault="00E94AD4" w:rsidP="002B6863">
      <w:pPr>
        <w:spacing w:line="360" w:lineRule="auto"/>
        <w:jc w:val="both"/>
        <w:rPr>
          <w:rFonts w:ascii="Arial" w:hAnsi="Arial" w:cs="Arial"/>
          <w:u w:val="single"/>
        </w:rPr>
      </w:pPr>
      <w:r w:rsidRPr="00CD646B">
        <w:rPr>
          <w:rFonts w:ascii="Arial" w:hAnsi="Arial" w:cs="Arial"/>
          <w:u w:val="single"/>
        </w:rPr>
        <w:t>Decreased reliance on contractors</w:t>
      </w:r>
    </w:p>
    <w:p w14:paraId="75251251" w14:textId="36BA6701" w:rsidR="00E94AD4" w:rsidRPr="00CD646B" w:rsidRDefault="00E94AD4" w:rsidP="002B6863">
      <w:pPr>
        <w:spacing w:line="360" w:lineRule="auto"/>
        <w:jc w:val="both"/>
        <w:rPr>
          <w:rFonts w:ascii="Arial" w:hAnsi="Arial" w:cs="Arial"/>
        </w:rPr>
      </w:pPr>
      <w:r w:rsidRPr="00CD646B">
        <w:rPr>
          <w:rFonts w:ascii="Arial" w:hAnsi="Arial" w:cs="Arial"/>
        </w:rPr>
        <w:t>The arrangement alleviates the hazards linked to substantial dependence on external providers (Turner, 2014).</w:t>
      </w:r>
    </w:p>
    <w:p w14:paraId="2A3CA025" w14:textId="280E7385" w:rsidR="00E94AD4" w:rsidRPr="00CD646B" w:rsidRDefault="00E94AD4" w:rsidP="002B6863">
      <w:pPr>
        <w:spacing w:line="360" w:lineRule="auto"/>
        <w:jc w:val="both"/>
        <w:rPr>
          <w:rFonts w:ascii="Arial" w:hAnsi="Arial" w:cs="Arial"/>
          <w:u w:val="single"/>
        </w:rPr>
      </w:pPr>
      <w:r w:rsidRPr="00CD646B">
        <w:rPr>
          <w:rFonts w:ascii="Arial" w:hAnsi="Arial" w:cs="Arial"/>
          <w:u w:val="single"/>
        </w:rPr>
        <w:t>Adaptability</w:t>
      </w:r>
    </w:p>
    <w:p w14:paraId="724828D5" w14:textId="6179221C" w:rsidR="00E94AD4" w:rsidRPr="00CD646B" w:rsidRDefault="00E94AD4" w:rsidP="002B6863">
      <w:pPr>
        <w:spacing w:line="360" w:lineRule="auto"/>
        <w:jc w:val="both"/>
        <w:rPr>
          <w:rFonts w:ascii="Arial" w:hAnsi="Arial" w:cs="Arial"/>
        </w:rPr>
      </w:pPr>
      <w:r w:rsidRPr="00CD646B">
        <w:rPr>
          <w:rFonts w:ascii="Arial" w:hAnsi="Arial" w:cs="Arial"/>
        </w:rPr>
        <w:t>Hybrid arrangements enable the organisation to adjust the ratio of DIY and contracting according to changing requirements.</w:t>
      </w:r>
    </w:p>
    <w:p w14:paraId="7C9477BC" w14:textId="7F1E66C2" w:rsidR="00E94AD4" w:rsidRPr="00CD646B" w:rsidRDefault="000266AF" w:rsidP="002B6863">
      <w:pPr>
        <w:spacing w:line="360" w:lineRule="auto"/>
        <w:jc w:val="both"/>
        <w:rPr>
          <w:rFonts w:ascii="Arial" w:hAnsi="Arial" w:cs="Arial"/>
          <w:b/>
          <w:bCs/>
        </w:rPr>
      </w:pPr>
      <w:r w:rsidRPr="00CD646B">
        <w:rPr>
          <w:rFonts w:ascii="Arial" w:hAnsi="Arial" w:cs="Arial"/>
          <w:b/>
          <w:bCs/>
        </w:rPr>
        <w:t>Disadvantages</w:t>
      </w:r>
    </w:p>
    <w:p w14:paraId="66C26EEA" w14:textId="4C591178" w:rsidR="00E94AD4" w:rsidRPr="00CD646B" w:rsidRDefault="00E94AD4" w:rsidP="002B6863">
      <w:pPr>
        <w:spacing w:line="360" w:lineRule="auto"/>
        <w:jc w:val="both"/>
        <w:rPr>
          <w:rFonts w:ascii="Arial" w:hAnsi="Arial" w:cs="Arial"/>
          <w:u w:val="single"/>
        </w:rPr>
      </w:pPr>
      <w:r w:rsidRPr="00CD646B">
        <w:rPr>
          <w:rFonts w:ascii="Arial" w:hAnsi="Arial" w:cs="Arial"/>
          <w:u w:val="single"/>
        </w:rPr>
        <w:t>Challenges in coordination</w:t>
      </w:r>
    </w:p>
    <w:p w14:paraId="68A2034A" w14:textId="0FFFFF24" w:rsidR="00E94AD4" w:rsidRPr="00CD646B" w:rsidRDefault="00E94AD4" w:rsidP="002B6863">
      <w:pPr>
        <w:spacing w:line="360" w:lineRule="auto"/>
        <w:jc w:val="both"/>
        <w:rPr>
          <w:rFonts w:ascii="Arial" w:hAnsi="Arial" w:cs="Arial"/>
        </w:rPr>
      </w:pPr>
      <w:r w:rsidRPr="00CD646B">
        <w:rPr>
          <w:rFonts w:ascii="Arial" w:hAnsi="Arial" w:cs="Arial"/>
        </w:rPr>
        <w:t>Internal teams must collaborate with several external contractors, hence elevating communication overhead (Lock, 2020).</w:t>
      </w:r>
    </w:p>
    <w:p w14:paraId="2A6518F5" w14:textId="6AEBB3AF" w:rsidR="00E94AD4" w:rsidRPr="00CD646B" w:rsidRDefault="00E94AD4" w:rsidP="002B6863">
      <w:pPr>
        <w:spacing w:line="360" w:lineRule="auto"/>
        <w:jc w:val="both"/>
        <w:rPr>
          <w:rFonts w:ascii="Arial" w:hAnsi="Arial" w:cs="Arial"/>
          <w:u w:val="single"/>
        </w:rPr>
      </w:pPr>
      <w:r w:rsidRPr="00CD646B">
        <w:rPr>
          <w:rFonts w:ascii="Arial" w:hAnsi="Arial" w:cs="Arial"/>
          <w:u w:val="single"/>
        </w:rPr>
        <w:t>Potential ambiguity in roles</w:t>
      </w:r>
    </w:p>
    <w:p w14:paraId="292554FB" w14:textId="6F5935D6" w:rsidR="00E94AD4" w:rsidRPr="00CD646B" w:rsidRDefault="00E94AD4" w:rsidP="002B6863">
      <w:pPr>
        <w:spacing w:line="360" w:lineRule="auto"/>
        <w:jc w:val="both"/>
        <w:rPr>
          <w:rFonts w:ascii="Arial" w:hAnsi="Arial" w:cs="Arial"/>
        </w:rPr>
      </w:pPr>
      <w:r w:rsidRPr="00CD646B">
        <w:rPr>
          <w:rFonts w:ascii="Arial" w:hAnsi="Arial" w:cs="Arial"/>
        </w:rPr>
        <w:t>The distinctions between in-house personnel and contractors may become indistinct, resulting in confusion, redundancy, or omissions.</w:t>
      </w:r>
    </w:p>
    <w:p w14:paraId="1839F8DA" w14:textId="4C7336EC" w:rsidR="00E94AD4" w:rsidRPr="00CD646B" w:rsidRDefault="00E94AD4" w:rsidP="002B6863">
      <w:pPr>
        <w:spacing w:line="360" w:lineRule="auto"/>
        <w:jc w:val="both"/>
        <w:rPr>
          <w:rFonts w:ascii="Arial" w:hAnsi="Arial" w:cs="Arial"/>
          <w:u w:val="single"/>
        </w:rPr>
      </w:pPr>
      <w:r w:rsidRPr="00CD646B">
        <w:rPr>
          <w:rFonts w:ascii="Arial" w:hAnsi="Arial" w:cs="Arial"/>
          <w:u w:val="single"/>
        </w:rPr>
        <w:t>Increased managerial responsibility</w:t>
      </w:r>
    </w:p>
    <w:p w14:paraId="132E13C2" w14:textId="4C6C1078" w:rsidR="00E94AD4" w:rsidRPr="002B6863" w:rsidRDefault="00E94AD4" w:rsidP="002B6863">
      <w:pPr>
        <w:spacing w:line="360" w:lineRule="auto"/>
        <w:jc w:val="both"/>
        <w:rPr>
          <w:rFonts w:ascii="Arial" w:hAnsi="Arial" w:cs="Arial"/>
        </w:rPr>
      </w:pPr>
      <w:r w:rsidRPr="00CD646B">
        <w:rPr>
          <w:rFonts w:ascii="Arial" w:hAnsi="Arial" w:cs="Arial"/>
        </w:rPr>
        <w:lastRenderedPageBreak/>
        <w:t>Robust project governance is essential for managing interfaces, monitoring performance, and ensuring stakeholder alignment (Burke, 2018).</w:t>
      </w:r>
    </w:p>
    <w:p w14:paraId="1ED6120E" w14:textId="77777777" w:rsidR="002B6863" w:rsidRDefault="007547AF" w:rsidP="002B6863">
      <w:pPr>
        <w:spacing w:line="360" w:lineRule="auto"/>
        <w:jc w:val="both"/>
        <w:rPr>
          <w:rFonts w:ascii="Arial" w:hAnsi="Arial" w:cs="Arial"/>
          <w:b/>
          <w:bCs/>
        </w:rPr>
      </w:pPr>
      <w:r w:rsidRPr="00CD646B">
        <w:rPr>
          <w:rFonts w:ascii="Arial" w:hAnsi="Arial" w:cs="Arial"/>
          <w:b/>
          <w:bCs/>
        </w:rPr>
        <w:t xml:space="preserve">Suitable </w:t>
      </w:r>
      <w:r w:rsidR="000266AF" w:rsidRPr="00CD646B">
        <w:rPr>
          <w:rFonts w:ascii="Arial" w:hAnsi="Arial" w:cs="Arial"/>
          <w:b/>
          <w:bCs/>
        </w:rPr>
        <w:t>project</w:t>
      </w:r>
      <w:r w:rsidRPr="00CD646B">
        <w:rPr>
          <w:rFonts w:ascii="Arial" w:hAnsi="Arial" w:cs="Arial"/>
          <w:b/>
          <w:bCs/>
        </w:rPr>
        <w:t xml:space="preserve"> Types: </w:t>
      </w:r>
    </w:p>
    <w:p w14:paraId="24A6A3CA" w14:textId="4BB5F71E" w:rsidR="00E94AD4" w:rsidRPr="00CD646B" w:rsidRDefault="00E94AD4" w:rsidP="002B6863">
      <w:pPr>
        <w:spacing w:line="360" w:lineRule="auto"/>
        <w:jc w:val="both"/>
        <w:rPr>
          <w:rFonts w:ascii="Arial" w:hAnsi="Arial" w:cs="Arial"/>
          <w:b/>
          <w:bCs/>
        </w:rPr>
      </w:pPr>
      <w:r w:rsidRPr="00CD646B">
        <w:rPr>
          <w:rFonts w:ascii="Arial" w:hAnsi="Arial" w:cs="Arial"/>
        </w:rPr>
        <w:t>This approach is appropriate for:</w:t>
      </w:r>
    </w:p>
    <w:p w14:paraId="45C0F158" w14:textId="315354DC" w:rsidR="00E94AD4" w:rsidRPr="00CD646B" w:rsidRDefault="00E94AD4" w:rsidP="002B6863">
      <w:pPr>
        <w:pStyle w:val="ListParagraph"/>
        <w:numPr>
          <w:ilvl w:val="0"/>
          <w:numId w:val="5"/>
        </w:numPr>
        <w:spacing w:line="360" w:lineRule="auto"/>
        <w:jc w:val="both"/>
        <w:rPr>
          <w:rFonts w:ascii="Arial" w:hAnsi="Arial" w:cs="Arial"/>
        </w:rPr>
      </w:pPr>
      <w:r w:rsidRPr="00CD646B">
        <w:rPr>
          <w:rFonts w:ascii="Arial" w:hAnsi="Arial" w:cs="Arial"/>
        </w:rPr>
        <w:t>Information and Communication Technology transformation initiatives</w:t>
      </w:r>
    </w:p>
    <w:p w14:paraId="54534C89" w14:textId="5E4F8EB7" w:rsidR="00E94AD4" w:rsidRPr="00CD646B" w:rsidRDefault="00E94AD4" w:rsidP="002B6863">
      <w:pPr>
        <w:pStyle w:val="ListParagraph"/>
        <w:numPr>
          <w:ilvl w:val="0"/>
          <w:numId w:val="5"/>
        </w:numPr>
        <w:spacing w:line="360" w:lineRule="auto"/>
        <w:jc w:val="both"/>
        <w:rPr>
          <w:rFonts w:ascii="Arial" w:hAnsi="Arial" w:cs="Arial"/>
        </w:rPr>
      </w:pPr>
      <w:r w:rsidRPr="00CD646B">
        <w:rPr>
          <w:rFonts w:ascii="Arial" w:hAnsi="Arial" w:cs="Arial"/>
        </w:rPr>
        <w:t>Product development endeavours</w:t>
      </w:r>
    </w:p>
    <w:p w14:paraId="1AAC166A" w14:textId="271257A6" w:rsidR="00E94AD4" w:rsidRPr="00CD646B" w:rsidRDefault="00E94AD4" w:rsidP="002B6863">
      <w:pPr>
        <w:pStyle w:val="ListParagraph"/>
        <w:numPr>
          <w:ilvl w:val="0"/>
          <w:numId w:val="5"/>
        </w:numPr>
        <w:spacing w:line="360" w:lineRule="auto"/>
        <w:jc w:val="both"/>
        <w:rPr>
          <w:rFonts w:ascii="Arial" w:hAnsi="Arial" w:cs="Arial"/>
        </w:rPr>
      </w:pPr>
      <w:r w:rsidRPr="00CD646B">
        <w:rPr>
          <w:rFonts w:ascii="Arial" w:hAnsi="Arial" w:cs="Arial"/>
        </w:rPr>
        <w:t>Enhancements to the manufacturing process</w:t>
      </w:r>
    </w:p>
    <w:p w14:paraId="56E49089" w14:textId="77777777" w:rsidR="00E94AD4" w:rsidRPr="00CD646B" w:rsidRDefault="00E94AD4" w:rsidP="002B6863">
      <w:pPr>
        <w:spacing w:line="360" w:lineRule="auto"/>
        <w:ind w:left="360"/>
        <w:jc w:val="both"/>
        <w:rPr>
          <w:rFonts w:ascii="Arial" w:hAnsi="Arial" w:cs="Arial"/>
        </w:rPr>
      </w:pPr>
    </w:p>
    <w:p w14:paraId="1989C22C" w14:textId="157F5E48" w:rsidR="00E94AD4" w:rsidRPr="00CD646B" w:rsidRDefault="00E94AD4" w:rsidP="002B6863">
      <w:pPr>
        <w:spacing w:line="360" w:lineRule="auto"/>
        <w:jc w:val="both"/>
        <w:rPr>
          <w:rFonts w:ascii="Arial" w:hAnsi="Arial" w:cs="Arial"/>
        </w:rPr>
      </w:pPr>
      <w:r w:rsidRPr="00CD646B">
        <w:rPr>
          <w:rFonts w:ascii="Arial" w:hAnsi="Arial" w:cs="Arial"/>
        </w:rPr>
        <w:t>Intricate engineering endeavours necessitating both internal proficiency and specialised contractors</w:t>
      </w:r>
    </w:p>
    <w:p w14:paraId="54EAC2C3" w14:textId="77777777" w:rsidR="00E94AD4" w:rsidRPr="00CD646B" w:rsidRDefault="00E94AD4" w:rsidP="002B6863">
      <w:pPr>
        <w:spacing w:line="360" w:lineRule="auto"/>
        <w:ind w:left="360"/>
        <w:jc w:val="both"/>
        <w:rPr>
          <w:rFonts w:ascii="Arial" w:hAnsi="Arial" w:cs="Arial"/>
        </w:rPr>
      </w:pPr>
    </w:p>
    <w:p w14:paraId="305D7C7A" w14:textId="77777777" w:rsidR="002B6863" w:rsidRPr="002B6863" w:rsidRDefault="00E94AD4" w:rsidP="002B6863">
      <w:pPr>
        <w:pStyle w:val="ListParagraph"/>
        <w:numPr>
          <w:ilvl w:val="0"/>
          <w:numId w:val="6"/>
        </w:numPr>
        <w:spacing w:line="360" w:lineRule="auto"/>
        <w:jc w:val="both"/>
        <w:rPr>
          <w:rStyle w:val="Heading1Char"/>
          <w:rFonts w:ascii="Arial" w:hAnsi="Arial" w:cs="Arial"/>
          <w:sz w:val="22"/>
          <w:szCs w:val="22"/>
        </w:rPr>
      </w:pPr>
      <w:bookmarkStart w:id="6" w:name="_Toc214351119"/>
      <w:r w:rsidRPr="00CD646B">
        <w:rPr>
          <w:rStyle w:val="Heading1Char"/>
          <w:rFonts w:ascii="Arial" w:hAnsi="Arial" w:cs="Arial"/>
          <w:sz w:val="22"/>
          <w:szCs w:val="22"/>
        </w:rPr>
        <w:t>Comparative Assessment</w:t>
      </w:r>
      <w:bookmarkEnd w:id="6"/>
    </w:p>
    <w:p w14:paraId="7493B4BF" w14:textId="0EE989F0" w:rsidR="00E94AD4" w:rsidRPr="002B6863" w:rsidRDefault="00E94AD4" w:rsidP="002B6863">
      <w:pPr>
        <w:spacing w:line="360" w:lineRule="auto"/>
        <w:jc w:val="both"/>
        <w:rPr>
          <w:rFonts w:ascii="Arial" w:eastAsiaTheme="majorEastAsia" w:hAnsi="Arial" w:cs="Arial"/>
          <w:color w:val="0F4761" w:themeColor="accent1" w:themeShade="BF"/>
        </w:rPr>
      </w:pPr>
      <w:r w:rsidRPr="002B6863">
        <w:rPr>
          <w:rFonts w:ascii="Arial" w:hAnsi="Arial" w:cs="Arial"/>
        </w:rPr>
        <w:t xml:space="preserve"> The four contracting approaches vary on risk allocation, control, cost, complexity, and appropriateness.  These distinctions determine the suitability of a particular method for a specific job.</w:t>
      </w:r>
    </w:p>
    <w:tbl>
      <w:tblPr>
        <w:tblStyle w:val="TableGrid"/>
        <w:tblW w:w="0" w:type="auto"/>
        <w:tblLook w:val="04A0" w:firstRow="1" w:lastRow="0" w:firstColumn="1" w:lastColumn="0" w:noHBand="0" w:noVBand="1"/>
      </w:tblPr>
      <w:tblGrid>
        <w:gridCol w:w="1803"/>
        <w:gridCol w:w="1803"/>
        <w:gridCol w:w="1803"/>
        <w:gridCol w:w="1803"/>
        <w:gridCol w:w="1804"/>
      </w:tblGrid>
      <w:tr w:rsidR="004709EA" w:rsidRPr="00CD646B" w14:paraId="12E094C4" w14:textId="77777777" w:rsidTr="004709EA">
        <w:tc>
          <w:tcPr>
            <w:tcW w:w="1803" w:type="dxa"/>
          </w:tcPr>
          <w:p w14:paraId="277DAA4C" w14:textId="7EE529AA" w:rsidR="004709EA" w:rsidRPr="00CD646B" w:rsidRDefault="004709EA" w:rsidP="002B6863">
            <w:pPr>
              <w:spacing w:line="360" w:lineRule="auto"/>
              <w:jc w:val="both"/>
              <w:rPr>
                <w:rFonts w:ascii="Arial" w:hAnsi="Arial" w:cs="Arial"/>
                <w:highlight w:val="yellow"/>
              </w:rPr>
            </w:pPr>
            <w:r w:rsidRPr="00CD646B">
              <w:rPr>
                <w:rFonts w:ascii="Arial" w:hAnsi="Arial" w:cs="Arial"/>
                <w:highlight w:val="yellow"/>
              </w:rPr>
              <w:t xml:space="preserve">Criteria </w:t>
            </w:r>
          </w:p>
        </w:tc>
        <w:tc>
          <w:tcPr>
            <w:tcW w:w="1803" w:type="dxa"/>
          </w:tcPr>
          <w:p w14:paraId="1AFADF9B" w14:textId="6A207B0C" w:rsidR="004709EA" w:rsidRPr="00CD646B" w:rsidRDefault="001E7B1A" w:rsidP="002B6863">
            <w:pPr>
              <w:spacing w:line="360" w:lineRule="auto"/>
              <w:jc w:val="both"/>
              <w:rPr>
                <w:rFonts w:ascii="Arial" w:hAnsi="Arial" w:cs="Arial"/>
                <w:highlight w:val="yellow"/>
              </w:rPr>
            </w:pPr>
            <w:r w:rsidRPr="00CD646B">
              <w:rPr>
                <w:rFonts w:ascii="Arial" w:hAnsi="Arial" w:cs="Arial"/>
                <w:highlight w:val="yellow"/>
              </w:rPr>
              <w:t xml:space="preserve">Turnkey </w:t>
            </w:r>
          </w:p>
        </w:tc>
        <w:tc>
          <w:tcPr>
            <w:tcW w:w="1803" w:type="dxa"/>
          </w:tcPr>
          <w:p w14:paraId="2561076A" w14:textId="2FAB05E1" w:rsidR="004709EA" w:rsidRPr="00CD646B" w:rsidRDefault="001E7B1A" w:rsidP="002B6863">
            <w:pPr>
              <w:spacing w:line="360" w:lineRule="auto"/>
              <w:jc w:val="both"/>
              <w:rPr>
                <w:rFonts w:ascii="Arial" w:hAnsi="Arial" w:cs="Arial"/>
                <w:highlight w:val="yellow"/>
              </w:rPr>
            </w:pPr>
            <w:r w:rsidRPr="00CD646B">
              <w:rPr>
                <w:rFonts w:ascii="Arial" w:hAnsi="Arial" w:cs="Arial"/>
                <w:highlight w:val="yellow"/>
              </w:rPr>
              <w:t xml:space="preserve">Multicontract </w:t>
            </w:r>
          </w:p>
        </w:tc>
        <w:tc>
          <w:tcPr>
            <w:tcW w:w="1803" w:type="dxa"/>
          </w:tcPr>
          <w:p w14:paraId="166639A3" w14:textId="02577395" w:rsidR="004709EA" w:rsidRPr="00CD646B" w:rsidRDefault="001E7B1A" w:rsidP="002B6863">
            <w:pPr>
              <w:spacing w:line="360" w:lineRule="auto"/>
              <w:jc w:val="both"/>
              <w:rPr>
                <w:rFonts w:ascii="Arial" w:hAnsi="Arial" w:cs="Arial"/>
                <w:highlight w:val="yellow"/>
              </w:rPr>
            </w:pPr>
            <w:r w:rsidRPr="00CD646B">
              <w:rPr>
                <w:rFonts w:ascii="Arial" w:hAnsi="Arial" w:cs="Arial"/>
                <w:highlight w:val="yellow"/>
              </w:rPr>
              <w:t>DIY</w:t>
            </w:r>
          </w:p>
        </w:tc>
        <w:tc>
          <w:tcPr>
            <w:tcW w:w="1804" w:type="dxa"/>
          </w:tcPr>
          <w:p w14:paraId="6ABDEAAB" w14:textId="5B5242E0" w:rsidR="004709EA" w:rsidRPr="00CD646B" w:rsidRDefault="00E5686A" w:rsidP="002B6863">
            <w:pPr>
              <w:spacing w:line="360" w:lineRule="auto"/>
              <w:jc w:val="both"/>
              <w:rPr>
                <w:rFonts w:ascii="Arial" w:hAnsi="Arial" w:cs="Arial"/>
                <w:highlight w:val="yellow"/>
              </w:rPr>
            </w:pPr>
            <w:r w:rsidRPr="00CD646B">
              <w:rPr>
                <w:rFonts w:ascii="Arial" w:hAnsi="Arial" w:cs="Arial"/>
                <w:highlight w:val="yellow"/>
              </w:rPr>
              <w:t>Multicontract+ DIY</w:t>
            </w:r>
          </w:p>
        </w:tc>
      </w:tr>
      <w:tr w:rsidR="004709EA" w:rsidRPr="00CD646B" w14:paraId="7B197677" w14:textId="77777777" w:rsidTr="004709EA">
        <w:tc>
          <w:tcPr>
            <w:tcW w:w="1803" w:type="dxa"/>
          </w:tcPr>
          <w:p w14:paraId="4CB7D33B" w14:textId="7EC14205" w:rsidR="004709EA" w:rsidRPr="00CD646B" w:rsidRDefault="00E5686A" w:rsidP="002B6863">
            <w:pPr>
              <w:spacing w:line="360" w:lineRule="auto"/>
              <w:jc w:val="both"/>
              <w:rPr>
                <w:rFonts w:ascii="Arial" w:hAnsi="Arial" w:cs="Arial"/>
              </w:rPr>
            </w:pPr>
            <w:r w:rsidRPr="00CD646B">
              <w:rPr>
                <w:rFonts w:ascii="Arial" w:hAnsi="Arial" w:cs="Arial"/>
              </w:rPr>
              <w:t>Risk allo</w:t>
            </w:r>
            <w:r w:rsidR="009907FB" w:rsidRPr="00CD646B">
              <w:rPr>
                <w:rFonts w:ascii="Arial" w:hAnsi="Arial" w:cs="Arial"/>
              </w:rPr>
              <w:t xml:space="preserve">cation </w:t>
            </w:r>
          </w:p>
        </w:tc>
        <w:tc>
          <w:tcPr>
            <w:tcW w:w="1803" w:type="dxa"/>
          </w:tcPr>
          <w:p w14:paraId="432F68D5" w14:textId="3BD66D6F" w:rsidR="004709EA" w:rsidRPr="00CD646B" w:rsidRDefault="00356799" w:rsidP="002B6863">
            <w:pPr>
              <w:spacing w:line="360" w:lineRule="auto"/>
              <w:jc w:val="both"/>
              <w:rPr>
                <w:rFonts w:ascii="Arial" w:hAnsi="Arial" w:cs="Arial"/>
              </w:rPr>
            </w:pPr>
            <w:r w:rsidRPr="00CD646B">
              <w:rPr>
                <w:rFonts w:ascii="Arial" w:hAnsi="Arial" w:cs="Arial"/>
              </w:rPr>
              <w:t xml:space="preserve">Low </w:t>
            </w:r>
            <w:r w:rsidR="006C7D53" w:rsidRPr="00CD646B">
              <w:rPr>
                <w:rFonts w:ascii="Arial" w:hAnsi="Arial" w:cs="Arial"/>
              </w:rPr>
              <w:t>(</w:t>
            </w:r>
            <w:r w:rsidR="0027594A" w:rsidRPr="00CD646B">
              <w:rPr>
                <w:rFonts w:ascii="Arial" w:hAnsi="Arial" w:cs="Arial"/>
              </w:rPr>
              <w:t>client ris</w:t>
            </w:r>
            <w:r w:rsidR="006C7D53" w:rsidRPr="00CD646B">
              <w:rPr>
                <w:rFonts w:ascii="Arial" w:hAnsi="Arial" w:cs="Arial"/>
              </w:rPr>
              <w:t>k)</w:t>
            </w:r>
          </w:p>
        </w:tc>
        <w:tc>
          <w:tcPr>
            <w:tcW w:w="1803" w:type="dxa"/>
          </w:tcPr>
          <w:p w14:paraId="0CD58A86" w14:textId="0DA6C804" w:rsidR="004709EA" w:rsidRPr="00CD646B" w:rsidRDefault="0031136E" w:rsidP="002B6863">
            <w:pPr>
              <w:spacing w:line="360" w:lineRule="auto"/>
              <w:jc w:val="both"/>
              <w:rPr>
                <w:rFonts w:ascii="Arial" w:hAnsi="Arial" w:cs="Arial"/>
              </w:rPr>
            </w:pPr>
            <w:r w:rsidRPr="00CD646B">
              <w:rPr>
                <w:rFonts w:ascii="Arial" w:hAnsi="Arial" w:cs="Arial"/>
              </w:rPr>
              <w:t xml:space="preserve">High </w:t>
            </w:r>
          </w:p>
        </w:tc>
        <w:tc>
          <w:tcPr>
            <w:tcW w:w="1803" w:type="dxa"/>
          </w:tcPr>
          <w:p w14:paraId="772FF3AB" w14:textId="382C1BCE" w:rsidR="004709EA" w:rsidRPr="00CD646B" w:rsidRDefault="006C2EDA" w:rsidP="002B6863">
            <w:pPr>
              <w:spacing w:line="360" w:lineRule="auto"/>
              <w:jc w:val="both"/>
              <w:rPr>
                <w:rFonts w:ascii="Arial" w:hAnsi="Arial" w:cs="Arial"/>
              </w:rPr>
            </w:pPr>
            <w:r w:rsidRPr="00CD646B">
              <w:rPr>
                <w:rFonts w:ascii="Arial" w:hAnsi="Arial" w:cs="Arial"/>
              </w:rPr>
              <w:t>Very high</w:t>
            </w:r>
          </w:p>
        </w:tc>
        <w:tc>
          <w:tcPr>
            <w:tcW w:w="1804" w:type="dxa"/>
          </w:tcPr>
          <w:p w14:paraId="05A3E1C8" w14:textId="41900B29" w:rsidR="004709EA" w:rsidRPr="00CD646B" w:rsidRDefault="00A318CB" w:rsidP="002B6863">
            <w:pPr>
              <w:spacing w:line="360" w:lineRule="auto"/>
              <w:jc w:val="both"/>
              <w:rPr>
                <w:rFonts w:ascii="Arial" w:hAnsi="Arial" w:cs="Arial"/>
              </w:rPr>
            </w:pPr>
            <w:r w:rsidRPr="00CD646B">
              <w:rPr>
                <w:rFonts w:ascii="Arial" w:hAnsi="Arial" w:cs="Arial"/>
              </w:rPr>
              <w:t xml:space="preserve">Medium </w:t>
            </w:r>
          </w:p>
        </w:tc>
      </w:tr>
      <w:tr w:rsidR="004709EA" w:rsidRPr="00CD646B" w14:paraId="21D18810" w14:textId="77777777" w:rsidTr="004709EA">
        <w:tc>
          <w:tcPr>
            <w:tcW w:w="1803" w:type="dxa"/>
          </w:tcPr>
          <w:p w14:paraId="1AE2B802" w14:textId="2725E65A" w:rsidR="004709EA" w:rsidRPr="00CD646B" w:rsidRDefault="009907FB" w:rsidP="002B6863">
            <w:pPr>
              <w:spacing w:line="360" w:lineRule="auto"/>
              <w:jc w:val="both"/>
              <w:rPr>
                <w:rFonts w:ascii="Arial" w:hAnsi="Arial" w:cs="Arial"/>
              </w:rPr>
            </w:pPr>
            <w:r w:rsidRPr="00CD646B">
              <w:rPr>
                <w:rFonts w:ascii="Arial" w:hAnsi="Arial" w:cs="Arial"/>
              </w:rPr>
              <w:t xml:space="preserve">Control </w:t>
            </w:r>
          </w:p>
        </w:tc>
        <w:tc>
          <w:tcPr>
            <w:tcW w:w="1803" w:type="dxa"/>
          </w:tcPr>
          <w:p w14:paraId="06B9D31C" w14:textId="5355F9F8" w:rsidR="004709EA" w:rsidRPr="00CD646B" w:rsidRDefault="006C7D53" w:rsidP="002B6863">
            <w:pPr>
              <w:spacing w:line="360" w:lineRule="auto"/>
              <w:jc w:val="both"/>
              <w:rPr>
                <w:rFonts w:ascii="Arial" w:hAnsi="Arial" w:cs="Arial"/>
              </w:rPr>
            </w:pPr>
            <w:r w:rsidRPr="00CD646B">
              <w:rPr>
                <w:rFonts w:ascii="Arial" w:hAnsi="Arial" w:cs="Arial"/>
              </w:rPr>
              <w:t xml:space="preserve">Low </w:t>
            </w:r>
          </w:p>
        </w:tc>
        <w:tc>
          <w:tcPr>
            <w:tcW w:w="1803" w:type="dxa"/>
          </w:tcPr>
          <w:p w14:paraId="21E49D5C" w14:textId="638A970A" w:rsidR="004709EA" w:rsidRPr="00CD646B" w:rsidRDefault="0031136E" w:rsidP="002B6863">
            <w:pPr>
              <w:spacing w:line="360" w:lineRule="auto"/>
              <w:jc w:val="both"/>
              <w:rPr>
                <w:rFonts w:ascii="Arial" w:hAnsi="Arial" w:cs="Arial"/>
              </w:rPr>
            </w:pPr>
            <w:r w:rsidRPr="00CD646B">
              <w:rPr>
                <w:rFonts w:ascii="Arial" w:hAnsi="Arial" w:cs="Arial"/>
              </w:rPr>
              <w:t xml:space="preserve">High </w:t>
            </w:r>
          </w:p>
        </w:tc>
        <w:tc>
          <w:tcPr>
            <w:tcW w:w="1803" w:type="dxa"/>
          </w:tcPr>
          <w:p w14:paraId="5A759123" w14:textId="29568C31" w:rsidR="004709EA" w:rsidRPr="00CD646B" w:rsidRDefault="006C2EDA" w:rsidP="002B6863">
            <w:pPr>
              <w:spacing w:line="360" w:lineRule="auto"/>
              <w:jc w:val="both"/>
              <w:rPr>
                <w:rFonts w:ascii="Arial" w:hAnsi="Arial" w:cs="Arial"/>
              </w:rPr>
            </w:pPr>
            <w:r w:rsidRPr="00CD646B">
              <w:rPr>
                <w:rFonts w:ascii="Arial" w:hAnsi="Arial" w:cs="Arial"/>
              </w:rPr>
              <w:t>Very high</w:t>
            </w:r>
          </w:p>
        </w:tc>
        <w:tc>
          <w:tcPr>
            <w:tcW w:w="1804" w:type="dxa"/>
          </w:tcPr>
          <w:p w14:paraId="6B4DC6D3" w14:textId="3E761673" w:rsidR="004709EA" w:rsidRPr="00CD646B" w:rsidRDefault="00A318CB" w:rsidP="002B6863">
            <w:pPr>
              <w:spacing w:line="360" w:lineRule="auto"/>
              <w:jc w:val="both"/>
              <w:rPr>
                <w:rFonts w:ascii="Arial" w:hAnsi="Arial" w:cs="Arial"/>
              </w:rPr>
            </w:pPr>
            <w:r w:rsidRPr="00CD646B">
              <w:rPr>
                <w:rFonts w:ascii="Arial" w:hAnsi="Arial" w:cs="Arial"/>
              </w:rPr>
              <w:t>Medium-high</w:t>
            </w:r>
          </w:p>
        </w:tc>
      </w:tr>
      <w:tr w:rsidR="004709EA" w:rsidRPr="00CD646B" w14:paraId="77519322" w14:textId="77777777" w:rsidTr="004709EA">
        <w:tc>
          <w:tcPr>
            <w:tcW w:w="1803" w:type="dxa"/>
          </w:tcPr>
          <w:p w14:paraId="7E5D8794" w14:textId="6034DF85" w:rsidR="004709EA" w:rsidRPr="00CD646B" w:rsidRDefault="009907FB" w:rsidP="002B6863">
            <w:pPr>
              <w:spacing w:line="360" w:lineRule="auto"/>
              <w:jc w:val="both"/>
              <w:rPr>
                <w:rFonts w:ascii="Arial" w:hAnsi="Arial" w:cs="Arial"/>
              </w:rPr>
            </w:pPr>
            <w:r w:rsidRPr="00CD646B">
              <w:rPr>
                <w:rFonts w:ascii="Arial" w:hAnsi="Arial" w:cs="Arial"/>
              </w:rPr>
              <w:t xml:space="preserve">Cost </w:t>
            </w:r>
          </w:p>
        </w:tc>
        <w:tc>
          <w:tcPr>
            <w:tcW w:w="1803" w:type="dxa"/>
          </w:tcPr>
          <w:p w14:paraId="65273AB0" w14:textId="19923931" w:rsidR="004709EA" w:rsidRPr="00CD646B" w:rsidRDefault="0031136E" w:rsidP="002B6863">
            <w:pPr>
              <w:spacing w:line="360" w:lineRule="auto"/>
              <w:jc w:val="both"/>
              <w:rPr>
                <w:rFonts w:ascii="Arial" w:hAnsi="Arial" w:cs="Arial"/>
              </w:rPr>
            </w:pPr>
            <w:r w:rsidRPr="00CD646B">
              <w:rPr>
                <w:rFonts w:ascii="Arial" w:hAnsi="Arial" w:cs="Arial"/>
              </w:rPr>
              <w:t xml:space="preserve">Predictable, higher </w:t>
            </w:r>
          </w:p>
        </w:tc>
        <w:tc>
          <w:tcPr>
            <w:tcW w:w="1803" w:type="dxa"/>
          </w:tcPr>
          <w:p w14:paraId="2D0370F1" w14:textId="508FD1BF" w:rsidR="004709EA" w:rsidRPr="00CD646B" w:rsidRDefault="006C2EDA" w:rsidP="002B6863">
            <w:pPr>
              <w:spacing w:line="360" w:lineRule="auto"/>
              <w:jc w:val="both"/>
              <w:rPr>
                <w:rFonts w:ascii="Arial" w:hAnsi="Arial" w:cs="Arial"/>
              </w:rPr>
            </w:pPr>
            <w:r w:rsidRPr="00CD646B">
              <w:rPr>
                <w:rFonts w:ascii="Arial" w:hAnsi="Arial" w:cs="Arial"/>
              </w:rPr>
              <w:t xml:space="preserve">Lower, but coordination cost </w:t>
            </w:r>
          </w:p>
        </w:tc>
        <w:tc>
          <w:tcPr>
            <w:tcW w:w="1803" w:type="dxa"/>
          </w:tcPr>
          <w:p w14:paraId="7810A2D1" w14:textId="58C2E57C" w:rsidR="004709EA" w:rsidRPr="00CD646B" w:rsidRDefault="00A318CB" w:rsidP="002B6863">
            <w:pPr>
              <w:spacing w:line="360" w:lineRule="auto"/>
              <w:jc w:val="both"/>
              <w:rPr>
                <w:rFonts w:ascii="Arial" w:hAnsi="Arial" w:cs="Arial"/>
              </w:rPr>
            </w:pPr>
            <w:r w:rsidRPr="00CD646B">
              <w:rPr>
                <w:rFonts w:ascii="Arial" w:hAnsi="Arial" w:cs="Arial"/>
              </w:rPr>
              <w:t xml:space="preserve">Lowest (if skills exists) </w:t>
            </w:r>
          </w:p>
        </w:tc>
        <w:tc>
          <w:tcPr>
            <w:tcW w:w="1804" w:type="dxa"/>
          </w:tcPr>
          <w:p w14:paraId="314320E4" w14:textId="22D5D6D9" w:rsidR="004709EA" w:rsidRPr="00CD646B" w:rsidRDefault="00A318CB" w:rsidP="002B6863">
            <w:pPr>
              <w:spacing w:line="360" w:lineRule="auto"/>
              <w:jc w:val="both"/>
              <w:rPr>
                <w:rFonts w:ascii="Arial" w:hAnsi="Arial" w:cs="Arial"/>
              </w:rPr>
            </w:pPr>
            <w:r w:rsidRPr="00CD646B">
              <w:rPr>
                <w:rFonts w:ascii="Arial" w:hAnsi="Arial" w:cs="Arial"/>
              </w:rPr>
              <w:t xml:space="preserve">Moderate </w:t>
            </w:r>
          </w:p>
        </w:tc>
      </w:tr>
      <w:tr w:rsidR="002A55EE" w:rsidRPr="00CD646B" w14:paraId="63C021DE" w14:textId="77777777" w:rsidTr="004709EA">
        <w:tc>
          <w:tcPr>
            <w:tcW w:w="1803" w:type="dxa"/>
          </w:tcPr>
          <w:p w14:paraId="3CCEE84D" w14:textId="07F59F00" w:rsidR="002A55EE" w:rsidRPr="00CD646B" w:rsidRDefault="00356799" w:rsidP="002B6863">
            <w:pPr>
              <w:spacing w:line="360" w:lineRule="auto"/>
              <w:jc w:val="both"/>
              <w:rPr>
                <w:rFonts w:ascii="Arial" w:hAnsi="Arial" w:cs="Arial"/>
              </w:rPr>
            </w:pPr>
            <w:r w:rsidRPr="00CD646B">
              <w:rPr>
                <w:rFonts w:ascii="Arial" w:hAnsi="Arial" w:cs="Arial"/>
              </w:rPr>
              <w:t xml:space="preserve">Complexity </w:t>
            </w:r>
          </w:p>
        </w:tc>
        <w:tc>
          <w:tcPr>
            <w:tcW w:w="1803" w:type="dxa"/>
          </w:tcPr>
          <w:p w14:paraId="68B29628" w14:textId="6213F2F4" w:rsidR="002A55EE" w:rsidRPr="00CD646B" w:rsidRDefault="0031136E" w:rsidP="002B6863">
            <w:pPr>
              <w:spacing w:line="360" w:lineRule="auto"/>
              <w:jc w:val="both"/>
              <w:rPr>
                <w:rFonts w:ascii="Arial" w:hAnsi="Arial" w:cs="Arial"/>
              </w:rPr>
            </w:pPr>
            <w:r w:rsidRPr="00CD646B">
              <w:rPr>
                <w:rFonts w:ascii="Arial" w:hAnsi="Arial" w:cs="Arial"/>
              </w:rPr>
              <w:t xml:space="preserve">Low </w:t>
            </w:r>
          </w:p>
        </w:tc>
        <w:tc>
          <w:tcPr>
            <w:tcW w:w="1803" w:type="dxa"/>
          </w:tcPr>
          <w:p w14:paraId="2637619D" w14:textId="50659028" w:rsidR="002A55EE" w:rsidRPr="00CD646B" w:rsidRDefault="0031136E" w:rsidP="002B6863">
            <w:pPr>
              <w:spacing w:line="360" w:lineRule="auto"/>
              <w:jc w:val="both"/>
              <w:rPr>
                <w:rFonts w:ascii="Arial" w:hAnsi="Arial" w:cs="Arial"/>
              </w:rPr>
            </w:pPr>
            <w:r w:rsidRPr="00CD646B">
              <w:rPr>
                <w:rFonts w:ascii="Arial" w:hAnsi="Arial" w:cs="Arial"/>
              </w:rPr>
              <w:t xml:space="preserve">High </w:t>
            </w:r>
          </w:p>
        </w:tc>
        <w:tc>
          <w:tcPr>
            <w:tcW w:w="1803" w:type="dxa"/>
          </w:tcPr>
          <w:p w14:paraId="35A878C9" w14:textId="7B32AAB4" w:rsidR="002A55EE" w:rsidRPr="00CD646B" w:rsidRDefault="006C2EDA" w:rsidP="002B6863">
            <w:pPr>
              <w:spacing w:line="360" w:lineRule="auto"/>
              <w:jc w:val="both"/>
              <w:rPr>
                <w:rFonts w:ascii="Arial" w:hAnsi="Arial" w:cs="Arial"/>
              </w:rPr>
            </w:pPr>
            <w:r w:rsidRPr="00CD646B">
              <w:rPr>
                <w:rFonts w:ascii="Arial" w:hAnsi="Arial" w:cs="Arial"/>
              </w:rPr>
              <w:t xml:space="preserve">Medium high </w:t>
            </w:r>
          </w:p>
        </w:tc>
        <w:tc>
          <w:tcPr>
            <w:tcW w:w="1804" w:type="dxa"/>
          </w:tcPr>
          <w:p w14:paraId="1B2E8C11" w14:textId="4218C56C" w:rsidR="002A55EE" w:rsidRPr="00CD646B" w:rsidRDefault="00A318CB" w:rsidP="002B6863">
            <w:pPr>
              <w:spacing w:line="360" w:lineRule="auto"/>
              <w:jc w:val="both"/>
              <w:rPr>
                <w:rFonts w:ascii="Arial" w:hAnsi="Arial" w:cs="Arial"/>
              </w:rPr>
            </w:pPr>
            <w:r w:rsidRPr="00CD646B">
              <w:rPr>
                <w:rFonts w:ascii="Arial" w:hAnsi="Arial" w:cs="Arial"/>
              </w:rPr>
              <w:t xml:space="preserve">High </w:t>
            </w:r>
          </w:p>
        </w:tc>
      </w:tr>
    </w:tbl>
    <w:p w14:paraId="6DC391CC" w14:textId="77777777" w:rsidR="00EA1785" w:rsidRPr="00CD646B" w:rsidRDefault="00EA1785" w:rsidP="002B6863">
      <w:pPr>
        <w:spacing w:line="360" w:lineRule="auto"/>
        <w:jc w:val="both"/>
        <w:rPr>
          <w:rFonts w:ascii="Arial" w:hAnsi="Arial" w:cs="Arial"/>
        </w:rPr>
      </w:pPr>
    </w:p>
    <w:p w14:paraId="06932B5D" w14:textId="3314935B" w:rsidR="00E94AD4" w:rsidRPr="00CD646B" w:rsidRDefault="00E94AD4" w:rsidP="002B6863">
      <w:pPr>
        <w:spacing w:line="360" w:lineRule="auto"/>
        <w:jc w:val="both"/>
        <w:rPr>
          <w:rFonts w:ascii="Arial" w:hAnsi="Arial" w:cs="Arial"/>
          <w:b/>
          <w:bCs/>
        </w:rPr>
      </w:pPr>
      <w:r w:rsidRPr="00CD646B">
        <w:rPr>
          <w:rFonts w:ascii="Arial" w:hAnsi="Arial" w:cs="Arial"/>
        </w:rPr>
        <w:t xml:space="preserve"> </w:t>
      </w:r>
      <w:r w:rsidR="00A318CB" w:rsidRPr="00CD646B">
        <w:rPr>
          <w:rFonts w:ascii="Arial" w:hAnsi="Arial" w:cs="Arial"/>
          <w:b/>
          <w:bCs/>
        </w:rPr>
        <w:t xml:space="preserve">Risk allocation </w:t>
      </w:r>
    </w:p>
    <w:p w14:paraId="4BCF06B2" w14:textId="7A6FE7B8" w:rsidR="00E94AD4" w:rsidRPr="00CD646B" w:rsidRDefault="00E94AD4" w:rsidP="002B6863">
      <w:pPr>
        <w:spacing w:line="360" w:lineRule="auto"/>
        <w:jc w:val="both"/>
        <w:rPr>
          <w:rFonts w:ascii="Arial" w:hAnsi="Arial" w:cs="Arial"/>
        </w:rPr>
      </w:pPr>
      <w:r w:rsidRPr="00CD646B">
        <w:rPr>
          <w:rFonts w:ascii="Arial" w:hAnsi="Arial" w:cs="Arial"/>
        </w:rPr>
        <w:t>Turnkey contracting assigns the greatest risk to the contractor, providing clients with safeguards against design or scheduling errors (Kerzner, 2017).  Conversely, DIY assigns nearly all risks to the organisation, necessitating robust internal competencies.  Multicontract arrangements subject the client to coordination and interface risks, whereas hybrid methodologies present a modest level of risk exposure contingent upon the allocation of duties.</w:t>
      </w:r>
    </w:p>
    <w:p w14:paraId="2C7674C1" w14:textId="5867F7BD" w:rsidR="00E94AD4" w:rsidRPr="00CD646B" w:rsidRDefault="00C24732" w:rsidP="002B6863">
      <w:pPr>
        <w:spacing w:line="360" w:lineRule="auto"/>
        <w:jc w:val="both"/>
        <w:rPr>
          <w:rFonts w:ascii="Arial" w:hAnsi="Arial" w:cs="Arial"/>
          <w:b/>
          <w:bCs/>
        </w:rPr>
      </w:pPr>
      <w:r w:rsidRPr="00CD646B">
        <w:rPr>
          <w:rFonts w:ascii="Arial" w:hAnsi="Arial" w:cs="Arial"/>
          <w:b/>
          <w:bCs/>
        </w:rPr>
        <w:lastRenderedPageBreak/>
        <w:t xml:space="preserve">Control </w:t>
      </w:r>
    </w:p>
    <w:p w14:paraId="123BCA1B" w14:textId="321982EB" w:rsidR="00E94AD4" w:rsidRPr="00CD646B" w:rsidRDefault="00E94AD4" w:rsidP="002B6863">
      <w:pPr>
        <w:spacing w:line="360" w:lineRule="auto"/>
        <w:jc w:val="both"/>
        <w:rPr>
          <w:rFonts w:ascii="Arial" w:hAnsi="Arial" w:cs="Arial"/>
        </w:rPr>
      </w:pPr>
      <w:r w:rsidRPr="00CD646B">
        <w:rPr>
          <w:rFonts w:ascii="Arial" w:hAnsi="Arial" w:cs="Arial"/>
        </w:rPr>
        <w:t>DIY provides the utmost control as all processes are executed internally (Burke, 2018).  Multicontract facilitates enhanced control as the client interacts directly with each contractor.  The turnkey approach provides less control, as the contractor makes the majority of project decisions.  Hybrid techniques provide equilibrium, allowing clients to manage strategic aspects while delegating specialised components.</w:t>
      </w:r>
    </w:p>
    <w:p w14:paraId="1AC51CDE" w14:textId="0CB2E5D9" w:rsidR="00E94AD4" w:rsidRPr="00CD646B" w:rsidRDefault="00E94AD4" w:rsidP="002B6863">
      <w:pPr>
        <w:spacing w:line="360" w:lineRule="auto"/>
        <w:jc w:val="both"/>
        <w:rPr>
          <w:rFonts w:ascii="Arial" w:hAnsi="Arial" w:cs="Arial"/>
          <w:b/>
          <w:bCs/>
        </w:rPr>
      </w:pPr>
      <w:r w:rsidRPr="00CD646B">
        <w:rPr>
          <w:rFonts w:ascii="Arial" w:hAnsi="Arial" w:cs="Arial"/>
          <w:b/>
          <w:bCs/>
        </w:rPr>
        <w:t>Expense</w:t>
      </w:r>
      <w:r w:rsidR="002032F4" w:rsidRPr="00CD646B">
        <w:rPr>
          <w:rFonts w:ascii="Arial" w:hAnsi="Arial" w:cs="Arial"/>
          <w:b/>
          <w:bCs/>
        </w:rPr>
        <w:t>/cost</w:t>
      </w:r>
    </w:p>
    <w:p w14:paraId="3C6B2CA4" w14:textId="17C03BA1" w:rsidR="00E94AD4" w:rsidRPr="00CD646B" w:rsidRDefault="00E94AD4" w:rsidP="002B6863">
      <w:pPr>
        <w:spacing w:line="360" w:lineRule="auto"/>
        <w:jc w:val="both"/>
        <w:rPr>
          <w:rFonts w:ascii="Arial" w:hAnsi="Arial" w:cs="Arial"/>
        </w:rPr>
      </w:pPr>
      <w:r w:rsidRPr="00CD646B">
        <w:rPr>
          <w:rFonts w:ascii="Arial" w:hAnsi="Arial" w:cs="Arial"/>
        </w:rPr>
        <w:t>Cost efficiency differs among methodologies.  DIY could be the most economical choice if the organisation possesses competent internal teams.  Turnkey solutions may seem pricier due to contractor profit margins, yet they offer predictable expenses.  Multicontracts can be economically advantageous but necessitate substantial management resources (Lock, 2020).  Hybrid methodologies enable clients to optimise expenses by retaining simpler jobs.</w:t>
      </w:r>
    </w:p>
    <w:p w14:paraId="6359F61B" w14:textId="3C5E1E65" w:rsidR="00E94AD4" w:rsidRPr="00CD646B" w:rsidRDefault="00E94AD4" w:rsidP="002B6863">
      <w:pPr>
        <w:spacing w:line="360" w:lineRule="auto"/>
        <w:jc w:val="both"/>
        <w:rPr>
          <w:rFonts w:ascii="Arial" w:hAnsi="Arial" w:cs="Arial"/>
          <w:b/>
          <w:bCs/>
        </w:rPr>
      </w:pPr>
      <w:r w:rsidRPr="00CD646B">
        <w:rPr>
          <w:rFonts w:ascii="Arial" w:hAnsi="Arial" w:cs="Arial"/>
          <w:b/>
          <w:bCs/>
        </w:rPr>
        <w:t xml:space="preserve"> Intricacy</w:t>
      </w:r>
      <w:r w:rsidR="00274712" w:rsidRPr="00CD646B">
        <w:rPr>
          <w:rFonts w:ascii="Arial" w:hAnsi="Arial" w:cs="Arial"/>
          <w:b/>
          <w:bCs/>
        </w:rPr>
        <w:t>/complexity</w:t>
      </w:r>
    </w:p>
    <w:p w14:paraId="6A4494EE" w14:textId="54E82064" w:rsidR="00E94AD4" w:rsidRPr="00CD646B" w:rsidRDefault="00E94AD4" w:rsidP="002B6863">
      <w:pPr>
        <w:spacing w:line="360" w:lineRule="auto"/>
        <w:jc w:val="both"/>
        <w:rPr>
          <w:rFonts w:ascii="Arial" w:hAnsi="Arial" w:cs="Arial"/>
        </w:rPr>
      </w:pPr>
      <w:r w:rsidRPr="00CD646B">
        <w:rPr>
          <w:rFonts w:ascii="Arial" w:hAnsi="Arial" w:cs="Arial"/>
        </w:rPr>
        <w:t>Turnkey contracting is the most straightforward option for the client, necessitating minimal oversight.  Multicontract and hybrid methodologies exhibit considerably greater complexity owing to heightened coordination difficulties (Meredith and Mantel, 2017</w:t>
      </w:r>
      <w:r w:rsidR="00D42006" w:rsidRPr="00CD646B">
        <w:rPr>
          <w:rFonts w:ascii="Arial" w:hAnsi="Arial" w:cs="Arial"/>
        </w:rPr>
        <w:t xml:space="preserve">; </w:t>
      </w:r>
      <w:r w:rsidRPr="00CD646B">
        <w:rPr>
          <w:rFonts w:ascii="Arial" w:hAnsi="Arial" w:cs="Arial"/>
        </w:rPr>
        <w:t>).  DIY also introduces complications if the organisation lacks structure or experience.</w:t>
      </w:r>
    </w:p>
    <w:p w14:paraId="2E5DCD46" w14:textId="682F82D4" w:rsidR="00E94AD4" w:rsidRPr="00CD646B" w:rsidRDefault="00E94AD4" w:rsidP="002B6863">
      <w:pPr>
        <w:spacing w:line="360" w:lineRule="auto"/>
        <w:jc w:val="both"/>
        <w:rPr>
          <w:rFonts w:ascii="Arial" w:hAnsi="Arial" w:cs="Arial"/>
          <w:b/>
          <w:bCs/>
        </w:rPr>
      </w:pPr>
      <w:r w:rsidRPr="00CD646B">
        <w:rPr>
          <w:rFonts w:ascii="Arial" w:hAnsi="Arial" w:cs="Arial"/>
          <w:b/>
          <w:bCs/>
        </w:rPr>
        <w:t>Appropriateness for Project Categories</w:t>
      </w:r>
    </w:p>
    <w:p w14:paraId="72D38150" w14:textId="0AAD592C" w:rsidR="00E94AD4" w:rsidRPr="00CD646B" w:rsidRDefault="00E94AD4" w:rsidP="002B6863">
      <w:pPr>
        <w:spacing w:line="360" w:lineRule="auto"/>
        <w:jc w:val="both"/>
        <w:rPr>
          <w:rFonts w:ascii="Arial" w:hAnsi="Arial" w:cs="Arial"/>
        </w:rPr>
      </w:pPr>
      <w:r w:rsidRPr="00CD646B">
        <w:rPr>
          <w:rFonts w:ascii="Arial" w:hAnsi="Arial" w:cs="Arial"/>
        </w:rPr>
        <w:t xml:space="preserve">The optimal approach is contingent </w:t>
      </w:r>
      <w:r w:rsidR="000266AF" w:rsidRPr="00CD646B">
        <w:rPr>
          <w:rFonts w:ascii="Arial" w:hAnsi="Arial" w:cs="Arial"/>
        </w:rPr>
        <w:t>upon</w:t>
      </w:r>
      <w:r w:rsidR="00D816EE" w:rsidRPr="00CD646B">
        <w:rPr>
          <w:rFonts w:ascii="Arial" w:hAnsi="Arial" w:cs="Arial"/>
        </w:rPr>
        <w:t xml:space="preserve"> </w:t>
      </w:r>
      <w:r w:rsidRPr="00CD646B">
        <w:rPr>
          <w:rFonts w:ascii="Arial" w:hAnsi="Arial" w:cs="Arial"/>
        </w:rPr>
        <w:t>dimensions of the project</w:t>
      </w:r>
      <w:r w:rsidR="00E01429" w:rsidRPr="00CD646B">
        <w:rPr>
          <w:rFonts w:ascii="Arial" w:hAnsi="Arial" w:cs="Arial"/>
        </w:rPr>
        <w:t xml:space="preserve">, </w:t>
      </w:r>
      <w:r w:rsidRPr="00CD646B">
        <w:rPr>
          <w:rFonts w:ascii="Arial" w:hAnsi="Arial" w:cs="Arial"/>
        </w:rPr>
        <w:t>organisational proficiency</w:t>
      </w:r>
      <w:r w:rsidR="00E01429" w:rsidRPr="00CD646B">
        <w:rPr>
          <w:rFonts w:ascii="Arial" w:hAnsi="Arial" w:cs="Arial"/>
        </w:rPr>
        <w:t xml:space="preserve">, </w:t>
      </w:r>
      <w:r w:rsidRPr="00CD646B">
        <w:rPr>
          <w:rFonts w:ascii="Arial" w:hAnsi="Arial" w:cs="Arial"/>
        </w:rPr>
        <w:t>risk appetite</w:t>
      </w:r>
      <w:r w:rsidR="00E01429" w:rsidRPr="00CD646B">
        <w:rPr>
          <w:rFonts w:ascii="Arial" w:hAnsi="Arial" w:cs="Arial"/>
        </w:rPr>
        <w:t xml:space="preserve">, </w:t>
      </w:r>
      <w:r w:rsidRPr="00CD646B">
        <w:rPr>
          <w:rFonts w:ascii="Arial" w:hAnsi="Arial" w:cs="Arial"/>
        </w:rPr>
        <w:t>intricacy</w:t>
      </w:r>
      <w:r w:rsidR="00E01429" w:rsidRPr="00CD646B">
        <w:rPr>
          <w:rFonts w:ascii="Arial" w:hAnsi="Arial" w:cs="Arial"/>
        </w:rPr>
        <w:t>,</w:t>
      </w:r>
      <w:r w:rsidRPr="00CD646B">
        <w:rPr>
          <w:rFonts w:ascii="Arial" w:hAnsi="Arial" w:cs="Arial"/>
        </w:rPr>
        <w:t xml:space="preserve"> regulatory framework</w:t>
      </w:r>
      <w:r w:rsidR="00E01429" w:rsidRPr="00CD646B">
        <w:rPr>
          <w:rFonts w:ascii="Arial" w:hAnsi="Arial" w:cs="Arial"/>
        </w:rPr>
        <w:t>,</w:t>
      </w:r>
      <w:r w:rsidRPr="00CD646B">
        <w:rPr>
          <w:rFonts w:ascii="Arial" w:hAnsi="Arial" w:cs="Arial"/>
        </w:rPr>
        <w:t xml:space="preserve"> velocity specifications</w:t>
      </w:r>
    </w:p>
    <w:p w14:paraId="3714CC1B" w14:textId="3742924D" w:rsidR="00E94AD4" w:rsidRPr="00CD646B" w:rsidRDefault="00E94AD4" w:rsidP="002B6863">
      <w:pPr>
        <w:spacing w:line="360" w:lineRule="auto"/>
        <w:jc w:val="both"/>
        <w:rPr>
          <w:rFonts w:ascii="Arial" w:hAnsi="Arial" w:cs="Arial"/>
        </w:rPr>
      </w:pPr>
      <w:r w:rsidRPr="00CD646B">
        <w:rPr>
          <w:rFonts w:ascii="Arial" w:hAnsi="Arial" w:cs="Arial"/>
        </w:rPr>
        <w:t>Turnkey is suitable for large engineering projects, multicontract is appropriate for infrastructure projects necessitating oversight, DIY is ideal for small internal initiatives, and hybrid is fitting for technically complex yet strategically sensitive projects.</w:t>
      </w:r>
    </w:p>
    <w:p w14:paraId="33E6ECF8" w14:textId="77777777" w:rsidR="00E94AD4" w:rsidRPr="00CD646B" w:rsidRDefault="00E94AD4" w:rsidP="002B6863">
      <w:pPr>
        <w:spacing w:line="360" w:lineRule="auto"/>
        <w:ind w:left="360"/>
        <w:jc w:val="both"/>
        <w:rPr>
          <w:rFonts w:ascii="Arial" w:hAnsi="Arial" w:cs="Arial"/>
        </w:rPr>
      </w:pPr>
    </w:p>
    <w:p w14:paraId="375C3C63" w14:textId="7F1ABB5C" w:rsidR="00E94AD4" w:rsidRPr="002B6863" w:rsidRDefault="00E94AD4" w:rsidP="002B6863">
      <w:pPr>
        <w:pStyle w:val="ListParagraph"/>
        <w:numPr>
          <w:ilvl w:val="0"/>
          <w:numId w:val="6"/>
        </w:numPr>
        <w:spacing w:line="360" w:lineRule="auto"/>
        <w:jc w:val="both"/>
        <w:rPr>
          <w:rFonts w:ascii="Arial" w:hAnsi="Arial" w:cs="Arial"/>
        </w:rPr>
      </w:pPr>
      <w:bookmarkStart w:id="7" w:name="_Toc214351120"/>
      <w:r w:rsidRPr="00CD646B">
        <w:rPr>
          <w:rStyle w:val="Heading1Char"/>
          <w:rFonts w:ascii="Arial" w:hAnsi="Arial" w:cs="Arial"/>
          <w:sz w:val="22"/>
          <w:szCs w:val="22"/>
        </w:rPr>
        <w:t>Conclusion</w:t>
      </w:r>
      <w:bookmarkEnd w:id="7"/>
    </w:p>
    <w:p w14:paraId="63EE3F60" w14:textId="79EA2096" w:rsidR="00E94AD4" w:rsidRPr="00CD646B" w:rsidRDefault="00E94AD4" w:rsidP="002B6863">
      <w:pPr>
        <w:spacing w:line="360" w:lineRule="auto"/>
        <w:jc w:val="both"/>
        <w:rPr>
          <w:rFonts w:ascii="Arial" w:hAnsi="Arial" w:cs="Arial"/>
        </w:rPr>
      </w:pPr>
      <w:r w:rsidRPr="00CD646B">
        <w:rPr>
          <w:rFonts w:ascii="Arial" w:hAnsi="Arial" w:cs="Arial"/>
        </w:rPr>
        <w:t>Contracting is essential in project management as it delineates the allocation of responsibilities, risks, and resources among project stakeholders.  This essay examined four principal contracting methods—Turnkey, Multicontract, DIY, and Multicontract + DIY—while elucidating their respective advantages, disadvantages, and contextual applications.</w:t>
      </w:r>
    </w:p>
    <w:p w14:paraId="46024182" w14:textId="25F114A1" w:rsidR="00E94AD4" w:rsidRPr="00CD646B" w:rsidRDefault="00E94AD4" w:rsidP="002B6863">
      <w:pPr>
        <w:spacing w:line="360" w:lineRule="auto"/>
        <w:jc w:val="both"/>
        <w:rPr>
          <w:rFonts w:ascii="Arial" w:hAnsi="Arial" w:cs="Arial"/>
        </w:rPr>
      </w:pPr>
      <w:r w:rsidRPr="00CD646B">
        <w:rPr>
          <w:rFonts w:ascii="Arial" w:hAnsi="Arial" w:cs="Arial"/>
        </w:rPr>
        <w:t xml:space="preserve">Turnkey contracting mitigates client risk and streamlines administration, </w:t>
      </w:r>
      <w:r w:rsidR="000266AF" w:rsidRPr="00CD646B">
        <w:rPr>
          <w:rFonts w:ascii="Arial" w:hAnsi="Arial" w:cs="Arial"/>
        </w:rPr>
        <w:t>however,</w:t>
      </w:r>
      <w:r w:rsidRPr="00CD646B">
        <w:rPr>
          <w:rFonts w:ascii="Arial" w:hAnsi="Arial" w:cs="Arial"/>
        </w:rPr>
        <w:t xml:space="preserve"> constrains control.  Multicontracts provide flexibility and enhanced control, although they can create complexities in coordination.  DIY offers optimal control and cost efficiency but requires </w:t>
      </w:r>
      <w:r w:rsidRPr="00CD646B">
        <w:rPr>
          <w:rFonts w:ascii="Arial" w:hAnsi="Arial" w:cs="Arial"/>
        </w:rPr>
        <w:lastRenderedPageBreak/>
        <w:t>significant internal skills and resources.  The hybrid Multicontract + DIY technique presents a balanced strategy, merging internal competencies with external expertise, yet necessitating robust project control.</w:t>
      </w:r>
    </w:p>
    <w:p w14:paraId="5F97E6D3" w14:textId="77777777" w:rsidR="00E94AD4" w:rsidRPr="00CD646B" w:rsidRDefault="00E94AD4" w:rsidP="002B6863">
      <w:pPr>
        <w:spacing w:line="360" w:lineRule="auto"/>
        <w:ind w:left="360"/>
        <w:jc w:val="both"/>
        <w:rPr>
          <w:rFonts w:ascii="Arial" w:hAnsi="Arial" w:cs="Arial"/>
        </w:rPr>
      </w:pPr>
    </w:p>
    <w:p w14:paraId="3DB52AD1" w14:textId="2CB11AF6" w:rsidR="006D27A7" w:rsidRDefault="00E94AD4" w:rsidP="002B6863">
      <w:pPr>
        <w:spacing w:line="360" w:lineRule="auto"/>
        <w:jc w:val="both"/>
        <w:rPr>
          <w:rFonts w:ascii="Arial" w:hAnsi="Arial" w:cs="Arial"/>
        </w:rPr>
      </w:pPr>
      <w:r w:rsidRPr="00CD646B">
        <w:rPr>
          <w:rFonts w:ascii="Arial" w:hAnsi="Arial" w:cs="Arial"/>
        </w:rPr>
        <w:t>Comprehending the advantages and drawbacks of each contracting method allows project managers to choose the approach that most effectively corresponds with their project's complexity, organisational competencies, risk profile, and strategic goals.  Ultimately, good contracting improves project efficiency, quality, and the probability of successful delivery.</w:t>
      </w:r>
    </w:p>
    <w:p w14:paraId="50C70381" w14:textId="77777777" w:rsidR="000F1B40" w:rsidRDefault="000F1B40" w:rsidP="002B6863">
      <w:pPr>
        <w:spacing w:line="360" w:lineRule="auto"/>
        <w:jc w:val="both"/>
        <w:rPr>
          <w:rFonts w:ascii="Arial" w:hAnsi="Arial" w:cs="Arial"/>
        </w:rPr>
      </w:pPr>
    </w:p>
    <w:p w14:paraId="558080E7" w14:textId="77777777" w:rsidR="000F1B40" w:rsidRDefault="000F1B40" w:rsidP="002B6863">
      <w:pPr>
        <w:spacing w:line="360" w:lineRule="auto"/>
        <w:jc w:val="both"/>
        <w:rPr>
          <w:rFonts w:ascii="Arial" w:hAnsi="Arial" w:cs="Arial"/>
        </w:rPr>
      </w:pPr>
    </w:p>
    <w:p w14:paraId="6112F967" w14:textId="77777777" w:rsidR="000F1B40" w:rsidRDefault="000F1B40" w:rsidP="002B6863">
      <w:pPr>
        <w:spacing w:line="360" w:lineRule="auto"/>
        <w:jc w:val="both"/>
        <w:rPr>
          <w:rFonts w:ascii="Arial" w:hAnsi="Arial" w:cs="Arial"/>
        </w:rPr>
      </w:pPr>
    </w:p>
    <w:p w14:paraId="2F18780E" w14:textId="77777777" w:rsidR="000F1B40" w:rsidRDefault="000F1B40" w:rsidP="002B6863">
      <w:pPr>
        <w:spacing w:line="360" w:lineRule="auto"/>
        <w:jc w:val="both"/>
        <w:rPr>
          <w:rFonts w:ascii="Arial" w:hAnsi="Arial" w:cs="Arial"/>
        </w:rPr>
      </w:pPr>
    </w:p>
    <w:p w14:paraId="0FD11AAE" w14:textId="77777777" w:rsidR="000F1B40" w:rsidRDefault="000F1B40" w:rsidP="002B6863">
      <w:pPr>
        <w:spacing w:line="360" w:lineRule="auto"/>
        <w:jc w:val="both"/>
        <w:rPr>
          <w:rFonts w:ascii="Arial" w:hAnsi="Arial" w:cs="Arial"/>
        </w:rPr>
      </w:pPr>
    </w:p>
    <w:p w14:paraId="0C290789" w14:textId="77777777" w:rsidR="000F1B40" w:rsidRDefault="000F1B40" w:rsidP="002B6863">
      <w:pPr>
        <w:spacing w:line="360" w:lineRule="auto"/>
        <w:jc w:val="both"/>
        <w:rPr>
          <w:rFonts w:ascii="Arial" w:hAnsi="Arial" w:cs="Arial"/>
        </w:rPr>
      </w:pPr>
    </w:p>
    <w:p w14:paraId="3B3BF055" w14:textId="77777777" w:rsidR="000F1B40" w:rsidRDefault="000F1B40" w:rsidP="002B6863">
      <w:pPr>
        <w:spacing w:line="360" w:lineRule="auto"/>
        <w:jc w:val="both"/>
        <w:rPr>
          <w:rFonts w:ascii="Arial" w:hAnsi="Arial" w:cs="Arial"/>
        </w:rPr>
      </w:pPr>
    </w:p>
    <w:p w14:paraId="3CD81F6B" w14:textId="77777777" w:rsidR="000F1B40" w:rsidRDefault="000F1B40" w:rsidP="002B6863">
      <w:pPr>
        <w:spacing w:line="360" w:lineRule="auto"/>
        <w:jc w:val="both"/>
        <w:rPr>
          <w:rFonts w:ascii="Arial" w:hAnsi="Arial" w:cs="Arial"/>
        </w:rPr>
      </w:pPr>
    </w:p>
    <w:p w14:paraId="371F1147" w14:textId="77777777" w:rsidR="000F1B40" w:rsidRDefault="000F1B40" w:rsidP="002B6863">
      <w:pPr>
        <w:spacing w:line="360" w:lineRule="auto"/>
        <w:jc w:val="both"/>
        <w:rPr>
          <w:rFonts w:ascii="Arial" w:hAnsi="Arial" w:cs="Arial"/>
        </w:rPr>
      </w:pPr>
    </w:p>
    <w:p w14:paraId="6073E661" w14:textId="77777777" w:rsidR="000F1B40" w:rsidRDefault="000F1B40" w:rsidP="002B6863">
      <w:pPr>
        <w:spacing w:line="360" w:lineRule="auto"/>
        <w:jc w:val="both"/>
        <w:rPr>
          <w:rFonts w:ascii="Arial" w:hAnsi="Arial" w:cs="Arial"/>
        </w:rPr>
      </w:pPr>
    </w:p>
    <w:p w14:paraId="49F596A8" w14:textId="77777777" w:rsidR="000F1B40" w:rsidRDefault="000F1B40" w:rsidP="002B6863">
      <w:pPr>
        <w:spacing w:line="360" w:lineRule="auto"/>
        <w:jc w:val="both"/>
        <w:rPr>
          <w:rFonts w:ascii="Arial" w:hAnsi="Arial" w:cs="Arial"/>
        </w:rPr>
      </w:pPr>
    </w:p>
    <w:p w14:paraId="3024C0BE" w14:textId="77777777" w:rsidR="000F1B40" w:rsidRDefault="000F1B40" w:rsidP="002B6863">
      <w:pPr>
        <w:spacing w:line="360" w:lineRule="auto"/>
        <w:jc w:val="both"/>
        <w:rPr>
          <w:rFonts w:ascii="Arial" w:hAnsi="Arial" w:cs="Arial"/>
        </w:rPr>
      </w:pPr>
    </w:p>
    <w:p w14:paraId="3FBCFD82" w14:textId="77777777" w:rsidR="000F1B40" w:rsidRDefault="000F1B40" w:rsidP="002B6863">
      <w:pPr>
        <w:spacing w:line="360" w:lineRule="auto"/>
        <w:jc w:val="both"/>
        <w:rPr>
          <w:rFonts w:ascii="Arial" w:hAnsi="Arial" w:cs="Arial"/>
        </w:rPr>
      </w:pPr>
    </w:p>
    <w:p w14:paraId="398B29F5" w14:textId="77777777" w:rsidR="000F1B40" w:rsidRDefault="000F1B40" w:rsidP="002B6863">
      <w:pPr>
        <w:spacing w:line="360" w:lineRule="auto"/>
        <w:jc w:val="both"/>
        <w:rPr>
          <w:rFonts w:ascii="Arial" w:hAnsi="Arial" w:cs="Arial"/>
        </w:rPr>
      </w:pPr>
    </w:p>
    <w:p w14:paraId="3A873795" w14:textId="77777777" w:rsidR="000F1B40" w:rsidRDefault="000F1B40" w:rsidP="002B6863">
      <w:pPr>
        <w:spacing w:line="360" w:lineRule="auto"/>
        <w:jc w:val="both"/>
        <w:rPr>
          <w:rFonts w:ascii="Arial" w:hAnsi="Arial" w:cs="Arial"/>
        </w:rPr>
      </w:pPr>
    </w:p>
    <w:p w14:paraId="0B9B812D" w14:textId="77777777" w:rsidR="000F1B40" w:rsidRDefault="000F1B40" w:rsidP="002B6863">
      <w:pPr>
        <w:spacing w:line="360" w:lineRule="auto"/>
        <w:jc w:val="both"/>
        <w:rPr>
          <w:rFonts w:ascii="Arial" w:hAnsi="Arial" w:cs="Arial"/>
        </w:rPr>
      </w:pPr>
    </w:p>
    <w:p w14:paraId="7772CA50" w14:textId="77777777" w:rsidR="000F1B40" w:rsidRDefault="000F1B40" w:rsidP="002B6863">
      <w:pPr>
        <w:spacing w:line="360" w:lineRule="auto"/>
        <w:jc w:val="both"/>
        <w:rPr>
          <w:rFonts w:ascii="Arial" w:hAnsi="Arial" w:cs="Arial"/>
        </w:rPr>
      </w:pPr>
    </w:p>
    <w:p w14:paraId="448695D1" w14:textId="77777777" w:rsidR="000F1B40" w:rsidRPr="00CD646B" w:rsidRDefault="000F1B40" w:rsidP="002B6863">
      <w:pPr>
        <w:spacing w:line="360" w:lineRule="auto"/>
        <w:jc w:val="both"/>
        <w:rPr>
          <w:rFonts w:ascii="Arial" w:hAnsi="Arial" w:cs="Arial"/>
        </w:rPr>
      </w:pPr>
    </w:p>
    <w:p w14:paraId="57ACAD5A" w14:textId="68790ED4" w:rsidR="004D0349" w:rsidRPr="00CD646B" w:rsidRDefault="004D0349" w:rsidP="002B6863">
      <w:pPr>
        <w:pStyle w:val="Heading1"/>
        <w:numPr>
          <w:ilvl w:val="0"/>
          <w:numId w:val="6"/>
        </w:numPr>
        <w:spacing w:line="360" w:lineRule="auto"/>
        <w:jc w:val="both"/>
        <w:rPr>
          <w:rFonts w:ascii="Arial" w:hAnsi="Arial" w:cs="Arial"/>
          <w:sz w:val="22"/>
          <w:szCs w:val="22"/>
        </w:rPr>
      </w:pPr>
      <w:bookmarkStart w:id="8" w:name="_Toc214351121"/>
      <w:r w:rsidRPr="00CD646B">
        <w:rPr>
          <w:rFonts w:ascii="Arial" w:hAnsi="Arial" w:cs="Arial"/>
          <w:sz w:val="22"/>
          <w:szCs w:val="22"/>
        </w:rPr>
        <w:lastRenderedPageBreak/>
        <w:t>Reference list</w:t>
      </w:r>
      <w:bookmarkEnd w:id="8"/>
      <w:r w:rsidRPr="00CD646B">
        <w:rPr>
          <w:rFonts w:ascii="Arial" w:hAnsi="Arial" w:cs="Arial"/>
          <w:sz w:val="22"/>
          <w:szCs w:val="22"/>
        </w:rPr>
        <w:t xml:space="preserve"> </w:t>
      </w:r>
    </w:p>
    <w:p w14:paraId="0CFE64A3" w14:textId="77777777" w:rsidR="002B6863" w:rsidRDefault="00B81B05" w:rsidP="002B6863">
      <w:pPr>
        <w:spacing w:line="360" w:lineRule="auto"/>
        <w:jc w:val="both"/>
        <w:rPr>
          <w:rFonts w:ascii="Arial" w:hAnsi="Arial" w:cs="Arial"/>
        </w:rPr>
      </w:pPr>
      <w:r w:rsidRPr="00CD646B">
        <w:rPr>
          <w:rFonts w:ascii="Arial" w:hAnsi="Arial" w:cs="Arial"/>
        </w:rPr>
        <w:t xml:space="preserve">Burke, R. (2018) </w:t>
      </w:r>
      <w:r w:rsidRPr="00CD646B">
        <w:rPr>
          <w:rFonts w:ascii="Arial" w:hAnsi="Arial" w:cs="Arial"/>
          <w:i/>
          <w:iCs/>
        </w:rPr>
        <w:t>Project Management: Planning and Control Techniques</w:t>
      </w:r>
      <w:r w:rsidRPr="00CD646B">
        <w:rPr>
          <w:rFonts w:ascii="Arial" w:hAnsi="Arial" w:cs="Arial"/>
        </w:rPr>
        <w:t>. 6th ed. Routledge.</w:t>
      </w:r>
    </w:p>
    <w:p w14:paraId="09FF510D" w14:textId="77777777" w:rsidR="002B6863" w:rsidRDefault="00B81B05" w:rsidP="002B6863">
      <w:pPr>
        <w:spacing w:line="360" w:lineRule="auto"/>
        <w:jc w:val="both"/>
        <w:rPr>
          <w:rFonts w:ascii="Arial" w:hAnsi="Arial" w:cs="Arial"/>
        </w:rPr>
      </w:pPr>
      <w:r w:rsidRPr="00CD646B">
        <w:rPr>
          <w:rFonts w:ascii="Arial" w:hAnsi="Arial" w:cs="Arial"/>
        </w:rPr>
        <w:t>Castro, A. (2024) ‘Reintegrating legal perspectives into project delivery models’</w:t>
      </w:r>
      <w:r w:rsidRPr="00CD646B">
        <w:rPr>
          <w:rFonts w:ascii="Arial" w:hAnsi="Arial" w:cs="Arial"/>
          <w:i/>
          <w:iCs/>
        </w:rPr>
        <w:t>, Engineering, Construction &amp; Architectural Management.</w:t>
      </w:r>
    </w:p>
    <w:p w14:paraId="697D8264" w14:textId="0C7BF1FE" w:rsidR="00B81B05" w:rsidRPr="002B6863" w:rsidRDefault="00B81B05" w:rsidP="002B6863">
      <w:pPr>
        <w:spacing w:line="360" w:lineRule="auto"/>
        <w:jc w:val="both"/>
        <w:rPr>
          <w:rFonts w:ascii="Arial" w:hAnsi="Arial" w:cs="Arial"/>
        </w:rPr>
      </w:pPr>
      <w:r w:rsidRPr="00CD646B">
        <w:rPr>
          <w:rFonts w:ascii="Arial" w:hAnsi="Arial" w:cs="Arial"/>
        </w:rPr>
        <w:t xml:space="preserve">Kamoche, K.R. (2024) ‘An evaluation of the effectiveness of contract procurement methods’, </w:t>
      </w:r>
      <w:r w:rsidRPr="00CD646B">
        <w:rPr>
          <w:rFonts w:ascii="Arial" w:hAnsi="Arial" w:cs="Arial"/>
          <w:i/>
          <w:iCs/>
        </w:rPr>
        <w:t>Journal of Development &amp; Entrepreneurship.</w:t>
      </w:r>
    </w:p>
    <w:p w14:paraId="0F00180A" w14:textId="450CFCF2" w:rsidR="00B81B05" w:rsidRPr="00CD646B" w:rsidRDefault="00B81B05" w:rsidP="002B6863">
      <w:pPr>
        <w:spacing w:line="360" w:lineRule="auto"/>
        <w:jc w:val="both"/>
        <w:rPr>
          <w:rFonts w:ascii="Arial" w:hAnsi="Arial" w:cs="Arial"/>
        </w:rPr>
      </w:pPr>
      <w:r w:rsidRPr="00CD646B">
        <w:rPr>
          <w:rFonts w:ascii="Arial" w:hAnsi="Arial" w:cs="Arial"/>
        </w:rPr>
        <w:t xml:space="preserve">Kerzner, H. (2017) </w:t>
      </w:r>
      <w:r w:rsidRPr="00CD646B">
        <w:rPr>
          <w:rFonts w:ascii="Arial" w:hAnsi="Arial" w:cs="Arial"/>
          <w:i/>
          <w:iCs/>
        </w:rPr>
        <w:t>Project Management: A Systems Approach to Planning, Scheduling, and Controlling.</w:t>
      </w:r>
      <w:r w:rsidRPr="00CD646B">
        <w:rPr>
          <w:rFonts w:ascii="Arial" w:hAnsi="Arial" w:cs="Arial"/>
        </w:rPr>
        <w:t xml:space="preserve"> 12th ed</w:t>
      </w:r>
      <w:r w:rsidR="00BD0F00" w:rsidRPr="00CD646B">
        <w:rPr>
          <w:rFonts w:ascii="Arial" w:hAnsi="Arial" w:cs="Arial"/>
        </w:rPr>
        <w:t xml:space="preserve">. </w:t>
      </w:r>
      <w:r w:rsidRPr="00CD646B">
        <w:rPr>
          <w:rFonts w:ascii="Arial" w:hAnsi="Arial" w:cs="Arial"/>
        </w:rPr>
        <w:t xml:space="preserve"> Wiley.</w:t>
      </w:r>
    </w:p>
    <w:p w14:paraId="11A6E5B8" w14:textId="77777777" w:rsidR="00B81B05" w:rsidRPr="00CD646B" w:rsidRDefault="00B81B05" w:rsidP="002B6863">
      <w:pPr>
        <w:spacing w:line="360" w:lineRule="auto"/>
        <w:jc w:val="both"/>
        <w:rPr>
          <w:rFonts w:ascii="Arial" w:hAnsi="Arial" w:cs="Arial"/>
          <w:i/>
          <w:iCs/>
        </w:rPr>
      </w:pPr>
      <w:r w:rsidRPr="00CD646B">
        <w:rPr>
          <w:rFonts w:ascii="Arial" w:hAnsi="Arial" w:cs="Arial"/>
        </w:rPr>
        <w:t xml:space="preserve">Kineber, A.F. et al. (2024) ‘Agile project management for sustainable construction’, </w:t>
      </w:r>
      <w:r w:rsidRPr="00CD646B">
        <w:rPr>
          <w:rFonts w:ascii="Arial" w:hAnsi="Arial" w:cs="Arial"/>
          <w:i/>
          <w:iCs/>
        </w:rPr>
        <w:t>Frontiers in the Built Environment.</w:t>
      </w:r>
    </w:p>
    <w:p w14:paraId="4AC76C28" w14:textId="45509C3F" w:rsidR="00B81B05" w:rsidRPr="00CD646B" w:rsidRDefault="00B81B05" w:rsidP="002B6863">
      <w:pPr>
        <w:spacing w:line="360" w:lineRule="auto"/>
        <w:jc w:val="both"/>
        <w:rPr>
          <w:rFonts w:ascii="Arial" w:hAnsi="Arial" w:cs="Arial"/>
        </w:rPr>
      </w:pPr>
      <w:r w:rsidRPr="00CD646B">
        <w:rPr>
          <w:rFonts w:ascii="Arial" w:hAnsi="Arial" w:cs="Arial"/>
        </w:rPr>
        <w:t xml:space="preserve">Lester, A. (2021) </w:t>
      </w:r>
      <w:r w:rsidRPr="00CD646B">
        <w:rPr>
          <w:rFonts w:ascii="Arial" w:hAnsi="Arial" w:cs="Arial"/>
          <w:i/>
          <w:iCs/>
        </w:rPr>
        <w:t>Project Management, Planning and Control</w:t>
      </w:r>
      <w:r w:rsidRPr="00CD646B">
        <w:rPr>
          <w:rFonts w:ascii="Arial" w:hAnsi="Arial" w:cs="Arial"/>
        </w:rPr>
        <w:t>. 8th ed. Butterworth-Heinemann.</w:t>
      </w:r>
    </w:p>
    <w:p w14:paraId="5F8D09BB" w14:textId="4086EB56" w:rsidR="00B81B05" w:rsidRPr="00CD646B" w:rsidRDefault="00B81B05" w:rsidP="002B6863">
      <w:pPr>
        <w:spacing w:line="360" w:lineRule="auto"/>
        <w:jc w:val="both"/>
        <w:rPr>
          <w:rFonts w:ascii="Arial" w:hAnsi="Arial" w:cs="Arial"/>
        </w:rPr>
      </w:pPr>
      <w:r w:rsidRPr="00CD646B">
        <w:rPr>
          <w:rFonts w:ascii="Arial" w:hAnsi="Arial" w:cs="Arial"/>
        </w:rPr>
        <w:t>Lock, D. (2020</w:t>
      </w:r>
      <w:r w:rsidRPr="00CD646B">
        <w:rPr>
          <w:rFonts w:ascii="Arial" w:hAnsi="Arial" w:cs="Arial"/>
          <w:i/>
          <w:iCs/>
        </w:rPr>
        <w:t>) Project Management</w:t>
      </w:r>
      <w:r w:rsidRPr="00CD646B">
        <w:rPr>
          <w:rFonts w:ascii="Arial" w:hAnsi="Arial" w:cs="Arial"/>
        </w:rPr>
        <w:t>. 11th ed. Gower.</w:t>
      </w:r>
    </w:p>
    <w:p w14:paraId="40BB248C" w14:textId="77777777" w:rsidR="00B81B05" w:rsidRPr="00CD646B" w:rsidRDefault="00B81B05" w:rsidP="002B6863">
      <w:pPr>
        <w:spacing w:line="360" w:lineRule="auto"/>
        <w:jc w:val="both"/>
        <w:rPr>
          <w:rFonts w:ascii="Arial" w:hAnsi="Arial" w:cs="Arial"/>
        </w:rPr>
      </w:pPr>
      <w:r w:rsidRPr="00CD646B">
        <w:rPr>
          <w:rFonts w:ascii="Arial" w:hAnsi="Arial" w:cs="Arial"/>
        </w:rPr>
        <w:t xml:space="preserve">Luo, Y. (2024) ‘How does contractual governance affect construction projects?’, </w:t>
      </w:r>
      <w:r w:rsidRPr="00CD646B">
        <w:rPr>
          <w:rFonts w:ascii="Arial" w:hAnsi="Arial" w:cs="Arial"/>
          <w:i/>
          <w:iCs/>
        </w:rPr>
        <w:t>International Journal of Construction Management.</w:t>
      </w:r>
    </w:p>
    <w:p w14:paraId="6675F1FD" w14:textId="7AF6C4A5" w:rsidR="00B81B05" w:rsidRPr="00CD646B" w:rsidRDefault="00B81B05" w:rsidP="002B6863">
      <w:pPr>
        <w:spacing w:line="360" w:lineRule="auto"/>
        <w:jc w:val="both"/>
        <w:rPr>
          <w:rFonts w:ascii="Arial" w:hAnsi="Arial" w:cs="Arial"/>
        </w:rPr>
      </w:pPr>
      <w:r w:rsidRPr="00CD646B">
        <w:rPr>
          <w:rFonts w:ascii="Arial" w:hAnsi="Arial" w:cs="Arial"/>
        </w:rPr>
        <w:t xml:space="preserve">Meredith, J.R. and Mantel, S.J. (2017) </w:t>
      </w:r>
      <w:r w:rsidRPr="00CD646B">
        <w:rPr>
          <w:rFonts w:ascii="Arial" w:hAnsi="Arial" w:cs="Arial"/>
          <w:i/>
          <w:iCs/>
        </w:rPr>
        <w:t>Project Management: A Managerial Approach</w:t>
      </w:r>
      <w:r w:rsidRPr="00CD646B">
        <w:rPr>
          <w:rFonts w:ascii="Arial" w:hAnsi="Arial" w:cs="Arial"/>
        </w:rPr>
        <w:t>. 9th ed. Wiley.</w:t>
      </w:r>
    </w:p>
    <w:p w14:paraId="55D15CA9" w14:textId="77777777" w:rsidR="00B81B05" w:rsidRPr="00CD646B" w:rsidRDefault="00B81B05" w:rsidP="002B6863">
      <w:pPr>
        <w:spacing w:line="360" w:lineRule="auto"/>
        <w:jc w:val="both"/>
        <w:rPr>
          <w:rFonts w:ascii="Arial" w:hAnsi="Arial" w:cs="Arial"/>
        </w:rPr>
      </w:pPr>
      <w:r w:rsidRPr="00CD646B">
        <w:rPr>
          <w:rFonts w:ascii="Arial" w:hAnsi="Arial" w:cs="Arial"/>
        </w:rPr>
        <w:t xml:space="preserve">Müller, R. and Turner, J.R. (2007) ‘The Influence of Project Managers on Project Success Criteria and Success’, </w:t>
      </w:r>
      <w:r w:rsidRPr="00CD646B">
        <w:rPr>
          <w:rFonts w:ascii="Arial" w:hAnsi="Arial" w:cs="Arial"/>
          <w:i/>
          <w:iCs/>
        </w:rPr>
        <w:t>International Journal of Project Management</w:t>
      </w:r>
      <w:r w:rsidRPr="00CD646B">
        <w:rPr>
          <w:rFonts w:ascii="Arial" w:hAnsi="Arial" w:cs="Arial"/>
        </w:rPr>
        <w:t>, 25(3), pp. 298–308.</w:t>
      </w:r>
    </w:p>
    <w:p w14:paraId="5BDCB2DC" w14:textId="77777777" w:rsidR="00B81B05" w:rsidRPr="00CD646B" w:rsidRDefault="00B81B05" w:rsidP="002B6863">
      <w:pPr>
        <w:spacing w:line="360" w:lineRule="auto"/>
        <w:jc w:val="both"/>
        <w:rPr>
          <w:rFonts w:ascii="Arial" w:hAnsi="Arial" w:cs="Arial"/>
        </w:rPr>
      </w:pPr>
      <w:r w:rsidRPr="00CD646B">
        <w:rPr>
          <w:rFonts w:ascii="Arial" w:hAnsi="Arial" w:cs="Arial"/>
        </w:rPr>
        <w:t xml:space="preserve">Oyekunle, D., Inoma-Abbey, T. and Ibeh, F. (2024) ‘Project management dynamics: Shaping success in UK construction’, </w:t>
      </w:r>
      <w:r w:rsidRPr="00CD646B">
        <w:rPr>
          <w:rFonts w:ascii="Arial" w:hAnsi="Arial" w:cs="Arial"/>
          <w:i/>
          <w:iCs/>
        </w:rPr>
        <w:t>Open Journal of Business and Management</w:t>
      </w:r>
      <w:r w:rsidRPr="00CD646B">
        <w:rPr>
          <w:rFonts w:ascii="Arial" w:hAnsi="Arial" w:cs="Arial"/>
        </w:rPr>
        <w:t>.</w:t>
      </w:r>
    </w:p>
    <w:p w14:paraId="3CC6783D" w14:textId="6D494DC1" w:rsidR="00B81B05" w:rsidRPr="00CD646B" w:rsidRDefault="00B81B05" w:rsidP="002B6863">
      <w:pPr>
        <w:spacing w:line="360" w:lineRule="auto"/>
        <w:jc w:val="both"/>
        <w:rPr>
          <w:rFonts w:ascii="Arial" w:hAnsi="Arial" w:cs="Arial"/>
        </w:rPr>
      </w:pPr>
      <w:r w:rsidRPr="00CD646B">
        <w:rPr>
          <w:rFonts w:ascii="Arial" w:hAnsi="Arial" w:cs="Arial"/>
        </w:rPr>
        <w:t xml:space="preserve">Project Management Institute (PMI) (2021) </w:t>
      </w:r>
      <w:r w:rsidRPr="00CD646B">
        <w:rPr>
          <w:rFonts w:ascii="Arial" w:hAnsi="Arial" w:cs="Arial"/>
          <w:i/>
          <w:iCs/>
        </w:rPr>
        <w:t>A Guide to the Project Management Body of Knowledge (PMBOK® Guide).</w:t>
      </w:r>
      <w:r w:rsidRPr="00CD646B">
        <w:rPr>
          <w:rFonts w:ascii="Arial" w:hAnsi="Arial" w:cs="Arial"/>
        </w:rPr>
        <w:t xml:space="preserve"> 7th ed. PMI Press.</w:t>
      </w:r>
    </w:p>
    <w:p w14:paraId="24FF9F98" w14:textId="3038DCA0" w:rsidR="00B81B05" w:rsidRPr="00CD646B" w:rsidRDefault="00B81B05" w:rsidP="002B6863">
      <w:pPr>
        <w:spacing w:line="360" w:lineRule="auto"/>
        <w:jc w:val="both"/>
        <w:rPr>
          <w:rFonts w:ascii="Arial" w:hAnsi="Arial" w:cs="Arial"/>
        </w:rPr>
      </w:pPr>
      <w:r w:rsidRPr="00CD646B">
        <w:rPr>
          <w:rFonts w:ascii="Arial" w:hAnsi="Arial" w:cs="Arial"/>
        </w:rPr>
        <w:t xml:space="preserve">Turner, J.R. (2014) </w:t>
      </w:r>
      <w:r w:rsidRPr="00CD646B">
        <w:rPr>
          <w:rFonts w:ascii="Arial" w:hAnsi="Arial" w:cs="Arial"/>
          <w:i/>
          <w:iCs/>
        </w:rPr>
        <w:t>Handbook of Project Management</w:t>
      </w:r>
      <w:r w:rsidRPr="00CD646B">
        <w:rPr>
          <w:rFonts w:ascii="Arial" w:hAnsi="Arial" w:cs="Arial"/>
        </w:rPr>
        <w:t>. 5th ed. Gower.</w:t>
      </w:r>
    </w:p>
    <w:sectPr w:rsidR="00B81B05" w:rsidRPr="00CD646B" w:rsidSect="00CF1C31">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1547A" w14:textId="77777777" w:rsidR="00712F9F" w:rsidRDefault="00712F9F" w:rsidP="00C5327B">
      <w:pPr>
        <w:spacing w:after="0" w:line="240" w:lineRule="auto"/>
      </w:pPr>
      <w:r>
        <w:separator/>
      </w:r>
    </w:p>
  </w:endnote>
  <w:endnote w:type="continuationSeparator" w:id="0">
    <w:p w14:paraId="3649B268" w14:textId="77777777" w:rsidR="00712F9F" w:rsidRDefault="00712F9F" w:rsidP="00C53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3684481"/>
      <w:docPartObj>
        <w:docPartGallery w:val="Page Numbers (Bottom of Page)"/>
        <w:docPartUnique/>
      </w:docPartObj>
    </w:sdtPr>
    <w:sdtEndPr>
      <w:rPr>
        <w:noProof/>
      </w:rPr>
    </w:sdtEndPr>
    <w:sdtContent>
      <w:p w14:paraId="1C6113A6" w14:textId="2C803537" w:rsidR="0046270C" w:rsidRDefault="0046270C">
        <w:pPr>
          <w:pStyle w:val="Footer"/>
        </w:pPr>
        <w:r>
          <w:fldChar w:fldCharType="begin"/>
        </w:r>
        <w:r>
          <w:instrText xml:space="preserve"> PAGE   \* MERGEFORMAT </w:instrText>
        </w:r>
        <w:r>
          <w:fldChar w:fldCharType="separate"/>
        </w:r>
        <w:r>
          <w:rPr>
            <w:noProof/>
          </w:rPr>
          <w:t>2</w:t>
        </w:r>
        <w:r>
          <w:rPr>
            <w:noProof/>
          </w:rPr>
          <w:fldChar w:fldCharType="end"/>
        </w:r>
      </w:p>
    </w:sdtContent>
  </w:sdt>
  <w:p w14:paraId="7F661E56" w14:textId="41E775EC" w:rsidR="00C5327B" w:rsidRDefault="00C532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E9376" w14:textId="77777777" w:rsidR="00712F9F" w:rsidRDefault="00712F9F" w:rsidP="00C5327B">
      <w:pPr>
        <w:spacing w:after="0" w:line="240" w:lineRule="auto"/>
      </w:pPr>
      <w:r>
        <w:separator/>
      </w:r>
    </w:p>
  </w:footnote>
  <w:footnote w:type="continuationSeparator" w:id="0">
    <w:p w14:paraId="507AD5F5" w14:textId="77777777" w:rsidR="00712F9F" w:rsidRDefault="00712F9F" w:rsidP="00C532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0.9pt;height:10.9pt" o:bullet="t">
        <v:imagedata r:id="rId1" o:title="msoE672"/>
      </v:shape>
    </w:pict>
  </w:numPicBullet>
  <w:abstractNum w:abstractNumId="0" w15:restartNumberingAfterBreak="0">
    <w:nsid w:val="00724698"/>
    <w:multiLevelType w:val="hybridMultilevel"/>
    <w:tmpl w:val="AF922210"/>
    <w:lvl w:ilvl="0" w:tplc="08090007">
      <w:start w:val="1"/>
      <w:numFmt w:val="bullet"/>
      <w:lvlText w:val=""/>
      <w:lvlPicBulletId w:val="0"/>
      <w:lvlJc w:val="left"/>
      <w:pPr>
        <w:ind w:left="185" w:hanging="360"/>
      </w:pPr>
      <w:rPr>
        <w:rFonts w:ascii="Symbol" w:hAnsi="Symbol" w:hint="default"/>
      </w:rPr>
    </w:lvl>
    <w:lvl w:ilvl="1" w:tplc="08090003" w:tentative="1">
      <w:start w:val="1"/>
      <w:numFmt w:val="bullet"/>
      <w:lvlText w:val="o"/>
      <w:lvlJc w:val="left"/>
      <w:pPr>
        <w:ind w:left="905" w:hanging="360"/>
      </w:pPr>
      <w:rPr>
        <w:rFonts w:ascii="Courier New" w:hAnsi="Courier New" w:cs="Courier New" w:hint="default"/>
      </w:rPr>
    </w:lvl>
    <w:lvl w:ilvl="2" w:tplc="08090005" w:tentative="1">
      <w:start w:val="1"/>
      <w:numFmt w:val="bullet"/>
      <w:lvlText w:val=""/>
      <w:lvlJc w:val="left"/>
      <w:pPr>
        <w:ind w:left="1625" w:hanging="360"/>
      </w:pPr>
      <w:rPr>
        <w:rFonts w:ascii="Wingdings" w:hAnsi="Wingdings" w:hint="default"/>
      </w:rPr>
    </w:lvl>
    <w:lvl w:ilvl="3" w:tplc="08090001" w:tentative="1">
      <w:start w:val="1"/>
      <w:numFmt w:val="bullet"/>
      <w:lvlText w:val=""/>
      <w:lvlJc w:val="left"/>
      <w:pPr>
        <w:ind w:left="2345" w:hanging="360"/>
      </w:pPr>
      <w:rPr>
        <w:rFonts w:ascii="Symbol" w:hAnsi="Symbol" w:hint="default"/>
      </w:rPr>
    </w:lvl>
    <w:lvl w:ilvl="4" w:tplc="08090003" w:tentative="1">
      <w:start w:val="1"/>
      <w:numFmt w:val="bullet"/>
      <w:lvlText w:val="o"/>
      <w:lvlJc w:val="left"/>
      <w:pPr>
        <w:ind w:left="3065" w:hanging="360"/>
      </w:pPr>
      <w:rPr>
        <w:rFonts w:ascii="Courier New" w:hAnsi="Courier New" w:cs="Courier New" w:hint="default"/>
      </w:rPr>
    </w:lvl>
    <w:lvl w:ilvl="5" w:tplc="08090005" w:tentative="1">
      <w:start w:val="1"/>
      <w:numFmt w:val="bullet"/>
      <w:lvlText w:val=""/>
      <w:lvlJc w:val="left"/>
      <w:pPr>
        <w:ind w:left="3785" w:hanging="360"/>
      </w:pPr>
      <w:rPr>
        <w:rFonts w:ascii="Wingdings" w:hAnsi="Wingdings" w:hint="default"/>
      </w:rPr>
    </w:lvl>
    <w:lvl w:ilvl="6" w:tplc="08090001" w:tentative="1">
      <w:start w:val="1"/>
      <w:numFmt w:val="bullet"/>
      <w:lvlText w:val=""/>
      <w:lvlJc w:val="left"/>
      <w:pPr>
        <w:ind w:left="4505" w:hanging="360"/>
      </w:pPr>
      <w:rPr>
        <w:rFonts w:ascii="Symbol" w:hAnsi="Symbol" w:hint="default"/>
      </w:rPr>
    </w:lvl>
    <w:lvl w:ilvl="7" w:tplc="08090003" w:tentative="1">
      <w:start w:val="1"/>
      <w:numFmt w:val="bullet"/>
      <w:lvlText w:val="o"/>
      <w:lvlJc w:val="left"/>
      <w:pPr>
        <w:ind w:left="5225" w:hanging="360"/>
      </w:pPr>
      <w:rPr>
        <w:rFonts w:ascii="Courier New" w:hAnsi="Courier New" w:cs="Courier New" w:hint="default"/>
      </w:rPr>
    </w:lvl>
    <w:lvl w:ilvl="8" w:tplc="08090005" w:tentative="1">
      <w:start w:val="1"/>
      <w:numFmt w:val="bullet"/>
      <w:lvlText w:val=""/>
      <w:lvlJc w:val="left"/>
      <w:pPr>
        <w:ind w:left="5945" w:hanging="360"/>
      </w:pPr>
      <w:rPr>
        <w:rFonts w:ascii="Wingdings" w:hAnsi="Wingdings" w:hint="default"/>
      </w:rPr>
    </w:lvl>
  </w:abstractNum>
  <w:abstractNum w:abstractNumId="1" w15:restartNumberingAfterBreak="0">
    <w:nsid w:val="129813FE"/>
    <w:multiLevelType w:val="multilevel"/>
    <w:tmpl w:val="8C9CA95E"/>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27215F74"/>
    <w:multiLevelType w:val="hybridMultilevel"/>
    <w:tmpl w:val="84507BB8"/>
    <w:lvl w:ilvl="0" w:tplc="08090007">
      <w:start w:val="1"/>
      <w:numFmt w:val="bullet"/>
      <w:lvlText w:val=""/>
      <w:lvlPicBulletId w:val="0"/>
      <w:lvlJc w:val="left"/>
      <w:pPr>
        <w:ind w:left="1123" w:hanging="360"/>
      </w:pPr>
      <w:rPr>
        <w:rFonts w:ascii="Symbol" w:hAnsi="Symbol" w:hint="default"/>
      </w:rPr>
    </w:lvl>
    <w:lvl w:ilvl="1" w:tplc="08090003" w:tentative="1">
      <w:start w:val="1"/>
      <w:numFmt w:val="bullet"/>
      <w:lvlText w:val="o"/>
      <w:lvlJc w:val="left"/>
      <w:pPr>
        <w:ind w:left="1843" w:hanging="360"/>
      </w:pPr>
      <w:rPr>
        <w:rFonts w:ascii="Courier New" w:hAnsi="Courier New" w:cs="Courier New" w:hint="default"/>
      </w:rPr>
    </w:lvl>
    <w:lvl w:ilvl="2" w:tplc="08090005" w:tentative="1">
      <w:start w:val="1"/>
      <w:numFmt w:val="bullet"/>
      <w:lvlText w:val=""/>
      <w:lvlJc w:val="left"/>
      <w:pPr>
        <w:ind w:left="2563" w:hanging="360"/>
      </w:pPr>
      <w:rPr>
        <w:rFonts w:ascii="Wingdings" w:hAnsi="Wingdings" w:hint="default"/>
      </w:rPr>
    </w:lvl>
    <w:lvl w:ilvl="3" w:tplc="08090001" w:tentative="1">
      <w:start w:val="1"/>
      <w:numFmt w:val="bullet"/>
      <w:lvlText w:val=""/>
      <w:lvlJc w:val="left"/>
      <w:pPr>
        <w:ind w:left="3283" w:hanging="360"/>
      </w:pPr>
      <w:rPr>
        <w:rFonts w:ascii="Symbol" w:hAnsi="Symbol" w:hint="default"/>
      </w:rPr>
    </w:lvl>
    <w:lvl w:ilvl="4" w:tplc="08090003" w:tentative="1">
      <w:start w:val="1"/>
      <w:numFmt w:val="bullet"/>
      <w:lvlText w:val="o"/>
      <w:lvlJc w:val="left"/>
      <w:pPr>
        <w:ind w:left="4003" w:hanging="360"/>
      </w:pPr>
      <w:rPr>
        <w:rFonts w:ascii="Courier New" w:hAnsi="Courier New" w:cs="Courier New" w:hint="default"/>
      </w:rPr>
    </w:lvl>
    <w:lvl w:ilvl="5" w:tplc="08090005" w:tentative="1">
      <w:start w:val="1"/>
      <w:numFmt w:val="bullet"/>
      <w:lvlText w:val=""/>
      <w:lvlJc w:val="left"/>
      <w:pPr>
        <w:ind w:left="4723" w:hanging="360"/>
      </w:pPr>
      <w:rPr>
        <w:rFonts w:ascii="Wingdings" w:hAnsi="Wingdings" w:hint="default"/>
      </w:rPr>
    </w:lvl>
    <w:lvl w:ilvl="6" w:tplc="08090001" w:tentative="1">
      <w:start w:val="1"/>
      <w:numFmt w:val="bullet"/>
      <w:lvlText w:val=""/>
      <w:lvlJc w:val="left"/>
      <w:pPr>
        <w:ind w:left="5443" w:hanging="360"/>
      </w:pPr>
      <w:rPr>
        <w:rFonts w:ascii="Symbol" w:hAnsi="Symbol" w:hint="default"/>
      </w:rPr>
    </w:lvl>
    <w:lvl w:ilvl="7" w:tplc="08090003" w:tentative="1">
      <w:start w:val="1"/>
      <w:numFmt w:val="bullet"/>
      <w:lvlText w:val="o"/>
      <w:lvlJc w:val="left"/>
      <w:pPr>
        <w:ind w:left="6163" w:hanging="360"/>
      </w:pPr>
      <w:rPr>
        <w:rFonts w:ascii="Courier New" w:hAnsi="Courier New" w:cs="Courier New" w:hint="default"/>
      </w:rPr>
    </w:lvl>
    <w:lvl w:ilvl="8" w:tplc="08090005" w:tentative="1">
      <w:start w:val="1"/>
      <w:numFmt w:val="bullet"/>
      <w:lvlText w:val=""/>
      <w:lvlJc w:val="left"/>
      <w:pPr>
        <w:ind w:left="6883" w:hanging="360"/>
      </w:pPr>
      <w:rPr>
        <w:rFonts w:ascii="Wingdings" w:hAnsi="Wingdings" w:hint="default"/>
      </w:rPr>
    </w:lvl>
  </w:abstractNum>
  <w:abstractNum w:abstractNumId="3" w15:restartNumberingAfterBreak="0">
    <w:nsid w:val="390C49D8"/>
    <w:multiLevelType w:val="hybridMultilevel"/>
    <w:tmpl w:val="A4F85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053F51"/>
    <w:multiLevelType w:val="hybridMultilevel"/>
    <w:tmpl w:val="D70CA01E"/>
    <w:lvl w:ilvl="0" w:tplc="08090007">
      <w:start w:val="1"/>
      <w:numFmt w:val="bullet"/>
      <w:lvlText w:val=""/>
      <w:lvlPicBulletId w:val="0"/>
      <w:lvlJc w:val="left"/>
      <w:pPr>
        <w:ind w:left="1123" w:hanging="360"/>
      </w:pPr>
      <w:rPr>
        <w:rFonts w:ascii="Symbol" w:hAnsi="Symbol" w:hint="default"/>
      </w:rPr>
    </w:lvl>
    <w:lvl w:ilvl="1" w:tplc="08090003" w:tentative="1">
      <w:start w:val="1"/>
      <w:numFmt w:val="bullet"/>
      <w:lvlText w:val="o"/>
      <w:lvlJc w:val="left"/>
      <w:pPr>
        <w:ind w:left="1843" w:hanging="360"/>
      </w:pPr>
      <w:rPr>
        <w:rFonts w:ascii="Courier New" w:hAnsi="Courier New" w:cs="Courier New" w:hint="default"/>
      </w:rPr>
    </w:lvl>
    <w:lvl w:ilvl="2" w:tplc="08090005" w:tentative="1">
      <w:start w:val="1"/>
      <w:numFmt w:val="bullet"/>
      <w:lvlText w:val=""/>
      <w:lvlJc w:val="left"/>
      <w:pPr>
        <w:ind w:left="2563" w:hanging="360"/>
      </w:pPr>
      <w:rPr>
        <w:rFonts w:ascii="Wingdings" w:hAnsi="Wingdings" w:hint="default"/>
      </w:rPr>
    </w:lvl>
    <w:lvl w:ilvl="3" w:tplc="08090001" w:tentative="1">
      <w:start w:val="1"/>
      <w:numFmt w:val="bullet"/>
      <w:lvlText w:val=""/>
      <w:lvlJc w:val="left"/>
      <w:pPr>
        <w:ind w:left="3283" w:hanging="360"/>
      </w:pPr>
      <w:rPr>
        <w:rFonts w:ascii="Symbol" w:hAnsi="Symbol" w:hint="default"/>
      </w:rPr>
    </w:lvl>
    <w:lvl w:ilvl="4" w:tplc="08090003" w:tentative="1">
      <w:start w:val="1"/>
      <w:numFmt w:val="bullet"/>
      <w:lvlText w:val="o"/>
      <w:lvlJc w:val="left"/>
      <w:pPr>
        <w:ind w:left="4003" w:hanging="360"/>
      </w:pPr>
      <w:rPr>
        <w:rFonts w:ascii="Courier New" w:hAnsi="Courier New" w:cs="Courier New" w:hint="default"/>
      </w:rPr>
    </w:lvl>
    <w:lvl w:ilvl="5" w:tplc="08090005" w:tentative="1">
      <w:start w:val="1"/>
      <w:numFmt w:val="bullet"/>
      <w:lvlText w:val=""/>
      <w:lvlJc w:val="left"/>
      <w:pPr>
        <w:ind w:left="4723" w:hanging="360"/>
      </w:pPr>
      <w:rPr>
        <w:rFonts w:ascii="Wingdings" w:hAnsi="Wingdings" w:hint="default"/>
      </w:rPr>
    </w:lvl>
    <w:lvl w:ilvl="6" w:tplc="08090001" w:tentative="1">
      <w:start w:val="1"/>
      <w:numFmt w:val="bullet"/>
      <w:lvlText w:val=""/>
      <w:lvlJc w:val="left"/>
      <w:pPr>
        <w:ind w:left="5443" w:hanging="360"/>
      </w:pPr>
      <w:rPr>
        <w:rFonts w:ascii="Symbol" w:hAnsi="Symbol" w:hint="default"/>
      </w:rPr>
    </w:lvl>
    <w:lvl w:ilvl="7" w:tplc="08090003" w:tentative="1">
      <w:start w:val="1"/>
      <w:numFmt w:val="bullet"/>
      <w:lvlText w:val="o"/>
      <w:lvlJc w:val="left"/>
      <w:pPr>
        <w:ind w:left="6163" w:hanging="360"/>
      </w:pPr>
      <w:rPr>
        <w:rFonts w:ascii="Courier New" w:hAnsi="Courier New" w:cs="Courier New" w:hint="default"/>
      </w:rPr>
    </w:lvl>
    <w:lvl w:ilvl="8" w:tplc="08090005" w:tentative="1">
      <w:start w:val="1"/>
      <w:numFmt w:val="bullet"/>
      <w:lvlText w:val=""/>
      <w:lvlJc w:val="left"/>
      <w:pPr>
        <w:ind w:left="6883" w:hanging="360"/>
      </w:pPr>
      <w:rPr>
        <w:rFonts w:ascii="Wingdings" w:hAnsi="Wingdings" w:hint="default"/>
      </w:rPr>
    </w:lvl>
  </w:abstractNum>
  <w:abstractNum w:abstractNumId="5" w15:restartNumberingAfterBreak="0">
    <w:nsid w:val="78577351"/>
    <w:multiLevelType w:val="hybridMultilevel"/>
    <w:tmpl w:val="751880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8775805">
    <w:abstractNumId w:val="5"/>
  </w:num>
  <w:num w:numId="2" w16cid:durableId="746803600">
    <w:abstractNumId w:val="3"/>
  </w:num>
  <w:num w:numId="3" w16cid:durableId="1740521717">
    <w:abstractNumId w:val="2"/>
  </w:num>
  <w:num w:numId="4" w16cid:durableId="1234656852">
    <w:abstractNumId w:val="0"/>
  </w:num>
  <w:num w:numId="5" w16cid:durableId="425149046">
    <w:abstractNumId w:val="4"/>
  </w:num>
  <w:num w:numId="6" w16cid:durableId="1468353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D9A"/>
    <w:rsid w:val="000266AF"/>
    <w:rsid w:val="000309C6"/>
    <w:rsid w:val="000465C8"/>
    <w:rsid w:val="00084AAD"/>
    <w:rsid w:val="000A27A8"/>
    <w:rsid w:val="000D05A1"/>
    <w:rsid w:val="000D4267"/>
    <w:rsid w:val="000F10E6"/>
    <w:rsid w:val="000F1B40"/>
    <w:rsid w:val="00114FD6"/>
    <w:rsid w:val="001259A1"/>
    <w:rsid w:val="00147741"/>
    <w:rsid w:val="00154F5D"/>
    <w:rsid w:val="00185A74"/>
    <w:rsid w:val="0019659B"/>
    <w:rsid w:val="001D0052"/>
    <w:rsid w:val="001E7B1A"/>
    <w:rsid w:val="002032F4"/>
    <w:rsid w:val="002651E7"/>
    <w:rsid w:val="002742D5"/>
    <w:rsid w:val="00274712"/>
    <w:rsid w:val="0027594A"/>
    <w:rsid w:val="002A55EE"/>
    <w:rsid w:val="002B6863"/>
    <w:rsid w:val="002D46B2"/>
    <w:rsid w:val="002D4928"/>
    <w:rsid w:val="002E5DB0"/>
    <w:rsid w:val="0031136E"/>
    <w:rsid w:val="003146E6"/>
    <w:rsid w:val="00325EF2"/>
    <w:rsid w:val="0033205B"/>
    <w:rsid w:val="00332602"/>
    <w:rsid w:val="00356799"/>
    <w:rsid w:val="00356C44"/>
    <w:rsid w:val="00375540"/>
    <w:rsid w:val="003B62F3"/>
    <w:rsid w:val="003C5AC6"/>
    <w:rsid w:val="003C73BC"/>
    <w:rsid w:val="00410F61"/>
    <w:rsid w:val="004362FE"/>
    <w:rsid w:val="00453198"/>
    <w:rsid w:val="00454167"/>
    <w:rsid w:val="0046270C"/>
    <w:rsid w:val="004709EA"/>
    <w:rsid w:val="004913E8"/>
    <w:rsid w:val="00497D1E"/>
    <w:rsid w:val="004A409B"/>
    <w:rsid w:val="004C1D11"/>
    <w:rsid w:val="004C47D1"/>
    <w:rsid w:val="004D0349"/>
    <w:rsid w:val="005521F2"/>
    <w:rsid w:val="00557F9F"/>
    <w:rsid w:val="00563015"/>
    <w:rsid w:val="005B73D9"/>
    <w:rsid w:val="005F7E90"/>
    <w:rsid w:val="006148EF"/>
    <w:rsid w:val="00625E20"/>
    <w:rsid w:val="00637E9F"/>
    <w:rsid w:val="006541CE"/>
    <w:rsid w:val="00682F48"/>
    <w:rsid w:val="00690A6B"/>
    <w:rsid w:val="006C2EDA"/>
    <w:rsid w:val="006C7D53"/>
    <w:rsid w:val="006D083C"/>
    <w:rsid w:val="006D27A7"/>
    <w:rsid w:val="00712F9F"/>
    <w:rsid w:val="007547AF"/>
    <w:rsid w:val="00754D00"/>
    <w:rsid w:val="0076520E"/>
    <w:rsid w:val="00771980"/>
    <w:rsid w:val="007858A7"/>
    <w:rsid w:val="007B4E60"/>
    <w:rsid w:val="007F27F7"/>
    <w:rsid w:val="007F34E8"/>
    <w:rsid w:val="007F7328"/>
    <w:rsid w:val="00812F51"/>
    <w:rsid w:val="0083217E"/>
    <w:rsid w:val="00846F73"/>
    <w:rsid w:val="008841BC"/>
    <w:rsid w:val="00885591"/>
    <w:rsid w:val="008A4A04"/>
    <w:rsid w:val="008D0DB1"/>
    <w:rsid w:val="008F1D16"/>
    <w:rsid w:val="00955037"/>
    <w:rsid w:val="009557BB"/>
    <w:rsid w:val="009907FB"/>
    <w:rsid w:val="009A0FFC"/>
    <w:rsid w:val="009D5E82"/>
    <w:rsid w:val="00A12978"/>
    <w:rsid w:val="00A318CB"/>
    <w:rsid w:val="00A34E2F"/>
    <w:rsid w:val="00A44224"/>
    <w:rsid w:val="00A7543A"/>
    <w:rsid w:val="00A76E94"/>
    <w:rsid w:val="00A876FD"/>
    <w:rsid w:val="00A97085"/>
    <w:rsid w:val="00B64ED2"/>
    <w:rsid w:val="00B81B05"/>
    <w:rsid w:val="00BB7E2A"/>
    <w:rsid w:val="00BD0F00"/>
    <w:rsid w:val="00BE54D6"/>
    <w:rsid w:val="00BE5D79"/>
    <w:rsid w:val="00BF60AF"/>
    <w:rsid w:val="00C10907"/>
    <w:rsid w:val="00C24732"/>
    <w:rsid w:val="00C32B0F"/>
    <w:rsid w:val="00C34D7B"/>
    <w:rsid w:val="00C35C5B"/>
    <w:rsid w:val="00C5327B"/>
    <w:rsid w:val="00C537E9"/>
    <w:rsid w:val="00C70F09"/>
    <w:rsid w:val="00C77FDE"/>
    <w:rsid w:val="00CC2864"/>
    <w:rsid w:val="00CD4707"/>
    <w:rsid w:val="00CD646B"/>
    <w:rsid w:val="00CF1968"/>
    <w:rsid w:val="00CF1C31"/>
    <w:rsid w:val="00D01E36"/>
    <w:rsid w:val="00D27D9A"/>
    <w:rsid w:val="00D42006"/>
    <w:rsid w:val="00D529CB"/>
    <w:rsid w:val="00D612B8"/>
    <w:rsid w:val="00D816EE"/>
    <w:rsid w:val="00D84D4D"/>
    <w:rsid w:val="00D84F09"/>
    <w:rsid w:val="00D8520B"/>
    <w:rsid w:val="00DA0A92"/>
    <w:rsid w:val="00DB07AC"/>
    <w:rsid w:val="00DB1A45"/>
    <w:rsid w:val="00DE729C"/>
    <w:rsid w:val="00E01429"/>
    <w:rsid w:val="00E31822"/>
    <w:rsid w:val="00E41774"/>
    <w:rsid w:val="00E5686A"/>
    <w:rsid w:val="00E72B3B"/>
    <w:rsid w:val="00E94AD4"/>
    <w:rsid w:val="00EA1785"/>
    <w:rsid w:val="00EA7CA6"/>
    <w:rsid w:val="00EE7723"/>
    <w:rsid w:val="00EF5A29"/>
    <w:rsid w:val="00F45F2A"/>
    <w:rsid w:val="00F6147B"/>
    <w:rsid w:val="00F62335"/>
    <w:rsid w:val="00FA294C"/>
    <w:rsid w:val="00FC5D31"/>
    <w:rsid w:val="00FC698F"/>
    <w:rsid w:val="00FF2B71"/>
    <w:rsid w:val="00FF4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88D661"/>
  <w15:chartTrackingRefBased/>
  <w15:docId w15:val="{89C88A98-F801-4AB8-B03C-6384D5913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D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7D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7D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7D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7D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7D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7D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7D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7D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D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27D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7D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7D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7D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7D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D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D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D9A"/>
    <w:rPr>
      <w:rFonts w:eastAsiaTheme="majorEastAsia" w:cstheme="majorBidi"/>
      <w:color w:val="272727" w:themeColor="text1" w:themeTint="D8"/>
    </w:rPr>
  </w:style>
  <w:style w:type="paragraph" w:styleId="Title">
    <w:name w:val="Title"/>
    <w:basedOn w:val="Normal"/>
    <w:next w:val="Normal"/>
    <w:link w:val="TitleChar"/>
    <w:uiPriority w:val="10"/>
    <w:qFormat/>
    <w:rsid w:val="00D27D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7D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D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7D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D9A"/>
    <w:pPr>
      <w:spacing w:before="160"/>
      <w:jc w:val="center"/>
    </w:pPr>
    <w:rPr>
      <w:i/>
      <w:iCs/>
      <w:color w:val="404040" w:themeColor="text1" w:themeTint="BF"/>
    </w:rPr>
  </w:style>
  <w:style w:type="character" w:customStyle="1" w:styleId="QuoteChar">
    <w:name w:val="Quote Char"/>
    <w:basedOn w:val="DefaultParagraphFont"/>
    <w:link w:val="Quote"/>
    <w:uiPriority w:val="29"/>
    <w:rsid w:val="00D27D9A"/>
    <w:rPr>
      <w:i/>
      <w:iCs/>
      <w:color w:val="404040" w:themeColor="text1" w:themeTint="BF"/>
    </w:rPr>
  </w:style>
  <w:style w:type="paragraph" w:styleId="ListParagraph">
    <w:name w:val="List Paragraph"/>
    <w:basedOn w:val="Normal"/>
    <w:uiPriority w:val="34"/>
    <w:qFormat/>
    <w:rsid w:val="00D27D9A"/>
    <w:pPr>
      <w:ind w:left="720"/>
      <w:contextualSpacing/>
    </w:pPr>
  </w:style>
  <w:style w:type="character" w:styleId="IntenseEmphasis">
    <w:name w:val="Intense Emphasis"/>
    <w:basedOn w:val="DefaultParagraphFont"/>
    <w:uiPriority w:val="21"/>
    <w:qFormat/>
    <w:rsid w:val="00D27D9A"/>
    <w:rPr>
      <w:i/>
      <w:iCs/>
      <w:color w:val="0F4761" w:themeColor="accent1" w:themeShade="BF"/>
    </w:rPr>
  </w:style>
  <w:style w:type="paragraph" w:styleId="IntenseQuote">
    <w:name w:val="Intense Quote"/>
    <w:basedOn w:val="Normal"/>
    <w:next w:val="Normal"/>
    <w:link w:val="IntenseQuoteChar"/>
    <w:uiPriority w:val="30"/>
    <w:qFormat/>
    <w:rsid w:val="00D27D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7D9A"/>
    <w:rPr>
      <w:i/>
      <w:iCs/>
      <w:color w:val="0F4761" w:themeColor="accent1" w:themeShade="BF"/>
    </w:rPr>
  </w:style>
  <w:style w:type="character" w:styleId="IntenseReference">
    <w:name w:val="Intense Reference"/>
    <w:basedOn w:val="DefaultParagraphFont"/>
    <w:uiPriority w:val="32"/>
    <w:qFormat/>
    <w:rsid w:val="00D27D9A"/>
    <w:rPr>
      <w:b/>
      <w:bCs/>
      <w:smallCaps/>
      <w:color w:val="0F4761" w:themeColor="accent1" w:themeShade="BF"/>
      <w:spacing w:val="5"/>
    </w:rPr>
  </w:style>
  <w:style w:type="paragraph" w:styleId="NoSpacing">
    <w:name w:val="No Spacing"/>
    <w:link w:val="NoSpacingChar"/>
    <w:uiPriority w:val="1"/>
    <w:qFormat/>
    <w:rsid w:val="00CF1C3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F1C31"/>
    <w:rPr>
      <w:rFonts w:eastAsiaTheme="minorEastAsia"/>
      <w:kern w:val="0"/>
      <w:lang w:val="en-US"/>
      <w14:ligatures w14:val="none"/>
    </w:rPr>
  </w:style>
  <w:style w:type="paragraph" w:styleId="TOCHeading">
    <w:name w:val="TOC Heading"/>
    <w:basedOn w:val="Heading1"/>
    <w:next w:val="Normal"/>
    <w:uiPriority w:val="39"/>
    <w:unhideWhenUsed/>
    <w:qFormat/>
    <w:rsid w:val="00C5327B"/>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C532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27B"/>
  </w:style>
  <w:style w:type="paragraph" w:styleId="Footer">
    <w:name w:val="footer"/>
    <w:basedOn w:val="Normal"/>
    <w:link w:val="FooterChar"/>
    <w:uiPriority w:val="99"/>
    <w:unhideWhenUsed/>
    <w:rsid w:val="00C532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27B"/>
  </w:style>
  <w:style w:type="paragraph" w:styleId="TOC1">
    <w:name w:val="toc 1"/>
    <w:basedOn w:val="Normal"/>
    <w:next w:val="Normal"/>
    <w:autoRedefine/>
    <w:uiPriority w:val="39"/>
    <w:unhideWhenUsed/>
    <w:rsid w:val="00C77FDE"/>
    <w:pPr>
      <w:spacing w:after="100"/>
    </w:pPr>
  </w:style>
  <w:style w:type="paragraph" w:styleId="TOC2">
    <w:name w:val="toc 2"/>
    <w:basedOn w:val="Normal"/>
    <w:next w:val="Normal"/>
    <w:autoRedefine/>
    <w:uiPriority w:val="39"/>
    <w:unhideWhenUsed/>
    <w:rsid w:val="00C77FDE"/>
    <w:pPr>
      <w:spacing w:after="100"/>
      <w:ind w:left="220"/>
    </w:pPr>
  </w:style>
  <w:style w:type="character" w:styleId="Hyperlink">
    <w:name w:val="Hyperlink"/>
    <w:basedOn w:val="DefaultParagraphFont"/>
    <w:uiPriority w:val="99"/>
    <w:unhideWhenUsed/>
    <w:rsid w:val="00C77FDE"/>
    <w:rPr>
      <w:color w:val="467886" w:themeColor="hyperlink"/>
      <w:u w:val="single"/>
    </w:rPr>
  </w:style>
  <w:style w:type="table" w:styleId="TableGrid">
    <w:name w:val="Table Grid"/>
    <w:basedOn w:val="TableNormal"/>
    <w:uiPriority w:val="39"/>
    <w:rsid w:val="00470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1B6985305BF4D82BE8AD977CDD4E46C"/>
        <w:category>
          <w:name w:val="General"/>
          <w:gallery w:val="placeholder"/>
        </w:category>
        <w:types>
          <w:type w:val="bbPlcHdr"/>
        </w:types>
        <w:behaviors>
          <w:behavior w:val="content"/>
        </w:behaviors>
        <w:guid w:val="{57C2463F-4A3A-49C9-A104-829696531A69}"/>
      </w:docPartPr>
      <w:docPartBody>
        <w:p w:rsidR="00411FE7" w:rsidRDefault="00DB1245" w:rsidP="00DB1245">
          <w:pPr>
            <w:pStyle w:val="31B6985305BF4D82BE8AD977CDD4E46C"/>
          </w:pPr>
          <w:r>
            <w:rPr>
              <w:rFonts w:asciiTheme="majorHAnsi" w:eastAsiaTheme="majorEastAsia" w:hAnsiTheme="majorHAnsi" w:cstheme="majorBidi"/>
              <w:caps/>
              <w:color w:val="156082" w:themeColor="accent1"/>
              <w:sz w:val="80"/>
              <w:szCs w:val="80"/>
            </w:rPr>
            <w:t>[Document title]</w:t>
          </w:r>
        </w:p>
      </w:docPartBody>
    </w:docPart>
    <w:docPart>
      <w:docPartPr>
        <w:name w:val="BA1C9E2506664B95B9846FBFB8215D06"/>
        <w:category>
          <w:name w:val="General"/>
          <w:gallery w:val="placeholder"/>
        </w:category>
        <w:types>
          <w:type w:val="bbPlcHdr"/>
        </w:types>
        <w:behaviors>
          <w:behavior w:val="content"/>
        </w:behaviors>
        <w:guid w:val="{BFFCEEF6-A6A1-41BF-8058-A03F54B2D4FB}"/>
      </w:docPartPr>
      <w:docPartBody>
        <w:p w:rsidR="00411FE7" w:rsidRDefault="00DB1245" w:rsidP="00DB1245">
          <w:pPr>
            <w:pStyle w:val="BA1C9E2506664B95B9846FBFB8215D0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245"/>
    <w:rsid w:val="001D660A"/>
    <w:rsid w:val="0021021B"/>
    <w:rsid w:val="00411FE7"/>
    <w:rsid w:val="00464DD8"/>
    <w:rsid w:val="0058242B"/>
    <w:rsid w:val="008D0DB1"/>
    <w:rsid w:val="00BE5D79"/>
    <w:rsid w:val="00C7547A"/>
    <w:rsid w:val="00D84F09"/>
    <w:rsid w:val="00DB1245"/>
    <w:rsid w:val="00F45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1B6985305BF4D82BE8AD977CDD4E46C">
    <w:name w:val="31B6985305BF4D82BE8AD977CDD4E46C"/>
    <w:rsid w:val="00DB1245"/>
  </w:style>
  <w:style w:type="paragraph" w:customStyle="1" w:styleId="BA1C9E2506664B95B9846FBFB8215D06">
    <w:name w:val="BA1C9E2506664B95B9846FBFB8215D06"/>
    <w:rsid w:val="00DB12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F497C-FE6F-446D-917F-F746AC8A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2327</Words>
  <Characters>15586</Characters>
  <Application>Microsoft Office Word</Application>
  <DocSecurity>0</DocSecurity>
  <Lines>354</Lines>
  <Paragraphs>161</Paragraphs>
  <ScaleCrop>false</ScaleCrop>
  <HeadingPairs>
    <vt:vector size="2" baseType="variant">
      <vt:variant>
        <vt:lpstr>Title</vt:lpstr>
      </vt:variant>
      <vt:variant>
        <vt:i4>1</vt:i4>
      </vt:variant>
    </vt:vector>
  </HeadingPairs>
  <TitlesOfParts>
    <vt:vector size="1" baseType="lpstr">
      <vt:lpstr>component 2: Coursework essay</vt:lpstr>
    </vt:vector>
  </TitlesOfParts>
  <Company/>
  <LinksUpToDate>false</LinksUpToDate>
  <CharactersWithSpaces>17833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Coursework essay</dc:title>
  <dc:subject>Magdalena Vintila 2216452</dc:subject>
  <dc:creator>Magdalena Vintila</dc:creator>
  <cp:keywords/>
  <dc:description/>
  <cp:lastModifiedBy>Magdalena Vintila</cp:lastModifiedBy>
  <cp:revision>68</cp:revision>
  <dcterms:created xsi:type="dcterms:W3CDTF">2025-11-16T07:50:00Z</dcterms:created>
  <dcterms:modified xsi:type="dcterms:W3CDTF">2025-11-18T09:38:00Z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7b148ac9-7e4f-4e79-99bc-3f452312cff7</vt:lpwstr>
  </property>
</Properties>
</file>