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5427D" w:rsidRPr="00E21CEC" w:rsidRDefault="0025427D" w:rsidP="0025427D">
      <w:pPr>
        <w:pStyle w:val="Title"/>
        <w:jc w:val="center"/>
        <w:rPr>
          <w:rFonts w:ascii="Arial" w:hAnsi="Arial" w:cs="Arial"/>
          <w:sz w:val="72"/>
          <w:szCs w:val="72"/>
          <w:lang w:val="en-GB"/>
        </w:rPr>
      </w:pPr>
      <w:r w:rsidRPr="00E21CEC">
        <w:rPr>
          <w:rFonts w:ascii="Arial" w:hAnsi="Arial" w:cs="Arial"/>
          <w:sz w:val="72"/>
          <w:szCs w:val="72"/>
          <w:lang w:val="en-GB"/>
        </w:rPr>
        <w:t>AstraZeneca</w:t>
      </w:r>
      <w:r w:rsidR="00361600" w:rsidRPr="00E21CEC">
        <w:rPr>
          <w:rFonts w:ascii="Arial" w:hAnsi="Arial" w:cs="Arial"/>
          <w:sz w:val="72"/>
          <w:szCs w:val="72"/>
          <w:lang w:val="en-GB"/>
        </w:rPr>
        <w:t xml:space="preserve"> </w:t>
      </w:r>
      <w:r w:rsidR="00997539" w:rsidRPr="00E21CEC">
        <w:rPr>
          <w:rFonts w:ascii="Arial" w:hAnsi="Arial" w:cs="Arial"/>
          <w:sz w:val="72"/>
          <w:szCs w:val="72"/>
          <w:lang w:val="en-GB"/>
        </w:rPr>
        <w:t xml:space="preserve">– Financial Analysis </w:t>
      </w:r>
    </w:p>
    <w:p w:rsidR="0025427D" w:rsidRPr="00E21CEC" w:rsidRDefault="0025427D" w:rsidP="0025427D">
      <w:pPr>
        <w:rPr>
          <w:lang w:val="en-GB"/>
        </w:rPr>
      </w:pPr>
    </w:p>
    <w:p w:rsidR="0025427D" w:rsidRPr="00E21CEC" w:rsidRDefault="0025427D" w:rsidP="0025427D">
      <w:pPr>
        <w:spacing w:line="360" w:lineRule="auto"/>
        <w:jc w:val="center"/>
        <w:rPr>
          <w:rFonts w:cs="Times New Roman"/>
          <w:bCs/>
          <w:sz w:val="44"/>
          <w:szCs w:val="44"/>
          <w:lang w:val="en-GB"/>
        </w:rPr>
      </w:pPr>
      <w:r w:rsidRPr="00E21CEC">
        <w:rPr>
          <w:rFonts w:cs="Times New Roman"/>
          <w:bCs/>
          <w:sz w:val="44"/>
          <w:szCs w:val="44"/>
          <w:lang w:val="en-GB"/>
        </w:rPr>
        <w:t xml:space="preserve">University Trinity Saint David </w:t>
      </w:r>
    </w:p>
    <w:p w:rsidR="0025427D" w:rsidRPr="00E21CEC" w:rsidRDefault="0025427D" w:rsidP="0025427D">
      <w:pPr>
        <w:spacing w:line="360" w:lineRule="auto"/>
        <w:jc w:val="center"/>
        <w:rPr>
          <w:rFonts w:cs="Times New Roman"/>
          <w:bCs/>
          <w:i/>
          <w:iCs/>
          <w:sz w:val="28"/>
          <w:szCs w:val="28"/>
          <w:lang w:val="en-GB"/>
        </w:rPr>
      </w:pPr>
      <w:r w:rsidRPr="00E21CEC">
        <w:rPr>
          <w:rFonts w:cs="Times New Roman"/>
          <w:bCs/>
          <w:i/>
          <w:iCs/>
          <w:sz w:val="28"/>
          <w:szCs w:val="28"/>
          <w:lang w:val="en-GB"/>
        </w:rPr>
        <w:t>Financial Management (LCMB7002)</w:t>
      </w:r>
    </w:p>
    <w:p w:rsidR="0025427D" w:rsidRPr="00E21CEC" w:rsidRDefault="0025427D" w:rsidP="0025427D">
      <w:pPr>
        <w:spacing w:line="360" w:lineRule="auto"/>
        <w:jc w:val="center"/>
        <w:rPr>
          <w:rFonts w:cs="Times New Roman"/>
          <w:bCs/>
          <w:i/>
          <w:iCs/>
          <w:sz w:val="28"/>
          <w:szCs w:val="28"/>
          <w:lang w:val="en-GB"/>
        </w:rPr>
      </w:pPr>
    </w:p>
    <w:p w:rsidR="0025427D" w:rsidRPr="00E21CEC" w:rsidRDefault="0025427D" w:rsidP="0025427D">
      <w:pPr>
        <w:spacing w:line="360" w:lineRule="auto"/>
        <w:jc w:val="center"/>
        <w:rPr>
          <w:rFonts w:cs="Times New Roman"/>
          <w:bCs/>
          <w:i/>
          <w:iCs/>
          <w:sz w:val="28"/>
          <w:szCs w:val="28"/>
          <w:lang w:val="en-GB"/>
        </w:rPr>
      </w:pPr>
    </w:p>
    <w:p w:rsidR="0025427D" w:rsidRPr="00E21CEC" w:rsidRDefault="0025427D" w:rsidP="0025427D">
      <w:pPr>
        <w:spacing w:line="360" w:lineRule="auto"/>
        <w:jc w:val="center"/>
        <w:rPr>
          <w:rFonts w:cs="Times New Roman"/>
          <w:bCs/>
          <w:i/>
          <w:iCs/>
          <w:sz w:val="28"/>
          <w:szCs w:val="28"/>
          <w:lang w:val="en-GB"/>
        </w:rPr>
      </w:pPr>
    </w:p>
    <w:p w:rsidR="0025427D" w:rsidRPr="00E21CEC" w:rsidRDefault="0025427D" w:rsidP="0025427D">
      <w:pPr>
        <w:spacing w:line="360" w:lineRule="auto"/>
        <w:jc w:val="center"/>
        <w:rPr>
          <w:rFonts w:cs="Times New Roman"/>
          <w:bCs/>
          <w:i/>
          <w:iCs/>
          <w:sz w:val="28"/>
          <w:szCs w:val="28"/>
          <w:lang w:val="en-GB"/>
        </w:rPr>
      </w:pPr>
    </w:p>
    <w:p w:rsidR="0025427D" w:rsidRPr="00E21CEC" w:rsidRDefault="0025427D" w:rsidP="0025427D">
      <w:pPr>
        <w:spacing w:line="360" w:lineRule="auto"/>
        <w:jc w:val="center"/>
        <w:rPr>
          <w:rFonts w:cs="Times New Roman"/>
          <w:bCs/>
          <w:i/>
          <w:iCs/>
          <w:sz w:val="28"/>
          <w:szCs w:val="28"/>
          <w:lang w:val="en-GB"/>
        </w:rPr>
      </w:pPr>
    </w:p>
    <w:p w:rsidR="0025427D" w:rsidRPr="00E21CEC" w:rsidRDefault="0025427D" w:rsidP="0025427D">
      <w:pPr>
        <w:spacing w:line="360" w:lineRule="auto"/>
        <w:jc w:val="center"/>
        <w:rPr>
          <w:rFonts w:cs="Times New Roman"/>
          <w:bCs/>
          <w:i/>
          <w:iCs/>
          <w:sz w:val="28"/>
          <w:szCs w:val="28"/>
          <w:lang w:val="en-GB"/>
        </w:rPr>
      </w:pPr>
    </w:p>
    <w:p w:rsidR="0025427D" w:rsidRPr="00E21CEC" w:rsidRDefault="0025427D" w:rsidP="0025427D">
      <w:pPr>
        <w:spacing w:line="360" w:lineRule="auto"/>
        <w:jc w:val="center"/>
        <w:rPr>
          <w:rFonts w:cs="Times New Roman"/>
          <w:bCs/>
          <w:i/>
          <w:iCs/>
          <w:sz w:val="28"/>
          <w:szCs w:val="28"/>
          <w:lang w:val="en-GB"/>
        </w:rPr>
      </w:pPr>
    </w:p>
    <w:p w:rsidR="0025427D" w:rsidRPr="00E21CEC" w:rsidRDefault="0025427D" w:rsidP="0025427D">
      <w:pPr>
        <w:spacing w:line="360" w:lineRule="auto"/>
        <w:jc w:val="center"/>
        <w:rPr>
          <w:rFonts w:cs="Times New Roman"/>
          <w:bCs/>
          <w:i/>
          <w:iCs/>
          <w:sz w:val="28"/>
          <w:szCs w:val="28"/>
          <w:lang w:val="en-GB"/>
        </w:rPr>
      </w:pPr>
    </w:p>
    <w:p w:rsidR="0025427D" w:rsidRPr="00E21CEC" w:rsidRDefault="0025427D" w:rsidP="0025427D">
      <w:pPr>
        <w:spacing w:line="360" w:lineRule="auto"/>
        <w:jc w:val="center"/>
        <w:rPr>
          <w:rFonts w:cs="Times New Roman"/>
          <w:b/>
          <w:szCs w:val="24"/>
          <w:lang w:val="en-GB"/>
        </w:rPr>
      </w:pPr>
      <w:r w:rsidRPr="00E21CEC">
        <w:rPr>
          <w:rFonts w:cs="Times New Roman"/>
          <w:b/>
          <w:szCs w:val="24"/>
          <w:lang w:val="en-GB"/>
        </w:rPr>
        <w:t xml:space="preserve">Student: Ionela Madalina </w:t>
      </w:r>
      <w:proofErr w:type="spellStart"/>
      <w:r w:rsidRPr="00E21CEC">
        <w:rPr>
          <w:rFonts w:cs="Times New Roman"/>
          <w:b/>
          <w:szCs w:val="24"/>
          <w:lang w:val="en-GB"/>
        </w:rPr>
        <w:t>Saiz</w:t>
      </w:r>
      <w:proofErr w:type="spellEnd"/>
      <w:r w:rsidRPr="00E21CEC">
        <w:rPr>
          <w:rFonts w:cs="Times New Roman"/>
          <w:b/>
          <w:szCs w:val="24"/>
          <w:lang w:val="en-GB"/>
        </w:rPr>
        <w:t xml:space="preserve"> (1605699)</w:t>
      </w:r>
    </w:p>
    <w:p w:rsidR="0025427D" w:rsidRPr="00E21CEC" w:rsidRDefault="0025427D" w:rsidP="0025427D">
      <w:pPr>
        <w:spacing w:line="360" w:lineRule="auto"/>
        <w:jc w:val="center"/>
        <w:rPr>
          <w:rFonts w:cs="Times New Roman"/>
          <w:b/>
          <w:szCs w:val="24"/>
          <w:lang w:val="en-GB"/>
        </w:rPr>
      </w:pPr>
      <w:r w:rsidRPr="00E21CEC">
        <w:rPr>
          <w:rFonts w:cs="Times New Roman"/>
          <w:b/>
          <w:szCs w:val="24"/>
          <w:lang w:val="en-GB"/>
        </w:rPr>
        <w:t>Lecturer: Ji</w:t>
      </w:r>
      <w:r w:rsidR="00997539" w:rsidRPr="00E21CEC">
        <w:rPr>
          <w:rFonts w:cs="Times New Roman"/>
          <w:b/>
          <w:szCs w:val="24"/>
          <w:lang w:val="en-GB"/>
        </w:rPr>
        <w:t>a</w:t>
      </w:r>
      <w:r w:rsidRPr="00E21CEC">
        <w:rPr>
          <w:rFonts w:cs="Times New Roman"/>
          <w:b/>
          <w:szCs w:val="24"/>
          <w:lang w:val="en-GB"/>
        </w:rPr>
        <w:t xml:space="preserve"> Miao</w:t>
      </w:r>
    </w:p>
    <w:p w:rsidR="0025427D" w:rsidRPr="00E21CEC" w:rsidRDefault="0025427D" w:rsidP="0025427D">
      <w:pPr>
        <w:spacing w:line="360" w:lineRule="auto"/>
        <w:rPr>
          <w:rFonts w:cs="Times New Roman"/>
          <w:b/>
          <w:szCs w:val="24"/>
          <w:lang w:val="en-GB"/>
        </w:rPr>
      </w:pPr>
    </w:p>
    <w:p w:rsidR="00413A26" w:rsidRPr="00E21CEC" w:rsidRDefault="00413A26" w:rsidP="0025427D">
      <w:pPr>
        <w:spacing w:line="360" w:lineRule="auto"/>
        <w:rPr>
          <w:rFonts w:cs="Times New Roman"/>
          <w:b/>
          <w:szCs w:val="24"/>
          <w:lang w:val="en-GB"/>
        </w:rPr>
      </w:pPr>
    </w:p>
    <w:p w:rsidR="00413A26" w:rsidRPr="00E21CEC" w:rsidRDefault="00413A26" w:rsidP="0025427D">
      <w:pPr>
        <w:spacing w:line="360" w:lineRule="auto"/>
        <w:rPr>
          <w:rFonts w:cs="Times New Roman"/>
          <w:b/>
          <w:szCs w:val="24"/>
          <w:lang w:val="en-GB"/>
        </w:rPr>
      </w:pPr>
    </w:p>
    <w:p w:rsidR="0025427D" w:rsidRPr="00E21CEC" w:rsidRDefault="0025427D" w:rsidP="0025427D">
      <w:pPr>
        <w:spacing w:line="360" w:lineRule="auto"/>
        <w:rPr>
          <w:rFonts w:cs="Times New Roman"/>
          <w:b/>
          <w:szCs w:val="24"/>
          <w:lang w:val="en-GB"/>
        </w:rPr>
      </w:pPr>
    </w:p>
    <w:sdt>
      <w:sdtPr>
        <w:rPr>
          <w:rFonts w:ascii="Times New Roman" w:eastAsiaTheme="minorEastAsia" w:hAnsi="Times New Roman" w:cstheme="minorBidi"/>
          <w:b w:val="0"/>
          <w:bCs w:val="0"/>
          <w:color w:val="auto"/>
          <w:sz w:val="24"/>
          <w:szCs w:val="22"/>
          <w:lang w:val="en-GB" w:eastAsia="en-US"/>
        </w:rPr>
        <w:id w:val="1866242242"/>
        <w:docPartObj>
          <w:docPartGallery w:val="Table of Contents"/>
          <w:docPartUnique/>
        </w:docPartObj>
      </w:sdtPr>
      <w:sdtEndPr>
        <w:rPr>
          <w:noProof/>
        </w:rPr>
      </w:sdtEndPr>
      <w:sdtContent>
        <w:p w:rsidR="0025427D" w:rsidRPr="00E21CEC" w:rsidRDefault="0025427D" w:rsidP="0025427D">
          <w:pPr>
            <w:pStyle w:val="TOCHeading"/>
            <w:rPr>
              <w:lang w:val="en-GB"/>
            </w:rPr>
          </w:pPr>
          <w:r w:rsidRPr="00E21CEC">
            <w:rPr>
              <w:lang w:val="en-GB"/>
            </w:rPr>
            <w:t>Table of Contents</w:t>
          </w:r>
        </w:p>
        <w:p w:rsidR="002B7877" w:rsidRDefault="0025427D">
          <w:pPr>
            <w:pStyle w:val="TOC1"/>
            <w:tabs>
              <w:tab w:val="right" w:leader="dot" w:pos="9350"/>
            </w:tabs>
            <w:rPr>
              <w:b w:val="0"/>
              <w:bCs w:val="0"/>
              <w:i w:val="0"/>
              <w:iCs w:val="0"/>
              <w:noProof/>
              <w:lang w:val="en-GB" w:eastAsia="en-GB"/>
            </w:rPr>
          </w:pPr>
          <w:r w:rsidRPr="00E21CEC">
            <w:rPr>
              <w:b w:val="0"/>
              <w:bCs w:val="0"/>
              <w:lang w:val="en-GB"/>
            </w:rPr>
            <w:fldChar w:fldCharType="begin"/>
          </w:r>
          <w:r w:rsidRPr="00E21CEC">
            <w:rPr>
              <w:lang w:val="en-GB"/>
            </w:rPr>
            <w:instrText xml:space="preserve"> TOC \o "1-3" \h \z \u </w:instrText>
          </w:r>
          <w:r w:rsidRPr="00E21CEC">
            <w:rPr>
              <w:b w:val="0"/>
              <w:bCs w:val="0"/>
              <w:lang w:val="en-GB"/>
            </w:rPr>
            <w:fldChar w:fldCharType="separate"/>
          </w:r>
          <w:hyperlink w:anchor="_Toc61455578" w:history="1">
            <w:r w:rsidR="002B7877" w:rsidRPr="007A2460">
              <w:rPr>
                <w:rStyle w:val="Hyperlink"/>
                <w:noProof/>
                <w:lang w:val="en-GB"/>
              </w:rPr>
              <w:t>PART A – AstraZeneca History</w:t>
            </w:r>
            <w:r w:rsidR="002B7877">
              <w:rPr>
                <w:noProof/>
                <w:webHidden/>
              </w:rPr>
              <w:tab/>
            </w:r>
            <w:r w:rsidR="002B7877">
              <w:rPr>
                <w:noProof/>
                <w:webHidden/>
              </w:rPr>
              <w:fldChar w:fldCharType="begin"/>
            </w:r>
            <w:r w:rsidR="002B7877">
              <w:rPr>
                <w:noProof/>
                <w:webHidden/>
              </w:rPr>
              <w:instrText xml:space="preserve"> PAGEREF _Toc61455578 \h </w:instrText>
            </w:r>
            <w:r w:rsidR="002B7877">
              <w:rPr>
                <w:noProof/>
                <w:webHidden/>
              </w:rPr>
            </w:r>
            <w:r w:rsidR="002B7877">
              <w:rPr>
                <w:noProof/>
                <w:webHidden/>
              </w:rPr>
              <w:fldChar w:fldCharType="separate"/>
            </w:r>
            <w:r w:rsidR="002B7877">
              <w:rPr>
                <w:noProof/>
                <w:webHidden/>
              </w:rPr>
              <w:t>3</w:t>
            </w:r>
            <w:r w:rsidR="002B7877">
              <w:rPr>
                <w:noProof/>
                <w:webHidden/>
              </w:rPr>
              <w:fldChar w:fldCharType="end"/>
            </w:r>
          </w:hyperlink>
        </w:p>
        <w:p w:rsidR="002B7877" w:rsidRDefault="002B7877">
          <w:pPr>
            <w:pStyle w:val="TOC2"/>
            <w:tabs>
              <w:tab w:val="right" w:leader="dot" w:pos="9350"/>
            </w:tabs>
            <w:rPr>
              <w:b w:val="0"/>
              <w:bCs w:val="0"/>
              <w:noProof/>
              <w:sz w:val="24"/>
              <w:szCs w:val="24"/>
              <w:lang w:val="en-GB" w:eastAsia="en-GB"/>
            </w:rPr>
          </w:pPr>
          <w:hyperlink w:anchor="_Toc61455579" w:history="1">
            <w:r w:rsidRPr="007A2460">
              <w:rPr>
                <w:rStyle w:val="Hyperlink"/>
                <w:noProof/>
                <w:lang w:val="en-GB"/>
              </w:rPr>
              <w:t>Introduction</w:t>
            </w:r>
            <w:r>
              <w:rPr>
                <w:noProof/>
                <w:webHidden/>
              </w:rPr>
              <w:tab/>
            </w:r>
            <w:r>
              <w:rPr>
                <w:noProof/>
                <w:webHidden/>
              </w:rPr>
              <w:fldChar w:fldCharType="begin"/>
            </w:r>
            <w:r>
              <w:rPr>
                <w:noProof/>
                <w:webHidden/>
              </w:rPr>
              <w:instrText xml:space="preserve"> PAGEREF _Toc61455579 \h </w:instrText>
            </w:r>
            <w:r>
              <w:rPr>
                <w:noProof/>
                <w:webHidden/>
              </w:rPr>
            </w:r>
            <w:r>
              <w:rPr>
                <w:noProof/>
                <w:webHidden/>
              </w:rPr>
              <w:fldChar w:fldCharType="separate"/>
            </w:r>
            <w:r>
              <w:rPr>
                <w:noProof/>
                <w:webHidden/>
              </w:rPr>
              <w:t>3</w:t>
            </w:r>
            <w:r>
              <w:rPr>
                <w:noProof/>
                <w:webHidden/>
              </w:rPr>
              <w:fldChar w:fldCharType="end"/>
            </w:r>
          </w:hyperlink>
        </w:p>
        <w:p w:rsidR="002B7877" w:rsidRDefault="002B7877">
          <w:pPr>
            <w:pStyle w:val="TOC1"/>
            <w:tabs>
              <w:tab w:val="right" w:leader="dot" w:pos="9350"/>
            </w:tabs>
            <w:rPr>
              <w:b w:val="0"/>
              <w:bCs w:val="0"/>
              <w:i w:val="0"/>
              <w:iCs w:val="0"/>
              <w:noProof/>
              <w:lang w:val="en-GB" w:eastAsia="en-GB"/>
            </w:rPr>
          </w:pPr>
          <w:hyperlink w:anchor="_Toc61455580" w:history="1">
            <w:r w:rsidRPr="007A2460">
              <w:rPr>
                <w:rStyle w:val="Hyperlink"/>
                <w:noProof/>
                <w:lang w:val="en-GB"/>
              </w:rPr>
              <w:t>PART B – Financial Performance of the Company</w:t>
            </w:r>
            <w:r>
              <w:rPr>
                <w:noProof/>
                <w:webHidden/>
              </w:rPr>
              <w:tab/>
            </w:r>
            <w:r>
              <w:rPr>
                <w:noProof/>
                <w:webHidden/>
              </w:rPr>
              <w:fldChar w:fldCharType="begin"/>
            </w:r>
            <w:r>
              <w:rPr>
                <w:noProof/>
                <w:webHidden/>
              </w:rPr>
              <w:instrText xml:space="preserve"> PAGEREF _Toc61455580 \h </w:instrText>
            </w:r>
            <w:r>
              <w:rPr>
                <w:noProof/>
                <w:webHidden/>
              </w:rPr>
            </w:r>
            <w:r>
              <w:rPr>
                <w:noProof/>
                <w:webHidden/>
              </w:rPr>
              <w:fldChar w:fldCharType="separate"/>
            </w:r>
            <w:r>
              <w:rPr>
                <w:noProof/>
                <w:webHidden/>
              </w:rPr>
              <w:t>5</w:t>
            </w:r>
            <w:r>
              <w:rPr>
                <w:noProof/>
                <w:webHidden/>
              </w:rPr>
              <w:fldChar w:fldCharType="end"/>
            </w:r>
          </w:hyperlink>
        </w:p>
        <w:p w:rsidR="002B7877" w:rsidRDefault="002B7877">
          <w:pPr>
            <w:pStyle w:val="TOC2"/>
            <w:tabs>
              <w:tab w:val="right" w:leader="dot" w:pos="9350"/>
            </w:tabs>
            <w:rPr>
              <w:b w:val="0"/>
              <w:bCs w:val="0"/>
              <w:noProof/>
              <w:sz w:val="24"/>
              <w:szCs w:val="24"/>
              <w:lang w:val="en-GB" w:eastAsia="en-GB"/>
            </w:rPr>
          </w:pPr>
          <w:hyperlink w:anchor="_Toc61455581" w:history="1">
            <w:r w:rsidRPr="007A2460">
              <w:rPr>
                <w:rStyle w:val="Hyperlink"/>
                <w:noProof/>
                <w:lang w:val="en-GB"/>
              </w:rPr>
              <w:t>Calculation of Key Financial Ratios</w:t>
            </w:r>
            <w:r>
              <w:rPr>
                <w:noProof/>
                <w:webHidden/>
              </w:rPr>
              <w:tab/>
            </w:r>
            <w:r>
              <w:rPr>
                <w:noProof/>
                <w:webHidden/>
              </w:rPr>
              <w:fldChar w:fldCharType="begin"/>
            </w:r>
            <w:r>
              <w:rPr>
                <w:noProof/>
                <w:webHidden/>
              </w:rPr>
              <w:instrText xml:space="preserve"> PAGEREF _Toc61455581 \h </w:instrText>
            </w:r>
            <w:r>
              <w:rPr>
                <w:noProof/>
                <w:webHidden/>
              </w:rPr>
            </w:r>
            <w:r>
              <w:rPr>
                <w:noProof/>
                <w:webHidden/>
              </w:rPr>
              <w:fldChar w:fldCharType="separate"/>
            </w:r>
            <w:r>
              <w:rPr>
                <w:noProof/>
                <w:webHidden/>
              </w:rPr>
              <w:t>5</w:t>
            </w:r>
            <w:r>
              <w:rPr>
                <w:noProof/>
                <w:webHidden/>
              </w:rPr>
              <w:fldChar w:fldCharType="end"/>
            </w:r>
          </w:hyperlink>
        </w:p>
        <w:p w:rsidR="002B7877" w:rsidRDefault="002B7877">
          <w:pPr>
            <w:pStyle w:val="TOC2"/>
            <w:tabs>
              <w:tab w:val="right" w:leader="dot" w:pos="9350"/>
            </w:tabs>
            <w:rPr>
              <w:b w:val="0"/>
              <w:bCs w:val="0"/>
              <w:noProof/>
              <w:sz w:val="24"/>
              <w:szCs w:val="24"/>
              <w:lang w:val="en-GB" w:eastAsia="en-GB"/>
            </w:rPr>
          </w:pPr>
          <w:hyperlink w:anchor="_Toc61455582" w:history="1">
            <w:r w:rsidRPr="007A2460">
              <w:rPr>
                <w:rStyle w:val="Hyperlink"/>
                <w:noProof/>
                <w:lang w:val="en-GB"/>
              </w:rPr>
              <w:t>Profitability Ratios</w:t>
            </w:r>
            <w:r>
              <w:rPr>
                <w:noProof/>
                <w:webHidden/>
              </w:rPr>
              <w:tab/>
            </w:r>
            <w:r>
              <w:rPr>
                <w:noProof/>
                <w:webHidden/>
              </w:rPr>
              <w:fldChar w:fldCharType="begin"/>
            </w:r>
            <w:r>
              <w:rPr>
                <w:noProof/>
                <w:webHidden/>
              </w:rPr>
              <w:instrText xml:space="preserve"> PAGEREF _Toc61455582 \h </w:instrText>
            </w:r>
            <w:r>
              <w:rPr>
                <w:noProof/>
                <w:webHidden/>
              </w:rPr>
            </w:r>
            <w:r>
              <w:rPr>
                <w:noProof/>
                <w:webHidden/>
              </w:rPr>
              <w:fldChar w:fldCharType="separate"/>
            </w:r>
            <w:r>
              <w:rPr>
                <w:noProof/>
                <w:webHidden/>
              </w:rPr>
              <w:t>6</w:t>
            </w:r>
            <w:r>
              <w:rPr>
                <w:noProof/>
                <w:webHidden/>
              </w:rPr>
              <w:fldChar w:fldCharType="end"/>
            </w:r>
          </w:hyperlink>
        </w:p>
        <w:p w:rsidR="002B7877" w:rsidRDefault="002B7877">
          <w:pPr>
            <w:pStyle w:val="TOC2"/>
            <w:tabs>
              <w:tab w:val="right" w:leader="dot" w:pos="9350"/>
            </w:tabs>
            <w:rPr>
              <w:b w:val="0"/>
              <w:bCs w:val="0"/>
              <w:noProof/>
              <w:sz w:val="24"/>
              <w:szCs w:val="24"/>
              <w:lang w:val="en-GB" w:eastAsia="en-GB"/>
            </w:rPr>
          </w:pPr>
          <w:hyperlink w:anchor="_Toc61455583" w:history="1">
            <w:r w:rsidRPr="007A2460">
              <w:rPr>
                <w:rStyle w:val="Hyperlink"/>
                <w:noProof/>
                <w:lang w:val="en-GB"/>
              </w:rPr>
              <w:t>Solvency Ratios</w:t>
            </w:r>
            <w:r>
              <w:rPr>
                <w:noProof/>
                <w:webHidden/>
              </w:rPr>
              <w:tab/>
            </w:r>
            <w:r>
              <w:rPr>
                <w:noProof/>
                <w:webHidden/>
              </w:rPr>
              <w:fldChar w:fldCharType="begin"/>
            </w:r>
            <w:r>
              <w:rPr>
                <w:noProof/>
                <w:webHidden/>
              </w:rPr>
              <w:instrText xml:space="preserve"> PAGEREF _Toc61455583 \h </w:instrText>
            </w:r>
            <w:r>
              <w:rPr>
                <w:noProof/>
                <w:webHidden/>
              </w:rPr>
            </w:r>
            <w:r>
              <w:rPr>
                <w:noProof/>
                <w:webHidden/>
              </w:rPr>
              <w:fldChar w:fldCharType="separate"/>
            </w:r>
            <w:r>
              <w:rPr>
                <w:noProof/>
                <w:webHidden/>
              </w:rPr>
              <w:t>8</w:t>
            </w:r>
            <w:r>
              <w:rPr>
                <w:noProof/>
                <w:webHidden/>
              </w:rPr>
              <w:fldChar w:fldCharType="end"/>
            </w:r>
          </w:hyperlink>
        </w:p>
        <w:p w:rsidR="002B7877" w:rsidRDefault="002B7877">
          <w:pPr>
            <w:pStyle w:val="TOC2"/>
            <w:tabs>
              <w:tab w:val="right" w:leader="dot" w:pos="9350"/>
            </w:tabs>
            <w:rPr>
              <w:b w:val="0"/>
              <w:bCs w:val="0"/>
              <w:noProof/>
              <w:sz w:val="24"/>
              <w:szCs w:val="24"/>
              <w:lang w:val="en-GB" w:eastAsia="en-GB"/>
            </w:rPr>
          </w:pPr>
          <w:hyperlink w:anchor="_Toc61455584" w:history="1">
            <w:r w:rsidRPr="007A2460">
              <w:rPr>
                <w:rStyle w:val="Hyperlink"/>
                <w:noProof/>
                <w:lang w:val="en-GB"/>
              </w:rPr>
              <w:t>Liquidity Ratios</w:t>
            </w:r>
            <w:r>
              <w:rPr>
                <w:noProof/>
                <w:webHidden/>
              </w:rPr>
              <w:tab/>
            </w:r>
            <w:r>
              <w:rPr>
                <w:noProof/>
                <w:webHidden/>
              </w:rPr>
              <w:fldChar w:fldCharType="begin"/>
            </w:r>
            <w:r>
              <w:rPr>
                <w:noProof/>
                <w:webHidden/>
              </w:rPr>
              <w:instrText xml:space="preserve"> PAGEREF _Toc61455584 \h </w:instrText>
            </w:r>
            <w:r>
              <w:rPr>
                <w:noProof/>
                <w:webHidden/>
              </w:rPr>
            </w:r>
            <w:r>
              <w:rPr>
                <w:noProof/>
                <w:webHidden/>
              </w:rPr>
              <w:fldChar w:fldCharType="separate"/>
            </w:r>
            <w:r>
              <w:rPr>
                <w:noProof/>
                <w:webHidden/>
              </w:rPr>
              <w:t>9</w:t>
            </w:r>
            <w:r>
              <w:rPr>
                <w:noProof/>
                <w:webHidden/>
              </w:rPr>
              <w:fldChar w:fldCharType="end"/>
            </w:r>
          </w:hyperlink>
        </w:p>
        <w:p w:rsidR="002B7877" w:rsidRDefault="002B7877">
          <w:pPr>
            <w:pStyle w:val="TOC2"/>
            <w:tabs>
              <w:tab w:val="right" w:leader="dot" w:pos="9350"/>
            </w:tabs>
            <w:rPr>
              <w:b w:val="0"/>
              <w:bCs w:val="0"/>
              <w:noProof/>
              <w:sz w:val="24"/>
              <w:szCs w:val="24"/>
              <w:lang w:val="en-GB" w:eastAsia="en-GB"/>
            </w:rPr>
          </w:pPr>
          <w:hyperlink w:anchor="_Toc61455585" w:history="1">
            <w:r w:rsidRPr="007A2460">
              <w:rPr>
                <w:rStyle w:val="Hyperlink"/>
                <w:noProof/>
                <w:lang w:val="en-GB"/>
              </w:rPr>
              <w:t>Valuation Ratios</w:t>
            </w:r>
            <w:r>
              <w:rPr>
                <w:noProof/>
                <w:webHidden/>
              </w:rPr>
              <w:tab/>
            </w:r>
            <w:r>
              <w:rPr>
                <w:noProof/>
                <w:webHidden/>
              </w:rPr>
              <w:fldChar w:fldCharType="begin"/>
            </w:r>
            <w:r>
              <w:rPr>
                <w:noProof/>
                <w:webHidden/>
              </w:rPr>
              <w:instrText xml:space="preserve"> PAGEREF _Toc61455585 \h </w:instrText>
            </w:r>
            <w:r>
              <w:rPr>
                <w:noProof/>
                <w:webHidden/>
              </w:rPr>
            </w:r>
            <w:r>
              <w:rPr>
                <w:noProof/>
                <w:webHidden/>
              </w:rPr>
              <w:fldChar w:fldCharType="separate"/>
            </w:r>
            <w:r>
              <w:rPr>
                <w:noProof/>
                <w:webHidden/>
              </w:rPr>
              <w:t>10</w:t>
            </w:r>
            <w:r>
              <w:rPr>
                <w:noProof/>
                <w:webHidden/>
              </w:rPr>
              <w:fldChar w:fldCharType="end"/>
            </w:r>
          </w:hyperlink>
        </w:p>
        <w:p w:rsidR="002B7877" w:rsidRDefault="002B7877">
          <w:pPr>
            <w:pStyle w:val="TOC2"/>
            <w:tabs>
              <w:tab w:val="right" w:leader="dot" w:pos="9350"/>
            </w:tabs>
            <w:rPr>
              <w:b w:val="0"/>
              <w:bCs w:val="0"/>
              <w:noProof/>
              <w:sz w:val="24"/>
              <w:szCs w:val="24"/>
              <w:lang w:val="en-GB" w:eastAsia="en-GB"/>
            </w:rPr>
          </w:pPr>
          <w:hyperlink w:anchor="_Toc61455586" w:history="1">
            <w:r w:rsidRPr="007A2460">
              <w:rPr>
                <w:rStyle w:val="Hyperlink"/>
                <w:noProof/>
                <w:lang w:val="en-GB"/>
              </w:rPr>
              <w:t>Activity Ratio</w:t>
            </w:r>
            <w:r>
              <w:rPr>
                <w:noProof/>
                <w:webHidden/>
              </w:rPr>
              <w:tab/>
            </w:r>
            <w:r>
              <w:rPr>
                <w:noProof/>
                <w:webHidden/>
              </w:rPr>
              <w:fldChar w:fldCharType="begin"/>
            </w:r>
            <w:r>
              <w:rPr>
                <w:noProof/>
                <w:webHidden/>
              </w:rPr>
              <w:instrText xml:space="preserve"> PAGEREF _Toc61455586 \h </w:instrText>
            </w:r>
            <w:r>
              <w:rPr>
                <w:noProof/>
                <w:webHidden/>
              </w:rPr>
            </w:r>
            <w:r>
              <w:rPr>
                <w:noProof/>
                <w:webHidden/>
              </w:rPr>
              <w:fldChar w:fldCharType="separate"/>
            </w:r>
            <w:r>
              <w:rPr>
                <w:noProof/>
                <w:webHidden/>
              </w:rPr>
              <w:t>12</w:t>
            </w:r>
            <w:r>
              <w:rPr>
                <w:noProof/>
                <w:webHidden/>
              </w:rPr>
              <w:fldChar w:fldCharType="end"/>
            </w:r>
          </w:hyperlink>
        </w:p>
        <w:p w:rsidR="002B7877" w:rsidRDefault="002B7877">
          <w:pPr>
            <w:pStyle w:val="TOC2"/>
            <w:tabs>
              <w:tab w:val="right" w:leader="dot" w:pos="9350"/>
            </w:tabs>
            <w:rPr>
              <w:b w:val="0"/>
              <w:bCs w:val="0"/>
              <w:noProof/>
              <w:sz w:val="24"/>
              <w:szCs w:val="24"/>
              <w:lang w:val="en-GB" w:eastAsia="en-GB"/>
            </w:rPr>
          </w:pPr>
          <w:hyperlink w:anchor="_Toc61455587" w:history="1">
            <w:r w:rsidRPr="007A2460">
              <w:rPr>
                <w:rStyle w:val="Hyperlink"/>
                <w:noProof/>
                <w:lang w:val="en-GB"/>
              </w:rPr>
              <w:t>Recommendation</w:t>
            </w:r>
            <w:r>
              <w:rPr>
                <w:noProof/>
                <w:webHidden/>
              </w:rPr>
              <w:tab/>
            </w:r>
            <w:r>
              <w:rPr>
                <w:noProof/>
                <w:webHidden/>
              </w:rPr>
              <w:fldChar w:fldCharType="begin"/>
            </w:r>
            <w:r>
              <w:rPr>
                <w:noProof/>
                <w:webHidden/>
              </w:rPr>
              <w:instrText xml:space="preserve"> PAGEREF _Toc61455587 \h </w:instrText>
            </w:r>
            <w:r>
              <w:rPr>
                <w:noProof/>
                <w:webHidden/>
              </w:rPr>
            </w:r>
            <w:r>
              <w:rPr>
                <w:noProof/>
                <w:webHidden/>
              </w:rPr>
              <w:fldChar w:fldCharType="separate"/>
            </w:r>
            <w:r>
              <w:rPr>
                <w:noProof/>
                <w:webHidden/>
              </w:rPr>
              <w:t>13</w:t>
            </w:r>
            <w:r>
              <w:rPr>
                <w:noProof/>
                <w:webHidden/>
              </w:rPr>
              <w:fldChar w:fldCharType="end"/>
            </w:r>
          </w:hyperlink>
        </w:p>
        <w:p w:rsidR="002B7877" w:rsidRDefault="002B7877">
          <w:pPr>
            <w:pStyle w:val="TOC1"/>
            <w:tabs>
              <w:tab w:val="right" w:leader="dot" w:pos="9350"/>
            </w:tabs>
            <w:rPr>
              <w:b w:val="0"/>
              <w:bCs w:val="0"/>
              <w:i w:val="0"/>
              <w:iCs w:val="0"/>
              <w:noProof/>
              <w:lang w:val="en-GB" w:eastAsia="en-GB"/>
            </w:rPr>
          </w:pPr>
          <w:hyperlink w:anchor="_Toc61455588" w:history="1">
            <w:r w:rsidRPr="007A2460">
              <w:rPr>
                <w:rStyle w:val="Hyperlink"/>
                <w:noProof/>
                <w:lang w:val="en-GB"/>
              </w:rPr>
              <w:t>PART C – Astra Zeneca Capital investment appraisal technique</w:t>
            </w:r>
            <w:r>
              <w:rPr>
                <w:noProof/>
                <w:webHidden/>
              </w:rPr>
              <w:tab/>
            </w:r>
            <w:r>
              <w:rPr>
                <w:noProof/>
                <w:webHidden/>
              </w:rPr>
              <w:fldChar w:fldCharType="begin"/>
            </w:r>
            <w:r>
              <w:rPr>
                <w:noProof/>
                <w:webHidden/>
              </w:rPr>
              <w:instrText xml:space="preserve"> PAGEREF _Toc61455588 \h </w:instrText>
            </w:r>
            <w:r>
              <w:rPr>
                <w:noProof/>
                <w:webHidden/>
              </w:rPr>
            </w:r>
            <w:r>
              <w:rPr>
                <w:noProof/>
                <w:webHidden/>
              </w:rPr>
              <w:fldChar w:fldCharType="separate"/>
            </w:r>
            <w:r>
              <w:rPr>
                <w:noProof/>
                <w:webHidden/>
              </w:rPr>
              <w:t>14</w:t>
            </w:r>
            <w:r>
              <w:rPr>
                <w:noProof/>
                <w:webHidden/>
              </w:rPr>
              <w:fldChar w:fldCharType="end"/>
            </w:r>
          </w:hyperlink>
        </w:p>
        <w:p w:rsidR="002B7877" w:rsidRDefault="002B7877">
          <w:pPr>
            <w:pStyle w:val="TOC2"/>
            <w:tabs>
              <w:tab w:val="right" w:leader="dot" w:pos="9350"/>
            </w:tabs>
            <w:rPr>
              <w:b w:val="0"/>
              <w:bCs w:val="0"/>
              <w:noProof/>
              <w:sz w:val="24"/>
              <w:szCs w:val="24"/>
              <w:lang w:val="en-GB" w:eastAsia="en-GB"/>
            </w:rPr>
          </w:pPr>
          <w:hyperlink w:anchor="_Toc61455589" w:history="1">
            <w:r w:rsidRPr="007A2460">
              <w:rPr>
                <w:rStyle w:val="Hyperlink"/>
                <w:noProof/>
                <w:lang w:val="en-GB"/>
              </w:rPr>
              <w:t>Net Present Value</w:t>
            </w:r>
            <w:r>
              <w:rPr>
                <w:noProof/>
                <w:webHidden/>
              </w:rPr>
              <w:tab/>
            </w:r>
            <w:r>
              <w:rPr>
                <w:noProof/>
                <w:webHidden/>
              </w:rPr>
              <w:fldChar w:fldCharType="begin"/>
            </w:r>
            <w:r>
              <w:rPr>
                <w:noProof/>
                <w:webHidden/>
              </w:rPr>
              <w:instrText xml:space="preserve"> PAGEREF _Toc61455589 \h </w:instrText>
            </w:r>
            <w:r>
              <w:rPr>
                <w:noProof/>
                <w:webHidden/>
              </w:rPr>
            </w:r>
            <w:r>
              <w:rPr>
                <w:noProof/>
                <w:webHidden/>
              </w:rPr>
              <w:fldChar w:fldCharType="separate"/>
            </w:r>
            <w:r>
              <w:rPr>
                <w:noProof/>
                <w:webHidden/>
              </w:rPr>
              <w:t>17</w:t>
            </w:r>
            <w:r>
              <w:rPr>
                <w:noProof/>
                <w:webHidden/>
              </w:rPr>
              <w:fldChar w:fldCharType="end"/>
            </w:r>
          </w:hyperlink>
        </w:p>
        <w:p w:rsidR="002B7877" w:rsidRDefault="002B7877">
          <w:pPr>
            <w:pStyle w:val="TOC2"/>
            <w:tabs>
              <w:tab w:val="right" w:leader="dot" w:pos="9350"/>
            </w:tabs>
            <w:rPr>
              <w:b w:val="0"/>
              <w:bCs w:val="0"/>
              <w:noProof/>
              <w:sz w:val="24"/>
              <w:szCs w:val="24"/>
              <w:lang w:val="en-GB" w:eastAsia="en-GB"/>
            </w:rPr>
          </w:pPr>
          <w:hyperlink w:anchor="_Toc61455590" w:history="1">
            <w:r w:rsidRPr="007A2460">
              <w:rPr>
                <w:rStyle w:val="Hyperlink"/>
                <w:noProof/>
                <w:lang w:val="en-GB"/>
              </w:rPr>
              <w:t>Payback Period</w:t>
            </w:r>
            <w:r>
              <w:rPr>
                <w:noProof/>
                <w:webHidden/>
              </w:rPr>
              <w:tab/>
            </w:r>
            <w:r>
              <w:rPr>
                <w:noProof/>
                <w:webHidden/>
              </w:rPr>
              <w:fldChar w:fldCharType="begin"/>
            </w:r>
            <w:r>
              <w:rPr>
                <w:noProof/>
                <w:webHidden/>
              </w:rPr>
              <w:instrText xml:space="preserve"> PAGEREF _Toc61455590 \h </w:instrText>
            </w:r>
            <w:r>
              <w:rPr>
                <w:noProof/>
                <w:webHidden/>
              </w:rPr>
            </w:r>
            <w:r>
              <w:rPr>
                <w:noProof/>
                <w:webHidden/>
              </w:rPr>
              <w:fldChar w:fldCharType="separate"/>
            </w:r>
            <w:r>
              <w:rPr>
                <w:noProof/>
                <w:webHidden/>
              </w:rPr>
              <w:t>18</w:t>
            </w:r>
            <w:r>
              <w:rPr>
                <w:noProof/>
                <w:webHidden/>
              </w:rPr>
              <w:fldChar w:fldCharType="end"/>
            </w:r>
          </w:hyperlink>
        </w:p>
        <w:p w:rsidR="002B7877" w:rsidRDefault="002B7877">
          <w:pPr>
            <w:pStyle w:val="TOC2"/>
            <w:tabs>
              <w:tab w:val="right" w:leader="dot" w:pos="9350"/>
            </w:tabs>
            <w:rPr>
              <w:b w:val="0"/>
              <w:bCs w:val="0"/>
              <w:noProof/>
              <w:sz w:val="24"/>
              <w:szCs w:val="24"/>
              <w:lang w:val="en-GB" w:eastAsia="en-GB"/>
            </w:rPr>
          </w:pPr>
          <w:hyperlink w:anchor="_Toc61455591" w:history="1">
            <w:r w:rsidRPr="007A2460">
              <w:rPr>
                <w:rStyle w:val="Hyperlink"/>
                <w:noProof/>
                <w:lang w:val="en-GB"/>
              </w:rPr>
              <w:t>Accounting Rate of Return</w:t>
            </w:r>
            <w:r>
              <w:rPr>
                <w:noProof/>
                <w:webHidden/>
              </w:rPr>
              <w:tab/>
            </w:r>
            <w:r>
              <w:rPr>
                <w:noProof/>
                <w:webHidden/>
              </w:rPr>
              <w:fldChar w:fldCharType="begin"/>
            </w:r>
            <w:r>
              <w:rPr>
                <w:noProof/>
                <w:webHidden/>
              </w:rPr>
              <w:instrText xml:space="preserve"> PAGEREF _Toc61455591 \h </w:instrText>
            </w:r>
            <w:r>
              <w:rPr>
                <w:noProof/>
                <w:webHidden/>
              </w:rPr>
            </w:r>
            <w:r>
              <w:rPr>
                <w:noProof/>
                <w:webHidden/>
              </w:rPr>
              <w:fldChar w:fldCharType="separate"/>
            </w:r>
            <w:r>
              <w:rPr>
                <w:noProof/>
                <w:webHidden/>
              </w:rPr>
              <w:t>19</w:t>
            </w:r>
            <w:r>
              <w:rPr>
                <w:noProof/>
                <w:webHidden/>
              </w:rPr>
              <w:fldChar w:fldCharType="end"/>
            </w:r>
          </w:hyperlink>
        </w:p>
        <w:p w:rsidR="002B7877" w:rsidRDefault="002B7877">
          <w:pPr>
            <w:pStyle w:val="TOC1"/>
            <w:tabs>
              <w:tab w:val="right" w:leader="dot" w:pos="9350"/>
            </w:tabs>
            <w:rPr>
              <w:b w:val="0"/>
              <w:bCs w:val="0"/>
              <w:i w:val="0"/>
              <w:iCs w:val="0"/>
              <w:noProof/>
              <w:lang w:val="en-GB" w:eastAsia="en-GB"/>
            </w:rPr>
          </w:pPr>
          <w:hyperlink w:anchor="_Toc61455592" w:history="1">
            <w:r w:rsidRPr="007A2460">
              <w:rPr>
                <w:rStyle w:val="Hyperlink"/>
                <w:noProof/>
                <w:lang w:val="en-GB"/>
              </w:rPr>
              <w:t>References</w:t>
            </w:r>
            <w:r>
              <w:rPr>
                <w:noProof/>
                <w:webHidden/>
              </w:rPr>
              <w:tab/>
            </w:r>
            <w:r>
              <w:rPr>
                <w:noProof/>
                <w:webHidden/>
              </w:rPr>
              <w:fldChar w:fldCharType="begin"/>
            </w:r>
            <w:r>
              <w:rPr>
                <w:noProof/>
                <w:webHidden/>
              </w:rPr>
              <w:instrText xml:space="preserve"> PAGEREF _Toc61455592 \h </w:instrText>
            </w:r>
            <w:r>
              <w:rPr>
                <w:noProof/>
                <w:webHidden/>
              </w:rPr>
            </w:r>
            <w:r>
              <w:rPr>
                <w:noProof/>
                <w:webHidden/>
              </w:rPr>
              <w:fldChar w:fldCharType="separate"/>
            </w:r>
            <w:r>
              <w:rPr>
                <w:noProof/>
                <w:webHidden/>
              </w:rPr>
              <w:t>21</w:t>
            </w:r>
            <w:r>
              <w:rPr>
                <w:noProof/>
                <w:webHidden/>
              </w:rPr>
              <w:fldChar w:fldCharType="end"/>
            </w:r>
          </w:hyperlink>
        </w:p>
        <w:p w:rsidR="002B7877" w:rsidRDefault="002B7877">
          <w:pPr>
            <w:pStyle w:val="TOC2"/>
            <w:tabs>
              <w:tab w:val="right" w:leader="dot" w:pos="9350"/>
            </w:tabs>
            <w:rPr>
              <w:b w:val="0"/>
              <w:bCs w:val="0"/>
              <w:noProof/>
              <w:sz w:val="24"/>
              <w:szCs w:val="24"/>
              <w:lang w:val="en-GB" w:eastAsia="en-GB"/>
            </w:rPr>
          </w:pPr>
          <w:hyperlink w:anchor="_Toc61455593" w:history="1">
            <w:r w:rsidRPr="007A2460">
              <w:rPr>
                <w:rStyle w:val="Hyperlink"/>
                <w:rFonts w:ascii="Times New Roman" w:hAnsi="Times New Roman" w:cs="Times New Roman"/>
                <w:noProof/>
                <w:lang w:val="en-GB"/>
              </w:rPr>
              <w:t>Appendix</w:t>
            </w:r>
            <w:r>
              <w:rPr>
                <w:noProof/>
                <w:webHidden/>
              </w:rPr>
              <w:tab/>
            </w:r>
            <w:r>
              <w:rPr>
                <w:noProof/>
                <w:webHidden/>
              </w:rPr>
              <w:fldChar w:fldCharType="begin"/>
            </w:r>
            <w:r>
              <w:rPr>
                <w:noProof/>
                <w:webHidden/>
              </w:rPr>
              <w:instrText xml:space="preserve"> PAGEREF _Toc61455593 \h </w:instrText>
            </w:r>
            <w:r>
              <w:rPr>
                <w:noProof/>
                <w:webHidden/>
              </w:rPr>
            </w:r>
            <w:r>
              <w:rPr>
                <w:noProof/>
                <w:webHidden/>
              </w:rPr>
              <w:fldChar w:fldCharType="separate"/>
            </w:r>
            <w:r>
              <w:rPr>
                <w:noProof/>
                <w:webHidden/>
              </w:rPr>
              <w:t>24</w:t>
            </w:r>
            <w:r>
              <w:rPr>
                <w:noProof/>
                <w:webHidden/>
              </w:rPr>
              <w:fldChar w:fldCharType="end"/>
            </w:r>
          </w:hyperlink>
        </w:p>
        <w:p w:rsidR="0025427D" w:rsidRPr="00E21CEC" w:rsidRDefault="0025427D" w:rsidP="0025427D">
          <w:pPr>
            <w:rPr>
              <w:lang w:val="en-GB"/>
            </w:rPr>
          </w:pPr>
          <w:r w:rsidRPr="00E21CEC">
            <w:rPr>
              <w:b/>
              <w:bCs/>
              <w:noProof/>
              <w:lang w:val="en-GB"/>
            </w:rPr>
            <w:fldChar w:fldCharType="end"/>
          </w:r>
        </w:p>
      </w:sdtContent>
    </w:sdt>
    <w:p w:rsidR="0025427D" w:rsidRPr="00E21CEC" w:rsidRDefault="0025427D" w:rsidP="0025427D">
      <w:pPr>
        <w:spacing w:line="360" w:lineRule="auto"/>
        <w:rPr>
          <w:rFonts w:cs="Times New Roman"/>
          <w:b/>
          <w:szCs w:val="24"/>
          <w:lang w:val="en-GB"/>
        </w:rPr>
      </w:pPr>
    </w:p>
    <w:p w:rsidR="0025427D" w:rsidRPr="00E21CEC" w:rsidRDefault="0025427D" w:rsidP="0025427D">
      <w:pPr>
        <w:rPr>
          <w:lang w:val="en-GB"/>
        </w:rPr>
      </w:pPr>
      <w:bookmarkStart w:id="0" w:name="_Toc60996013"/>
    </w:p>
    <w:p w:rsidR="0025427D" w:rsidRPr="00E21CEC" w:rsidRDefault="0025427D" w:rsidP="0025427D">
      <w:pPr>
        <w:pStyle w:val="Heading1"/>
        <w:jc w:val="both"/>
        <w:rPr>
          <w:lang w:val="en-GB"/>
        </w:rPr>
      </w:pPr>
      <w:bookmarkStart w:id="1" w:name="_Toc61455578"/>
      <w:r w:rsidRPr="00E21CEC">
        <w:rPr>
          <w:lang w:val="en-GB"/>
        </w:rPr>
        <w:lastRenderedPageBreak/>
        <w:t>PART A – AstraZeneca History</w:t>
      </w:r>
      <w:bookmarkEnd w:id="0"/>
      <w:bookmarkEnd w:id="1"/>
    </w:p>
    <w:p w:rsidR="0025427D" w:rsidRPr="00E21CEC" w:rsidRDefault="0025427D" w:rsidP="0025427D">
      <w:pPr>
        <w:pStyle w:val="Heading2"/>
        <w:jc w:val="both"/>
        <w:rPr>
          <w:b/>
          <w:bCs/>
          <w:lang w:val="en-GB"/>
        </w:rPr>
      </w:pPr>
      <w:bookmarkStart w:id="2" w:name="_Toc60996014"/>
      <w:bookmarkStart w:id="3" w:name="_Toc61455579"/>
      <w:r w:rsidRPr="00E21CEC">
        <w:rPr>
          <w:b/>
          <w:bCs/>
          <w:lang w:val="en-GB"/>
        </w:rPr>
        <w:t>Introduction</w:t>
      </w:r>
      <w:bookmarkEnd w:id="2"/>
      <w:bookmarkEnd w:id="3"/>
    </w:p>
    <w:p w:rsidR="00361600" w:rsidRPr="00E21CEC" w:rsidRDefault="00361600" w:rsidP="00361600">
      <w:pPr>
        <w:jc w:val="both"/>
        <w:rPr>
          <w:lang w:val="en-GB"/>
        </w:rPr>
      </w:pPr>
      <w:r w:rsidRPr="00E21CEC">
        <w:rPr>
          <w:lang w:val="en-GB"/>
        </w:rPr>
        <w:t>AstraZeneca plc, with its headquarters in Cambridge, England, is a British-Swedish pharmaceutical and biopharmaceutical multinational. AstraZeneca provides a product line for major areas of disease including cardiovascular, respiratory, ventilation, infection and inflammation. The subsidiary of AstraZeneca plc, AstraZeneca AB, is the Swedish branch of the group.</w:t>
      </w:r>
    </w:p>
    <w:p w:rsidR="00361600" w:rsidRPr="00E21CEC" w:rsidRDefault="00361600" w:rsidP="00361600">
      <w:pPr>
        <w:jc w:val="both"/>
        <w:rPr>
          <w:lang w:val="en-GB"/>
        </w:rPr>
      </w:pPr>
      <w:r w:rsidRPr="00E21CEC">
        <w:rPr>
          <w:lang w:val="en-GB"/>
        </w:rPr>
        <w:t xml:space="preserve">The company was founded by the Swedish company Astra AB and the British Zeneca Group in 1999 (itself formed by the demerger of the pharmaceutical operations of Imperial Chemical Industries in 1993). After the fusion, it has become one of the world's biggest pharmaceutical industries and has acquired several companies such as Cambridge Antibody Technology (in 2006), </w:t>
      </w:r>
      <w:proofErr w:type="spellStart"/>
      <w:r w:rsidRPr="00E21CEC">
        <w:rPr>
          <w:lang w:val="en-GB"/>
        </w:rPr>
        <w:t>MedImmune</w:t>
      </w:r>
      <w:proofErr w:type="spellEnd"/>
      <w:r w:rsidRPr="00E21CEC">
        <w:rPr>
          <w:lang w:val="en-GB"/>
        </w:rPr>
        <w:t xml:space="preserve"> (in 2007), </w:t>
      </w:r>
      <w:proofErr w:type="spellStart"/>
      <w:r w:rsidRPr="00E21CEC">
        <w:rPr>
          <w:lang w:val="en-GB"/>
        </w:rPr>
        <w:t>Spirogen</w:t>
      </w:r>
      <w:proofErr w:type="spellEnd"/>
      <w:r w:rsidRPr="00E21CEC">
        <w:rPr>
          <w:lang w:val="en-GB"/>
        </w:rPr>
        <w:t xml:space="preserve"> (in 2013) and Definiens (by </w:t>
      </w:r>
      <w:proofErr w:type="spellStart"/>
      <w:r w:rsidRPr="00E21CEC">
        <w:rPr>
          <w:lang w:val="en-GB"/>
        </w:rPr>
        <w:t>MedImmune</w:t>
      </w:r>
      <w:proofErr w:type="spellEnd"/>
      <w:r w:rsidRPr="00E21CEC">
        <w:rPr>
          <w:lang w:val="en-GB"/>
        </w:rPr>
        <w:t xml:space="preserve"> in 2014). Research and development in Cambridge, England, Gothenburg, Sweden and Gaithersburg in Maryland, United States was concentrated in three strategic locations.</w:t>
      </w:r>
    </w:p>
    <w:p w:rsidR="00361600" w:rsidRPr="00E21CEC" w:rsidRDefault="00361600" w:rsidP="00361600">
      <w:pPr>
        <w:jc w:val="both"/>
        <w:rPr>
          <w:lang w:val="en-GB"/>
        </w:rPr>
      </w:pPr>
      <w:r w:rsidRPr="00E21CEC">
        <w:rPr>
          <w:lang w:val="en-GB"/>
        </w:rPr>
        <w:t>As part of the FTSE 100 index, AstraZeneca maintains a listing on the London Stock Exchange. The Bombay Stock Exchange and the National Stock Exchange in India have a subsidiary listing in Nasdaq OMX Stockholm, Nasdaq New York.</w:t>
      </w:r>
    </w:p>
    <w:p w:rsidR="00361600" w:rsidRPr="00E21CEC" w:rsidRDefault="00361600" w:rsidP="00361600">
      <w:pPr>
        <w:jc w:val="both"/>
        <w:rPr>
          <w:lang w:val="en-GB"/>
        </w:rPr>
      </w:pPr>
      <w:r w:rsidRPr="00E21CEC">
        <w:rPr>
          <w:lang w:val="en-GB"/>
        </w:rPr>
        <w:t xml:space="preserve">Arrow Therapeutics, a corporation dedicated to the discovery and development of antiviral therapies, was acquired at US$150 million from AstraZeneca in February 2007. In April 2007 the AstraZeneca pipeline and the "patent cliff" which led to the pipeline-enhancing partnership and acquisition activities, were the subject of considerable speculation. A few days later, AstraZeneca purchased </w:t>
      </w:r>
      <w:proofErr w:type="spellStart"/>
      <w:r w:rsidRPr="00E21CEC">
        <w:rPr>
          <w:lang w:val="en-GB"/>
        </w:rPr>
        <w:t>MedImmune</w:t>
      </w:r>
      <w:proofErr w:type="spellEnd"/>
      <w:r w:rsidRPr="00E21CEC">
        <w:rPr>
          <w:lang w:val="en-GB"/>
        </w:rPr>
        <w:t xml:space="preserve">, an anti-viral drug for babies, for some 15.2 </w:t>
      </w:r>
      <w:r w:rsidR="00193F82" w:rsidRPr="00E21CEC">
        <w:rPr>
          <w:lang w:val="en-GB"/>
        </w:rPr>
        <w:t>billion</w:t>
      </w:r>
      <w:r w:rsidRPr="00E21CEC">
        <w:rPr>
          <w:lang w:val="en-GB"/>
        </w:rPr>
        <w:t xml:space="preserve"> in order </w:t>
      </w:r>
      <w:r w:rsidRPr="00E21CEC">
        <w:rPr>
          <w:lang w:val="en-GB"/>
        </w:rPr>
        <w:lastRenderedPageBreak/>
        <w:t xml:space="preserve">to procure flu vaccines. AstraZeneca then merged all biological activities into </w:t>
      </w:r>
      <w:proofErr w:type="spellStart"/>
      <w:r w:rsidRPr="00E21CEC">
        <w:rPr>
          <w:lang w:val="en-GB"/>
        </w:rPr>
        <w:t>MedImmune</w:t>
      </w:r>
      <w:proofErr w:type="spellEnd"/>
      <w:r w:rsidRPr="00E21CEC">
        <w:rPr>
          <w:lang w:val="en-GB"/>
        </w:rPr>
        <w:t>, a dedicated biological division.</w:t>
      </w:r>
    </w:p>
    <w:p w:rsidR="00361600" w:rsidRPr="00E21CEC" w:rsidRDefault="00361600" w:rsidP="00361600">
      <w:pPr>
        <w:jc w:val="both"/>
        <w:rPr>
          <w:lang w:val="en-GB"/>
        </w:rPr>
      </w:pPr>
      <w:proofErr w:type="spellStart"/>
      <w:r w:rsidRPr="00E21CEC">
        <w:rPr>
          <w:lang w:val="en-GB"/>
        </w:rPr>
        <w:t>Novexel</w:t>
      </w:r>
      <w:proofErr w:type="spellEnd"/>
      <w:r w:rsidRPr="00E21CEC">
        <w:rPr>
          <w:lang w:val="en-GB"/>
        </w:rPr>
        <w:t xml:space="preserve"> Corp, which was created in 2004 as a spin-off of the anti-infective division Sanofi-Aventis, was purchased by AstraZeneca in 2010. In 2010. By this acquisition Astra has obtained the NXL-104 experimental antibiotic (CEF104) (CAZ-AVI).</w:t>
      </w:r>
    </w:p>
    <w:p w:rsidR="00361600" w:rsidRPr="00E21CEC" w:rsidRDefault="00361600" w:rsidP="00361600">
      <w:pPr>
        <w:jc w:val="both"/>
        <w:rPr>
          <w:lang w:val="en-GB"/>
        </w:rPr>
      </w:pPr>
      <w:r w:rsidRPr="00E21CEC">
        <w:rPr>
          <w:lang w:val="en-GB"/>
        </w:rPr>
        <w:t xml:space="preserve">In 2011, AstraZeneca purchased the Chinese generics firm Guangdong </w:t>
      </w:r>
      <w:proofErr w:type="spellStart"/>
      <w:r w:rsidRPr="00E21CEC">
        <w:rPr>
          <w:lang w:val="en-GB"/>
        </w:rPr>
        <w:t>BeiKang</w:t>
      </w:r>
      <w:proofErr w:type="spellEnd"/>
      <w:r w:rsidRPr="00E21CEC">
        <w:rPr>
          <w:lang w:val="en-GB"/>
        </w:rPr>
        <w:t xml:space="preserve"> Pharmaceutical Company.</w:t>
      </w:r>
      <w:r w:rsidR="00193F82" w:rsidRPr="00E21CEC">
        <w:rPr>
          <w:lang w:val="en-GB"/>
        </w:rPr>
        <w:t xml:space="preserve"> </w:t>
      </w:r>
      <w:r w:rsidRPr="00E21CEC">
        <w:rPr>
          <w:lang w:val="en-GB"/>
        </w:rPr>
        <w:t xml:space="preserve">AstraZeneca and Amgen launched a joint effort to treat infectious diseases in February 2012. AstraZeneca then purchased for $1.26 billion in April 2012 </w:t>
      </w:r>
      <w:proofErr w:type="spellStart"/>
      <w:r w:rsidRPr="00E21CEC">
        <w:rPr>
          <w:lang w:val="en-GB"/>
        </w:rPr>
        <w:t>Ardea</w:t>
      </w:r>
      <w:proofErr w:type="spellEnd"/>
      <w:r w:rsidRPr="00E21CEC">
        <w:rPr>
          <w:lang w:val="en-GB"/>
        </w:rPr>
        <w:t xml:space="preserve"> Biotechnologies, another biotechnology firm.</w:t>
      </w:r>
    </w:p>
    <w:p w:rsidR="00361600" w:rsidRPr="00E21CEC" w:rsidRDefault="00361600" w:rsidP="00361600">
      <w:pPr>
        <w:jc w:val="both"/>
        <w:rPr>
          <w:lang w:val="en-GB"/>
        </w:rPr>
      </w:pPr>
      <w:r w:rsidRPr="00E21CEC">
        <w:rPr>
          <w:lang w:val="en-GB"/>
        </w:rPr>
        <w:t xml:space="preserve">A stroke of 500 million dollars in Cambridge, Cambridge, Gaithersburg and Maryland (lo), has announced in March 2013 a significant corporate restructuring, including the closing of research and development operations at the Alderley Park and Loughborough parking facilities in the UK and at Lund Sweden. As well, AstraZeneca announced </w:t>
      </w:r>
      <w:r w:rsidR="00413A26" w:rsidRPr="00E21CEC">
        <w:rPr>
          <w:lang w:val="en-GB"/>
        </w:rPr>
        <w:t>it</w:t>
      </w:r>
      <w:r w:rsidRPr="00E21CEC">
        <w:rPr>
          <w:lang w:val="en-GB"/>
        </w:rPr>
        <w:t xml:space="preserve"> move to Cambridge in 2016 from its London </w:t>
      </w:r>
      <w:r w:rsidR="00413A26" w:rsidRPr="00E21CEC">
        <w:rPr>
          <w:lang w:val="en-GB"/>
        </w:rPr>
        <w:t>headquarters. This</w:t>
      </w:r>
      <w:r w:rsidRPr="00E21CEC">
        <w:rPr>
          <w:lang w:val="en-GB"/>
        </w:rPr>
        <w:t xml:space="preserve"> statement included the announcement to eliminate 1,600 jobs and to slash another 2,300 jobs three days later. It also announced that three clinical areas will be addressed: respiratory inflame and autoimmunity, cardiovascular and metabolic and oncological disorders. AstraZeneca announced in October 2013 that it is acquiring </w:t>
      </w:r>
      <w:proofErr w:type="spellStart"/>
      <w:r w:rsidRPr="00E21CEC">
        <w:rPr>
          <w:lang w:val="en-GB"/>
        </w:rPr>
        <w:t>Spirogen</w:t>
      </w:r>
      <w:proofErr w:type="spellEnd"/>
      <w:r w:rsidRPr="00E21CEC">
        <w:rPr>
          <w:lang w:val="en-GB"/>
        </w:rPr>
        <w:t xml:space="preserve"> biotech oncology business for around $440 million.</w:t>
      </w:r>
    </w:p>
    <w:p w:rsidR="00361600" w:rsidRPr="00E21CEC" w:rsidRDefault="00361600" w:rsidP="00361600">
      <w:pPr>
        <w:jc w:val="both"/>
        <w:rPr>
          <w:lang w:val="en-GB"/>
        </w:rPr>
      </w:pPr>
      <w:r w:rsidRPr="00E21CEC">
        <w:rPr>
          <w:lang w:val="en-GB"/>
        </w:rPr>
        <w:t xml:space="preserve">It announced in February that Actavis' branded respiratory drug company would be given US and Canadian rights for an initial amount of US$600 million. The company also announced that it intends to expend US$40 million to create a new subsidiary dedicated to the treatment of small anti-infectious molecules, mainly in the </w:t>
      </w:r>
      <w:r w:rsidR="002B7877" w:rsidRPr="00E21CEC">
        <w:rPr>
          <w:lang w:val="en-GB"/>
        </w:rPr>
        <w:t>examination</w:t>
      </w:r>
      <w:r w:rsidRPr="00E21CEC">
        <w:rPr>
          <w:lang w:val="en-GB"/>
        </w:rPr>
        <w:t xml:space="preserve"> of the Gyrase Inhibitor AZD0914 in Phase </w:t>
      </w:r>
      <w:r w:rsidRPr="00E21CEC">
        <w:rPr>
          <w:lang w:val="en-GB"/>
        </w:rPr>
        <w:lastRenderedPageBreak/>
        <w:t xml:space="preserve">II for </w:t>
      </w:r>
      <w:r w:rsidR="00467158" w:rsidRPr="00E21CEC">
        <w:rPr>
          <w:lang w:val="en-GB"/>
        </w:rPr>
        <w:t>gonorrhoea</w:t>
      </w:r>
      <w:r w:rsidRPr="00E21CEC">
        <w:rPr>
          <w:lang w:val="en-GB"/>
        </w:rPr>
        <w:t xml:space="preserve"> therapy. Twenty of thirty-two sits of the company were awarded by Sun-Air of Scandinavia with a new Cambridge–Gothenburg facility.</w:t>
      </w:r>
    </w:p>
    <w:p w:rsidR="00361600" w:rsidRPr="00E21CEC" w:rsidRDefault="00361600" w:rsidP="00361600">
      <w:pPr>
        <w:rPr>
          <w:lang w:val="en-GB"/>
        </w:rPr>
      </w:pPr>
    </w:p>
    <w:p w:rsidR="00C965D9" w:rsidRPr="00E21CEC" w:rsidRDefault="00C965D9" w:rsidP="001F6336">
      <w:pPr>
        <w:pStyle w:val="Heading1"/>
        <w:jc w:val="both"/>
        <w:rPr>
          <w:lang w:val="en-GB"/>
        </w:rPr>
      </w:pPr>
      <w:bookmarkStart w:id="4" w:name="_Toc60996015"/>
      <w:bookmarkStart w:id="5" w:name="_Toc61455580"/>
      <w:r w:rsidRPr="00E21CEC">
        <w:rPr>
          <w:lang w:val="en-GB"/>
        </w:rPr>
        <w:t>PART B –</w:t>
      </w:r>
      <w:r w:rsidR="0047423B" w:rsidRPr="00E21CEC">
        <w:rPr>
          <w:lang w:val="en-GB"/>
        </w:rPr>
        <w:t xml:space="preserve"> </w:t>
      </w:r>
      <w:r w:rsidRPr="00E21CEC">
        <w:rPr>
          <w:lang w:val="en-GB"/>
        </w:rPr>
        <w:t>Financial Performance</w:t>
      </w:r>
      <w:r w:rsidR="0047423B" w:rsidRPr="00E21CEC">
        <w:rPr>
          <w:lang w:val="en-GB"/>
        </w:rPr>
        <w:t xml:space="preserve"> of the Company</w:t>
      </w:r>
      <w:bookmarkEnd w:id="4"/>
      <w:bookmarkEnd w:id="5"/>
    </w:p>
    <w:p w:rsidR="00177C69" w:rsidRPr="00E21CEC" w:rsidRDefault="00177C69" w:rsidP="001F6336">
      <w:pPr>
        <w:pStyle w:val="Heading2"/>
        <w:jc w:val="both"/>
        <w:rPr>
          <w:b/>
          <w:bCs/>
          <w:lang w:val="en-GB"/>
        </w:rPr>
      </w:pPr>
      <w:bookmarkStart w:id="6" w:name="_Toc60996016"/>
      <w:bookmarkStart w:id="7" w:name="_Toc61455581"/>
      <w:r w:rsidRPr="00E21CEC">
        <w:rPr>
          <w:b/>
          <w:bCs/>
          <w:lang w:val="en-GB"/>
        </w:rPr>
        <w:t>Calculation of Key Financial Ratios</w:t>
      </w:r>
      <w:bookmarkEnd w:id="6"/>
      <w:bookmarkEnd w:id="7"/>
    </w:p>
    <w:tbl>
      <w:tblPr>
        <w:tblW w:w="9163" w:type="dxa"/>
        <w:tblInd w:w="95" w:type="dxa"/>
        <w:tblLook w:val="04A0" w:firstRow="1" w:lastRow="0" w:firstColumn="1" w:lastColumn="0" w:noHBand="0" w:noVBand="1"/>
      </w:tblPr>
      <w:tblGrid>
        <w:gridCol w:w="1323"/>
        <w:gridCol w:w="2620"/>
        <w:gridCol w:w="996"/>
        <w:gridCol w:w="996"/>
        <w:gridCol w:w="996"/>
        <w:gridCol w:w="1116"/>
        <w:gridCol w:w="1116"/>
      </w:tblGrid>
      <w:tr w:rsidR="00177C69" w:rsidRPr="00E21CEC" w:rsidTr="0047423B">
        <w:trPr>
          <w:trHeight w:val="315"/>
        </w:trPr>
        <w:tc>
          <w:tcPr>
            <w:tcW w:w="3943" w:type="dxa"/>
            <w:gridSpan w:val="2"/>
            <w:tcBorders>
              <w:top w:val="single" w:sz="4" w:space="0" w:color="auto"/>
              <w:left w:val="single" w:sz="4" w:space="0" w:color="auto"/>
              <w:bottom w:val="single" w:sz="4" w:space="0" w:color="auto"/>
              <w:right w:val="nil"/>
            </w:tcBorders>
            <w:shd w:val="clear" w:color="auto" w:fill="auto"/>
            <w:vAlign w:val="bottom"/>
            <w:hideMark/>
          </w:tcPr>
          <w:p w:rsidR="00177C69" w:rsidRPr="00E21CEC" w:rsidRDefault="00177C69" w:rsidP="001F6336">
            <w:pPr>
              <w:spacing w:after="0" w:line="360" w:lineRule="auto"/>
              <w:jc w:val="both"/>
              <w:rPr>
                <w:rFonts w:eastAsia="Times New Roman" w:cs="Times New Roman"/>
                <w:bCs/>
                <w:color w:val="000000"/>
                <w:szCs w:val="24"/>
                <w:lang w:val="en-GB"/>
              </w:rPr>
            </w:pPr>
            <w:r w:rsidRPr="00E21CEC">
              <w:rPr>
                <w:rFonts w:eastAsia="Times New Roman" w:cs="Times New Roman"/>
                <w:bCs/>
                <w:color w:val="000000"/>
                <w:szCs w:val="24"/>
                <w:lang w:val="en-GB"/>
              </w:rPr>
              <w:t>Ratios</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2019</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2018</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2017</w:t>
            </w:r>
          </w:p>
        </w:tc>
        <w:tc>
          <w:tcPr>
            <w:tcW w:w="1116" w:type="dxa"/>
            <w:tcBorders>
              <w:top w:val="single" w:sz="4" w:space="0" w:color="auto"/>
              <w:left w:val="nil"/>
              <w:bottom w:val="single" w:sz="4" w:space="0" w:color="auto"/>
              <w:right w:val="single" w:sz="4" w:space="0" w:color="auto"/>
            </w:tcBorders>
            <w:shd w:val="clear" w:color="auto" w:fill="auto"/>
            <w:noWrap/>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2016</w:t>
            </w:r>
          </w:p>
        </w:tc>
        <w:tc>
          <w:tcPr>
            <w:tcW w:w="1116" w:type="dxa"/>
            <w:tcBorders>
              <w:top w:val="single" w:sz="4" w:space="0" w:color="auto"/>
              <w:left w:val="nil"/>
              <w:bottom w:val="single" w:sz="4" w:space="0" w:color="auto"/>
              <w:right w:val="single" w:sz="4" w:space="0" w:color="auto"/>
            </w:tcBorders>
            <w:shd w:val="clear" w:color="auto" w:fill="auto"/>
            <w:noWrap/>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2015</w:t>
            </w:r>
          </w:p>
        </w:tc>
      </w:tr>
      <w:tr w:rsidR="00177C69" w:rsidRPr="00E21CEC" w:rsidTr="0047423B">
        <w:trPr>
          <w:trHeight w:val="315"/>
        </w:trPr>
        <w:tc>
          <w:tcPr>
            <w:tcW w:w="9163"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177C69" w:rsidRPr="00E21CEC" w:rsidRDefault="00177C69" w:rsidP="001F6336">
            <w:pPr>
              <w:spacing w:after="0" w:line="360" w:lineRule="auto"/>
              <w:jc w:val="both"/>
              <w:rPr>
                <w:rFonts w:eastAsia="Times New Roman" w:cs="Times New Roman"/>
                <w:b/>
                <w:bCs/>
                <w:color w:val="000000"/>
                <w:szCs w:val="24"/>
                <w:lang w:val="en-GB"/>
              </w:rPr>
            </w:pPr>
            <w:r w:rsidRPr="00E21CEC">
              <w:rPr>
                <w:rFonts w:eastAsia="Times New Roman" w:cs="Times New Roman"/>
                <w:b/>
                <w:bCs/>
                <w:color w:val="000000"/>
                <w:szCs w:val="24"/>
                <w:lang w:val="en-GB"/>
              </w:rPr>
              <w:t>Profitability</w:t>
            </w:r>
          </w:p>
        </w:tc>
      </w:tr>
      <w:tr w:rsidR="00177C69" w:rsidRPr="00E21CEC" w:rsidTr="0047423B">
        <w:trPr>
          <w:trHeight w:val="315"/>
        </w:trPr>
        <w:tc>
          <w:tcPr>
            <w:tcW w:w="1323" w:type="dxa"/>
            <w:tcBorders>
              <w:top w:val="nil"/>
              <w:left w:val="single" w:sz="4" w:space="0" w:color="auto"/>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Net Profit margin</w:t>
            </w:r>
          </w:p>
        </w:tc>
        <w:tc>
          <w:tcPr>
            <w:tcW w:w="2620" w:type="dxa"/>
            <w:tcBorders>
              <w:top w:val="nil"/>
              <w:left w:val="nil"/>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Net income/sales</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5.03%</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9.28%</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12.77%</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14.81%</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14.09%</w:t>
            </w:r>
          </w:p>
        </w:tc>
      </w:tr>
      <w:tr w:rsidR="00177C69" w:rsidRPr="00E21CEC" w:rsidTr="0047423B">
        <w:trPr>
          <w:trHeight w:val="1095"/>
        </w:trPr>
        <w:tc>
          <w:tcPr>
            <w:tcW w:w="1323" w:type="dxa"/>
            <w:tcBorders>
              <w:top w:val="nil"/>
              <w:left w:val="single" w:sz="4" w:space="0" w:color="auto"/>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292929"/>
                <w:szCs w:val="24"/>
                <w:lang w:val="en-GB"/>
              </w:rPr>
            </w:pPr>
            <w:r w:rsidRPr="00E21CEC">
              <w:rPr>
                <w:rFonts w:eastAsia="Times New Roman" w:cs="Times New Roman"/>
                <w:color w:val="292929"/>
                <w:szCs w:val="24"/>
                <w:lang w:val="en-GB"/>
              </w:rPr>
              <w:t xml:space="preserve">Return on Capital Employed Ratio </w:t>
            </w:r>
          </w:p>
        </w:tc>
        <w:tc>
          <w:tcPr>
            <w:tcW w:w="2620" w:type="dxa"/>
            <w:tcBorders>
              <w:top w:val="nil"/>
              <w:left w:val="nil"/>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Net Profit after Taxes/ Gross Capital Employed X 100</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8.41%</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14.60%</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17.23%</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20.43%</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15.27%</w:t>
            </w:r>
          </w:p>
        </w:tc>
      </w:tr>
      <w:tr w:rsidR="00177C69" w:rsidRPr="00E21CEC" w:rsidTr="0047423B">
        <w:trPr>
          <w:trHeight w:val="825"/>
        </w:trPr>
        <w:tc>
          <w:tcPr>
            <w:tcW w:w="1323" w:type="dxa"/>
            <w:tcBorders>
              <w:top w:val="nil"/>
              <w:left w:val="single" w:sz="4" w:space="0" w:color="auto"/>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Return on Asset Ratio</w:t>
            </w:r>
          </w:p>
        </w:tc>
        <w:tc>
          <w:tcPr>
            <w:tcW w:w="2620"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Net Income / Total Assets</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2.00%</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3.38%</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4.53%</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5.45%</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4.71%</w:t>
            </w:r>
          </w:p>
        </w:tc>
      </w:tr>
      <w:tr w:rsidR="00177C69" w:rsidRPr="00E21CEC" w:rsidTr="0047423B">
        <w:trPr>
          <w:trHeight w:val="315"/>
        </w:trPr>
        <w:tc>
          <w:tcPr>
            <w:tcW w:w="9163"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177C69" w:rsidRPr="00E21CEC" w:rsidRDefault="00177C69" w:rsidP="001F6336">
            <w:pPr>
              <w:spacing w:after="0" w:line="360" w:lineRule="auto"/>
              <w:jc w:val="both"/>
              <w:rPr>
                <w:rFonts w:eastAsia="Times New Roman" w:cs="Times New Roman"/>
                <w:b/>
                <w:bCs/>
                <w:color w:val="000000"/>
                <w:szCs w:val="24"/>
                <w:lang w:val="en-GB"/>
              </w:rPr>
            </w:pPr>
            <w:r w:rsidRPr="00E21CEC">
              <w:rPr>
                <w:rFonts w:eastAsia="Times New Roman" w:cs="Times New Roman"/>
                <w:b/>
                <w:bCs/>
                <w:color w:val="000000"/>
                <w:szCs w:val="24"/>
                <w:lang w:val="en-GB"/>
              </w:rPr>
              <w:t>Solvency</w:t>
            </w:r>
          </w:p>
        </w:tc>
      </w:tr>
      <w:tr w:rsidR="00177C69" w:rsidRPr="00E21CEC" w:rsidTr="0047423B">
        <w:trPr>
          <w:trHeight w:val="780"/>
        </w:trPr>
        <w:tc>
          <w:tcPr>
            <w:tcW w:w="1323" w:type="dxa"/>
            <w:tcBorders>
              <w:top w:val="nil"/>
              <w:left w:val="single" w:sz="4" w:space="0" w:color="auto"/>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Debt to Equity ratio</w:t>
            </w:r>
          </w:p>
        </w:tc>
        <w:tc>
          <w:tcPr>
            <w:tcW w:w="2620" w:type="dxa"/>
            <w:tcBorders>
              <w:top w:val="nil"/>
              <w:left w:val="nil"/>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Debt/Debt</w:t>
            </w:r>
            <w:r w:rsidR="0047423B" w:rsidRPr="00E21CEC">
              <w:rPr>
                <w:rFonts w:eastAsia="Times New Roman" w:cs="Times New Roman"/>
                <w:color w:val="000000"/>
                <w:szCs w:val="24"/>
                <w:lang w:val="en-GB"/>
              </w:rPr>
              <w:t xml:space="preserve"> </w:t>
            </w:r>
            <w:r w:rsidRPr="00E21CEC">
              <w:rPr>
                <w:rFonts w:eastAsia="Times New Roman" w:cs="Times New Roman"/>
                <w:color w:val="000000"/>
                <w:szCs w:val="24"/>
                <w:lang w:val="en-GB"/>
              </w:rPr>
              <w:t>+</w:t>
            </w:r>
            <w:r w:rsidR="0047423B" w:rsidRPr="00E21CEC">
              <w:rPr>
                <w:rFonts w:eastAsia="Times New Roman" w:cs="Times New Roman"/>
                <w:color w:val="000000"/>
                <w:szCs w:val="24"/>
                <w:lang w:val="en-GB"/>
              </w:rPr>
              <w:t xml:space="preserve"> </w:t>
            </w:r>
            <w:r w:rsidRPr="00E21CEC">
              <w:rPr>
                <w:rFonts w:eastAsia="Times New Roman" w:cs="Times New Roman"/>
                <w:color w:val="000000"/>
                <w:szCs w:val="24"/>
                <w:lang w:val="en-GB"/>
              </w:rPr>
              <w:t>Equity</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0.55</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0.58</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0.52</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0.50</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0.45</w:t>
            </w:r>
          </w:p>
        </w:tc>
      </w:tr>
      <w:tr w:rsidR="00177C69" w:rsidRPr="00E21CEC" w:rsidTr="0047423B">
        <w:trPr>
          <w:trHeight w:val="1470"/>
        </w:trPr>
        <w:tc>
          <w:tcPr>
            <w:tcW w:w="1323" w:type="dxa"/>
            <w:tcBorders>
              <w:top w:val="nil"/>
              <w:left w:val="single" w:sz="4" w:space="0" w:color="auto"/>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Times Interest Earned Ratio</w:t>
            </w:r>
          </w:p>
        </w:tc>
        <w:tc>
          <w:tcPr>
            <w:tcW w:w="2620" w:type="dxa"/>
            <w:tcBorders>
              <w:top w:val="nil"/>
              <w:left w:val="nil"/>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Earnings Before Interest Tax Depreciation and Amortization / Interest Expense</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2.04</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2.39</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2.44</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3.54</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3.83</w:t>
            </w:r>
          </w:p>
        </w:tc>
      </w:tr>
      <w:tr w:rsidR="00177C69" w:rsidRPr="00E21CEC" w:rsidTr="0047423B">
        <w:trPr>
          <w:trHeight w:val="315"/>
        </w:trPr>
        <w:tc>
          <w:tcPr>
            <w:tcW w:w="9163"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177C69" w:rsidRPr="00E21CEC" w:rsidRDefault="00177C69" w:rsidP="001F6336">
            <w:pPr>
              <w:spacing w:after="0" w:line="360" w:lineRule="auto"/>
              <w:jc w:val="both"/>
              <w:rPr>
                <w:rFonts w:eastAsia="Times New Roman" w:cs="Times New Roman"/>
                <w:b/>
                <w:bCs/>
                <w:color w:val="000000"/>
                <w:szCs w:val="24"/>
                <w:lang w:val="en-GB"/>
              </w:rPr>
            </w:pPr>
            <w:r w:rsidRPr="00E21CEC">
              <w:rPr>
                <w:rFonts w:eastAsia="Times New Roman" w:cs="Times New Roman"/>
                <w:b/>
                <w:bCs/>
                <w:color w:val="000000"/>
                <w:szCs w:val="24"/>
                <w:lang w:val="en-GB"/>
              </w:rPr>
              <w:t>Liquidity</w:t>
            </w:r>
          </w:p>
        </w:tc>
      </w:tr>
      <w:tr w:rsidR="00177C69" w:rsidRPr="00E21CEC" w:rsidTr="0047423B">
        <w:trPr>
          <w:trHeight w:val="765"/>
        </w:trPr>
        <w:tc>
          <w:tcPr>
            <w:tcW w:w="1323" w:type="dxa"/>
            <w:tcBorders>
              <w:top w:val="nil"/>
              <w:left w:val="single" w:sz="4" w:space="0" w:color="auto"/>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Current Ratio</w:t>
            </w:r>
          </w:p>
        </w:tc>
        <w:tc>
          <w:tcPr>
            <w:tcW w:w="2620" w:type="dxa"/>
            <w:tcBorders>
              <w:top w:val="nil"/>
              <w:left w:val="nil"/>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Current Assets / Current Liabilities</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0.86</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0.96</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0.80</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0.87</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1.08</w:t>
            </w:r>
          </w:p>
        </w:tc>
      </w:tr>
      <w:tr w:rsidR="00177C69" w:rsidRPr="00E21CEC" w:rsidTr="0047423B">
        <w:trPr>
          <w:trHeight w:val="870"/>
        </w:trPr>
        <w:tc>
          <w:tcPr>
            <w:tcW w:w="1323" w:type="dxa"/>
            <w:tcBorders>
              <w:top w:val="nil"/>
              <w:left w:val="single" w:sz="4" w:space="0" w:color="auto"/>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lastRenderedPageBreak/>
              <w:t>Quick Ratio</w:t>
            </w:r>
          </w:p>
        </w:tc>
        <w:tc>
          <w:tcPr>
            <w:tcW w:w="2620" w:type="dxa"/>
            <w:tcBorders>
              <w:top w:val="nil"/>
              <w:left w:val="nil"/>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(Current Assets – Inventory) / Current Liabilities</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0.68</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0.78</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0.62</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0.72</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0.93</w:t>
            </w:r>
          </w:p>
        </w:tc>
      </w:tr>
      <w:tr w:rsidR="00177C69" w:rsidRPr="00E21CEC" w:rsidTr="0047423B">
        <w:trPr>
          <w:trHeight w:val="315"/>
        </w:trPr>
        <w:tc>
          <w:tcPr>
            <w:tcW w:w="9163"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177C69" w:rsidRPr="00E21CEC" w:rsidRDefault="00177C69" w:rsidP="001F6336">
            <w:pPr>
              <w:spacing w:after="0" w:line="360" w:lineRule="auto"/>
              <w:jc w:val="both"/>
              <w:rPr>
                <w:rFonts w:eastAsia="Times New Roman" w:cs="Times New Roman"/>
                <w:b/>
                <w:bCs/>
                <w:color w:val="000000"/>
                <w:szCs w:val="24"/>
                <w:lang w:val="en-GB"/>
              </w:rPr>
            </w:pPr>
            <w:r w:rsidRPr="00E21CEC">
              <w:rPr>
                <w:rFonts w:eastAsia="Times New Roman" w:cs="Times New Roman"/>
                <w:b/>
                <w:bCs/>
                <w:color w:val="000000"/>
                <w:szCs w:val="24"/>
                <w:lang w:val="en-GB"/>
              </w:rPr>
              <w:t>Valuation</w:t>
            </w:r>
          </w:p>
        </w:tc>
      </w:tr>
      <w:tr w:rsidR="00177C69" w:rsidRPr="00E21CEC" w:rsidTr="0047423B">
        <w:trPr>
          <w:trHeight w:val="930"/>
        </w:trPr>
        <w:tc>
          <w:tcPr>
            <w:tcW w:w="1323" w:type="dxa"/>
            <w:tcBorders>
              <w:top w:val="nil"/>
              <w:left w:val="single" w:sz="4" w:space="0" w:color="auto"/>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292929"/>
                <w:szCs w:val="24"/>
                <w:lang w:val="en-GB"/>
              </w:rPr>
            </w:pPr>
            <w:r w:rsidRPr="00E21CEC">
              <w:rPr>
                <w:rFonts w:eastAsia="Times New Roman" w:cs="Times New Roman"/>
                <w:color w:val="292929"/>
                <w:szCs w:val="24"/>
                <w:lang w:val="en-GB"/>
              </w:rPr>
              <w:t>Price Earnings Ratio</w:t>
            </w:r>
          </w:p>
        </w:tc>
        <w:tc>
          <w:tcPr>
            <w:tcW w:w="2620" w:type="dxa"/>
            <w:tcBorders>
              <w:top w:val="nil"/>
              <w:left w:val="nil"/>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Market Price per Share Equity Share/ Earning Per Share</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48.55</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22.19</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14.87</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9.97</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15.02</w:t>
            </w:r>
          </w:p>
        </w:tc>
      </w:tr>
      <w:tr w:rsidR="00177C69" w:rsidRPr="00E21CEC" w:rsidTr="0047423B">
        <w:trPr>
          <w:trHeight w:val="765"/>
        </w:trPr>
        <w:tc>
          <w:tcPr>
            <w:tcW w:w="1323" w:type="dxa"/>
            <w:tcBorders>
              <w:top w:val="nil"/>
              <w:left w:val="single" w:sz="4" w:space="0" w:color="auto"/>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292929"/>
                <w:szCs w:val="24"/>
                <w:lang w:val="en-GB"/>
              </w:rPr>
            </w:pPr>
            <w:r w:rsidRPr="00E21CEC">
              <w:rPr>
                <w:rFonts w:eastAsia="Times New Roman" w:cs="Times New Roman"/>
                <w:color w:val="292929"/>
                <w:szCs w:val="24"/>
                <w:lang w:val="en-GB"/>
              </w:rPr>
              <w:t>Market to Book Ratio</w:t>
            </w:r>
          </w:p>
        </w:tc>
        <w:tc>
          <w:tcPr>
            <w:tcW w:w="2620" w:type="dxa"/>
            <w:tcBorders>
              <w:top w:val="nil"/>
              <w:left w:val="nil"/>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Market Price per Share / Book Value per Share</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4.46</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3.40</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2.68</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2.09</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2.29</w:t>
            </w:r>
          </w:p>
        </w:tc>
      </w:tr>
      <w:tr w:rsidR="00177C69" w:rsidRPr="00E21CEC" w:rsidTr="0047423B">
        <w:trPr>
          <w:trHeight w:val="825"/>
        </w:trPr>
        <w:tc>
          <w:tcPr>
            <w:tcW w:w="1323" w:type="dxa"/>
            <w:tcBorders>
              <w:top w:val="nil"/>
              <w:left w:val="single" w:sz="4" w:space="0" w:color="auto"/>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292929"/>
                <w:szCs w:val="24"/>
                <w:lang w:val="en-GB"/>
              </w:rPr>
            </w:pPr>
            <w:r w:rsidRPr="00E21CEC">
              <w:rPr>
                <w:rFonts w:eastAsia="Times New Roman" w:cs="Times New Roman"/>
                <w:color w:val="292929"/>
                <w:szCs w:val="24"/>
                <w:lang w:val="en-GB"/>
              </w:rPr>
              <w:t>Dividend ratio</w:t>
            </w:r>
          </w:p>
        </w:tc>
        <w:tc>
          <w:tcPr>
            <w:tcW w:w="2620" w:type="dxa"/>
            <w:tcBorders>
              <w:top w:val="nil"/>
              <w:left w:val="nil"/>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Dividend per Share / Earnings per Share</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0.44</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0.26</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0.40</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0.16</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0.20</w:t>
            </w:r>
          </w:p>
        </w:tc>
      </w:tr>
      <w:tr w:rsidR="00177C69" w:rsidRPr="00E21CEC" w:rsidTr="0047423B">
        <w:trPr>
          <w:trHeight w:val="315"/>
        </w:trPr>
        <w:tc>
          <w:tcPr>
            <w:tcW w:w="9163"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177C69" w:rsidRPr="00E21CEC" w:rsidRDefault="00177C69" w:rsidP="001F6336">
            <w:pPr>
              <w:spacing w:after="0" w:line="360" w:lineRule="auto"/>
              <w:jc w:val="both"/>
              <w:rPr>
                <w:rFonts w:eastAsia="Times New Roman" w:cs="Times New Roman"/>
                <w:b/>
                <w:bCs/>
                <w:color w:val="000000"/>
                <w:szCs w:val="24"/>
                <w:lang w:val="en-GB"/>
              </w:rPr>
            </w:pPr>
            <w:r w:rsidRPr="00E21CEC">
              <w:rPr>
                <w:rFonts w:eastAsia="Times New Roman" w:cs="Times New Roman"/>
                <w:b/>
                <w:bCs/>
                <w:color w:val="000000"/>
                <w:szCs w:val="24"/>
                <w:lang w:val="en-GB"/>
              </w:rPr>
              <w:t>Activity</w:t>
            </w:r>
          </w:p>
        </w:tc>
      </w:tr>
      <w:tr w:rsidR="00177C69" w:rsidRPr="00E21CEC" w:rsidTr="0047423B">
        <w:trPr>
          <w:trHeight w:val="930"/>
        </w:trPr>
        <w:tc>
          <w:tcPr>
            <w:tcW w:w="1323" w:type="dxa"/>
            <w:tcBorders>
              <w:top w:val="nil"/>
              <w:left w:val="single" w:sz="4" w:space="0" w:color="auto"/>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292929"/>
                <w:szCs w:val="24"/>
                <w:lang w:val="en-GB"/>
              </w:rPr>
            </w:pPr>
            <w:r w:rsidRPr="00E21CEC">
              <w:rPr>
                <w:rFonts w:eastAsia="Times New Roman" w:cs="Times New Roman"/>
                <w:color w:val="292929"/>
                <w:szCs w:val="24"/>
                <w:lang w:val="en-GB"/>
              </w:rPr>
              <w:t>Accounts Receivable Turnover</w:t>
            </w:r>
          </w:p>
        </w:tc>
        <w:tc>
          <w:tcPr>
            <w:tcW w:w="2620" w:type="dxa"/>
            <w:tcBorders>
              <w:top w:val="nil"/>
              <w:left w:val="nil"/>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Net Sales/ Average Accounts Receivables</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4.30</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4.17</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4.69</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4.11</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3.57</w:t>
            </w:r>
          </w:p>
        </w:tc>
      </w:tr>
      <w:tr w:rsidR="00177C69" w:rsidRPr="00E21CEC" w:rsidTr="0047423B">
        <w:trPr>
          <w:trHeight w:val="735"/>
        </w:trPr>
        <w:tc>
          <w:tcPr>
            <w:tcW w:w="1323" w:type="dxa"/>
            <w:tcBorders>
              <w:top w:val="nil"/>
              <w:left w:val="single" w:sz="4" w:space="0" w:color="auto"/>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292929"/>
                <w:szCs w:val="24"/>
                <w:lang w:val="en-GB"/>
              </w:rPr>
            </w:pPr>
            <w:r w:rsidRPr="00E21CEC">
              <w:rPr>
                <w:rFonts w:eastAsia="Times New Roman" w:cs="Times New Roman"/>
                <w:color w:val="292929"/>
                <w:szCs w:val="24"/>
                <w:lang w:val="en-GB"/>
              </w:rPr>
              <w:t>Inventory Turnover</w:t>
            </w:r>
          </w:p>
        </w:tc>
        <w:tc>
          <w:tcPr>
            <w:tcW w:w="2620" w:type="dxa"/>
            <w:tcBorders>
              <w:top w:val="nil"/>
              <w:left w:val="nil"/>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Cost of Goods Sold / Average Inventory</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1.62</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1.67</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1.61</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1.84</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2.26</w:t>
            </w:r>
          </w:p>
        </w:tc>
      </w:tr>
      <w:tr w:rsidR="00177C69" w:rsidRPr="00E21CEC" w:rsidTr="0047423B">
        <w:trPr>
          <w:trHeight w:val="750"/>
        </w:trPr>
        <w:tc>
          <w:tcPr>
            <w:tcW w:w="1323" w:type="dxa"/>
            <w:tcBorders>
              <w:top w:val="nil"/>
              <w:left w:val="single" w:sz="4" w:space="0" w:color="auto"/>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292929"/>
                <w:szCs w:val="24"/>
                <w:lang w:val="en-GB"/>
              </w:rPr>
            </w:pPr>
            <w:r w:rsidRPr="00E21CEC">
              <w:rPr>
                <w:rFonts w:eastAsia="Times New Roman" w:cs="Times New Roman"/>
                <w:color w:val="292929"/>
                <w:szCs w:val="24"/>
                <w:lang w:val="en-GB"/>
              </w:rPr>
              <w:t>Total Assets Turnover</w:t>
            </w:r>
          </w:p>
        </w:tc>
        <w:tc>
          <w:tcPr>
            <w:tcW w:w="2620" w:type="dxa"/>
            <w:tcBorders>
              <w:top w:val="nil"/>
              <w:left w:val="nil"/>
              <w:bottom w:val="single" w:sz="4" w:space="0" w:color="auto"/>
              <w:right w:val="single" w:sz="4" w:space="0" w:color="auto"/>
            </w:tcBorders>
            <w:shd w:val="clear" w:color="auto" w:fill="auto"/>
            <w:vAlign w:val="bottom"/>
            <w:hideMark/>
          </w:tcPr>
          <w:p w:rsidR="00177C69" w:rsidRPr="00E21CEC" w:rsidRDefault="00177C69" w:rsidP="001F6336">
            <w:pPr>
              <w:spacing w:after="0" w:line="360" w:lineRule="auto"/>
              <w:jc w:val="both"/>
              <w:rPr>
                <w:rFonts w:eastAsia="Times New Roman" w:cs="Times New Roman"/>
                <w:color w:val="000000"/>
                <w:szCs w:val="24"/>
                <w:lang w:val="en-GB"/>
              </w:rPr>
            </w:pPr>
            <w:r w:rsidRPr="00E21CEC">
              <w:rPr>
                <w:rFonts w:eastAsia="Times New Roman" w:cs="Times New Roman"/>
                <w:color w:val="000000"/>
                <w:szCs w:val="24"/>
                <w:lang w:val="en-GB"/>
              </w:rPr>
              <w:t>Net Sales / Average Assets</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0.40</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0.36</w:t>
            </w:r>
          </w:p>
        </w:tc>
        <w:tc>
          <w:tcPr>
            <w:tcW w:w="99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0.36</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0.38</w:t>
            </w:r>
          </w:p>
        </w:tc>
        <w:tc>
          <w:tcPr>
            <w:tcW w:w="1116" w:type="dxa"/>
            <w:tcBorders>
              <w:top w:val="nil"/>
              <w:left w:val="nil"/>
              <w:bottom w:val="single" w:sz="4" w:space="0" w:color="auto"/>
              <w:right w:val="single" w:sz="4" w:space="0" w:color="auto"/>
            </w:tcBorders>
            <w:shd w:val="clear" w:color="auto" w:fill="auto"/>
            <w:noWrap/>
            <w:vAlign w:val="bottom"/>
            <w:hideMark/>
          </w:tcPr>
          <w:p w:rsidR="00177C69" w:rsidRPr="00E21CEC" w:rsidRDefault="00177C69" w:rsidP="001F6336">
            <w:pPr>
              <w:spacing w:line="360" w:lineRule="auto"/>
              <w:jc w:val="both"/>
              <w:rPr>
                <w:rFonts w:cs="Times New Roman"/>
                <w:color w:val="000000"/>
                <w:szCs w:val="24"/>
                <w:lang w:val="en-GB"/>
              </w:rPr>
            </w:pPr>
            <w:r w:rsidRPr="00E21CEC">
              <w:rPr>
                <w:rFonts w:cs="Times New Roman"/>
                <w:color w:val="000000"/>
                <w:szCs w:val="24"/>
                <w:lang w:val="en-GB"/>
              </w:rPr>
              <w:t>0.42</w:t>
            </w:r>
          </w:p>
        </w:tc>
      </w:tr>
    </w:tbl>
    <w:p w:rsidR="00177C69" w:rsidRPr="00E21CEC" w:rsidRDefault="00177C69" w:rsidP="001F6336">
      <w:pPr>
        <w:spacing w:line="360" w:lineRule="auto"/>
        <w:jc w:val="both"/>
        <w:rPr>
          <w:rFonts w:cs="Times New Roman"/>
          <w:szCs w:val="24"/>
          <w:lang w:val="en-GB"/>
        </w:rPr>
      </w:pP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Ratio analysis is a quantitative procedure used by companies and its interested parties to </w:t>
      </w:r>
      <w:r w:rsidR="00467158" w:rsidRPr="00E21CEC">
        <w:rPr>
          <w:rFonts w:cs="Times New Roman"/>
          <w:szCs w:val="24"/>
          <w:lang w:val="en-GB"/>
        </w:rPr>
        <w:t>analyse</w:t>
      </w:r>
      <w:r w:rsidRPr="00E21CEC">
        <w:rPr>
          <w:rFonts w:cs="Times New Roman"/>
          <w:szCs w:val="24"/>
          <w:lang w:val="en-GB"/>
        </w:rPr>
        <w:t xml:space="preserve"> its financial records by evaluating the line items of the financial statements on the basis of efficiency, solvency and profitability. This analysis helps to understand the different fundamentals of equity.</w:t>
      </w:r>
    </w:p>
    <w:p w:rsidR="00177C69" w:rsidRPr="00E21CEC" w:rsidRDefault="00177C69" w:rsidP="001F6336">
      <w:pPr>
        <w:pStyle w:val="Heading2"/>
        <w:jc w:val="both"/>
        <w:rPr>
          <w:b/>
          <w:bCs/>
          <w:lang w:val="en-GB"/>
        </w:rPr>
      </w:pPr>
      <w:bookmarkStart w:id="8" w:name="_Toc60996017"/>
      <w:bookmarkStart w:id="9" w:name="_Toc61455582"/>
      <w:r w:rsidRPr="00E21CEC">
        <w:rPr>
          <w:b/>
          <w:bCs/>
          <w:lang w:val="en-GB"/>
        </w:rPr>
        <w:t>Profitability Ratios</w:t>
      </w:r>
      <w:bookmarkEnd w:id="8"/>
      <w:bookmarkEnd w:id="9"/>
    </w:p>
    <w:p w:rsidR="00177C69" w:rsidRPr="00E21CEC" w:rsidRDefault="00177C69" w:rsidP="001F6336">
      <w:pPr>
        <w:pStyle w:val="ListParagraph"/>
        <w:spacing w:line="360" w:lineRule="auto"/>
        <w:ind w:left="0"/>
        <w:jc w:val="both"/>
        <w:rPr>
          <w:rFonts w:cs="Times New Roman"/>
          <w:szCs w:val="24"/>
          <w:lang w:val="en-GB"/>
        </w:rPr>
      </w:pPr>
      <w:r w:rsidRPr="00E21CEC">
        <w:rPr>
          <w:rFonts w:cs="Times New Roman"/>
          <w:szCs w:val="24"/>
          <w:lang w:val="en-GB"/>
        </w:rPr>
        <w:t>These ratios are</w:t>
      </w:r>
      <w:r w:rsidR="002B7877">
        <w:rPr>
          <w:rFonts w:cs="Times New Roman"/>
          <w:szCs w:val="24"/>
          <w:lang w:val="en-GB"/>
        </w:rPr>
        <w:t xml:space="preserve"> used by financial management </w:t>
      </w:r>
      <w:r w:rsidRPr="00E21CEC">
        <w:rPr>
          <w:rFonts w:cs="Times New Roman"/>
          <w:szCs w:val="24"/>
          <w:lang w:val="en-GB"/>
        </w:rPr>
        <w:t xml:space="preserve">to assess a company’s ability to generate income relative to its sources of revenue. </w:t>
      </w:r>
    </w:p>
    <w:p w:rsidR="00177C69" w:rsidRPr="00E21CEC" w:rsidRDefault="00177C69" w:rsidP="001F6336">
      <w:pPr>
        <w:spacing w:line="360" w:lineRule="auto"/>
        <w:jc w:val="both"/>
        <w:rPr>
          <w:rFonts w:cs="Times New Roman"/>
          <w:szCs w:val="24"/>
          <w:lang w:val="en-GB"/>
        </w:rPr>
      </w:pPr>
      <w:bookmarkStart w:id="10" w:name="_Toc60996018"/>
      <w:r w:rsidRPr="00E21CEC">
        <w:rPr>
          <w:b/>
          <w:bCs/>
          <w:lang w:val="en-GB"/>
        </w:rPr>
        <w:lastRenderedPageBreak/>
        <w:t>Net Profit Margin</w:t>
      </w:r>
      <w:bookmarkEnd w:id="10"/>
      <w:r w:rsidR="00193F82" w:rsidRPr="00E21CEC">
        <w:rPr>
          <w:rStyle w:val="Heading3Char"/>
          <w:lang w:val="en-GB"/>
        </w:rPr>
        <w:t xml:space="preserve"> -</w:t>
      </w:r>
      <w:r w:rsidRPr="00E21CEC">
        <w:rPr>
          <w:rStyle w:val="Heading3Char"/>
          <w:lang w:val="en-GB"/>
        </w:rPr>
        <w:t xml:space="preserve"> </w:t>
      </w:r>
      <w:r w:rsidRPr="00E21CEC">
        <w:rPr>
          <w:rFonts w:cs="Times New Roman"/>
          <w:szCs w:val="24"/>
          <w:lang w:val="en-GB"/>
        </w:rPr>
        <w:t xml:space="preserve">This ratio is a measure to evaluate how efficiently the company earns net profit through its revenue. </w:t>
      </w:r>
      <w:r w:rsidR="002B7877">
        <w:rPr>
          <w:rFonts w:cs="Times New Roman"/>
          <w:szCs w:val="24"/>
          <w:lang w:val="en-GB"/>
        </w:rPr>
        <w:t>This tool</w:t>
      </w:r>
      <w:r w:rsidRPr="00E21CEC">
        <w:rPr>
          <w:rFonts w:cs="Times New Roman"/>
          <w:szCs w:val="24"/>
          <w:lang w:val="en-GB"/>
        </w:rPr>
        <w:t xml:space="preserve"> </w:t>
      </w:r>
      <w:proofErr w:type="gramStart"/>
      <w:r w:rsidR="00467158" w:rsidRPr="00E21CEC">
        <w:rPr>
          <w:rFonts w:cs="Times New Roman"/>
          <w:szCs w:val="24"/>
          <w:lang w:val="en-GB"/>
        </w:rPr>
        <w:t>analyse</w:t>
      </w:r>
      <w:proofErr w:type="gramEnd"/>
      <w:r w:rsidRPr="00E21CEC">
        <w:rPr>
          <w:rFonts w:cs="Times New Roman"/>
          <w:szCs w:val="24"/>
          <w:lang w:val="en-GB"/>
        </w:rPr>
        <w:t xml:space="preserve"> </w:t>
      </w:r>
      <w:r w:rsidR="002B7877">
        <w:rPr>
          <w:rFonts w:cs="Times New Roman"/>
          <w:szCs w:val="24"/>
          <w:lang w:val="en-GB"/>
        </w:rPr>
        <w:t>firm profitability and</w:t>
      </w:r>
      <w:r w:rsidRPr="00E21CEC">
        <w:rPr>
          <w:rFonts w:cs="Times New Roman"/>
          <w:szCs w:val="24"/>
          <w:lang w:val="en-GB"/>
        </w:rPr>
        <w:t xml:space="preserve"> </w:t>
      </w:r>
      <w:r w:rsidR="002B7877">
        <w:rPr>
          <w:rFonts w:cs="Times New Roman"/>
          <w:szCs w:val="24"/>
          <w:lang w:val="en-GB"/>
        </w:rPr>
        <w:t xml:space="preserve">a </w:t>
      </w:r>
      <w:r w:rsidRPr="00E21CEC">
        <w:rPr>
          <w:rFonts w:cs="Times New Roman"/>
          <w:szCs w:val="24"/>
          <w:lang w:val="en-GB"/>
        </w:rPr>
        <w:t xml:space="preserve">higher ratio </w:t>
      </w:r>
      <w:r w:rsidR="002B7877">
        <w:rPr>
          <w:rFonts w:cs="Times New Roman"/>
          <w:szCs w:val="24"/>
          <w:lang w:val="en-GB"/>
        </w:rPr>
        <w:t xml:space="preserve">results a </w:t>
      </w:r>
      <w:r w:rsidRPr="00E21CEC">
        <w:rPr>
          <w:rFonts w:cs="Times New Roman"/>
          <w:szCs w:val="24"/>
          <w:lang w:val="en-GB"/>
        </w:rPr>
        <w:t xml:space="preserve">better </w:t>
      </w:r>
      <w:r w:rsidR="002B7877">
        <w:rPr>
          <w:rFonts w:cs="Times New Roman"/>
          <w:szCs w:val="24"/>
          <w:lang w:val="en-GB"/>
        </w:rPr>
        <w:t xml:space="preserve"> indicator for </w:t>
      </w:r>
      <w:r w:rsidRPr="00E21CEC">
        <w:rPr>
          <w:rFonts w:cs="Times New Roman"/>
          <w:szCs w:val="24"/>
          <w:lang w:val="en-GB"/>
        </w:rPr>
        <w:t>the company’s efficiency in using its assets to create value for its shareholders.</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The company’s profits showed an increasing trend till the year 205 &amp; 2016 as it earned profits of $2,826 million &amp; $3,406 million in the year 2015 and 2016 respectively but the profits show a declining trend after the year 2017. By the year 2017 the company’s profits decreased to $2868 million, then $ 20150 million in the year 2018 and $ 1227 million in 2019.</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The net profit margin has decreased by more than half of what it was in the year 2015-16 by the year 2018-19, this is because of the tough competition and large players in the market.</w:t>
      </w:r>
    </w:p>
    <w:p w:rsidR="00177C69" w:rsidRPr="00E21CEC" w:rsidRDefault="00177C69" w:rsidP="001F6336">
      <w:pPr>
        <w:spacing w:line="360" w:lineRule="auto"/>
        <w:jc w:val="both"/>
        <w:rPr>
          <w:rFonts w:cs="Times New Roman"/>
          <w:szCs w:val="24"/>
          <w:lang w:val="en-GB"/>
        </w:rPr>
      </w:pPr>
      <w:bookmarkStart w:id="11" w:name="_Toc60996019"/>
      <w:r w:rsidRPr="00E21CEC">
        <w:rPr>
          <w:b/>
          <w:bCs/>
          <w:lang w:val="en-GB"/>
        </w:rPr>
        <w:t xml:space="preserve">Return on Capital </w:t>
      </w:r>
      <w:r w:rsidR="00C101CE" w:rsidRPr="00E21CEC">
        <w:rPr>
          <w:b/>
          <w:bCs/>
          <w:lang w:val="en-GB"/>
        </w:rPr>
        <w:t>Employed</w:t>
      </w:r>
      <w:bookmarkEnd w:id="11"/>
      <w:r w:rsidR="00193F82" w:rsidRPr="00E21CEC">
        <w:rPr>
          <w:rStyle w:val="Heading3Char"/>
          <w:lang w:val="en-GB"/>
        </w:rPr>
        <w:t xml:space="preserve"> -</w:t>
      </w:r>
      <w:r w:rsidR="00C101CE" w:rsidRPr="00E21CEC">
        <w:rPr>
          <w:rFonts w:cs="Times New Roman"/>
          <w:szCs w:val="24"/>
          <w:lang w:val="en-GB"/>
        </w:rPr>
        <w:t xml:space="preserve"> It</w:t>
      </w:r>
      <w:r w:rsidRPr="00E21CEC">
        <w:rPr>
          <w:rFonts w:cs="Times New Roman"/>
          <w:szCs w:val="24"/>
          <w:lang w:val="en-GB"/>
        </w:rPr>
        <w:t xml:space="preserve"> is also a tool to measure profitability of a company. It is an indicator of the company’s efficiency as it indicates how well the company is using its capital investments to generate profits. This ratio is generally used by investors when they need to </w:t>
      </w:r>
      <w:r w:rsidR="00467158" w:rsidRPr="00E21CEC">
        <w:rPr>
          <w:rFonts w:cs="Times New Roman"/>
          <w:szCs w:val="24"/>
          <w:lang w:val="en-GB"/>
        </w:rPr>
        <w:t>analyse</w:t>
      </w:r>
      <w:r w:rsidRPr="00E21CEC">
        <w:rPr>
          <w:rFonts w:cs="Times New Roman"/>
          <w:szCs w:val="24"/>
          <w:lang w:val="en-GB"/>
        </w:rPr>
        <w:t xml:space="preserve"> a prospective company for investment purpose or know the value created for them by the company in which they have already invested.</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The company has been reporting high return on capital employed ratio in the past years. The company’s return on capital employed ratio rose from 15.27% in 2015 to 20.43% in 2016, but again it </w:t>
      </w:r>
      <w:r w:rsidR="00467158" w:rsidRPr="00E21CEC">
        <w:rPr>
          <w:rFonts w:cs="Times New Roman"/>
          <w:szCs w:val="24"/>
          <w:lang w:val="en-GB"/>
        </w:rPr>
        <w:t>falls</w:t>
      </w:r>
      <w:r w:rsidRPr="00E21CEC">
        <w:rPr>
          <w:rFonts w:cs="Times New Roman"/>
          <w:szCs w:val="24"/>
          <w:lang w:val="en-GB"/>
        </w:rPr>
        <w:t xml:space="preserve"> down to 17.23% in 2017 and 14.60% in 2018 and the least reported so far 8.41% in 2019. The company’s performance has deteriorated since 2018 with profit decreasing to $2050 million and just $1227 million in 2019. Though the company made issue of new capital employed in the year 2019 of about $11 million it could not boost up the profit earning capacity of the company. The company’s capital employed was $316 million in the year 2015 and 2016 which increased to $ 317 million in 2017 and remained the same till 2018. But the company issued fresh shares and its equity capital was 328 million by the end of 2019 </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Despite of making fresh issues the company’s capital employed has not improved as the company’s profit margin has decreased and it has been declaring large dividends through its retained earnings, which impacted its total equity over the period of last five years. </w:t>
      </w:r>
    </w:p>
    <w:p w:rsidR="00177C69" w:rsidRPr="00E21CEC" w:rsidRDefault="00177C69" w:rsidP="001F6336">
      <w:pPr>
        <w:spacing w:line="360" w:lineRule="auto"/>
        <w:jc w:val="both"/>
        <w:rPr>
          <w:rFonts w:cs="Times New Roman"/>
          <w:szCs w:val="24"/>
          <w:lang w:val="en-GB"/>
        </w:rPr>
      </w:pPr>
      <w:bookmarkStart w:id="12" w:name="_Toc60996020"/>
      <w:r w:rsidRPr="00E21CEC">
        <w:rPr>
          <w:b/>
          <w:bCs/>
          <w:lang w:val="en-GB"/>
        </w:rPr>
        <w:t xml:space="preserve">Return on Asset </w:t>
      </w:r>
      <w:r w:rsidR="00C101CE" w:rsidRPr="00E21CEC">
        <w:rPr>
          <w:b/>
          <w:bCs/>
          <w:lang w:val="en-GB"/>
        </w:rPr>
        <w:t>Ratio</w:t>
      </w:r>
      <w:bookmarkEnd w:id="12"/>
      <w:r w:rsidR="00193F82" w:rsidRPr="00E21CEC">
        <w:rPr>
          <w:rStyle w:val="Heading3Char"/>
          <w:lang w:val="en-GB"/>
        </w:rPr>
        <w:t xml:space="preserve"> -</w:t>
      </w:r>
      <w:r w:rsidR="00C101CE" w:rsidRPr="00E21CEC">
        <w:rPr>
          <w:rFonts w:cs="Times New Roman"/>
          <w:szCs w:val="24"/>
          <w:lang w:val="en-GB"/>
        </w:rPr>
        <w:t xml:space="preserve"> It</w:t>
      </w:r>
      <w:r w:rsidRPr="00E21CEC">
        <w:rPr>
          <w:rFonts w:cs="Times New Roman"/>
          <w:szCs w:val="24"/>
          <w:lang w:val="en-GB"/>
        </w:rPr>
        <w:t xml:space="preserve"> is a tool used to get an idea how well the company converts its monetary investment into net income during a period of time. It indicates company’s efficiency </w:t>
      </w:r>
      <w:r w:rsidRPr="00E21CEC">
        <w:rPr>
          <w:rFonts w:cs="Times New Roman"/>
          <w:szCs w:val="24"/>
          <w:lang w:val="en-GB"/>
        </w:rPr>
        <w:lastRenderedPageBreak/>
        <w:t xml:space="preserve">in utilizing its resources to generate income for the company. </w:t>
      </w:r>
      <w:r w:rsidR="002B7877">
        <w:rPr>
          <w:rFonts w:cs="Times New Roman"/>
          <w:szCs w:val="24"/>
          <w:lang w:val="en-GB"/>
        </w:rPr>
        <w:t xml:space="preserve">A </w:t>
      </w:r>
      <w:r w:rsidRPr="00E21CEC">
        <w:rPr>
          <w:rFonts w:cs="Times New Roman"/>
          <w:szCs w:val="24"/>
          <w:lang w:val="en-GB"/>
        </w:rPr>
        <w:t xml:space="preserve">higher ratio </w:t>
      </w:r>
      <w:r w:rsidR="002B7877">
        <w:rPr>
          <w:rFonts w:cs="Times New Roman"/>
          <w:szCs w:val="24"/>
          <w:lang w:val="en-GB"/>
        </w:rPr>
        <w:t xml:space="preserve"> is an</w:t>
      </w:r>
      <w:r w:rsidRPr="00E21CEC">
        <w:rPr>
          <w:rFonts w:cs="Times New Roman"/>
          <w:szCs w:val="24"/>
          <w:lang w:val="en-GB"/>
        </w:rPr>
        <w:t xml:space="preserve"> indicator </w:t>
      </w:r>
      <w:r w:rsidR="002B7877">
        <w:rPr>
          <w:rFonts w:cs="Times New Roman"/>
          <w:szCs w:val="24"/>
          <w:lang w:val="en-GB"/>
        </w:rPr>
        <w:t xml:space="preserve">and </w:t>
      </w:r>
      <w:r w:rsidRPr="00E21CEC">
        <w:rPr>
          <w:rFonts w:cs="Times New Roman"/>
          <w:szCs w:val="24"/>
          <w:lang w:val="en-GB"/>
        </w:rPr>
        <w:t>means that the company is earning higher returns with lower investments.</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 The return on asset ratio of the company has not fluctuated widely the company over the recent years but in the year 2019 it was the lowest. It was 2% in the year 2019 whereas it was 3.38% in the year 2018. In the years 2015, 2016 &amp; 2017 the ratio has shown some increasing and decreasing trend as it was 4.715 in 2015 then rose to 5.45% in 2016 and then again decline to 4.53% in the year 2017. One of the major reasons behind the decline of the ratio is the decrease in profit in the year 2019. Though the total assets of the company have shown increase over the past years the ratio could not improve. The total assets of the company were $60,056 million in the year 2015, $62,526 million in the year 2016, $ 63,354 million in the year 2017, declined slightly to $60,651 million in the year 2018 but again rose to $61,377 million in the year 2019.</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Though the company has been able to generate more revenue through its investments but the cost also increased that is the reason the profit margin has been continuously declining.</w:t>
      </w:r>
    </w:p>
    <w:p w:rsidR="00177C69" w:rsidRPr="00E21CEC" w:rsidRDefault="00177C69" w:rsidP="001F6336">
      <w:pPr>
        <w:pStyle w:val="Heading2"/>
        <w:jc w:val="both"/>
        <w:rPr>
          <w:b/>
          <w:bCs/>
          <w:lang w:val="en-GB"/>
        </w:rPr>
      </w:pPr>
      <w:bookmarkStart w:id="13" w:name="_Toc60996021"/>
      <w:bookmarkStart w:id="14" w:name="_Toc61455583"/>
      <w:r w:rsidRPr="00E21CEC">
        <w:rPr>
          <w:b/>
          <w:bCs/>
          <w:lang w:val="en-GB"/>
        </w:rPr>
        <w:t>Solvency Ratios</w:t>
      </w:r>
      <w:bookmarkEnd w:id="13"/>
      <w:bookmarkEnd w:id="14"/>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These ratios are used by to find the true position of financial health of a company whether the company has sufficient funds to meet its future and present obligations.</w:t>
      </w:r>
    </w:p>
    <w:p w:rsidR="00177C69" w:rsidRPr="00E21CEC" w:rsidRDefault="00177C69" w:rsidP="001F6336">
      <w:pPr>
        <w:spacing w:line="360" w:lineRule="auto"/>
        <w:jc w:val="both"/>
        <w:rPr>
          <w:rFonts w:cs="Times New Roman"/>
          <w:szCs w:val="24"/>
          <w:lang w:val="en-GB"/>
        </w:rPr>
      </w:pPr>
      <w:bookmarkStart w:id="15" w:name="_Toc60996022"/>
      <w:r w:rsidRPr="00E21CEC">
        <w:rPr>
          <w:b/>
          <w:bCs/>
          <w:lang w:val="en-GB"/>
        </w:rPr>
        <w:t>Debt to Equity Ratio</w:t>
      </w:r>
      <w:bookmarkEnd w:id="15"/>
      <w:r w:rsidR="00193F82" w:rsidRPr="00E21CEC">
        <w:rPr>
          <w:rStyle w:val="Heading3Char"/>
          <w:lang w:val="en-GB"/>
        </w:rPr>
        <w:t xml:space="preserve"> -</w:t>
      </w:r>
      <w:r w:rsidRPr="00E21CEC">
        <w:rPr>
          <w:rFonts w:cs="Times New Roman"/>
          <w:szCs w:val="24"/>
          <w:lang w:val="en-GB"/>
        </w:rPr>
        <w:t xml:space="preserve"> The ratios are used to interpret risk for a company </w:t>
      </w:r>
      <w:r w:rsidR="0047423B" w:rsidRPr="00E21CEC">
        <w:rPr>
          <w:rFonts w:cs="Times New Roman"/>
          <w:szCs w:val="24"/>
          <w:lang w:val="en-GB"/>
        </w:rPr>
        <w:t>the higher</w:t>
      </w:r>
      <w:r w:rsidRPr="00E21CEC">
        <w:rPr>
          <w:rFonts w:cs="Times New Roman"/>
          <w:szCs w:val="24"/>
          <w:lang w:val="en-GB"/>
        </w:rPr>
        <w:t xml:space="preserve"> the debt equity ratio the more the risk as it means that the company is financed by more debts than its own capital. </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The company’s total equity has shown </w:t>
      </w:r>
      <w:r w:rsidR="00467158" w:rsidRPr="00E21CEC">
        <w:rPr>
          <w:rFonts w:cs="Times New Roman"/>
          <w:szCs w:val="24"/>
          <w:lang w:val="en-GB"/>
        </w:rPr>
        <w:t>a</w:t>
      </w:r>
      <w:r w:rsidRPr="00E21CEC">
        <w:rPr>
          <w:rFonts w:cs="Times New Roman"/>
          <w:szCs w:val="24"/>
          <w:lang w:val="en-GB"/>
        </w:rPr>
        <w:t xml:space="preserve"> declining trend  low over the past five years as it was $18509 million in 2015 and went down to $ 16669 million in 2016, $16642 million in 2017, $14044 million in 2018 and the lowest $14596 million in 2019. The debt composition has been increasing over the few years the company, it has been raising more and more debts over the last five years the debts were $15053 million in the year 2015 as the debts which rose to $ 16808 million in the year 2016, to 17807 million in the year 2017 and the highest $19113 million in the year 2018 but in the year 2019 company paid off its </w:t>
      </w:r>
      <w:r w:rsidR="00467158" w:rsidRPr="00E21CEC">
        <w:rPr>
          <w:rFonts w:cs="Times New Roman"/>
          <w:szCs w:val="24"/>
          <w:lang w:val="en-GB"/>
        </w:rPr>
        <w:t>long-term interest-bearing</w:t>
      </w:r>
      <w:r w:rsidRPr="00E21CEC">
        <w:rPr>
          <w:rFonts w:cs="Times New Roman"/>
          <w:szCs w:val="24"/>
          <w:lang w:val="en-GB"/>
        </w:rPr>
        <w:t xml:space="preserve"> liabilities and decreased the total loans to $17552 million by the end of the year 2019. But in the same year </w:t>
      </w:r>
      <w:r w:rsidRPr="00E21CEC">
        <w:rPr>
          <w:rFonts w:cs="Times New Roman"/>
          <w:szCs w:val="24"/>
          <w:lang w:val="en-GB"/>
        </w:rPr>
        <w:lastRenderedPageBreak/>
        <w:t xml:space="preserve">2019 the company borrowed some fresh </w:t>
      </w:r>
      <w:r w:rsidR="00467158" w:rsidRPr="00E21CEC">
        <w:rPr>
          <w:rFonts w:cs="Times New Roman"/>
          <w:szCs w:val="24"/>
          <w:lang w:val="en-GB"/>
        </w:rPr>
        <w:t>short-term</w:t>
      </w:r>
      <w:r w:rsidRPr="00E21CEC">
        <w:rPr>
          <w:rFonts w:cs="Times New Roman"/>
          <w:szCs w:val="24"/>
          <w:lang w:val="en-GB"/>
        </w:rPr>
        <w:t xml:space="preserve"> loans along with issue of new capital of $13 million to finance its future projects.</w:t>
      </w:r>
    </w:p>
    <w:p w:rsidR="00177C69" w:rsidRPr="00E21CEC" w:rsidRDefault="00177C69" w:rsidP="001F6336">
      <w:pPr>
        <w:spacing w:line="360" w:lineRule="auto"/>
        <w:jc w:val="both"/>
        <w:rPr>
          <w:rFonts w:cs="Times New Roman"/>
          <w:szCs w:val="24"/>
          <w:lang w:val="en-GB"/>
        </w:rPr>
      </w:pPr>
      <w:bookmarkStart w:id="16" w:name="_Toc60996023"/>
      <w:r w:rsidRPr="00E21CEC">
        <w:rPr>
          <w:b/>
          <w:bCs/>
          <w:lang w:val="en-GB"/>
        </w:rPr>
        <w:t>Times Interest Earned Ratio</w:t>
      </w:r>
      <w:bookmarkEnd w:id="16"/>
      <w:r w:rsidR="00193F82" w:rsidRPr="00E21CEC">
        <w:rPr>
          <w:rStyle w:val="Heading3Char"/>
          <w:lang w:val="en-GB"/>
        </w:rPr>
        <w:t xml:space="preserve"> - </w:t>
      </w:r>
      <w:r w:rsidRPr="00E21CEC">
        <w:rPr>
          <w:rFonts w:cs="Times New Roman"/>
          <w:szCs w:val="24"/>
          <w:lang w:val="en-GB"/>
        </w:rPr>
        <w:t xml:space="preserve">This ratio is an indicator of the company’s ability of earning adequate profits to meet its service obligations as and when they fall due. </w:t>
      </w:r>
      <w:r w:rsidR="002B7877">
        <w:rPr>
          <w:rFonts w:cs="Times New Roman"/>
          <w:szCs w:val="24"/>
          <w:lang w:val="en-GB"/>
        </w:rPr>
        <w:t>A</w:t>
      </w:r>
      <w:r w:rsidRPr="00E21CEC">
        <w:rPr>
          <w:rFonts w:cs="Times New Roman"/>
          <w:szCs w:val="24"/>
          <w:lang w:val="en-GB"/>
        </w:rPr>
        <w:t xml:space="preserve"> higher ratio </w:t>
      </w:r>
      <w:r w:rsidR="002B7877">
        <w:rPr>
          <w:rFonts w:cs="Times New Roman"/>
          <w:szCs w:val="24"/>
          <w:lang w:val="en-GB"/>
        </w:rPr>
        <w:t>indicates</w:t>
      </w:r>
      <w:r w:rsidRPr="00E21CEC">
        <w:rPr>
          <w:rFonts w:cs="Times New Roman"/>
          <w:szCs w:val="24"/>
          <w:lang w:val="en-GB"/>
        </w:rPr>
        <w:t xml:space="preserve"> that the </w:t>
      </w:r>
      <w:r w:rsidR="002B7877">
        <w:rPr>
          <w:rFonts w:cs="Times New Roman"/>
          <w:szCs w:val="24"/>
          <w:lang w:val="en-GB"/>
        </w:rPr>
        <w:t xml:space="preserve">firm </w:t>
      </w:r>
      <w:r w:rsidRPr="00E21CEC">
        <w:rPr>
          <w:rFonts w:cs="Times New Roman"/>
          <w:szCs w:val="24"/>
          <w:lang w:val="en-GB"/>
        </w:rPr>
        <w:t xml:space="preserve">will be able to </w:t>
      </w:r>
      <w:r w:rsidR="002B7877" w:rsidRPr="00E21CEC">
        <w:rPr>
          <w:rFonts w:cs="Times New Roman"/>
          <w:szCs w:val="24"/>
          <w:lang w:val="en-GB"/>
        </w:rPr>
        <w:t>sustain</w:t>
      </w:r>
      <w:r w:rsidRPr="00E21CEC">
        <w:rPr>
          <w:rFonts w:cs="Times New Roman"/>
          <w:szCs w:val="24"/>
          <w:lang w:val="en-GB"/>
        </w:rPr>
        <w:t xml:space="preserve"> its debt obligations and will not become a defaulter. But if the ratio is low it means the company is running into financial trouble and is not earning enough profits to meet its current or future obligations.</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The company’s interest earned ratio has been moderate and satisfactory in the last five years. It though showed a decreasing trend from 3.83 times in 2015 to 3.54 times in the year 2016 then to 2.44 times in 2017 and 2.39 times in the year 2018. The lowest 2.04 times was reported in the year 2019 though the debt obligations decreased as the company paid off a large amount of </w:t>
      </w:r>
      <w:r w:rsidR="00467158" w:rsidRPr="00E21CEC">
        <w:rPr>
          <w:rFonts w:cs="Times New Roman"/>
          <w:szCs w:val="24"/>
          <w:lang w:val="en-GB"/>
        </w:rPr>
        <w:t>long-term</w:t>
      </w:r>
      <w:r w:rsidRPr="00E21CEC">
        <w:rPr>
          <w:rFonts w:cs="Times New Roman"/>
          <w:szCs w:val="24"/>
          <w:lang w:val="en-GB"/>
        </w:rPr>
        <w:t xml:space="preserve"> loan.</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The amount of interest paid by the company was highest in the year 2016 being $4902 million and lowest in the year 2019 $2924 million. Despite of decrease in the amount of interest to be paid the ratio did not improved as the company’s profits have also decreased simultaneously and by a larger amount</w:t>
      </w:r>
    </w:p>
    <w:p w:rsidR="00177C69" w:rsidRPr="00E21CEC" w:rsidRDefault="00177C69" w:rsidP="001F6336">
      <w:pPr>
        <w:pStyle w:val="Heading2"/>
        <w:jc w:val="both"/>
        <w:rPr>
          <w:b/>
          <w:bCs/>
          <w:lang w:val="en-GB"/>
        </w:rPr>
      </w:pPr>
      <w:bookmarkStart w:id="17" w:name="_Toc60996024"/>
      <w:bookmarkStart w:id="18" w:name="_Toc61455584"/>
      <w:r w:rsidRPr="00E21CEC">
        <w:rPr>
          <w:b/>
          <w:bCs/>
          <w:lang w:val="en-GB"/>
        </w:rPr>
        <w:t>Liquidity Ratios</w:t>
      </w:r>
      <w:bookmarkEnd w:id="17"/>
      <w:bookmarkEnd w:id="18"/>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These ratios are the financial metrics to know the </w:t>
      </w:r>
      <w:r w:rsidR="0047423B" w:rsidRPr="00E21CEC">
        <w:rPr>
          <w:rFonts w:cs="Times New Roman"/>
          <w:szCs w:val="24"/>
          <w:lang w:val="en-GB"/>
        </w:rPr>
        <w:t>short-term</w:t>
      </w:r>
      <w:r w:rsidRPr="00E21CEC">
        <w:rPr>
          <w:rFonts w:cs="Times New Roman"/>
          <w:szCs w:val="24"/>
          <w:lang w:val="en-GB"/>
        </w:rPr>
        <w:t xml:space="preserve"> financial position of a company. To know the company’s operating efficiency in managing its working capital requirements these ratios are calculated.</w:t>
      </w:r>
    </w:p>
    <w:p w:rsidR="00177C69" w:rsidRPr="00E21CEC" w:rsidRDefault="00177C69" w:rsidP="001F6336">
      <w:pPr>
        <w:spacing w:line="360" w:lineRule="auto"/>
        <w:jc w:val="both"/>
        <w:rPr>
          <w:rFonts w:cs="Times New Roman"/>
          <w:szCs w:val="24"/>
          <w:lang w:val="en-GB"/>
        </w:rPr>
      </w:pPr>
      <w:bookmarkStart w:id="19" w:name="_Toc60996025"/>
      <w:r w:rsidRPr="00E21CEC">
        <w:rPr>
          <w:b/>
          <w:bCs/>
          <w:lang w:val="en-GB"/>
        </w:rPr>
        <w:t>Current Ratio</w:t>
      </w:r>
      <w:bookmarkEnd w:id="19"/>
      <w:r w:rsidR="00193F82" w:rsidRPr="00E21CEC">
        <w:rPr>
          <w:rStyle w:val="Heading3Char"/>
          <w:lang w:val="en-GB"/>
        </w:rPr>
        <w:t xml:space="preserve"> - </w:t>
      </w:r>
      <w:r w:rsidRPr="00E21CEC">
        <w:rPr>
          <w:rFonts w:cs="Times New Roman"/>
          <w:szCs w:val="24"/>
          <w:lang w:val="en-GB"/>
        </w:rPr>
        <w:t>This ratio</w:t>
      </w:r>
      <w:r w:rsidRPr="00E21CEC">
        <w:rPr>
          <w:rFonts w:cs="Times New Roman"/>
          <w:szCs w:val="24"/>
          <w:u w:val="single"/>
          <w:lang w:val="en-GB"/>
        </w:rPr>
        <w:t xml:space="preserve"> </w:t>
      </w:r>
      <w:r w:rsidRPr="00E21CEC">
        <w:rPr>
          <w:rFonts w:cs="Times New Roman"/>
          <w:szCs w:val="24"/>
          <w:lang w:val="en-GB"/>
        </w:rPr>
        <w:t xml:space="preserve">is used as an indicator of company’s ability to meet its working capital requirements, how efficiently a company is maintaining its current assets over its current liabilities so that long term assets are not to be liquidated to pay off </w:t>
      </w:r>
      <w:r w:rsidR="0047423B" w:rsidRPr="00E21CEC">
        <w:rPr>
          <w:rFonts w:cs="Times New Roman"/>
          <w:szCs w:val="24"/>
          <w:lang w:val="en-GB"/>
        </w:rPr>
        <w:t>short</w:t>
      </w:r>
      <w:r w:rsidRPr="00E21CEC">
        <w:rPr>
          <w:rFonts w:cs="Times New Roman"/>
          <w:szCs w:val="24"/>
          <w:lang w:val="en-GB"/>
        </w:rPr>
        <w:t xml:space="preserve"> term obligations and meet the debt service obligations on time. </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The company’s current ratio has always remained low and never met the industry benchmark of 2:1. The current assets of the company are not adequate to meet the short term financial. The current ratio of the company has been continuously decreasing from 1.08 times in 2015 to 0.87 times in 2016 , 0.80 times in 2017 , 0.96 times in 2018 and </w:t>
      </w:r>
      <w:r w:rsidR="00467158" w:rsidRPr="00E21CEC">
        <w:rPr>
          <w:rFonts w:cs="Times New Roman"/>
          <w:szCs w:val="24"/>
          <w:lang w:val="en-GB"/>
        </w:rPr>
        <w:t>all-time</w:t>
      </w:r>
      <w:r w:rsidRPr="00E21CEC">
        <w:rPr>
          <w:rFonts w:cs="Times New Roman"/>
          <w:szCs w:val="24"/>
          <w:lang w:val="en-GB"/>
        </w:rPr>
        <w:t xml:space="preserve"> low of 0.86 times in 2019. </w:t>
      </w:r>
      <w:r w:rsidRPr="00E21CEC">
        <w:rPr>
          <w:rFonts w:cs="Times New Roman"/>
          <w:szCs w:val="24"/>
          <w:lang w:val="en-GB"/>
        </w:rPr>
        <w:lastRenderedPageBreak/>
        <w:t xml:space="preserve">This is an alarming situation for the company because if the decline continues the company soon will not be able to pay off its </w:t>
      </w:r>
      <w:r w:rsidR="00467158" w:rsidRPr="00E21CEC">
        <w:rPr>
          <w:rFonts w:cs="Times New Roman"/>
          <w:szCs w:val="24"/>
          <w:lang w:val="en-GB"/>
        </w:rPr>
        <w:t>short-term</w:t>
      </w:r>
      <w:r w:rsidRPr="00E21CEC">
        <w:rPr>
          <w:rFonts w:cs="Times New Roman"/>
          <w:szCs w:val="24"/>
          <w:lang w:val="en-GB"/>
        </w:rPr>
        <w:t xml:space="preserve"> obligation and become a defaulter. </w:t>
      </w:r>
    </w:p>
    <w:p w:rsidR="00177C69" w:rsidRPr="00E21CEC" w:rsidRDefault="00177C69" w:rsidP="001F6336">
      <w:pPr>
        <w:spacing w:line="360" w:lineRule="auto"/>
        <w:jc w:val="both"/>
        <w:rPr>
          <w:lang w:val="en-GB"/>
        </w:rPr>
      </w:pPr>
      <w:bookmarkStart w:id="20" w:name="_Toc60996026"/>
      <w:r w:rsidRPr="00E21CEC">
        <w:rPr>
          <w:b/>
          <w:bCs/>
          <w:lang w:val="en-GB"/>
        </w:rPr>
        <w:t>Quick Ratio</w:t>
      </w:r>
      <w:bookmarkEnd w:id="20"/>
      <w:r w:rsidR="00193F82" w:rsidRPr="00E21CEC">
        <w:rPr>
          <w:rStyle w:val="Heading3Char"/>
          <w:lang w:val="en-GB"/>
        </w:rPr>
        <w:t xml:space="preserve"> -</w:t>
      </w:r>
      <w:r w:rsidRPr="00E21CEC">
        <w:rPr>
          <w:rFonts w:cs="Times New Roman"/>
          <w:szCs w:val="24"/>
          <w:lang w:val="en-GB"/>
        </w:rPr>
        <w:t xml:space="preserve"> This ratio is an indicator of company’s operating efficiency and its ability to meet its </w:t>
      </w:r>
      <w:r w:rsidR="0047423B" w:rsidRPr="00E21CEC">
        <w:rPr>
          <w:rFonts w:cs="Times New Roman"/>
          <w:szCs w:val="24"/>
          <w:lang w:val="en-GB"/>
        </w:rPr>
        <w:t>shor</w:t>
      </w:r>
      <w:r w:rsidR="0047423B" w:rsidRPr="00E21CEC">
        <w:rPr>
          <w:lang w:val="en-GB"/>
        </w:rPr>
        <w:t>t</w:t>
      </w:r>
      <w:r w:rsidR="0047423B" w:rsidRPr="00E21CEC">
        <w:rPr>
          <w:rFonts w:cs="Times New Roman"/>
          <w:szCs w:val="24"/>
          <w:lang w:val="en-GB"/>
        </w:rPr>
        <w:t>-term</w:t>
      </w:r>
      <w:r w:rsidRPr="00E21CEC">
        <w:rPr>
          <w:rFonts w:cs="Times New Roman"/>
          <w:szCs w:val="24"/>
          <w:lang w:val="en-GB"/>
        </w:rPr>
        <w:t xml:space="preserve"> finance obligations without requiring selling its inventory or raising additional finances from external source.</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As the current assets are just equal or a little more than its current liabilities it means that the company will face a situation of liquidity crunch in the future and will not be able to meet its working capital requirement and loose opportunities. A major part of the company’s fund is invested in inventories which are slowing moving goods and do not generate quick cash which can be used to pay off its liabilities and interest payments.</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The working capital of the company has fallen as the quick ratio fall to 0.68 times in 2019 from lowest 0.93 times in 2015. This fall is an indicator of longer operating cycle and company’s inefficiency to generate cash inflows. This ratio also indicates that the company has not been able to make collections from its debtors and has large </w:t>
      </w:r>
      <w:r w:rsidR="00467158" w:rsidRPr="00E21CEC">
        <w:rPr>
          <w:rFonts w:cs="Times New Roman"/>
          <w:szCs w:val="24"/>
          <w:lang w:val="en-GB"/>
        </w:rPr>
        <w:t>number</w:t>
      </w:r>
      <w:r w:rsidRPr="00E21CEC">
        <w:rPr>
          <w:rFonts w:cs="Times New Roman"/>
          <w:szCs w:val="24"/>
          <w:lang w:val="en-GB"/>
        </w:rPr>
        <w:t xml:space="preserve"> of creditors and other </w:t>
      </w:r>
      <w:proofErr w:type="gramStart"/>
      <w:r w:rsidRPr="00E21CEC">
        <w:rPr>
          <w:rFonts w:cs="Times New Roman"/>
          <w:szCs w:val="24"/>
          <w:lang w:val="en-GB"/>
        </w:rPr>
        <w:t>short term</w:t>
      </w:r>
      <w:proofErr w:type="gramEnd"/>
      <w:r w:rsidRPr="00E21CEC">
        <w:rPr>
          <w:rFonts w:cs="Times New Roman"/>
          <w:szCs w:val="24"/>
          <w:lang w:val="en-GB"/>
        </w:rPr>
        <w:t xml:space="preserve"> obligations to pay off.</w:t>
      </w:r>
    </w:p>
    <w:p w:rsidR="00177C69" w:rsidRPr="00E21CEC" w:rsidRDefault="00177C69" w:rsidP="001F6336">
      <w:pPr>
        <w:pStyle w:val="Heading2"/>
        <w:jc w:val="both"/>
        <w:rPr>
          <w:b/>
          <w:bCs/>
          <w:lang w:val="en-GB"/>
        </w:rPr>
      </w:pPr>
      <w:bookmarkStart w:id="21" w:name="_Toc60996027"/>
      <w:bookmarkStart w:id="22" w:name="_Toc61455585"/>
      <w:r w:rsidRPr="00E21CEC">
        <w:rPr>
          <w:b/>
          <w:bCs/>
          <w:lang w:val="en-GB"/>
        </w:rPr>
        <w:t>Valuation Ratios</w:t>
      </w:r>
      <w:bookmarkEnd w:id="21"/>
      <w:bookmarkEnd w:id="22"/>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These ratios are indicator of market position of a company, how high or low the stock of the company’s </w:t>
      </w:r>
      <w:r w:rsidR="0047423B" w:rsidRPr="00E21CEC">
        <w:rPr>
          <w:rFonts w:cs="Times New Roman"/>
          <w:szCs w:val="24"/>
          <w:lang w:val="en-GB"/>
        </w:rPr>
        <w:t>is</w:t>
      </w:r>
      <w:r w:rsidRPr="00E21CEC">
        <w:rPr>
          <w:rFonts w:cs="Times New Roman"/>
          <w:szCs w:val="24"/>
          <w:lang w:val="en-GB"/>
        </w:rPr>
        <w:t xml:space="preserve"> trading in the market. These ratios </w:t>
      </w:r>
      <w:r w:rsidR="00C101CE" w:rsidRPr="00E21CEC">
        <w:rPr>
          <w:rFonts w:cs="Times New Roman"/>
          <w:szCs w:val="24"/>
          <w:lang w:val="en-GB"/>
        </w:rPr>
        <w:t>help</w:t>
      </w:r>
      <w:r w:rsidRPr="00E21CEC">
        <w:rPr>
          <w:rFonts w:cs="Times New Roman"/>
          <w:szCs w:val="24"/>
          <w:lang w:val="en-GB"/>
        </w:rPr>
        <w:t xml:space="preserve"> to identify the value of a company to show the relationship between market value of a company or its equity and other fundamental metric like earning, revenue, cash flow, etc.</w:t>
      </w:r>
    </w:p>
    <w:p w:rsidR="00177C69" w:rsidRPr="00E21CEC" w:rsidRDefault="00177C69" w:rsidP="001F6336">
      <w:pPr>
        <w:spacing w:line="360" w:lineRule="auto"/>
        <w:jc w:val="both"/>
        <w:rPr>
          <w:rFonts w:cs="Times New Roman"/>
          <w:szCs w:val="24"/>
          <w:lang w:val="en-GB"/>
        </w:rPr>
      </w:pPr>
      <w:bookmarkStart w:id="23" w:name="_Toc60996028"/>
      <w:r w:rsidRPr="00E21CEC">
        <w:rPr>
          <w:b/>
          <w:bCs/>
          <w:lang w:val="en-GB"/>
        </w:rPr>
        <w:t xml:space="preserve">Price Earnings </w:t>
      </w:r>
      <w:r w:rsidR="00865753" w:rsidRPr="00E21CEC">
        <w:rPr>
          <w:b/>
          <w:bCs/>
          <w:lang w:val="en-GB"/>
        </w:rPr>
        <w:t>Ratio</w:t>
      </w:r>
      <w:bookmarkEnd w:id="23"/>
      <w:r w:rsidR="00193F82" w:rsidRPr="00E21CEC">
        <w:rPr>
          <w:rStyle w:val="Heading3Char"/>
          <w:lang w:val="en-GB"/>
        </w:rPr>
        <w:t xml:space="preserve"> -</w:t>
      </w:r>
      <w:r w:rsidR="00865753" w:rsidRPr="00E21CEC">
        <w:rPr>
          <w:rFonts w:cs="Times New Roman"/>
          <w:szCs w:val="24"/>
          <w:lang w:val="en-GB"/>
        </w:rPr>
        <w:t xml:space="preserve"> It</w:t>
      </w:r>
      <w:r w:rsidRPr="00E21CEC">
        <w:rPr>
          <w:rFonts w:cs="Times New Roman"/>
          <w:szCs w:val="24"/>
          <w:lang w:val="en-GB"/>
        </w:rPr>
        <w:t xml:space="preserve"> is the metric which shows how much the prospective investors are ready to pay for the stock of the company in the present market conditions. These valuations are based on the potential earnings that the company promises or based on the past earnings capacity of the company. The higher price earnings ratio it indicates that the stocks of the company are overvalued and company can sell them at a premium. Whereas, a </w:t>
      </w:r>
      <w:r w:rsidR="00467158" w:rsidRPr="00E21CEC">
        <w:rPr>
          <w:rFonts w:cs="Times New Roman"/>
          <w:szCs w:val="24"/>
          <w:lang w:val="en-GB"/>
        </w:rPr>
        <w:t>low-price</w:t>
      </w:r>
      <w:r w:rsidRPr="00E21CEC">
        <w:rPr>
          <w:rFonts w:cs="Times New Roman"/>
          <w:szCs w:val="24"/>
          <w:lang w:val="en-GB"/>
        </w:rPr>
        <w:t xml:space="preserve"> earnings ratio indicates stock are undervalued presently relative to its revenue or earnings.</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The price earnings ratio of the company has shown an increasing trend as the share prices have also shown a rise over the past five years. The price earnings ratio was 15.02 times in the year </w:t>
      </w:r>
      <w:r w:rsidRPr="00E21CEC">
        <w:rPr>
          <w:rFonts w:cs="Times New Roman"/>
          <w:szCs w:val="24"/>
          <w:lang w:val="en-GB"/>
        </w:rPr>
        <w:lastRenderedPageBreak/>
        <w:t xml:space="preserve">2015 but it </w:t>
      </w:r>
      <w:r w:rsidR="00467158" w:rsidRPr="00E21CEC">
        <w:rPr>
          <w:rFonts w:cs="Times New Roman"/>
          <w:szCs w:val="24"/>
          <w:lang w:val="en-GB"/>
        </w:rPr>
        <w:t>falls</w:t>
      </w:r>
      <w:r w:rsidRPr="00E21CEC">
        <w:rPr>
          <w:rFonts w:cs="Times New Roman"/>
          <w:szCs w:val="24"/>
          <w:lang w:val="en-GB"/>
        </w:rPr>
        <w:t xml:space="preserve"> for the first and the only time down to 9.97 times in 2016 though the earning per share increased but the market price of the shares of the company decreased by the end of the year. The ratio again rose to 14.87 times in the year 2017 despite a slight decrease in the earning per share and profits of the company. The ratio again rose to 22.19 times in the year 2018 and was the best so far 48.55 times in the year 2019. Though the profits and earning </w:t>
      </w:r>
      <w:r w:rsidR="00467158" w:rsidRPr="00E21CEC">
        <w:rPr>
          <w:rFonts w:cs="Times New Roman"/>
          <w:szCs w:val="24"/>
          <w:lang w:val="en-GB"/>
        </w:rPr>
        <w:t>peers</w:t>
      </w:r>
      <w:r w:rsidRPr="00E21CEC">
        <w:rPr>
          <w:rFonts w:cs="Times New Roman"/>
          <w:szCs w:val="24"/>
          <w:lang w:val="en-GB"/>
        </w:rPr>
        <w:t xml:space="preserve"> hare of the company decreased over the years but the price earnings ratio kept on increasing due </w:t>
      </w:r>
      <w:r w:rsidR="00467158" w:rsidRPr="00E21CEC">
        <w:rPr>
          <w:rFonts w:cs="Times New Roman"/>
          <w:szCs w:val="24"/>
          <w:lang w:val="en-GB"/>
        </w:rPr>
        <w:t>to</w:t>
      </w:r>
      <w:r w:rsidRPr="00E21CEC">
        <w:rPr>
          <w:rFonts w:cs="Times New Roman"/>
          <w:szCs w:val="24"/>
          <w:lang w:val="en-GB"/>
        </w:rPr>
        <w:t xml:space="preserve"> increase in market price of the share which is a good indicator of company’s reputation. </w:t>
      </w:r>
    </w:p>
    <w:p w:rsidR="00177C69" w:rsidRPr="00E21CEC" w:rsidRDefault="00177C69" w:rsidP="001F6336">
      <w:pPr>
        <w:spacing w:line="360" w:lineRule="auto"/>
        <w:jc w:val="both"/>
        <w:rPr>
          <w:rFonts w:cs="Times New Roman"/>
          <w:szCs w:val="24"/>
          <w:lang w:val="en-GB"/>
        </w:rPr>
      </w:pPr>
      <w:bookmarkStart w:id="24" w:name="_Toc60996029"/>
      <w:r w:rsidRPr="00E21CEC">
        <w:rPr>
          <w:b/>
          <w:bCs/>
          <w:lang w:val="en-GB"/>
        </w:rPr>
        <w:t>Market to Book Ratio</w:t>
      </w:r>
      <w:bookmarkEnd w:id="24"/>
      <w:r w:rsidR="00193F82" w:rsidRPr="00E21CEC">
        <w:rPr>
          <w:rStyle w:val="Heading3Char"/>
          <w:lang w:val="en-GB"/>
        </w:rPr>
        <w:t xml:space="preserve"> -</w:t>
      </w:r>
      <w:r w:rsidR="00865753" w:rsidRPr="00E21CEC">
        <w:rPr>
          <w:rStyle w:val="Heading3Char"/>
          <w:lang w:val="en-GB"/>
        </w:rPr>
        <w:t xml:space="preserve"> </w:t>
      </w:r>
      <w:r w:rsidRPr="00E21CEC">
        <w:rPr>
          <w:rFonts w:cs="Times New Roman"/>
          <w:szCs w:val="24"/>
          <w:lang w:val="en-GB"/>
        </w:rPr>
        <w:t xml:space="preserve">This ratio is used to make comparison of the book value and market value weights of a company. If this ratio is positive and higher than it means that the company’s stock </w:t>
      </w:r>
      <w:r w:rsidR="00467158" w:rsidRPr="00E21CEC">
        <w:rPr>
          <w:rFonts w:cs="Times New Roman"/>
          <w:szCs w:val="24"/>
          <w:lang w:val="en-GB"/>
        </w:rPr>
        <w:t>is</w:t>
      </w:r>
      <w:r w:rsidRPr="00E21CEC">
        <w:rPr>
          <w:rFonts w:cs="Times New Roman"/>
          <w:szCs w:val="24"/>
          <w:lang w:val="en-GB"/>
        </w:rPr>
        <w:t xml:space="preserve"> overvalued and if the ratio is negative or below one than it means the company’s stocks are undervalued. These ratios are also used to forecast company’s financial health.</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The market to book ratio has also shown an increasing trend as the company’s share prices have increased over the past five years. The closing market price of the share of the company at the end of the year 2015 was $33.5 which dropped to $ 27.53 in 2016 for the </w:t>
      </w:r>
      <w:r w:rsidR="00467158" w:rsidRPr="00E21CEC">
        <w:rPr>
          <w:rFonts w:cs="Times New Roman"/>
          <w:szCs w:val="24"/>
          <w:lang w:val="en-GB"/>
        </w:rPr>
        <w:t>first-time</w:t>
      </w:r>
      <w:r w:rsidRPr="00E21CEC">
        <w:rPr>
          <w:rFonts w:cs="Times New Roman"/>
          <w:szCs w:val="24"/>
          <w:lang w:val="en-GB"/>
        </w:rPr>
        <w:t xml:space="preserve"> despite of earning large profits. But </w:t>
      </w:r>
      <w:r w:rsidR="00467158" w:rsidRPr="00E21CEC">
        <w:rPr>
          <w:rFonts w:cs="Times New Roman"/>
          <w:szCs w:val="24"/>
          <w:lang w:val="en-GB"/>
        </w:rPr>
        <w:t>again,</w:t>
      </w:r>
      <w:r w:rsidRPr="00E21CEC">
        <w:rPr>
          <w:rFonts w:cs="Times New Roman"/>
          <w:szCs w:val="24"/>
          <w:lang w:val="en-GB"/>
        </w:rPr>
        <w:t xml:space="preserve"> the market prices of the company’s share started to rise and were $35.24 by the end of the year 2017 and rose a little higher to $37.72 in 2018 and the highest till date recorded $50.01by the end of the year 2019. As the market price of the share has increased over the years the market book ratio has also increased simultaneously. The ratio has almost doubled since 2015 to 2019 as it was only 2.29 times in the year 2015 and became 4,46 by the end of 2019.</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Though the company’s financial growth has declined with decreasing profits but its share prices have been increasing. This is because of the good reputation of </w:t>
      </w:r>
      <w:r w:rsidR="00865753" w:rsidRPr="00E21CEC">
        <w:rPr>
          <w:rFonts w:cs="Times New Roman"/>
          <w:szCs w:val="24"/>
          <w:lang w:val="en-GB"/>
        </w:rPr>
        <w:t>the</w:t>
      </w:r>
      <w:r w:rsidRPr="00E21CEC">
        <w:rPr>
          <w:rFonts w:cs="Times New Roman"/>
          <w:szCs w:val="24"/>
          <w:lang w:val="en-GB"/>
        </w:rPr>
        <w:t xml:space="preserve"> company that it has earned over the years and also the company is more reliant on its own sources of finance rather than external sources which also helps it to earn better credit rating which indirectly affects the share prices. This overvalued stock will also help the company to raise large finance for its expansion strategies in future without creating more leverage.</w:t>
      </w:r>
    </w:p>
    <w:p w:rsidR="00177C69" w:rsidRPr="00E21CEC" w:rsidRDefault="00177C69" w:rsidP="001F6336">
      <w:pPr>
        <w:spacing w:line="360" w:lineRule="auto"/>
        <w:jc w:val="both"/>
        <w:rPr>
          <w:rFonts w:cs="Times New Roman"/>
          <w:szCs w:val="24"/>
          <w:lang w:val="en-GB"/>
        </w:rPr>
      </w:pPr>
      <w:bookmarkStart w:id="25" w:name="_Toc60996030"/>
      <w:r w:rsidRPr="00E21CEC">
        <w:rPr>
          <w:b/>
          <w:bCs/>
          <w:lang w:val="en-GB"/>
        </w:rPr>
        <w:t>Dividend Ratio</w:t>
      </w:r>
      <w:bookmarkEnd w:id="25"/>
      <w:r w:rsidR="00193F82" w:rsidRPr="00E21CEC">
        <w:rPr>
          <w:rStyle w:val="Heading3Char"/>
          <w:lang w:val="en-GB"/>
        </w:rPr>
        <w:t xml:space="preserve"> -</w:t>
      </w:r>
      <w:r w:rsidRPr="00E21CEC">
        <w:rPr>
          <w:rFonts w:cs="Times New Roman"/>
          <w:szCs w:val="24"/>
          <w:lang w:val="en-GB"/>
        </w:rPr>
        <w:t xml:space="preserve"> This ratio is an indicator of how well the company is able to satisfy its shareholders.</w:t>
      </w:r>
      <w:r w:rsidRPr="00E21CEC">
        <w:rPr>
          <w:rFonts w:cs="Times New Roman"/>
          <w:szCs w:val="24"/>
          <w:u w:val="single"/>
          <w:lang w:val="en-GB"/>
        </w:rPr>
        <w:t xml:space="preserve"> </w:t>
      </w:r>
      <w:r w:rsidRPr="00E21CEC">
        <w:rPr>
          <w:rFonts w:cs="Times New Roman"/>
          <w:szCs w:val="24"/>
          <w:lang w:val="en-GB"/>
        </w:rPr>
        <w:t xml:space="preserve">It is a type </w:t>
      </w:r>
      <w:r w:rsidR="0047423B" w:rsidRPr="00E21CEC">
        <w:rPr>
          <w:rFonts w:cs="Times New Roman"/>
          <w:szCs w:val="24"/>
          <w:lang w:val="en-GB"/>
        </w:rPr>
        <w:t xml:space="preserve">of </w:t>
      </w:r>
      <w:r w:rsidR="00467158" w:rsidRPr="00E21CEC">
        <w:rPr>
          <w:rFonts w:cs="Times New Roman"/>
          <w:szCs w:val="24"/>
          <w:lang w:val="en-GB"/>
        </w:rPr>
        <w:t>pay-out</w:t>
      </w:r>
      <w:r w:rsidRPr="00E21CEC">
        <w:rPr>
          <w:rFonts w:cs="Times New Roman"/>
          <w:szCs w:val="24"/>
          <w:lang w:val="en-GB"/>
        </w:rPr>
        <w:t xml:space="preserve"> ratio which reflects the amount of dividend paid by the company as a reward to its shareholders either from its current year profits or as </w:t>
      </w:r>
      <w:r w:rsidR="00865753" w:rsidRPr="00E21CEC">
        <w:rPr>
          <w:rFonts w:cs="Times New Roman"/>
          <w:szCs w:val="24"/>
          <w:lang w:val="en-GB"/>
        </w:rPr>
        <w:t>a</w:t>
      </w:r>
      <w:r w:rsidRPr="00E21CEC">
        <w:rPr>
          <w:rFonts w:cs="Times New Roman"/>
          <w:szCs w:val="24"/>
          <w:lang w:val="en-GB"/>
        </w:rPr>
        <w:t xml:space="preserve"> charge against </w:t>
      </w:r>
      <w:r w:rsidRPr="00E21CEC">
        <w:rPr>
          <w:rFonts w:cs="Times New Roman"/>
          <w:szCs w:val="24"/>
          <w:lang w:val="en-GB"/>
        </w:rPr>
        <w:lastRenderedPageBreak/>
        <w:t>its retained earnings. This ratio is important from an investor’s point of view as an investor is always interested to know how efficiently the company satisfies its shareholders.</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The company’s dividend ratio has been continuously increasing though the earnings per share had been decreasing over the last five years. The company has been continuously making dividend payments which helped it to build a good reputation in the market and satisfy its existing shareholders. This also helped the company to attract potential investors. The dividend ratio was 0.20 times in the year 2015 which declined to 0.16 times in 2016, then again rose to 0.40 times in 2017, then declined to 0.26 times in 2018 and again rose to 0.44 times in the year 2019 though the earnings per share declined.</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 This positive ratio helped the company to get full subscription of its shares of $11 million in 2019 at a premium and the company did not </w:t>
      </w:r>
      <w:r w:rsidR="00467158" w:rsidRPr="00E21CEC">
        <w:rPr>
          <w:rFonts w:cs="Times New Roman"/>
          <w:szCs w:val="24"/>
          <w:lang w:val="en-GB"/>
        </w:rPr>
        <w:t>require</w:t>
      </w:r>
      <w:r w:rsidRPr="00E21CEC">
        <w:rPr>
          <w:rFonts w:cs="Times New Roman"/>
          <w:szCs w:val="24"/>
          <w:lang w:val="en-GB"/>
        </w:rPr>
        <w:t xml:space="preserve"> to depend more on external sources of finance.</w:t>
      </w:r>
    </w:p>
    <w:p w:rsidR="00177C69" w:rsidRPr="00E21CEC" w:rsidRDefault="00177C69" w:rsidP="001F6336">
      <w:pPr>
        <w:pStyle w:val="Heading2"/>
        <w:jc w:val="both"/>
        <w:rPr>
          <w:b/>
          <w:bCs/>
          <w:lang w:val="en-GB"/>
        </w:rPr>
      </w:pPr>
      <w:bookmarkStart w:id="26" w:name="_Toc60996031"/>
      <w:bookmarkStart w:id="27" w:name="_Toc61455586"/>
      <w:r w:rsidRPr="00E21CEC">
        <w:rPr>
          <w:b/>
          <w:bCs/>
          <w:lang w:val="en-GB"/>
        </w:rPr>
        <w:t>Activity Ratio</w:t>
      </w:r>
      <w:bookmarkEnd w:id="26"/>
      <w:bookmarkEnd w:id="27"/>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This ratio is the indicator of a company’s efficiency</w:t>
      </w:r>
      <w:r w:rsidRPr="00E21CEC">
        <w:rPr>
          <w:rFonts w:cs="Times New Roman"/>
          <w:b/>
          <w:szCs w:val="24"/>
          <w:lang w:val="en-GB"/>
        </w:rPr>
        <w:t xml:space="preserve"> </w:t>
      </w:r>
      <w:r w:rsidRPr="00E21CEC">
        <w:rPr>
          <w:rFonts w:cs="Times New Roman"/>
          <w:szCs w:val="24"/>
          <w:lang w:val="en-GB"/>
        </w:rPr>
        <w:t>in using its assets</w:t>
      </w:r>
      <w:r w:rsidRPr="00E21CEC">
        <w:rPr>
          <w:rFonts w:cs="Times New Roman"/>
          <w:b/>
          <w:szCs w:val="24"/>
          <w:lang w:val="en-GB"/>
        </w:rPr>
        <w:t xml:space="preserve"> </w:t>
      </w:r>
      <w:r w:rsidRPr="00E21CEC">
        <w:rPr>
          <w:rFonts w:cs="Times New Roman"/>
          <w:szCs w:val="24"/>
          <w:lang w:val="en-GB"/>
        </w:rPr>
        <w:t xml:space="preserve">to generate sales. These ratios are useful to compare company’s performance with industry average and its own past performances. It helps us to evaluate the operational efficiency of the company in terms of its </w:t>
      </w:r>
      <w:r w:rsidR="00467158" w:rsidRPr="00E21CEC">
        <w:rPr>
          <w:rFonts w:cs="Times New Roman"/>
          <w:szCs w:val="24"/>
          <w:lang w:val="en-GB"/>
        </w:rPr>
        <w:t>asset’s</w:t>
      </w:r>
      <w:r w:rsidRPr="00E21CEC">
        <w:rPr>
          <w:rFonts w:cs="Times New Roman"/>
          <w:szCs w:val="24"/>
          <w:lang w:val="en-GB"/>
        </w:rPr>
        <w:t xml:space="preserve"> utilization.</w:t>
      </w:r>
    </w:p>
    <w:p w:rsidR="00177C69" w:rsidRPr="00E21CEC" w:rsidRDefault="00177C69" w:rsidP="001F6336">
      <w:pPr>
        <w:spacing w:line="360" w:lineRule="auto"/>
        <w:jc w:val="both"/>
        <w:rPr>
          <w:rFonts w:cs="Times New Roman"/>
          <w:szCs w:val="24"/>
          <w:lang w:val="en-GB"/>
        </w:rPr>
      </w:pPr>
      <w:bookmarkStart w:id="28" w:name="_Toc60996032"/>
      <w:r w:rsidRPr="00E21CEC">
        <w:rPr>
          <w:b/>
          <w:bCs/>
          <w:lang w:val="en-GB"/>
        </w:rPr>
        <w:t>Account Receivable Turnover</w:t>
      </w:r>
      <w:bookmarkEnd w:id="28"/>
      <w:r w:rsidR="00193F82" w:rsidRPr="00E21CEC">
        <w:rPr>
          <w:rStyle w:val="Heading3Char"/>
          <w:lang w:val="en-GB"/>
        </w:rPr>
        <w:t xml:space="preserve"> -</w:t>
      </w:r>
      <w:r w:rsidRPr="00E21CEC">
        <w:rPr>
          <w:rFonts w:cs="Times New Roman"/>
          <w:szCs w:val="24"/>
          <w:lang w:val="en-GB"/>
        </w:rPr>
        <w:t xml:space="preserve"> This ratio helps to gain knowledge of a company’s collection period, how efficiently and quickly the company is able to realize its account receivables. The lower the ratio the better it is high ratio as it signifies that the company has loyal and quality customer base that pay off the debts quickly.</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 The company’s account receivable turnover has improved over the years and is increasing as it operates mostly on cash basis. The ratio was 3.57 times in the year 2015 whereas it rose to 4.11 times in 2016, 4.69 times in the year 2017 then decreased to 4.17 times in the year 2018 and again rose to 4.30 times in the year 2019 as the sales decreased in comparison to previous years. </w:t>
      </w:r>
    </w:p>
    <w:p w:rsidR="00177C69" w:rsidRPr="00E21CEC" w:rsidRDefault="00177C69" w:rsidP="001F6336">
      <w:pPr>
        <w:spacing w:line="360" w:lineRule="auto"/>
        <w:jc w:val="both"/>
        <w:rPr>
          <w:rFonts w:cs="Times New Roman"/>
          <w:szCs w:val="24"/>
          <w:lang w:val="en-GB"/>
        </w:rPr>
      </w:pPr>
      <w:bookmarkStart w:id="29" w:name="_Toc60996033"/>
      <w:r w:rsidRPr="00E21CEC">
        <w:rPr>
          <w:b/>
          <w:bCs/>
          <w:lang w:val="en-GB"/>
        </w:rPr>
        <w:t xml:space="preserve">Inventory </w:t>
      </w:r>
      <w:r w:rsidR="00865753" w:rsidRPr="00E21CEC">
        <w:rPr>
          <w:b/>
          <w:bCs/>
          <w:lang w:val="en-GB"/>
        </w:rPr>
        <w:t>Turnover</w:t>
      </w:r>
      <w:bookmarkEnd w:id="29"/>
      <w:r w:rsidR="00193F82" w:rsidRPr="00E21CEC">
        <w:rPr>
          <w:rStyle w:val="Heading3Char"/>
          <w:lang w:val="en-GB"/>
        </w:rPr>
        <w:t xml:space="preserve"> -</w:t>
      </w:r>
      <w:r w:rsidR="00865753" w:rsidRPr="00E21CEC">
        <w:rPr>
          <w:rFonts w:cs="Times New Roman"/>
          <w:szCs w:val="24"/>
          <w:lang w:val="en-GB"/>
        </w:rPr>
        <w:t xml:space="preserve"> This</w:t>
      </w:r>
      <w:r w:rsidRPr="00E21CEC">
        <w:rPr>
          <w:rFonts w:cs="Times New Roman"/>
          <w:szCs w:val="24"/>
          <w:lang w:val="en-GB"/>
        </w:rPr>
        <w:t xml:space="preserve"> ratio </w:t>
      </w:r>
      <w:r w:rsidR="002B7877">
        <w:rPr>
          <w:rFonts w:cs="Times New Roman"/>
          <w:szCs w:val="24"/>
          <w:lang w:val="en-GB"/>
        </w:rPr>
        <w:t xml:space="preserve">reveals the number of </w:t>
      </w:r>
      <w:r w:rsidRPr="00E21CEC">
        <w:rPr>
          <w:rFonts w:cs="Times New Roman"/>
          <w:szCs w:val="24"/>
          <w:lang w:val="en-GB"/>
        </w:rPr>
        <w:t>times</w:t>
      </w:r>
      <w:r w:rsidR="002B7877">
        <w:rPr>
          <w:rFonts w:cs="Times New Roman"/>
          <w:szCs w:val="24"/>
          <w:lang w:val="en-GB"/>
        </w:rPr>
        <w:t xml:space="preserve"> the</w:t>
      </w:r>
      <w:r w:rsidRPr="00E21CEC">
        <w:rPr>
          <w:rFonts w:cs="Times New Roman"/>
          <w:szCs w:val="24"/>
          <w:lang w:val="en-GB"/>
        </w:rPr>
        <w:t xml:space="preserve"> inventory has been sold or </w:t>
      </w:r>
      <w:r w:rsidR="002B7877" w:rsidRPr="00E21CEC">
        <w:rPr>
          <w:rFonts w:cs="Times New Roman"/>
          <w:szCs w:val="24"/>
          <w:lang w:val="en-GB"/>
        </w:rPr>
        <w:t>replenished</w:t>
      </w:r>
      <w:r w:rsidRPr="00E21CEC">
        <w:rPr>
          <w:rFonts w:cs="Times New Roman"/>
          <w:szCs w:val="24"/>
          <w:lang w:val="en-GB"/>
        </w:rPr>
        <w:t xml:space="preserve"> by a company over a given period of time. A high ratio may indicate high sales or lower inventory whereas lower ratio indicates low sales or high inventory.</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lastRenderedPageBreak/>
        <w:t xml:space="preserve">In the years 2015 and 2016 and 2017 the ratio remained quite high that is 2.26 times and 1.84 times respectively but then it started decreasing and fall down to 1.61 times in the year 2017 and again increased slightly to 1.67 times in the year 2018 and then decreased to 1.62 times in 2019.Thse fluctuations was due to because both low sales and high inventory. </w:t>
      </w:r>
    </w:p>
    <w:p w:rsidR="00177C69" w:rsidRPr="00E21CEC" w:rsidRDefault="00177C69" w:rsidP="001F6336">
      <w:pPr>
        <w:spacing w:line="360" w:lineRule="auto"/>
        <w:jc w:val="both"/>
        <w:rPr>
          <w:rFonts w:cs="Times New Roman"/>
          <w:szCs w:val="24"/>
          <w:lang w:val="en-GB"/>
        </w:rPr>
      </w:pPr>
      <w:bookmarkStart w:id="30" w:name="_Toc60996034"/>
      <w:r w:rsidRPr="00E21CEC">
        <w:rPr>
          <w:b/>
          <w:bCs/>
          <w:lang w:val="en-GB"/>
        </w:rPr>
        <w:t>Total Assets Turnover</w:t>
      </w:r>
      <w:bookmarkEnd w:id="30"/>
      <w:r w:rsidR="00193F82" w:rsidRPr="00E21CEC">
        <w:rPr>
          <w:rStyle w:val="Heading3Char"/>
          <w:lang w:val="en-GB"/>
        </w:rPr>
        <w:t xml:space="preserve"> -</w:t>
      </w:r>
      <w:r w:rsidRPr="00E21CEC">
        <w:rPr>
          <w:rFonts w:cs="Times New Roman"/>
          <w:szCs w:val="24"/>
          <w:lang w:val="en-GB"/>
        </w:rPr>
        <w:t xml:space="preserve"> This ratio is an indicator of company’s efficiency in using its assets to produce sales. The higher the ratio the more </w:t>
      </w:r>
      <w:r w:rsidR="00467158" w:rsidRPr="00E21CEC">
        <w:rPr>
          <w:rFonts w:cs="Times New Roman"/>
          <w:szCs w:val="24"/>
          <w:lang w:val="en-GB"/>
        </w:rPr>
        <w:t>favourable</w:t>
      </w:r>
      <w:r w:rsidRPr="00E21CEC">
        <w:rPr>
          <w:rFonts w:cs="Times New Roman"/>
          <w:szCs w:val="24"/>
          <w:lang w:val="en-GB"/>
        </w:rPr>
        <w:t xml:space="preserve"> it is. It is a type of efficiency ratio which measures the value of business of a company’s sales revenue to the value of assets of the company.</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The company’s asset turnover ratio remained quite similar in the year 2016, 2017 and 2018 that is 0.38 times in 2016 0.36 times in 2017 and 2018. It gradually started increasing to 0.40 times </w:t>
      </w:r>
      <w:r w:rsidR="00865753" w:rsidRPr="00E21CEC">
        <w:rPr>
          <w:rFonts w:cs="Times New Roman"/>
          <w:szCs w:val="24"/>
          <w:lang w:val="en-GB"/>
        </w:rPr>
        <w:t>in 2019</w:t>
      </w:r>
      <w:r w:rsidRPr="00E21CEC">
        <w:rPr>
          <w:rFonts w:cs="Times New Roman"/>
          <w:szCs w:val="24"/>
          <w:lang w:val="en-GB"/>
        </w:rPr>
        <w:t>. This ratio indicates the poor management of the company of its assets. These lower ratios are due to the company’s inefficiency to use its resources in an effective manner to boost up its sales as the company is facing tough competition.</w:t>
      </w:r>
    </w:p>
    <w:p w:rsidR="00177C69" w:rsidRPr="00E21CEC" w:rsidRDefault="00177C69" w:rsidP="001F6336">
      <w:pPr>
        <w:pStyle w:val="Heading2"/>
        <w:jc w:val="both"/>
        <w:rPr>
          <w:b/>
          <w:bCs/>
          <w:lang w:val="en-GB"/>
        </w:rPr>
      </w:pPr>
      <w:bookmarkStart w:id="31" w:name="_Toc60996035"/>
      <w:bookmarkStart w:id="32" w:name="_Toc61455587"/>
      <w:r w:rsidRPr="00E21CEC">
        <w:rPr>
          <w:b/>
          <w:bCs/>
          <w:lang w:val="en-GB"/>
        </w:rPr>
        <w:t>Recommendation</w:t>
      </w:r>
      <w:bookmarkEnd w:id="31"/>
      <w:bookmarkEnd w:id="32"/>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After </w:t>
      </w:r>
      <w:r w:rsidR="00467158" w:rsidRPr="00E21CEC">
        <w:rPr>
          <w:rFonts w:cs="Times New Roman"/>
          <w:szCs w:val="24"/>
          <w:lang w:val="en-GB"/>
        </w:rPr>
        <w:t>analysing</w:t>
      </w:r>
      <w:r w:rsidRPr="00E21CEC">
        <w:rPr>
          <w:rFonts w:cs="Times New Roman"/>
          <w:szCs w:val="24"/>
          <w:lang w:val="en-GB"/>
        </w:rPr>
        <w:t xml:space="preserve"> the above ratios </w:t>
      </w:r>
      <w:r w:rsidR="0047423B" w:rsidRPr="00E21CEC">
        <w:rPr>
          <w:rFonts w:cs="Times New Roman"/>
          <w:szCs w:val="24"/>
          <w:lang w:val="en-GB"/>
        </w:rPr>
        <w:t>thoroughly,</w:t>
      </w:r>
      <w:r w:rsidRPr="00E21CEC">
        <w:rPr>
          <w:rFonts w:cs="Times New Roman"/>
          <w:szCs w:val="24"/>
          <w:lang w:val="en-GB"/>
        </w:rPr>
        <w:t xml:space="preserve"> we have found that the company has been performing efficiently and had shown some improvements but despite of increase in its sales the company’s profits has been decreasing as the cost of sales of the company and other related administrative costs are also very high</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The company has to try to create more geographical markets by expansion strategy with better technology and innovations that will help to get back its customers and win over the tough competition resulting in higher profits.</w:t>
      </w:r>
    </w:p>
    <w:p w:rsidR="00177C69" w:rsidRPr="00E21CEC" w:rsidRDefault="00177C69" w:rsidP="001F6336">
      <w:pPr>
        <w:spacing w:line="360" w:lineRule="auto"/>
        <w:jc w:val="both"/>
        <w:rPr>
          <w:rFonts w:cs="Times New Roman"/>
          <w:szCs w:val="24"/>
          <w:lang w:val="en-GB"/>
        </w:rPr>
      </w:pPr>
      <w:r w:rsidRPr="00E21CEC">
        <w:rPr>
          <w:rFonts w:cs="Times New Roman"/>
          <w:szCs w:val="24"/>
          <w:lang w:val="en-GB"/>
        </w:rPr>
        <w:t xml:space="preserve">The company needs to invest a large sum of money in research and development to avoid to boost up sales and strengthen its financial position. The liquidity as well as the </w:t>
      </w:r>
      <w:r w:rsidR="00467158" w:rsidRPr="00E21CEC">
        <w:rPr>
          <w:rFonts w:cs="Times New Roman"/>
          <w:szCs w:val="24"/>
          <w:lang w:val="en-GB"/>
        </w:rPr>
        <w:t>long-term</w:t>
      </w:r>
      <w:r w:rsidRPr="00E21CEC">
        <w:rPr>
          <w:rFonts w:cs="Times New Roman"/>
          <w:szCs w:val="24"/>
          <w:lang w:val="en-GB"/>
        </w:rPr>
        <w:t xml:space="preserve"> finance condition of the company is risky as the capital employed has decreased over the years as the company is paying large dividends and meeting expenses with its retained earnings and also has large </w:t>
      </w:r>
      <w:r w:rsidR="00467158" w:rsidRPr="00E21CEC">
        <w:rPr>
          <w:rFonts w:cs="Times New Roman"/>
          <w:szCs w:val="24"/>
          <w:lang w:val="en-GB"/>
        </w:rPr>
        <w:t>long-term</w:t>
      </w:r>
      <w:r w:rsidRPr="00E21CEC">
        <w:rPr>
          <w:rFonts w:cs="Times New Roman"/>
          <w:szCs w:val="24"/>
          <w:lang w:val="en-GB"/>
        </w:rPr>
        <w:t xml:space="preserve"> debts, the working capital requirements are also not being met efficiently as the liquidity ratios are quite low.</w:t>
      </w:r>
    </w:p>
    <w:p w:rsidR="00177C69" w:rsidRPr="00E21CEC" w:rsidRDefault="00467158" w:rsidP="001F6336">
      <w:pPr>
        <w:spacing w:line="360" w:lineRule="auto"/>
        <w:jc w:val="both"/>
        <w:rPr>
          <w:rFonts w:cs="Times New Roman"/>
          <w:szCs w:val="24"/>
          <w:lang w:val="en-GB"/>
        </w:rPr>
      </w:pPr>
      <w:r w:rsidRPr="00E21CEC">
        <w:rPr>
          <w:rFonts w:cs="Times New Roman"/>
          <w:szCs w:val="24"/>
          <w:lang w:val="en-GB"/>
        </w:rPr>
        <w:lastRenderedPageBreak/>
        <w:t>Hence,</w:t>
      </w:r>
      <w:r w:rsidR="00177C69" w:rsidRPr="00E21CEC">
        <w:rPr>
          <w:rFonts w:cs="Times New Roman"/>
          <w:szCs w:val="24"/>
          <w:lang w:val="en-GB"/>
        </w:rPr>
        <w:t xml:space="preserve"> we would recommend the company to work on improving its financial structure by lowering debts and relying more on internal sources of finance and improving its operation cycle to meet working capital requirements as further expansions of business is the need of the company. Liquidity position should be improved and carefully monitored as it will be very difficult to meet future obligations if the current position continues. The company should also focus on reducing its expenses to increase its profit margin as the sales are increasing. The company should also try to optimize the uses of its resources in a more efficient manner to generate more revenue.</w:t>
      </w:r>
    </w:p>
    <w:p w:rsidR="00177C69" w:rsidRPr="00E21CEC" w:rsidRDefault="00177C69" w:rsidP="001F6336">
      <w:pPr>
        <w:jc w:val="both"/>
        <w:rPr>
          <w:lang w:val="en-GB"/>
        </w:rPr>
      </w:pPr>
    </w:p>
    <w:p w:rsidR="00E21CEC" w:rsidRPr="00E21CEC" w:rsidRDefault="0047048C" w:rsidP="00E21CEC">
      <w:pPr>
        <w:pStyle w:val="Heading1"/>
        <w:rPr>
          <w:lang w:val="en-GB"/>
        </w:rPr>
      </w:pPr>
      <w:bookmarkStart w:id="33" w:name="_Toc60996036"/>
      <w:bookmarkStart w:id="34" w:name="_Toc61455588"/>
      <w:r w:rsidRPr="00E21CEC">
        <w:rPr>
          <w:lang w:val="en-GB"/>
        </w:rPr>
        <w:t xml:space="preserve">PART C – </w:t>
      </w:r>
      <w:r w:rsidR="0047423B" w:rsidRPr="00E21CEC">
        <w:rPr>
          <w:lang w:val="en-GB"/>
        </w:rPr>
        <w:t xml:space="preserve">Astra Zeneca </w:t>
      </w:r>
      <w:bookmarkEnd w:id="33"/>
      <w:r w:rsidR="00E21CEC" w:rsidRPr="00E21CEC">
        <w:rPr>
          <w:lang w:val="en-GB"/>
        </w:rPr>
        <w:t>Capital investment appraisal technique</w:t>
      </w:r>
      <w:bookmarkEnd w:id="34"/>
      <w:r w:rsidR="00E21CEC" w:rsidRPr="00E21CEC">
        <w:rPr>
          <w:lang w:val="en-GB"/>
        </w:rPr>
        <w:t xml:space="preserve"> </w:t>
      </w:r>
    </w:p>
    <w:p w:rsidR="00E21CEC" w:rsidRPr="00E21CEC" w:rsidRDefault="00E21CEC" w:rsidP="00E21CEC">
      <w:pPr>
        <w:jc w:val="both"/>
        <w:rPr>
          <w:lang w:val="en-GB"/>
        </w:rPr>
      </w:pPr>
      <w:r w:rsidRPr="00E21CEC">
        <w:rPr>
          <w:lang w:val="en-GB"/>
        </w:rPr>
        <w:t>Capital investment appraisal method is used by managers in order to increase revenue, to add value and to maximize the shareholders wealth. To do so, it’s important the financial managers use precise methods, during this process, having as main result the growth of the company (Ryan and Ryan, 2002).</w:t>
      </w:r>
    </w:p>
    <w:p w:rsidR="00E21CEC" w:rsidRPr="00E21CEC" w:rsidRDefault="00E21CEC" w:rsidP="00E21CEC">
      <w:pPr>
        <w:jc w:val="both"/>
        <w:rPr>
          <w:lang w:val="en-GB"/>
        </w:rPr>
      </w:pPr>
      <w:r w:rsidRPr="00E21CEC">
        <w:rPr>
          <w:lang w:val="en-GB"/>
        </w:rPr>
        <w:t xml:space="preserve">The managers should conduct in dept analysis and undertake only the capital investments projects that can add realistic value to shareholders wealth (Gilbert, 2005). </w:t>
      </w:r>
    </w:p>
    <w:p w:rsidR="00E21CEC" w:rsidRPr="00E21CEC" w:rsidRDefault="00E21CEC" w:rsidP="00E21CEC">
      <w:pPr>
        <w:jc w:val="both"/>
        <w:rPr>
          <w:lang w:val="en-GB"/>
        </w:rPr>
      </w:pPr>
      <w:r w:rsidRPr="00E21CEC">
        <w:rPr>
          <w:lang w:val="en-GB"/>
        </w:rPr>
        <w:t xml:space="preserve">Over the past decades, academically research </w:t>
      </w:r>
      <w:r w:rsidR="002B7877">
        <w:rPr>
          <w:lang w:val="en-GB"/>
        </w:rPr>
        <w:t xml:space="preserve">was </w:t>
      </w:r>
      <w:r w:rsidRPr="00E21CEC">
        <w:rPr>
          <w:lang w:val="en-GB"/>
        </w:rPr>
        <w:t>conducted in order to find the best techniques to calculate and improve the capital investment and decisions making process (</w:t>
      </w:r>
      <w:proofErr w:type="spellStart"/>
      <w:r w:rsidRPr="00E21CEC">
        <w:rPr>
          <w:lang w:val="en-GB"/>
        </w:rPr>
        <w:t>Farragher</w:t>
      </w:r>
      <w:proofErr w:type="spellEnd"/>
      <w:r w:rsidRPr="00E21CEC">
        <w:rPr>
          <w:lang w:val="en-GB"/>
        </w:rPr>
        <w:t xml:space="preserve"> et al., 2001).</w:t>
      </w:r>
      <w:r>
        <w:rPr>
          <w:lang w:val="en-GB"/>
        </w:rPr>
        <w:t xml:space="preserve"> </w:t>
      </w:r>
      <w:r w:rsidRPr="00E21CEC">
        <w:rPr>
          <w:lang w:val="en-GB"/>
        </w:rPr>
        <w:t xml:space="preserve">Those methods are non-discounting cash flow methods: </w:t>
      </w:r>
      <w:r w:rsidRPr="006B402D">
        <w:rPr>
          <w:lang w:val="en-GB"/>
        </w:rPr>
        <w:t>the payback period (PBP) and the accounting average rate of return (ARR)</w:t>
      </w:r>
      <w:r w:rsidRPr="00E21CEC">
        <w:rPr>
          <w:lang w:val="en-GB"/>
        </w:rPr>
        <w:t xml:space="preserve"> and </w:t>
      </w:r>
      <w:r w:rsidRPr="006B402D">
        <w:rPr>
          <w:lang w:val="en-GB"/>
        </w:rPr>
        <w:t xml:space="preserve">discounting cash flow methods, </w:t>
      </w:r>
      <w:r w:rsidRPr="00E21CEC">
        <w:rPr>
          <w:lang w:val="en-GB"/>
        </w:rPr>
        <w:t>(</w:t>
      </w:r>
      <w:r w:rsidRPr="006B402D">
        <w:rPr>
          <w:lang w:val="en-GB"/>
        </w:rPr>
        <w:t>DCF) the net present value (NPV) and the internal rate of return (IRR).</w:t>
      </w:r>
    </w:p>
    <w:p w:rsidR="00A01CD9" w:rsidRPr="00E21CEC" w:rsidRDefault="00A01CD9" w:rsidP="00A01CD9">
      <w:pPr>
        <w:rPr>
          <w:b/>
          <w:bCs/>
          <w:lang w:val="en-GB"/>
        </w:rPr>
      </w:pPr>
      <w:bookmarkStart w:id="35" w:name="_Toc61343525"/>
      <w:bookmarkStart w:id="36" w:name="_Toc60996037"/>
      <w:r w:rsidRPr="00E21CEC">
        <w:rPr>
          <w:rFonts w:eastAsiaTheme="majorEastAsia"/>
          <w:b/>
          <w:bCs/>
          <w:lang w:val="en-GB"/>
        </w:rPr>
        <w:t>1. Calculation of Payback Period (PBP), Net Present Value (NPV) and Accounting Rate of</w:t>
      </w:r>
      <w:r w:rsidRPr="00E21CEC">
        <w:rPr>
          <w:b/>
          <w:bCs/>
          <w:lang w:val="en-GB"/>
        </w:rPr>
        <w:t xml:space="preserve"> </w:t>
      </w:r>
      <w:r w:rsidRPr="00E21CEC">
        <w:rPr>
          <w:rFonts w:eastAsiaTheme="majorEastAsia"/>
          <w:b/>
          <w:bCs/>
          <w:lang w:val="en-GB"/>
        </w:rPr>
        <w:t>Return (ARR):</w:t>
      </w:r>
    </w:p>
    <w:tbl>
      <w:tblPr>
        <w:tblW w:w="8322" w:type="dxa"/>
        <w:tblInd w:w="93" w:type="dxa"/>
        <w:tblLook w:val="04A0" w:firstRow="1" w:lastRow="0" w:firstColumn="1" w:lastColumn="0" w:noHBand="0" w:noVBand="1"/>
      </w:tblPr>
      <w:tblGrid>
        <w:gridCol w:w="1228"/>
        <w:gridCol w:w="1306"/>
        <w:gridCol w:w="1308"/>
        <w:gridCol w:w="1586"/>
        <w:gridCol w:w="1493"/>
        <w:gridCol w:w="1401"/>
      </w:tblGrid>
      <w:tr w:rsidR="00A01CD9" w:rsidRPr="00E21CEC" w:rsidTr="00BE0139">
        <w:trPr>
          <w:trHeight w:val="272"/>
        </w:trPr>
        <w:tc>
          <w:tcPr>
            <w:tcW w:w="12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lastRenderedPageBreak/>
              <w:t>Year</w:t>
            </w:r>
            <w:r w:rsidRPr="00E21CEC">
              <w:rPr>
                <w:lang w:val="en-GB"/>
              </w:rPr>
              <w:t xml:space="preserve"> </w:t>
            </w:r>
          </w:p>
        </w:tc>
        <w:tc>
          <w:tcPr>
            <w:tcW w:w="2614" w:type="dxa"/>
            <w:gridSpan w:val="2"/>
            <w:tcBorders>
              <w:top w:val="single" w:sz="4" w:space="0" w:color="auto"/>
              <w:left w:val="nil"/>
              <w:bottom w:val="single" w:sz="4" w:space="0" w:color="auto"/>
              <w:right w:val="single" w:sz="4" w:space="0" w:color="auto"/>
            </w:tcBorders>
            <w:shd w:val="clear" w:color="auto" w:fill="auto"/>
            <w:noWrap/>
            <w:vAlign w:val="bottom"/>
            <w:hideMark/>
          </w:tcPr>
          <w:p w:rsidR="00A01CD9" w:rsidRPr="00E21CEC" w:rsidRDefault="00A01CD9" w:rsidP="00BE0139">
            <w:pPr>
              <w:jc w:val="center"/>
              <w:rPr>
                <w:rFonts w:eastAsiaTheme="majorEastAsia"/>
                <w:lang w:val="en-GB"/>
              </w:rPr>
            </w:pPr>
            <w:r w:rsidRPr="00E21CEC">
              <w:rPr>
                <w:rFonts w:eastAsiaTheme="majorEastAsia"/>
                <w:lang w:val="en-GB"/>
              </w:rPr>
              <w:t>Projected Cash Flow</w:t>
            </w:r>
          </w:p>
        </w:tc>
        <w:tc>
          <w:tcPr>
            <w:tcW w:w="1586" w:type="dxa"/>
            <w:tcBorders>
              <w:top w:val="single" w:sz="4" w:space="0" w:color="auto"/>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 </w:t>
            </w:r>
          </w:p>
        </w:tc>
        <w:tc>
          <w:tcPr>
            <w:tcW w:w="2894" w:type="dxa"/>
            <w:gridSpan w:val="2"/>
            <w:tcBorders>
              <w:top w:val="single" w:sz="4" w:space="0" w:color="auto"/>
              <w:left w:val="nil"/>
              <w:bottom w:val="single" w:sz="4" w:space="0" w:color="auto"/>
              <w:right w:val="single" w:sz="4" w:space="0" w:color="auto"/>
            </w:tcBorders>
            <w:shd w:val="clear" w:color="auto" w:fill="auto"/>
            <w:noWrap/>
            <w:vAlign w:val="bottom"/>
            <w:hideMark/>
          </w:tcPr>
          <w:p w:rsidR="00A01CD9" w:rsidRPr="00E21CEC" w:rsidRDefault="00A01CD9" w:rsidP="00BE0139">
            <w:pPr>
              <w:jc w:val="center"/>
              <w:rPr>
                <w:rFonts w:eastAsiaTheme="majorEastAsia"/>
                <w:lang w:val="en-GB"/>
              </w:rPr>
            </w:pPr>
            <w:r w:rsidRPr="00E21CEC">
              <w:rPr>
                <w:rFonts w:eastAsiaTheme="majorEastAsia"/>
                <w:lang w:val="en-GB"/>
              </w:rPr>
              <w:t>Present Values</w:t>
            </w:r>
          </w:p>
        </w:tc>
      </w:tr>
      <w:tr w:rsidR="00A01CD9" w:rsidRPr="00E21CEC" w:rsidTr="00BE0139">
        <w:trPr>
          <w:trHeight w:val="818"/>
        </w:trPr>
        <w:tc>
          <w:tcPr>
            <w:tcW w:w="1228" w:type="dxa"/>
            <w:tcBorders>
              <w:top w:val="nil"/>
              <w:left w:val="single" w:sz="4" w:space="0" w:color="auto"/>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 </w:t>
            </w:r>
          </w:p>
        </w:tc>
        <w:tc>
          <w:tcPr>
            <w:tcW w:w="1306"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Project A</w:t>
            </w:r>
          </w:p>
        </w:tc>
        <w:tc>
          <w:tcPr>
            <w:tcW w:w="1307"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Project B</w:t>
            </w:r>
          </w:p>
        </w:tc>
        <w:tc>
          <w:tcPr>
            <w:tcW w:w="1586" w:type="dxa"/>
            <w:tcBorders>
              <w:top w:val="nil"/>
              <w:left w:val="nil"/>
              <w:bottom w:val="single" w:sz="4" w:space="0" w:color="auto"/>
              <w:right w:val="single" w:sz="4" w:space="0" w:color="auto"/>
            </w:tcBorders>
            <w:shd w:val="clear" w:color="auto" w:fill="auto"/>
            <w:vAlign w:val="bottom"/>
            <w:hideMark/>
          </w:tcPr>
          <w:p w:rsidR="00A01CD9" w:rsidRPr="00E21CEC" w:rsidRDefault="00A01CD9" w:rsidP="00A01CD9">
            <w:pPr>
              <w:jc w:val="both"/>
              <w:rPr>
                <w:rFonts w:eastAsiaTheme="majorEastAsia"/>
                <w:lang w:val="en-GB"/>
              </w:rPr>
            </w:pPr>
            <w:r w:rsidRPr="00E21CEC">
              <w:rPr>
                <w:rFonts w:eastAsiaTheme="majorEastAsia"/>
                <w:lang w:val="en-GB"/>
              </w:rPr>
              <w:t>Present Value interest factor @ 10.5%</w:t>
            </w:r>
          </w:p>
        </w:tc>
        <w:tc>
          <w:tcPr>
            <w:tcW w:w="1493"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Project A</w:t>
            </w:r>
          </w:p>
        </w:tc>
        <w:tc>
          <w:tcPr>
            <w:tcW w:w="1401"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Project B</w:t>
            </w:r>
          </w:p>
        </w:tc>
      </w:tr>
      <w:tr w:rsidR="00A01CD9" w:rsidRPr="00E21CEC" w:rsidTr="00BE0139">
        <w:trPr>
          <w:trHeight w:val="272"/>
        </w:trPr>
        <w:tc>
          <w:tcPr>
            <w:tcW w:w="1228" w:type="dxa"/>
            <w:tcBorders>
              <w:top w:val="nil"/>
              <w:left w:val="single" w:sz="4" w:space="0" w:color="auto"/>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0</w:t>
            </w:r>
          </w:p>
        </w:tc>
        <w:tc>
          <w:tcPr>
            <w:tcW w:w="1306"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-85</w:t>
            </w:r>
          </w:p>
        </w:tc>
        <w:tc>
          <w:tcPr>
            <w:tcW w:w="1307"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-90</w:t>
            </w:r>
          </w:p>
        </w:tc>
        <w:tc>
          <w:tcPr>
            <w:tcW w:w="1586"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1</w:t>
            </w:r>
          </w:p>
        </w:tc>
        <w:tc>
          <w:tcPr>
            <w:tcW w:w="1493"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-85</w:t>
            </w:r>
          </w:p>
        </w:tc>
        <w:tc>
          <w:tcPr>
            <w:tcW w:w="1401"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-90</w:t>
            </w:r>
          </w:p>
        </w:tc>
      </w:tr>
      <w:tr w:rsidR="00A01CD9" w:rsidRPr="00E21CEC" w:rsidTr="00BE0139">
        <w:trPr>
          <w:trHeight w:val="272"/>
        </w:trPr>
        <w:tc>
          <w:tcPr>
            <w:tcW w:w="1228" w:type="dxa"/>
            <w:tcBorders>
              <w:top w:val="nil"/>
              <w:left w:val="single" w:sz="4" w:space="0" w:color="auto"/>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1</w:t>
            </w:r>
          </w:p>
        </w:tc>
        <w:tc>
          <w:tcPr>
            <w:tcW w:w="1306"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10</w:t>
            </w:r>
          </w:p>
        </w:tc>
        <w:tc>
          <w:tcPr>
            <w:tcW w:w="1307"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25</w:t>
            </w:r>
          </w:p>
        </w:tc>
        <w:tc>
          <w:tcPr>
            <w:tcW w:w="1586"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0.905</w:t>
            </w:r>
          </w:p>
        </w:tc>
        <w:tc>
          <w:tcPr>
            <w:tcW w:w="1493"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9.05</w:t>
            </w:r>
          </w:p>
        </w:tc>
        <w:tc>
          <w:tcPr>
            <w:tcW w:w="1401"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22.63</w:t>
            </w:r>
          </w:p>
        </w:tc>
      </w:tr>
      <w:tr w:rsidR="00A01CD9" w:rsidRPr="00E21CEC" w:rsidTr="00BE0139">
        <w:trPr>
          <w:trHeight w:val="272"/>
        </w:trPr>
        <w:tc>
          <w:tcPr>
            <w:tcW w:w="1228" w:type="dxa"/>
            <w:tcBorders>
              <w:top w:val="nil"/>
              <w:left w:val="single" w:sz="4" w:space="0" w:color="auto"/>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2</w:t>
            </w:r>
          </w:p>
        </w:tc>
        <w:tc>
          <w:tcPr>
            <w:tcW w:w="1306"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20</w:t>
            </w:r>
          </w:p>
        </w:tc>
        <w:tc>
          <w:tcPr>
            <w:tcW w:w="1307"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30</w:t>
            </w:r>
          </w:p>
        </w:tc>
        <w:tc>
          <w:tcPr>
            <w:tcW w:w="1586"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0.819</w:t>
            </w:r>
          </w:p>
        </w:tc>
        <w:tc>
          <w:tcPr>
            <w:tcW w:w="1493"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16.38</w:t>
            </w:r>
          </w:p>
        </w:tc>
        <w:tc>
          <w:tcPr>
            <w:tcW w:w="1401"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24.57</w:t>
            </w:r>
          </w:p>
        </w:tc>
      </w:tr>
      <w:tr w:rsidR="00A01CD9" w:rsidRPr="00E21CEC" w:rsidTr="00BE0139">
        <w:trPr>
          <w:trHeight w:val="272"/>
        </w:trPr>
        <w:tc>
          <w:tcPr>
            <w:tcW w:w="1228" w:type="dxa"/>
            <w:tcBorders>
              <w:top w:val="nil"/>
              <w:left w:val="single" w:sz="4" w:space="0" w:color="auto"/>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3</w:t>
            </w:r>
          </w:p>
        </w:tc>
        <w:tc>
          <w:tcPr>
            <w:tcW w:w="1306"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40</w:t>
            </w:r>
          </w:p>
        </w:tc>
        <w:tc>
          <w:tcPr>
            <w:tcW w:w="1307"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35</w:t>
            </w:r>
          </w:p>
        </w:tc>
        <w:tc>
          <w:tcPr>
            <w:tcW w:w="1586"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0.741</w:t>
            </w:r>
          </w:p>
        </w:tc>
        <w:tc>
          <w:tcPr>
            <w:tcW w:w="1493"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29.64</w:t>
            </w:r>
          </w:p>
        </w:tc>
        <w:tc>
          <w:tcPr>
            <w:tcW w:w="1401"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25.94</w:t>
            </w:r>
          </w:p>
        </w:tc>
      </w:tr>
      <w:tr w:rsidR="00A01CD9" w:rsidRPr="00E21CEC" w:rsidTr="00BE0139">
        <w:trPr>
          <w:trHeight w:val="272"/>
        </w:trPr>
        <w:tc>
          <w:tcPr>
            <w:tcW w:w="1228" w:type="dxa"/>
            <w:tcBorders>
              <w:top w:val="nil"/>
              <w:left w:val="single" w:sz="4" w:space="0" w:color="auto"/>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4</w:t>
            </w:r>
          </w:p>
        </w:tc>
        <w:tc>
          <w:tcPr>
            <w:tcW w:w="1306"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55</w:t>
            </w:r>
          </w:p>
        </w:tc>
        <w:tc>
          <w:tcPr>
            <w:tcW w:w="1307"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40</w:t>
            </w:r>
          </w:p>
        </w:tc>
        <w:tc>
          <w:tcPr>
            <w:tcW w:w="1586"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0.671</w:t>
            </w:r>
          </w:p>
        </w:tc>
        <w:tc>
          <w:tcPr>
            <w:tcW w:w="1493"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36.91</w:t>
            </w:r>
          </w:p>
        </w:tc>
        <w:tc>
          <w:tcPr>
            <w:tcW w:w="1401" w:type="dxa"/>
            <w:tcBorders>
              <w:top w:val="nil"/>
              <w:left w:val="nil"/>
              <w:bottom w:val="single" w:sz="4" w:space="0" w:color="auto"/>
              <w:right w:val="single" w:sz="4" w:space="0" w:color="auto"/>
            </w:tcBorders>
            <w:shd w:val="clear" w:color="auto" w:fill="auto"/>
            <w:noWrap/>
            <w:vAlign w:val="bottom"/>
            <w:hideMark/>
          </w:tcPr>
          <w:p w:rsidR="00A01CD9" w:rsidRPr="00E21CEC" w:rsidRDefault="00A01CD9" w:rsidP="00A01CD9">
            <w:pPr>
              <w:jc w:val="both"/>
              <w:rPr>
                <w:rFonts w:eastAsiaTheme="majorEastAsia"/>
                <w:lang w:val="en-GB"/>
              </w:rPr>
            </w:pPr>
            <w:r w:rsidRPr="00E21CEC">
              <w:rPr>
                <w:rFonts w:eastAsiaTheme="majorEastAsia"/>
                <w:lang w:val="en-GB"/>
              </w:rPr>
              <w:t>26.84</w:t>
            </w:r>
          </w:p>
        </w:tc>
      </w:tr>
    </w:tbl>
    <w:p w:rsidR="00A01CD9" w:rsidRPr="00E21CEC" w:rsidRDefault="00A01CD9" w:rsidP="00A01CD9">
      <w:pPr>
        <w:jc w:val="both"/>
        <w:rPr>
          <w:rFonts w:eastAsiaTheme="majorEastAsia"/>
          <w:lang w:val="en-GB"/>
        </w:rPr>
      </w:pPr>
    </w:p>
    <w:p w:rsidR="00A01CD9" w:rsidRPr="00E21CEC" w:rsidRDefault="00A01CD9" w:rsidP="00A01CD9">
      <w:pPr>
        <w:jc w:val="center"/>
        <w:rPr>
          <w:rFonts w:eastAsiaTheme="majorEastAsia"/>
          <w:lang w:val="en-GB"/>
        </w:rPr>
      </w:pPr>
      <w:r w:rsidRPr="00E21CEC">
        <w:rPr>
          <w:rFonts w:eastAsiaTheme="majorEastAsia"/>
          <w:lang w:val="en-GB"/>
        </w:rPr>
        <w:t>Project A) The Net Present Value = Total Net Cash Inflows – Net Cash Outflow</w:t>
      </w:r>
    </w:p>
    <w:p w:rsidR="00A01CD9" w:rsidRPr="00E21CEC" w:rsidRDefault="00A01CD9" w:rsidP="00A01CD9">
      <w:pPr>
        <w:jc w:val="center"/>
        <w:rPr>
          <w:rFonts w:eastAsiaTheme="majorEastAsia"/>
          <w:lang w:val="en-GB"/>
        </w:rPr>
      </w:pPr>
      <w:r w:rsidRPr="00E21CEC">
        <w:rPr>
          <w:rFonts w:eastAsiaTheme="majorEastAsia"/>
          <w:lang w:val="en-GB"/>
        </w:rPr>
        <w:t>= (9.05+16.38+29.64+36.91) – 85</w:t>
      </w:r>
    </w:p>
    <w:p w:rsidR="00A01CD9" w:rsidRPr="00E21CEC" w:rsidRDefault="00A01CD9" w:rsidP="00A01CD9">
      <w:pPr>
        <w:jc w:val="center"/>
        <w:rPr>
          <w:rFonts w:eastAsiaTheme="majorEastAsia"/>
          <w:lang w:val="en-GB"/>
        </w:rPr>
      </w:pPr>
      <w:r w:rsidRPr="00E21CEC">
        <w:rPr>
          <w:rFonts w:eastAsiaTheme="majorEastAsia"/>
          <w:lang w:val="en-GB"/>
        </w:rPr>
        <w:t>= $6.98 million</w:t>
      </w:r>
    </w:p>
    <w:p w:rsidR="00A01CD9" w:rsidRPr="00E21CEC" w:rsidRDefault="00A01CD9" w:rsidP="00A01CD9">
      <w:pPr>
        <w:jc w:val="center"/>
        <w:rPr>
          <w:rFonts w:eastAsiaTheme="majorEastAsia"/>
          <w:lang w:val="en-GB"/>
        </w:rPr>
      </w:pPr>
      <w:r w:rsidRPr="00E21CEC">
        <w:rPr>
          <w:rFonts w:eastAsiaTheme="majorEastAsia"/>
          <w:lang w:val="en-GB"/>
        </w:rPr>
        <w:t>Project B) The Net Present Value = Total Net Cash Inflows – Net Cash Outflow</w:t>
      </w:r>
    </w:p>
    <w:p w:rsidR="00A01CD9" w:rsidRPr="00E21CEC" w:rsidRDefault="00A01CD9" w:rsidP="00A01CD9">
      <w:pPr>
        <w:jc w:val="center"/>
        <w:rPr>
          <w:rFonts w:eastAsiaTheme="majorEastAsia"/>
          <w:lang w:val="en-GB"/>
        </w:rPr>
      </w:pPr>
      <w:r w:rsidRPr="00E21CEC">
        <w:rPr>
          <w:rFonts w:eastAsiaTheme="majorEastAsia"/>
          <w:lang w:val="en-GB"/>
        </w:rPr>
        <w:t>= (22.63+24.57+25.94+26.84) – 90</w:t>
      </w:r>
    </w:p>
    <w:p w:rsidR="00A01CD9" w:rsidRPr="00E21CEC" w:rsidRDefault="00A01CD9" w:rsidP="00A01CD9">
      <w:pPr>
        <w:jc w:val="center"/>
        <w:rPr>
          <w:rFonts w:eastAsiaTheme="majorEastAsia"/>
          <w:lang w:val="en-GB"/>
        </w:rPr>
      </w:pPr>
      <w:r w:rsidRPr="00E21CEC">
        <w:rPr>
          <w:rFonts w:eastAsiaTheme="majorEastAsia"/>
          <w:lang w:val="en-GB"/>
        </w:rPr>
        <w:t>= $9.98 million</w:t>
      </w:r>
    </w:p>
    <w:p w:rsidR="00A01CD9" w:rsidRPr="00E21CEC" w:rsidRDefault="00A01CD9" w:rsidP="00A01CD9">
      <w:pPr>
        <w:jc w:val="both"/>
        <w:rPr>
          <w:rFonts w:eastAsiaTheme="majorEastAsia"/>
          <w:lang w:val="en-GB"/>
        </w:rPr>
      </w:pPr>
      <w:r w:rsidRPr="00E21CEC">
        <w:rPr>
          <w:rFonts w:eastAsiaTheme="majorEastAsia"/>
          <w:lang w:val="en-GB"/>
        </w:rPr>
        <w:t>Since the Net Present Value for Project B is higher than Project A, results that Project B should be accepted.</w:t>
      </w:r>
    </w:p>
    <w:p w:rsidR="00A01CD9" w:rsidRPr="00E21CEC" w:rsidRDefault="00A01CD9" w:rsidP="00A01CD9">
      <w:pPr>
        <w:jc w:val="both"/>
        <w:rPr>
          <w:rFonts w:eastAsiaTheme="majorEastAsia"/>
          <w:lang w:val="en-GB"/>
        </w:rPr>
      </w:pPr>
      <w:r w:rsidRPr="00E21CEC">
        <w:rPr>
          <w:rFonts w:eastAsiaTheme="majorEastAsia"/>
          <w:lang w:val="en-GB"/>
        </w:rPr>
        <w:lastRenderedPageBreak/>
        <w:t>Payback Period = PYFR + (BA / CIYER)</w:t>
      </w:r>
    </w:p>
    <w:p w:rsidR="00A01CD9" w:rsidRPr="00E21CEC" w:rsidRDefault="00A01CD9" w:rsidP="00A01CD9">
      <w:pPr>
        <w:jc w:val="both"/>
        <w:rPr>
          <w:rFonts w:eastAsiaTheme="majorEastAsia"/>
          <w:lang w:val="en-GB"/>
        </w:rPr>
      </w:pPr>
      <w:r w:rsidRPr="00E21CEC">
        <w:rPr>
          <w:rFonts w:eastAsiaTheme="majorEastAsia"/>
          <w:lang w:val="en-GB"/>
        </w:rPr>
        <w:t xml:space="preserve">PYFR = Number of Years immediately preceding year of Final Recovery </w:t>
      </w:r>
    </w:p>
    <w:p w:rsidR="00A01CD9" w:rsidRPr="00E21CEC" w:rsidRDefault="00A01CD9" w:rsidP="00A01CD9">
      <w:pPr>
        <w:jc w:val="both"/>
        <w:rPr>
          <w:rFonts w:eastAsiaTheme="majorEastAsia"/>
          <w:lang w:val="en-GB"/>
        </w:rPr>
      </w:pPr>
      <w:r w:rsidRPr="00E21CEC">
        <w:rPr>
          <w:rFonts w:eastAsiaTheme="majorEastAsia"/>
          <w:lang w:val="en-GB"/>
        </w:rPr>
        <w:t>BA = Balance Amount to be recovered</w:t>
      </w:r>
    </w:p>
    <w:p w:rsidR="00A01CD9" w:rsidRPr="00E21CEC" w:rsidRDefault="00A01CD9" w:rsidP="00A01CD9">
      <w:pPr>
        <w:jc w:val="both"/>
        <w:rPr>
          <w:rFonts w:eastAsiaTheme="majorEastAsia"/>
          <w:lang w:val="en-GB"/>
        </w:rPr>
      </w:pPr>
      <w:r w:rsidRPr="00E21CEC">
        <w:rPr>
          <w:rFonts w:eastAsiaTheme="majorEastAsia"/>
          <w:lang w:val="en-GB"/>
        </w:rPr>
        <w:t>CIYFR = Cash inflow - Year of the Final Recovery</w:t>
      </w:r>
    </w:p>
    <w:p w:rsidR="00A01CD9" w:rsidRPr="00E21CEC" w:rsidRDefault="00BE0139" w:rsidP="00BE0139">
      <w:pPr>
        <w:jc w:val="center"/>
        <w:rPr>
          <w:rFonts w:eastAsiaTheme="majorEastAsia"/>
          <w:lang w:val="en-GB"/>
        </w:rPr>
      </w:pPr>
      <w:r w:rsidRPr="00E21CEC">
        <w:rPr>
          <w:rFonts w:eastAsiaTheme="majorEastAsia"/>
          <w:lang w:val="en-GB"/>
        </w:rPr>
        <w:t xml:space="preserve">Project A) </w:t>
      </w:r>
      <w:r w:rsidR="00A01CD9" w:rsidRPr="00E21CEC">
        <w:rPr>
          <w:rFonts w:eastAsiaTheme="majorEastAsia"/>
          <w:lang w:val="en-GB"/>
        </w:rPr>
        <w:t>Payback Period</w:t>
      </w:r>
      <w:r w:rsidRPr="00E21CEC">
        <w:rPr>
          <w:rFonts w:eastAsiaTheme="majorEastAsia"/>
          <w:lang w:val="en-GB"/>
        </w:rPr>
        <w:t xml:space="preserve"> </w:t>
      </w:r>
      <w:r w:rsidR="00A01CD9" w:rsidRPr="00E21CEC">
        <w:rPr>
          <w:rFonts w:eastAsiaTheme="majorEastAsia"/>
          <w:lang w:val="en-GB"/>
        </w:rPr>
        <w:t xml:space="preserve"> = 3+{[85-(9.05+16.38+29.64)]/36.91}</w:t>
      </w:r>
    </w:p>
    <w:p w:rsidR="00A01CD9" w:rsidRPr="00E21CEC" w:rsidRDefault="00A01CD9" w:rsidP="00BE0139">
      <w:pPr>
        <w:jc w:val="center"/>
        <w:rPr>
          <w:rFonts w:eastAsiaTheme="majorEastAsia"/>
          <w:lang w:val="en-GB"/>
        </w:rPr>
      </w:pPr>
      <w:r w:rsidRPr="00E21CEC">
        <w:rPr>
          <w:rFonts w:eastAsiaTheme="majorEastAsia"/>
          <w:lang w:val="en-GB"/>
        </w:rPr>
        <w:t>= 3.81 years</w:t>
      </w:r>
    </w:p>
    <w:p w:rsidR="00A01CD9" w:rsidRPr="00E21CEC" w:rsidRDefault="00BE0139" w:rsidP="00BE0139">
      <w:pPr>
        <w:jc w:val="center"/>
        <w:rPr>
          <w:rFonts w:eastAsiaTheme="majorEastAsia"/>
          <w:lang w:val="en-GB"/>
        </w:rPr>
      </w:pPr>
      <w:r w:rsidRPr="00E21CEC">
        <w:rPr>
          <w:rFonts w:eastAsiaTheme="majorEastAsia"/>
          <w:lang w:val="en-GB"/>
        </w:rPr>
        <w:t xml:space="preserve">Project B) </w:t>
      </w:r>
      <w:r w:rsidR="00A01CD9" w:rsidRPr="00E21CEC">
        <w:rPr>
          <w:rFonts w:eastAsiaTheme="majorEastAsia"/>
          <w:lang w:val="en-GB"/>
        </w:rPr>
        <w:t>Payback Period</w:t>
      </w:r>
      <w:r w:rsidRPr="00E21CEC">
        <w:rPr>
          <w:rFonts w:eastAsiaTheme="majorEastAsia"/>
          <w:lang w:val="en-GB"/>
        </w:rPr>
        <w:t xml:space="preserve"> </w:t>
      </w:r>
      <w:r w:rsidR="00A01CD9" w:rsidRPr="00E21CEC">
        <w:rPr>
          <w:rFonts w:eastAsiaTheme="majorEastAsia"/>
          <w:lang w:val="en-GB"/>
        </w:rPr>
        <w:t>= 3+{[90-(22.63+24.57+25.94)]/26.84}</w:t>
      </w:r>
    </w:p>
    <w:p w:rsidR="00A01CD9" w:rsidRPr="00E21CEC" w:rsidRDefault="00A01CD9" w:rsidP="00BE0139">
      <w:pPr>
        <w:jc w:val="center"/>
        <w:rPr>
          <w:rFonts w:eastAsiaTheme="majorEastAsia"/>
          <w:lang w:val="en-GB"/>
        </w:rPr>
      </w:pPr>
      <w:r w:rsidRPr="00E21CEC">
        <w:rPr>
          <w:rFonts w:eastAsiaTheme="majorEastAsia"/>
          <w:lang w:val="en-GB"/>
        </w:rPr>
        <w:t>= 3.63 years</w:t>
      </w:r>
    </w:p>
    <w:p w:rsidR="00A01CD9" w:rsidRPr="00E21CEC" w:rsidRDefault="00A01CD9" w:rsidP="00A01CD9">
      <w:pPr>
        <w:jc w:val="both"/>
        <w:rPr>
          <w:rFonts w:eastAsiaTheme="majorEastAsia"/>
          <w:lang w:val="en-GB"/>
        </w:rPr>
      </w:pPr>
      <w:r w:rsidRPr="00E21CEC">
        <w:rPr>
          <w:rFonts w:eastAsiaTheme="majorEastAsia"/>
          <w:lang w:val="en-GB"/>
        </w:rPr>
        <w:t>Since the Payback Period for Project B is lower than the Project A, it should be preferred.</w:t>
      </w:r>
    </w:p>
    <w:p w:rsidR="00A01CD9" w:rsidRPr="00E21CEC" w:rsidRDefault="00A01CD9" w:rsidP="00A01CD9">
      <w:pPr>
        <w:jc w:val="both"/>
        <w:rPr>
          <w:rFonts w:eastAsiaTheme="majorEastAsia"/>
          <w:lang w:val="en-GB"/>
        </w:rPr>
      </w:pPr>
      <w:r w:rsidRPr="00E21CEC">
        <w:rPr>
          <w:rFonts w:eastAsiaTheme="majorEastAsia"/>
          <w:lang w:val="en-GB"/>
        </w:rPr>
        <w:t>Accounting Rate of Return of Project A: Net Present Value/ Initial Investment</w:t>
      </w:r>
    </w:p>
    <w:p w:rsidR="00A01CD9" w:rsidRPr="00E21CEC" w:rsidRDefault="00A01CD9" w:rsidP="00A01CD9">
      <w:pPr>
        <w:jc w:val="both"/>
        <w:rPr>
          <w:rFonts w:eastAsiaTheme="majorEastAsia"/>
          <w:lang w:val="en-GB"/>
        </w:rPr>
      </w:pPr>
      <w:r w:rsidRPr="00E21CEC">
        <w:rPr>
          <w:rFonts w:eastAsiaTheme="majorEastAsia"/>
          <w:lang w:val="en-GB"/>
        </w:rPr>
        <w:tab/>
      </w:r>
      <w:r w:rsidRPr="00E21CEC">
        <w:rPr>
          <w:rFonts w:eastAsiaTheme="majorEastAsia"/>
          <w:lang w:val="en-GB"/>
        </w:rPr>
        <w:tab/>
      </w:r>
      <w:r w:rsidRPr="00E21CEC">
        <w:rPr>
          <w:rFonts w:eastAsiaTheme="majorEastAsia"/>
          <w:lang w:val="en-GB"/>
        </w:rPr>
        <w:tab/>
      </w:r>
      <w:r w:rsidRPr="00E21CEC">
        <w:rPr>
          <w:rFonts w:eastAsiaTheme="majorEastAsia"/>
          <w:lang w:val="en-GB"/>
        </w:rPr>
        <w:tab/>
      </w:r>
      <w:r w:rsidRPr="00E21CEC">
        <w:rPr>
          <w:rFonts w:eastAsiaTheme="majorEastAsia"/>
          <w:lang w:val="en-GB"/>
        </w:rPr>
        <w:tab/>
        <w:t>= 6.98/85</w:t>
      </w:r>
    </w:p>
    <w:p w:rsidR="00A01CD9" w:rsidRPr="00E21CEC" w:rsidRDefault="00A01CD9" w:rsidP="00A01CD9">
      <w:pPr>
        <w:jc w:val="both"/>
        <w:rPr>
          <w:rFonts w:eastAsiaTheme="majorEastAsia"/>
          <w:lang w:val="en-GB"/>
        </w:rPr>
      </w:pPr>
      <w:r w:rsidRPr="00E21CEC">
        <w:rPr>
          <w:rFonts w:eastAsiaTheme="majorEastAsia"/>
          <w:lang w:val="en-GB"/>
        </w:rPr>
        <w:tab/>
      </w:r>
      <w:r w:rsidRPr="00E21CEC">
        <w:rPr>
          <w:rFonts w:eastAsiaTheme="majorEastAsia"/>
          <w:lang w:val="en-GB"/>
        </w:rPr>
        <w:tab/>
      </w:r>
      <w:r w:rsidRPr="00E21CEC">
        <w:rPr>
          <w:rFonts w:eastAsiaTheme="majorEastAsia"/>
          <w:lang w:val="en-GB"/>
        </w:rPr>
        <w:tab/>
      </w:r>
      <w:r w:rsidRPr="00E21CEC">
        <w:rPr>
          <w:rFonts w:eastAsiaTheme="majorEastAsia"/>
          <w:lang w:val="en-GB"/>
        </w:rPr>
        <w:tab/>
      </w:r>
      <w:r w:rsidRPr="00E21CEC">
        <w:rPr>
          <w:rFonts w:eastAsiaTheme="majorEastAsia"/>
          <w:lang w:val="en-GB"/>
        </w:rPr>
        <w:tab/>
        <w:t>= 8.21%</w:t>
      </w:r>
    </w:p>
    <w:p w:rsidR="00A01CD9" w:rsidRPr="00E21CEC" w:rsidRDefault="00A01CD9" w:rsidP="00A01CD9">
      <w:pPr>
        <w:jc w:val="both"/>
        <w:rPr>
          <w:rFonts w:eastAsiaTheme="majorEastAsia"/>
          <w:lang w:val="en-GB"/>
        </w:rPr>
      </w:pPr>
      <w:r w:rsidRPr="00E21CEC">
        <w:rPr>
          <w:rFonts w:eastAsiaTheme="majorEastAsia"/>
          <w:lang w:val="en-GB"/>
        </w:rPr>
        <w:t>Accounting Rate of Return of Project B: Net Present Value/ Initial Investment</w:t>
      </w:r>
    </w:p>
    <w:p w:rsidR="00A01CD9" w:rsidRPr="00E21CEC" w:rsidRDefault="00A01CD9" w:rsidP="00A01CD9">
      <w:pPr>
        <w:jc w:val="both"/>
        <w:rPr>
          <w:rFonts w:eastAsiaTheme="majorEastAsia"/>
          <w:lang w:val="en-GB"/>
        </w:rPr>
      </w:pPr>
      <w:r w:rsidRPr="00E21CEC">
        <w:rPr>
          <w:rFonts w:eastAsiaTheme="majorEastAsia"/>
          <w:lang w:val="en-GB"/>
        </w:rPr>
        <w:tab/>
      </w:r>
      <w:r w:rsidRPr="00E21CEC">
        <w:rPr>
          <w:rFonts w:eastAsiaTheme="majorEastAsia"/>
          <w:lang w:val="en-GB"/>
        </w:rPr>
        <w:tab/>
      </w:r>
      <w:r w:rsidRPr="00E21CEC">
        <w:rPr>
          <w:rFonts w:eastAsiaTheme="majorEastAsia"/>
          <w:lang w:val="en-GB"/>
        </w:rPr>
        <w:tab/>
      </w:r>
      <w:r w:rsidRPr="00E21CEC">
        <w:rPr>
          <w:rFonts w:eastAsiaTheme="majorEastAsia"/>
          <w:lang w:val="en-GB"/>
        </w:rPr>
        <w:tab/>
      </w:r>
      <w:r w:rsidRPr="00E21CEC">
        <w:rPr>
          <w:rFonts w:eastAsiaTheme="majorEastAsia"/>
          <w:lang w:val="en-GB"/>
        </w:rPr>
        <w:tab/>
        <w:t>= 9.98/90</w:t>
      </w:r>
    </w:p>
    <w:p w:rsidR="00A01CD9" w:rsidRPr="00E21CEC" w:rsidRDefault="00A01CD9" w:rsidP="00A01CD9">
      <w:pPr>
        <w:jc w:val="both"/>
        <w:rPr>
          <w:rFonts w:eastAsiaTheme="majorEastAsia"/>
          <w:lang w:val="en-GB"/>
        </w:rPr>
      </w:pPr>
      <w:r w:rsidRPr="00E21CEC">
        <w:rPr>
          <w:rFonts w:eastAsiaTheme="majorEastAsia"/>
          <w:lang w:val="en-GB"/>
        </w:rPr>
        <w:tab/>
      </w:r>
      <w:r w:rsidRPr="00E21CEC">
        <w:rPr>
          <w:rFonts w:eastAsiaTheme="majorEastAsia"/>
          <w:lang w:val="en-GB"/>
        </w:rPr>
        <w:tab/>
      </w:r>
      <w:r w:rsidRPr="00E21CEC">
        <w:rPr>
          <w:rFonts w:eastAsiaTheme="majorEastAsia"/>
          <w:lang w:val="en-GB"/>
        </w:rPr>
        <w:tab/>
      </w:r>
      <w:r w:rsidRPr="00E21CEC">
        <w:rPr>
          <w:rFonts w:eastAsiaTheme="majorEastAsia"/>
          <w:lang w:val="en-GB"/>
        </w:rPr>
        <w:tab/>
      </w:r>
      <w:r w:rsidRPr="00E21CEC">
        <w:rPr>
          <w:rFonts w:eastAsiaTheme="majorEastAsia"/>
          <w:lang w:val="en-GB"/>
        </w:rPr>
        <w:tab/>
        <w:t>= 11.07%</w:t>
      </w:r>
    </w:p>
    <w:p w:rsidR="00A01CD9" w:rsidRPr="00E21CEC" w:rsidRDefault="00A01CD9" w:rsidP="00A01CD9">
      <w:pPr>
        <w:jc w:val="both"/>
        <w:rPr>
          <w:rFonts w:eastAsiaTheme="majorEastAsia"/>
          <w:lang w:val="en-GB"/>
        </w:rPr>
      </w:pPr>
      <w:r w:rsidRPr="00E21CEC">
        <w:rPr>
          <w:rFonts w:eastAsiaTheme="majorEastAsia"/>
          <w:lang w:val="en-GB"/>
        </w:rPr>
        <w:t xml:space="preserve">Project B has a higher Accounting Rate of Return rather than Project A, it should be accepted. </w:t>
      </w:r>
    </w:p>
    <w:p w:rsidR="00A01CD9" w:rsidRPr="00E21CEC" w:rsidRDefault="00A01CD9" w:rsidP="00A01CD9">
      <w:pPr>
        <w:jc w:val="both"/>
        <w:rPr>
          <w:rFonts w:eastAsiaTheme="majorEastAsia"/>
          <w:lang w:val="en-GB"/>
        </w:rPr>
      </w:pPr>
      <w:r w:rsidRPr="00E21CEC">
        <w:rPr>
          <w:rFonts w:eastAsiaTheme="majorEastAsia"/>
          <w:lang w:val="en-GB"/>
        </w:rPr>
        <w:t>After all the above metrics have been calculated, Project B is more advantageous, so it should be chosen.</w:t>
      </w:r>
      <w:bookmarkEnd w:id="35"/>
    </w:p>
    <w:p w:rsidR="00615FA1" w:rsidRPr="00E21CEC" w:rsidRDefault="006B11A8" w:rsidP="001F6336">
      <w:pPr>
        <w:pStyle w:val="Heading2"/>
        <w:jc w:val="both"/>
        <w:rPr>
          <w:b/>
          <w:bCs/>
          <w:lang w:val="en-GB"/>
        </w:rPr>
      </w:pPr>
      <w:bookmarkStart w:id="37" w:name="_Toc61455589"/>
      <w:r w:rsidRPr="00E21CEC">
        <w:rPr>
          <w:b/>
          <w:bCs/>
          <w:lang w:val="en-GB"/>
        </w:rPr>
        <w:lastRenderedPageBreak/>
        <w:t>Net Present Value</w:t>
      </w:r>
      <w:bookmarkEnd w:id="36"/>
      <w:bookmarkEnd w:id="37"/>
    </w:p>
    <w:p w:rsidR="00615FA1" w:rsidRPr="00E21CEC" w:rsidRDefault="00E21CEC" w:rsidP="001F6336">
      <w:pPr>
        <w:jc w:val="both"/>
        <w:rPr>
          <w:lang w:val="en-GB"/>
        </w:rPr>
      </w:pPr>
      <w:r w:rsidRPr="00E21CEC">
        <w:rPr>
          <w:lang w:val="en-GB"/>
        </w:rPr>
        <w:t xml:space="preserve">The net present </w:t>
      </w:r>
      <w:r>
        <w:rPr>
          <w:lang w:val="en-GB"/>
        </w:rPr>
        <w:t>value</w:t>
      </w:r>
      <w:r w:rsidRPr="00E21CEC">
        <w:rPr>
          <w:lang w:val="en-GB"/>
        </w:rPr>
        <w:t xml:space="preserve"> (NPV) technique depends on the limiting of expected future incomes of a venture project</w:t>
      </w:r>
      <w:r w:rsidR="002B7877">
        <w:rPr>
          <w:lang w:val="en-GB"/>
        </w:rPr>
        <w:t xml:space="preserve"> </w:t>
      </w:r>
      <w:r w:rsidRPr="00E21CEC">
        <w:rPr>
          <w:lang w:val="en-GB"/>
        </w:rPr>
        <w:t xml:space="preserve">(Damodaran, 2001). </w:t>
      </w:r>
      <w:r w:rsidR="002B7877">
        <w:rPr>
          <w:lang w:val="en-GB"/>
        </w:rPr>
        <w:t>N</w:t>
      </w:r>
      <w:r w:rsidR="00615FA1" w:rsidRPr="00E21CEC">
        <w:rPr>
          <w:lang w:val="en-GB"/>
        </w:rPr>
        <w:t xml:space="preserve">et present value (NPV) is </w:t>
      </w:r>
      <w:r w:rsidR="002B7877">
        <w:rPr>
          <w:lang w:val="en-GB"/>
        </w:rPr>
        <w:t>a</w:t>
      </w:r>
      <w:r w:rsidR="00615FA1" w:rsidRPr="00E21CEC">
        <w:rPr>
          <w:lang w:val="en-GB"/>
        </w:rPr>
        <w:t xml:space="preserve"> difference between the current cash flow value and the current cash flow value for a period of time. NPV is used to assess viability of a planned investment or project in capital budgeting and investment </w:t>
      </w:r>
      <w:r w:rsidR="002B7877" w:rsidRPr="00E21CEC">
        <w:rPr>
          <w:lang w:val="en-GB"/>
        </w:rPr>
        <w:t>forecasting</w:t>
      </w:r>
      <w:r w:rsidR="00615FA1" w:rsidRPr="00E21CEC">
        <w:rPr>
          <w:lang w:val="en-GB"/>
        </w:rPr>
        <w:t>. There are certain advantages and disadvantages that include the following:</w:t>
      </w:r>
    </w:p>
    <w:p w:rsidR="00E21CEC" w:rsidRDefault="00615FA1" w:rsidP="001F6336">
      <w:pPr>
        <w:jc w:val="both"/>
        <w:rPr>
          <w:lang w:val="en-GB"/>
        </w:rPr>
      </w:pPr>
      <w:r w:rsidRPr="00E21CEC">
        <w:rPr>
          <w:lang w:val="en-GB"/>
        </w:rPr>
        <w:t xml:space="preserve">Advantages: </w:t>
      </w:r>
    </w:p>
    <w:p w:rsidR="00E21CEC" w:rsidRPr="00826EEA" w:rsidRDefault="00E21CEC" w:rsidP="00E21CEC">
      <w:pPr>
        <w:pStyle w:val="ListParagraph"/>
        <w:numPr>
          <w:ilvl w:val="0"/>
          <w:numId w:val="1"/>
        </w:numPr>
      </w:pPr>
      <w:r w:rsidRPr="00826EEA">
        <w:t>Takes account of time value of money</w:t>
      </w:r>
    </w:p>
    <w:p w:rsidR="00E21CEC" w:rsidRPr="00826EEA" w:rsidRDefault="00E21CEC" w:rsidP="00E21CEC">
      <w:pPr>
        <w:pStyle w:val="ListParagraph"/>
        <w:numPr>
          <w:ilvl w:val="0"/>
          <w:numId w:val="1"/>
        </w:numPr>
      </w:pPr>
      <w:r w:rsidRPr="00826EEA">
        <w:t>Use</w:t>
      </w:r>
      <w:r w:rsidR="002B7877">
        <w:t xml:space="preserve"> of</w:t>
      </w:r>
      <w:r w:rsidRPr="00826EEA">
        <w:t xml:space="preserve"> cash flow, not accounting profit</w:t>
      </w:r>
    </w:p>
    <w:p w:rsidR="00E21CEC" w:rsidRPr="00826EEA" w:rsidRDefault="00E21CEC" w:rsidP="00E21CEC">
      <w:pPr>
        <w:pStyle w:val="ListParagraph"/>
        <w:numPr>
          <w:ilvl w:val="0"/>
          <w:numId w:val="1"/>
        </w:numPr>
      </w:pPr>
      <w:r w:rsidRPr="00826EEA">
        <w:t>Takes account of all relevant cash flows over</w:t>
      </w:r>
      <w:r w:rsidR="002B7877">
        <w:t xml:space="preserve"> </w:t>
      </w:r>
      <w:r w:rsidRPr="00826EEA">
        <w:t>life of project</w:t>
      </w:r>
    </w:p>
    <w:p w:rsidR="00E21CEC" w:rsidRPr="00826EEA" w:rsidRDefault="00E21CEC" w:rsidP="00E21CEC">
      <w:pPr>
        <w:pStyle w:val="ListParagraph"/>
        <w:numPr>
          <w:ilvl w:val="0"/>
          <w:numId w:val="1"/>
        </w:numPr>
      </w:pPr>
      <w:r w:rsidRPr="00826EEA">
        <w:t>Can take account of conventional and non-conventional cash flows, as well as changes</w:t>
      </w:r>
      <w:r w:rsidRPr="00826EEA">
        <w:br/>
        <w:t>in discount rate during project</w:t>
      </w:r>
    </w:p>
    <w:p w:rsidR="00E21CEC" w:rsidRPr="00E21CEC" w:rsidRDefault="00E21CEC" w:rsidP="00E21CEC">
      <w:pPr>
        <w:pStyle w:val="ListParagraph"/>
        <w:numPr>
          <w:ilvl w:val="0"/>
          <w:numId w:val="1"/>
        </w:numPr>
      </w:pPr>
      <w:r w:rsidRPr="00826EEA">
        <w:t>Gives absolute measure of project value.</w:t>
      </w:r>
    </w:p>
    <w:p w:rsidR="00615FA1" w:rsidRPr="00E21CEC" w:rsidRDefault="00615FA1" w:rsidP="001F6336">
      <w:pPr>
        <w:jc w:val="both"/>
        <w:rPr>
          <w:lang w:val="en-GB"/>
        </w:rPr>
      </w:pPr>
      <w:r w:rsidRPr="00E21CEC">
        <w:rPr>
          <w:lang w:val="en-GB"/>
        </w:rPr>
        <w:t xml:space="preserve">The </w:t>
      </w:r>
      <w:r w:rsidR="002B7877" w:rsidRPr="00E21CEC">
        <w:rPr>
          <w:lang w:val="en-GB"/>
        </w:rPr>
        <w:t>final</w:t>
      </w:r>
      <w:r w:rsidRPr="00E21CEC">
        <w:rPr>
          <w:lang w:val="en-GB"/>
        </w:rPr>
        <w:t xml:space="preserve"> </w:t>
      </w:r>
      <w:r w:rsidR="002B7877" w:rsidRPr="00E21CEC">
        <w:rPr>
          <w:lang w:val="en-GB"/>
        </w:rPr>
        <w:t>advantage</w:t>
      </w:r>
      <w:r w:rsidRPr="00E21CEC">
        <w:rPr>
          <w:lang w:val="en-GB"/>
        </w:rPr>
        <w:t xml:space="preserve"> of the NPV </w:t>
      </w:r>
      <w:r w:rsidR="002B7877" w:rsidRPr="00E21CEC">
        <w:rPr>
          <w:lang w:val="en-GB"/>
        </w:rPr>
        <w:t>method</w:t>
      </w:r>
      <w:r w:rsidRPr="00E21CEC">
        <w:rPr>
          <w:lang w:val="en-GB"/>
        </w:rPr>
        <w:t xml:space="preserve"> is that the cost of capital and the risk involved in making future predictions are taken into account. Generally speaking, cash flows are less assured than expected next year for ten years to come. In future, cash flows are less important than those expected for earlier periods for a more predictable cash flow.</w:t>
      </w:r>
    </w:p>
    <w:p w:rsidR="00E21CEC" w:rsidRDefault="00615FA1" w:rsidP="001F6336">
      <w:pPr>
        <w:jc w:val="both"/>
        <w:rPr>
          <w:lang w:val="en-GB"/>
        </w:rPr>
      </w:pPr>
      <w:r w:rsidRPr="00E21CEC">
        <w:rPr>
          <w:lang w:val="en-GB"/>
        </w:rPr>
        <w:t xml:space="preserve">Disadvantages: </w:t>
      </w:r>
    </w:p>
    <w:p w:rsidR="002B7877" w:rsidRDefault="002B7877" w:rsidP="00DF0817">
      <w:pPr>
        <w:pStyle w:val="ListParagraph"/>
        <w:numPr>
          <w:ilvl w:val="0"/>
          <w:numId w:val="5"/>
        </w:numPr>
      </w:pPr>
      <w:r>
        <w:t xml:space="preserve">Hardly to estimate cash flow project </w:t>
      </w:r>
    </w:p>
    <w:p w:rsidR="00E21CEC" w:rsidRPr="00826EEA" w:rsidRDefault="002B7877" w:rsidP="00DF0817">
      <w:pPr>
        <w:pStyle w:val="ListParagraph"/>
        <w:numPr>
          <w:ilvl w:val="0"/>
          <w:numId w:val="5"/>
        </w:numPr>
      </w:pPr>
      <w:r>
        <w:t>Only positive NPV projects can be successful</w:t>
      </w:r>
    </w:p>
    <w:p w:rsidR="00E21CEC" w:rsidRDefault="002B7877" w:rsidP="00E21CEC">
      <w:pPr>
        <w:pStyle w:val="ListParagraph"/>
        <w:numPr>
          <w:ilvl w:val="0"/>
          <w:numId w:val="5"/>
        </w:numPr>
      </w:pPr>
      <w:r>
        <w:t>Hardly attracts capital investors</w:t>
      </w:r>
    </w:p>
    <w:p w:rsidR="002B7877" w:rsidRPr="00826EEA" w:rsidRDefault="002B7877" w:rsidP="00E21CEC">
      <w:pPr>
        <w:pStyle w:val="ListParagraph"/>
        <w:numPr>
          <w:ilvl w:val="0"/>
          <w:numId w:val="5"/>
        </w:numPr>
      </w:pPr>
      <w:r>
        <w:lastRenderedPageBreak/>
        <w:t xml:space="preserve">Inconstant capital cost over project lifetime </w:t>
      </w:r>
    </w:p>
    <w:p w:rsidR="00615FA1" w:rsidRPr="00E21CEC" w:rsidRDefault="00FE3F4F" w:rsidP="001F6336">
      <w:pPr>
        <w:pStyle w:val="Heading2"/>
        <w:jc w:val="both"/>
        <w:rPr>
          <w:b/>
          <w:bCs/>
          <w:lang w:val="en-GB"/>
        </w:rPr>
      </w:pPr>
      <w:bookmarkStart w:id="38" w:name="_Toc60996038"/>
      <w:bookmarkStart w:id="39" w:name="_Toc61455590"/>
      <w:r w:rsidRPr="00E21CEC">
        <w:rPr>
          <w:b/>
          <w:bCs/>
          <w:lang w:val="en-GB"/>
        </w:rPr>
        <w:t>Payback Period</w:t>
      </w:r>
      <w:bookmarkEnd w:id="38"/>
      <w:bookmarkEnd w:id="39"/>
    </w:p>
    <w:p w:rsidR="00E21CEC" w:rsidRDefault="00E21CEC" w:rsidP="001F6336">
      <w:pPr>
        <w:jc w:val="both"/>
        <w:rPr>
          <w:lang w:val="en-GB"/>
        </w:rPr>
      </w:pPr>
      <w:r w:rsidRPr="00E21CEC">
        <w:rPr>
          <w:lang w:val="en-GB"/>
        </w:rPr>
        <w:t>The payback period is a tool to calculate the amount of time is necessary for a project to cover the investment. Also, it can be used as a benchmark for projects to determine if they are viable or not.</w:t>
      </w:r>
      <w:r>
        <w:rPr>
          <w:lang w:val="en-GB"/>
        </w:rPr>
        <w:t xml:space="preserve"> </w:t>
      </w:r>
      <w:r w:rsidRPr="00E21CEC">
        <w:rPr>
          <w:lang w:val="en-GB"/>
        </w:rPr>
        <w:t>Longmore (1989) suggested that to  predict future problems, an easy way is to calculate the payback period by discounting (at the appropriate discounting rate) the expected future cash flow.</w:t>
      </w:r>
    </w:p>
    <w:p w:rsidR="00615FA1" w:rsidRPr="00E21CEC" w:rsidRDefault="00615FA1" w:rsidP="001F6336">
      <w:pPr>
        <w:jc w:val="both"/>
        <w:rPr>
          <w:lang w:val="en-GB"/>
        </w:rPr>
      </w:pPr>
      <w:r w:rsidRPr="00E21CEC">
        <w:rPr>
          <w:lang w:val="en-GB"/>
        </w:rPr>
        <w:t>The payback period refers to the time it takes to recover investment costs. Simply put, the time the investment hits a breakthrough point is the payback period. An investment's desirability is connected directly to its payback period. Shorter paybacks will make investments more appealing. While it is useful in financial and capital budgeting to quantify the payback time, this measurement extends to other industries. The returns on energy-saving equipment such as solar panels and insulation including repairs and upgrades can be measured by homeowners and businesses. There are certain advantages and disadvantages that include the following:</w:t>
      </w:r>
    </w:p>
    <w:p w:rsidR="00E565FA" w:rsidRPr="00E21CEC" w:rsidRDefault="00467158" w:rsidP="001F6336">
      <w:pPr>
        <w:jc w:val="both"/>
        <w:rPr>
          <w:lang w:val="en-GB"/>
        </w:rPr>
      </w:pPr>
      <w:r w:rsidRPr="00E21CEC">
        <w:rPr>
          <w:b/>
          <w:bCs/>
          <w:lang w:val="en-GB"/>
        </w:rPr>
        <w:t>Advantages:</w:t>
      </w:r>
      <w:r w:rsidRPr="00E21CEC">
        <w:rPr>
          <w:lang w:val="en-GB"/>
        </w:rPr>
        <w:t xml:space="preserve"> The</w:t>
      </w:r>
      <w:r w:rsidR="00E565FA" w:rsidRPr="00E21CEC">
        <w:rPr>
          <w:lang w:val="en-GB"/>
        </w:rPr>
        <w:t xml:space="preserve"> flexibility of the payback system is one of the main advantages. </w:t>
      </w:r>
      <w:r w:rsidR="005E6112" w:rsidRPr="00E21CEC">
        <w:rPr>
          <w:lang w:val="en-GB"/>
        </w:rPr>
        <w:t>One can</w:t>
      </w:r>
      <w:r w:rsidR="00E565FA" w:rsidRPr="00E21CEC">
        <w:rPr>
          <w:lang w:val="en-GB"/>
        </w:rPr>
        <w:t xml:space="preserve"> calculate how fast an investment can repay itself, and this is achieved with a projected cash flow. </w:t>
      </w:r>
      <w:r w:rsidR="005E6112" w:rsidRPr="00E21CEC">
        <w:rPr>
          <w:lang w:val="en-GB"/>
        </w:rPr>
        <w:t>One</w:t>
      </w:r>
      <w:r w:rsidR="00E565FA" w:rsidRPr="00E21CEC">
        <w:rPr>
          <w:lang w:val="en-GB"/>
        </w:rPr>
        <w:t xml:space="preserve"> can determine as easily as your project, which would make the initial investment easier if </w:t>
      </w:r>
      <w:r w:rsidR="005E6112" w:rsidRPr="00E21CEC">
        <w:rPr>
          <w:lang w:val="en-GB"/>
        </w:rPr>
        <w:t>one</w:t>
      </w:r>
      <w:r w:rsidR="00E565FA" w:rsidRPr="00E21CEC">
        <w:rPr>
          <w:lang w:val="en-GB"/>
        </w:rPr>
        <w:t xml:space="preserve"> ha</w:t>
      </w:r>
      <w:r w:rsidR="005E6112" w:rsidRPr="00E21CEC">
        <w:rPr>
          <w:lang w:val="en-GB"/>
        </w:rPr>
        <w:t>s</w:t>
      </w:r>
      <w:r w:rsidR="00E565FA" w:rsidRPr="00E21CEC">
        <w:rPr>
          <w:lang w:val="en-GB"/>
        </w:rPr>
        <w:t xml:space="preserve"> three separate projects, which will cost you just as highly. This can be a perfect way for managers who have a hard time making an investment </w:t>
      </w:r>
      <w:r w:rsidRPr="00E21CEC">
        <w:rPr>
          <w:lang w:val="en-GB"/>
        </w:rPr>
        <w:t>decision. As</w:t>
      </w:r>
      <w:r w:rsidR="00004084" w:rsidRPr="00E21CEC">
        <w:rPr>
          <w:lang w:val="en-GB"/>
        </w:rPr>
        <w:t xml:space="preserve"> its simplicity applies to the payback process, it naturally also applies to all aspects of the equation. Management does not need any complex accounting or mathematics for budgeting using this process. The return on the </w:t>
      </w:r>
      <w:r w:rsidR="00004084" w:rsidRPr="00E21CEC">
        <w:rPr>
          <w:lang w:val="en-GB"/>
        </w:rPr>
        <w:lastRenderedPageBreak/>
        <w:t xml:space="preserve">capital investment, which is divided by the initial investment itself, can be as plain. While not all available variable </w:t>
      </w:r>
      <w:r w:rsidRPr="00E21CEC">
        <w:rPr>
          <w:lang w:val="en-GB"/>
        </w:rPr>
        <w:t>is</w:t>
      </w:r>
      <w:r w:rsidR="00004084" w:rsidRPr="00E21CEC">
        <w:rPr>
          <w:lang w:val="en-GB"/>
        </w:rPr>
        <w:t xml:space="preserve"> taken into account, it is a clear way to make a basic comparison.</w:t>
      </w:r>
    </w:p>
    <w:p w:rsidR="00004084" w:rsidRPr="00E21CEC" w:rsidRDefault="00004084" w:rsidP="001F6336">
      <w:pPr>
        <w:jc w:val="both"/>
        <w:rPr>
          <w:lang w:val="en-GB"/>
        </w:rPr>
      </w:pPr>
      <w:r w:rsidRPr="00E21CEC">
        <w:rPr>
          <w:b/>
          <w:bCs/>
          <w:lang w:val="en-GB"/>
        </w:rPr>
        <w:t>Disadvantages:</w:t>
      </w:r>
      <w:r w:rsidRPr="00E21CEC">
        <w:rPr>
          <w:lang w:val="en-GB"/>
        </w:rPr>
        <w:t xml:space="preserve"> There are very important problems with a system of payback, firstly the cash flow only takes a certain time period into account. It's ok, but it's definitely not always the case if a company wants to see how soon they can break even on their investments. The return on investment is not a consideration in these scores until the initial investment is reimbursed, and can be very short-</w:t>
      </w:r>
      <w:r w:rsidR="00467158" w:rsidRPr="00E21CEC">
        <w:rPr>
          <w:lang w:val="en-GB"/>
        </w:rPr>
        <w:t>sighted. Along</w:t>
      </w:r>
      <w:r w:rsidRPr="00E21CEC">
        <w:rPr>
          <w:lang w:val="en-GB"/>
        </w:rPr>
        <w:t xml:space="preserve"> with the fact that the payoff period focuses solely on initial returns, the payback period is a concentrated budgeting strategy that is naturally short-term. It will work well for any company that wants to spend, recover, and reinvest as quickly as possible. However, the strategy of payback time has some significant drawbacks if the company wants a more long-term approach to project investment. </w:t>
      </w:r>
    </w:p>
    <w:p w:rsidR="00615FA1" w:rsidRDefault="005241DB" w:rsidP="001F6336">
      <w:pPr>
        <w:pStyle w:val="Heading2"/>
        <w:jc w:val="both"/>
        <w:rPr>
          <w:b/>
          <w:bCs/>
          <w:lang w:val="en-GB"/>
        </w:rPr>
      </w:pPr>
      <w:bookmarkStart w:id="40" w:name="_Toc60996039"/>
      <w:bookmarkStart w:id="41" w:name="_Toc61455591"/>
      <w:r w:rsidRPr="00E21CEC">
        <w:rPr>
          <w:b/>
          <w:bCs/>
          <w:lang w:val="en-GB"/>
        </w:rPr>
        <w:t>Accounting Rate of Return</w:t>
      </w:r>
      <w:bookmarkEnd w:id="40"/>
      <w:bookmarkEnd w:id="41"/>
    </w:p>
    <w:p w:rsidR="00E21CEC" w:rsidRPr="00E21CEC" w:rsidRDefault="00E21CEC" w:rsidP="00E21CEC">
      <w:pPr>
        <w:rPr>
          <w:lang w:val="en-GB"/>
        </w:rPr>
      </w:pPr>
      <w:r w:rsidRPr="00E21CEC">
        <w:rPr>
          <w:lang w:val="en-GB"/>
        </w:rPr>
        <w:t>According</w:t>
      </w:r>
      <w:r w:rsidR="002B7877">
        <w:rPr>
          <w:lang w:val="en-GB"/>
        </w:rPr>
        <w:t xml:space="preserve"> to</w:t>
      </w:r>
      <w:r w:rsidRPr="00E21CEC">
        <w:rPr>
          <w:lang w:val="en-GB"/>
        </w:rPr>
        <w:t xml:space="preserve"> Brealey and Myers (1998) the accounting average rate of return (ARR) is calculated ‘</w:t>
      </w:r>
      <w:r w:rsidRPr="00E21CEC">
        <w:rPr>
          <w:i/>
          <w:iCs/>
          <w:lang w:val="en-GB"/>
        </w:rPr>
        <w:t>as the ratio between the project’s estimated average profit and the average accounting value of the investment’</w:t>
      </w:r>
      <w:r w:rsidRPr="00E21CEC">
        <w:rPr>
          <w:lang w:val="en-GB"/>
        </w:rPr>
        <w:t>.  In order to apply ARR as an appraisal method, a set of target rate of return is required (</w:t>
      </w:r>
      <w:proofErr w:type="spellStart"/>
      <w:r w:rsidRPr="00E21CEC">
        <w:rPr>
          <w:lang w:val="en-GB"/>
        </w:rPr>
        <w:t>Akalu</w:t>
      </w:r>
      <w:proofErr w:type="spellEnd"/>
      <w:r w:rsidRPr="00E21CEC">
        <w:rPr>
          <w:lang w:val="en-GB"/>
        </w:rPr>
        <w:t>, 2001).</w:t>
      </w:r>
    </w:p>
    <w:p w:rsidR="00615FA1" w:rsidRPr="00E21CEC" w:rsidRDefault="00004084" w:rsidP="001F6336">
      <w:pPr>
        <w:jc w:val="both"/>
        <w:rPr>
          <w:lang w:val="en-GB"/>
        </w:rPr>
      </w:pPr>
      <w:r w:rsidRPr="00E21CEC">
        <w:rPr>
          <w:lang w:val="en-GB"/>
        </w:rPr>
        <w:t xml:space="preserve">While the average return on accounting can be used as a metric to assess new businesses or stocks, the tool is usually used to decide quickly on internal company investments. For example, if the budget would allow for the procurement of a new machine piece that improves productivity, the average accounting return rate would be used to calculate how long the equipment would take to repay the initial expenditure for increased productivity. </w:t>
      </w:r>
      <w:r w:rsidR="00615FA1" w:rsidRPr="00E21CEC">
        <w:rPr>
          <w:lang w:val="en-GB"/>
        </w:rPr>
        <w:t>There are certain advantages and disadvantages that include the following:</w:t>
      </w:r>
    </w:p>
    <w:p w:rsidR="001F6336" w:rsidRPr="00E21CEC" w:rsidRDefault="00615FA1" w:rsidP="001F6336">
      <w:pPr>
        <w:jc w:val="both"/>
        <w:rPr>
          <w:rFonts w:cs="Times New Roman"/>
          <w:lang w:val="en-GB"/>
        </w:rPr>
      </w:pPr>
      <w:bookmarkStart w:id="42" w:name="_Toc60996040"/>
      <w:r w:rsidRPr="00E21CEC">
        <w:rPr>
          <w:b/>
          <w:bCs/>
          <w:lang w:val="en-GB"/>
        </w:rPr>
        <w:lastRenderedPageBreak/>
        <w:t>Advantages:</w:t>
      </w:r>
      <w:bookmarkEnd w:id="42"/>
      <w:r w:rsidRPr="00E21CEC">
        <w:rPr>
          <w:rFonts w:cs="Times New Roman"/>
          <w:lang w:val="en-GB"/>
        </w:rPr>
        <w:t xml:space="preserve"> </w:t>
      </w:r>
      <w:r w:rsidR="00004084" w:rsidRPr="00E21CEC">
        <w:rPr>
          <w:lang w:val="en-GB"/>
        </w:rPr>
        <w:t xml:space="preserve">The average return rate is simple to measure. Managers will easily see if an investment opportunity can be sufficiently attractive to warrant further assessment. Return to the example of new machinery for productivity increase. If the initial estimate indicates that the purchase only raises profit by 2% but that investing in trucks would decrease the distribution costs of merchandise to the consumer by 10%, then the management can conclude that reducing the cost of shipping is a better investment. </w:t>
      </w:r>
    </w:p>
    <w:p w:rsidR="003216D5" w:rsidRPr="00E21CEC" w:rsidRDefault="0047423B" w:rsidP="00865753">
      <w:pPr>
        <w:rPr>
          <w:lang w:val="en-GB"/>
        </w:rPr>
      </w:pPr>
      <w:bookmarkStart w:id="43" w:name="_Toc60996041"/>
      <w:r w:rsidRPr="00E21CEC">
        <w:rPr>
          <w:b/>
          <w:bCs/>
          <w:lang w:val="en-GB"/>
        </w:rPr>
        <w:t>Disadvantages:</w:t>
      </w:r>
      <w:bookmarkEnd w:id="43"/>
      <w:r w:rsidR="00865753" w:rsidRPr="00E21CEC">
        <w:rPr>
          <w:lang w:val="en-GB"/>
        </w:rPr>
        <w:t xml:space="preserve"> </w:t>
      </w:r>
      <w:r w:rsidR="00004084" w:rsidRPr="00E21CEC">
        <w:rPr>
          <w:lang w:val="en-GB"/>
        </w:rPr>
        <w:t xml:space="preserve">The main downside in the use of the average return process, according to the Corporate Finance Institute, is that money does not understand the importance of time. This is the idea that money today is well known, but it is not obvious what the same value would be worth. In other words, with a certain amount of money, you know what to shop for today. You don't know what to buy for the same sum of money tomorrow, and the longer it takes you to get your investment back, the bigger the risk that this potential value of money will bring. </w:t>
      </w:r>
      <w:r w:rsidR="003216D5" w:rsidRPr="00E21CEC">
        <w:rPr>
          <w:lang w:val="en-GB"/>
        </w:rPr>
        <w:br w:type="page"/>
      </w:r>
    </w:p>
    <w:p w:rsidR="005241DB" w:rsidRPr="00E21CEC" w:rsidRDefault="00A54426" w:rsidP="00E21CEC">
      <w:pPr>
        <w:pStyle w:val="Heading1"/>
        <w:jc w:val="both"/>
        <w:rPr>
          <w:lang w:val="en-GB"/>
        </w:rPr>
      </w:pPr>
      <w:bookmarkStart w:id="44" w:name="_Toc60996042"/>
      <w:bookmarkStart w:id="45" w:name="_Toc61455592"/>
      <w:r w:rsidRPr="00E21CEC">
        <w:rPr>
          <w:lang w:val="en-GB"/>
        </w:rPr>
        <w:lastRenderedPageBreak/>
        <w:t>References</w:t>
      </w:r>
      <w:bookmarkEnd w:id="44"/>
      <w:bookmarkEnd w:id="45"/>
    </w:p>
    <w:p w:rsidR="00706471" w:rsidRDefault="00706471" w:rsidP="00E21CEC">
      <w:pPr>
        <w:jc w:val="both"/>
        <w:rPr>
          <w:lang w:val="en-GB"/>
        </w:rPr>
      </w:pPr>
      <w:r w:rsidRPr="00E21CEC">
        <w:rPr>
          <w:lang w:val="en-GB"/>
        </w:rPr>
        <w:t>Accountlearning.com, 2021. </w:t>
      </w:r>
      <w:r w:rsidRPr="00E21CEC">
        <w:rPr>
          <w:i/>
          <w:iCs/>
          <w:lang w:val="en-GB"/>
        </w:rPr>
        <w:t>Net Present Value Method | Formula | Steps | Merits | Demerits</w:t>
      </w:r>
      <w:r w:rsidRPr="00E21CEC">
        <w:rPr>
          <w:lang w:val="en-GB"/>
        </w:rPr>
        <w:t xml:space="preserve">. [online] Accountlearning.com. Available at: &lt;https://accountlearning.com/net-present-value-method-formula-steps-merits-demerits/&gt; [Accessed </w:t>
      </w:r>
      <w:r w:rsidR="001F6336" w:rsidRPr="00E21CEC">
        <w:rPr>
          <w:lang w:val="en-GB"/>
        </w:rPr>
        <w:t>1</w:t>
      </w:r>
      <w:r w:rsidRPr="00E21CEC">
        <w:rPr>
          <w:lang w:val="en-GB"/>
        </w:rPr>
        <w:t>6</w:t>
      </w:r>
      <w:r w:rsidR="001F6336" w:rsidRPr="00E21CEC">
        <w:rPr>
          <w:lang w:val="en-GB"/>
        </w:rPr>
        <w:t xml:space="preserve"> December 2020</w:t>
      </w:r>
      <w:r w:rsidRPr="00E21CEC">
        <w:rPr>
          <w:lang w:val="en-GB"/>
        </w:rPr>
        <w:t>].</w:t>
      </w:r>
    </w:p>
    <w:p w:rsidR="00E21CEC" w:rsidRPr="00E21CEC" w:rsidRDefault="00E21CEC" w:rsidP="00E21CEC">
      <w:pPr>
        <w:jc w:val="both"/>
        <w:rPr>
          <w:lang w:val="en-GB"/>
        </w:rPr>
      </w:pPr>
      <w:proofErr w:type="spellStart"/>
      <w:r w:rsidRPr="00E21CEC">
        <w:rPr>
          <w:lang w:val="en-GB"/>
        </w:rPr>
        <w:t>Akalu</w:t>
      </w:r>
      <w:proofErr w:type="spellEnd"/>
      <w:r w:rsidRPr="00E21CEC">
        <w:rPr>
          <w:lang w:val="en-GB"/>
        </w:rPr>
        <w:t xml:space="preserve">, M. (2003). “The process of investment appraisal: the experience of 10 large British and Dutch companies.” International Journal of Project Management 21: 355-362. </w:t>
      </w:r>
    </w:p>
    <w:p w:rsidR="00706471" w:rsidRPr="00E21CEC" w:rsidRDefault="00706471" w:rsidP="00E21CEC">
      <w:pPr>
        <w:jc w:val="both"/>
        <w:rPr>
          <w:lang w:val="en-GB"/>
        </w:rPr>
      </w:pPr>
      <w:r w:rsidRPr="00E21CEC">
        <w:rPr>
          <w:lang w:val="en-GB"/>
        </w:rPr>
        <w:t>AstraZeneca, 2021. </w:t>
      </w:r>
      <w:r w:rsidRPr="00E21CEC">
        <w:rPr>
          <w:i/>
          <w:iCs/>
          <w:lang w:val="en-GB"/>
        </w:rPr>
        <w:t>Astra</w:t>
      </w:r>
      <w:r w:rsidR="001F6336" w:rsidRPr="00E21CEC">
        <w:rPr>
          <w:i/>
          <w:iCs/>
          <w:lang w:val="en-GB"/>
        </w:rPr>
        <w:t xml:space="preserve"> Z</w:t>
      </w:r>
      <w:r w:rsidRPr="00E21CEC">
        <w:rPr>
          <w:i/>
          <w:iCs/>
          <w:lang w:val="en-GB"/>
        </w:rPr>
        <w:t>eneca</w:t>
      </w:r>
      <w:r w:rsidRPr="00E21CEC">
        <w:rPr>
          <w:lang w:val="en-GB"/>
        </w:rPr>
        <w:t xml:space="preserve">. [online] Companies History - The biggest companies in the world. Available at: &lt;https://www.companieshistory.com/astrazeneca/&gt; [Accessed </w:t>
      </w:r>
      <w:r w:rsidR="001F6336" w:rsidRPr="00E21CEC">
        <w:rPr>
          <w:lang w:val="en-GB"/>
        </w:rPr>
        <w:t>15</w:t>
      </w:r>
      <w:r w:rsidRPr="00E21CEC">
        <w:rPr>
          <w:lang w:val="en-GB"/>
        </w:rPr>
        <w:t xml:space="preserve"> </w:t>
      </w:r>
      <w:r w:rsidR="001F6336" w:rsidRPr="00E21CEC">
        <w:rPr>
          <w:lang w:val="en-GB"/>
        </w:rPr>
        <w:t>December</w:t>
      </w:r>
      <w:r w:rsidRPr="00E21CEC">
        <w:rPr>
          <w:lang w:val="en-GB"/>
        </w:rPr>
        <w:t xml:space="preserve"> 202</w:t>
      </w:r>
      <w:r w:rsidR="001F6336" w:rsidRPr="00E21CEC">
        <w:rPr>
          <w:lang w:val="en-GB"/>
        </w:rPr>
        <w:t>0</w:t>
      </w:r>
      <w:r w:rsidRPr="00E21CEC">
        <w:rPr>
          <w:lang w:val="en-GB"/>
        </w:rPr>
        <w:t>].</w:t>
      </w:r>
    </w:p>
    <w:p w:rsidR="00E21CEC" w:rsidRDefault="00706471" w:rsidP="00E21CEC">
      <w:pPr>
        <w:rPr>
          <w:lang w:val="en-GB"/>
        </w:rPr>
      </w:pPr>
      <w:r w:rsidRPr="00E21CEC">
        <w:rPr>
          <w:lang w:val="en-GB"/>
        </w:rPr>
        <w:t>Bragg, S., 2020. </w:t>
      </w:r>
      <w:r w:rsidRPr="00E21CEC">
        <w:rPr>
          <w:i/>
          <w:iCs/>
          <w:lang w:val="en-GB"/>
        </w:rPr>
        <w:t xml:space="preserve">Advantages </w:t>
      </w:r>
      <w:r w:rsidR="001F6336" w:rsidRPr="00E21CEC">
        <w:rPr>
          <w:i/>
          <w:iCs/>
          <w:lang w:val="en-GB"/>
        </w:rPr>
        <w:t>of</w:t>
      </w:r>
      <w:r w:rsidRPr="00E21CEC">
        <w:rPr>
          <w:i/>
          <w:iCs/>
          <w:lang w:val="en-GB"/>
        </w:rPr>
        <w:t xml:space="preserve"> The Payback Period — </w:t>
      </w:r>
      <w:r w:rsidR="001F6336" w:rsidRPr="00E21CEC">
        <w:rPr>
          <w:i/>
          <w:iCs/>
          <w:lang w:val="en-GB"/>
        </w:rPr>
        <w:t>Accounting tools</w:t>
      </w:r>
      <w:r w:rsidRPr="00E21CEC">
        <w:rPr>
          <w:lang w:val="en-GB"/>
        </w:rPr>
        <w:t xml:space="preserve">. [online] </w:t>
      </w:r>
      <w:r w:rsidR="001F6336" w:rsidRPr="00E21CEC">
        <w:rPr>
          <w:lang w:val="en-GB"/>
        </w:rPr>
        <w:t>Accounting Tools</w:t>
      </w:r>
      <w:r w:rsidRPr="00E21CEC">
        <w:rPr>
          <w:lang w:val="en-GB"/>
        </w:rPr>
        <w:t xml:space="preserve">. Available at: &lt;https://www.accountingtools.com/articles/advantages-of-the-payback-period.html&gt; [Accessed </w:t>
      </w:r>
      <w:r w:rsidR="001F6336" w:rsidRPr="00E21CEC">
        <w:rPr>
          <w:lang w:val="en-GB"/>
        </w:rPr>
        <w:t>1</w:t>
      </w:r>
      <w:r w:rsidRPr="00E21CEC">
        <w:rPr>
          <w:lang w:val="en-GB"/>
        </w:rPr>
        <w:t>6</w:t>
      </w:r>
      <w:r w:rsidR="001F6336" w:rsidRPr="00E21CEC">
        <w:rPr>
          <w:lang w:val="en-GB"/>
        </w:rPr>
        <w:t xml:space="preserve"> Decemb</w:t>
      </w:r>
      <w:r w:rsidR="00E21CEC">
        <w:rPr>
          <w:lang w:val="en-GB"/>
        </w:rPr>
        <w:t>er 2020]</w:t>
      </w:r>
    </w:p>
    <w:p w:rsidR="00E21CEC" w:rsidRPr="00E21CEC" w:rsidRDefault="00E21CEC" w:rsidP="00E21CEC">
      <w:pPr>
        <w:rPr>
          <w:lang w:val="en-GB"/>
        </w:rPr>
      </w:pPr>
      <w:r w:rsidRPr="00E21CEC">
        <w:rPr>
          <w:rFonts w:eastAsiaTheme="minorHAnsi"/>
          <w:lang w:val="en-GB"/>
        </w:rPr>
        <w:t xml:space="preserve"> </w:t>
      </w:r>
      <w:r w:rsidRPr="00E21CEC">
        <w:rPr>
          <w:lang w:val="en-GB"/>
        </w:rPr>
        <w:t xml:space="preserve">Brealey, R. and S. Myers (1998) Principles of Corporate Finance. 5th Edition, McGraw-Hill. </w:t>
      </w:r>
    </w:p>
    <w:p w:rsidR="00E21CEC" w:rsidRPr="00E21CEC" w:rsidRDefault="00E21CEC" w:rsidP="00E21CEC">
      <w:pPr>
        <w:rPr>
          <w:lang w:val="en-GB"/>
        </w:rPr>
      </w:pPr>
      <w:r w:rsidRPr="00E21CEC">
        <w:rPr>
          <w:lang w:val="en-GB"/>
        </w:rPr>
        <w:t xml:space="preserve">Damodaran A. (2001) Corporate Finance: Theory and Practice, 2nd Edition, John Wiley &amp; Sons. </w:t>
      </w:r>
    </w:p>
    <w:p w:rsidR="00706471" w:rsidRDefault="00706471" w:rsidP="001F6336">
      <w:pPr>
        <w:jc w:val="both"/>
        <w:rPr>
          <w:lang w:val="en-GB"/>
        </w:rPr>
      </w:pPr>
      <w:proofErr w:type="spellStart"/>
      <w:r w:rsidRPr="00E21CEC">
        <w:rPr>
          <w:lang w:val="en-GB"/>
        </w:rPr>
        <w:t>Gaille</w:t>
      </w:r>
      <w:proofErr w:type="spellEnd"/>
      <w:r w:rsidRPr="00E21CEC">
        <w:rPr>
          <w:lang w:val="en-GB"/>
        </w:rPr>
        <w:t>, L., 2020. </w:t>
      </w:r>
      <w:r w:rsidRPr="00E21CEC">
        <w:rPr>
          <w:i/>
          <w:iCs/>
          <w:lang w:val="en-GB"/>
        </w:rPr>
        <w:t xml:space="preserve">18 Major Advantages </w:t>
      </w:r>
      <w:r w:rsidR="001F6336" w:rsidRPr="00E21CEC">
        <w:rPr>
          <w:i/>
          <w:iCs/>
          <w:lang w:val="en-GB"/>
        </w:rPr>
        <w:t>and</w:t>
      </w:r>
      <w:r w:rsidRPr="00E21CEC">
        <w:rPr>
          <w:i/>
          <w:iCs/>
          <w:lang w:val="en-GB"/>
        </w:rPr>
        <w:t xml:space="preserve"> Disadvantages </w:t>
      </w:r>
      <w:r w:rsidR="001F6336" w:rsidRPr="00E21CEC">
        <w:rPr>
          <w:i/>
          <w:iCs/>
          <w:lang w:val="en-GB"/>
        </w:rPr>
        <w:t>of</w:t>
      </w:r>
      <w:r w:rsidRPr="00E21CEC">
        <w:rPr>
          <w:i/>
          <w:iCs/>
          <w:lang w:val="en-GB"/>
        </w:rPr>
        <w:t xml:space="preserve"> The Payback Period</w:t>
      </w:r>
      <w:r w:rsidRPr="00E21CEC">
        <w:rPr>
          <w:lang w:val="en-GB"/>
        </w:rPr>
        <w:t xml:space="preserve">. [online] Vittana.org. Available at: &lt;https://vittana.org/18-major-advantages-and-disadvantages-of-the-payback-period&gt; [Accessed </w:t>
      </w:r>
      <w:r w:rsidR="001F6336" w:rsidRPr="00E21CEC">
        <w:rPr>
          <w:lang w:val="en-GB"/>
        </w:rPr>
        <w:t>18</w:t>
      </w:r>
      <w:r w:rsidRPr="00E21CEC">
        <w:rPr>
          <w:lang w:val="en-GB"/>
        </w:rPr>
        <w:t xml:space="preserve"> </w:t>
      </w:r>
      <w:r w:rsidR="001F6336" w:rsidRPr="00E21CEC">
        <w:rPr>
          <w:lang w:val="en-GB"/>
        </w:rPr>
        <w:t>December</w:t>
      </w:r>
      <w:r w:rsidRPr="00E21CEC">
        <w:rPr>
          <w:lang w:val="en-GB"/>
        </w:rPr>
        <w:t xml:space="preserve"> 202</w:t>
      </w:r>
      <w:r w:rsidR="001F6336" w:rsidRPr="00E21CEC">
        <w:rPr>
          <w:lang w:val="en-GB"/>
        </w:rPr>
        <w:t>0</w:t>
      </w:r>
      <w:r w:rsidRPr="00E21CEC">
        <w:rPr>
          <w:lang w:val="en-GB"/>
        </w:rPr>
        <w:t>].</w:t>
      </w:r>
    </w:p>
    <w:p w:rsidR="00E21CEC" w:rsidRPr="00E21CEC" w:rsidRDefault="00E21CEC" w:rsidP="00E21CEC">
      <w:pPr>
        <w:jc w:val="both"/>
        <w:rPr>
          <w:lang w:val="en-GB"/>
        </w:rPr>
      </w:pPr>
      <w:r w:rsidRPr="00E21CEC">
        <w:rPr>
          <w:lang w:val="en-GB"/>
        </w:rPr>
        <w:t xml:space="preserve">Gilbert, E. (2005). “Capital budgeting: A case study analysis of the role of formal evaluation techniques in the </w:t>
      </w:r>
    </w:p>
    <w:p w:rsidR="00E21CEC" w:rsidRPr="00E21CEC" w:rsidRDefault="00E21CEC" w:rsidP="00E21CEC">
      <w:pPr>
        <w:jc w:val="both"/>
        <w:rPr>
          <w:lang w:val="en-GB"/>
        </w:rPr>
      </w:pPr>
      <w:r w:rsidRPr="00E21CEC">
        <w:rPr>
          <w:lang w:val="en-GB"/>
        </w:rPr>
        <w:t>decision making process”. SA Journal of Accounting Research 19(1): 19-36.</w:t>
      </w:r>
    </w:p>
    <w:p w:rsidR="00E21CEC" w:rsidRPr="00E21CEC" w:rsidRDefault="00E21CEC" w:rsidP="00E21CEC">
      <w:pPr>
        <w:rPr>
          <w:lang w:val="en-GB"/>
        </w:rPr>
      </w:pPr>
      <w:proofErr w:type="spellStart"/>
      <w:r w:rsidRPr="00E21CEC">
        <w:rPr>
          <w:lang w:val="en-GB"/>
        </w:rPr>
        <w:lastRenderedPageBreak/>
        <w:t>Farragher</w:t>
      </w:r>
      <w:proofErr w:type="spellEnd"/>
      <w:r w:rsidRPr="00E21CEC">
        <w:rPr>
          <w:lang w:val="en-GB"/>
        </w:rPr>
        <w:t xml:space="preserve">, E., R. Kleiman and A. </w:t>
      </w:r>
      <w:proofErr w:type="spellStart"/>
      <w:r w:rsidRPr="00E21CEC">
        <w:rPr>
          <w:lang w:val="en-GB"/>
        </w:rPr>
        <w:t>Sahu</w:t>
      </w:r>
      <w:proofErr w:type="spellEnd"/>
      <w:r w:rsidRPr="00E21CEC">
        <w:rPr>
          <w:lang w:val="en-GB"/>
        </w:rPr>
        <w:t xml:space="preserve"> (2001) “The association between the use of sophisticated capital budgeting practices and corporate performance.” The Engineering Economist 46(4): 300-311.</w:t>
      </w:r>
    </w:p>
    <w:p w:rsidR="00706471" w:rsidRPr="00E21CEC" w:rsidRDefault="00706471" w:rsidP="001F6336">
      <w:pPr>
        <w:jc w:val="both"/>
        <w:rPr>
          <w:lang w:val="en-GB"/>
        </w:rPr>
      </w:pPr>
      <w:proofErr w:type="spellStart"/>
      <w:r w:rsidRPr="00E21CEC">
        <w:rPr>
          <w:lang w:val="en-GB"/>
        </w:rPr>
        <w:t>Izmaniar</w:t>
      </w:r>
      <w:proofErr w:type="spellEnd"/>
      <w:r w:rsidRPr="00E21CEC">
        <w:rPr>
          <w:lang w:val="en-GB"/>
        </w:rPr>
        <w:t xml:space="preserve">, H., </w:t>
      </w:r>
      <w:proofErr w:type="spellStart"/>
      <w:r w:rsidRPr="00E21CEC">
        <w:rPr>
          <w:lang w:val="en-GB"/>
        </w:rPr>
        <w:t>Mahyudin</w:t>
      </w:r>
      <w:proofErr w:type="spellEnd"/>
      <w:r w:rsidRPr="00E21CEC">
        <w:rPr>
          <w:lang w:val="en-GB"/>
        </w:rPr>
        <w:t xml:space="preserve">, I., </w:t>
      </w:r>
      <w:proofErr w:type="spellStart"/>
      <w:r w:rsidRPr="00E21CEC">
        <w:rPr>
          <w:lang w:val="en-GB"/>
        </w:rPr>
        <w:t>Agusliani</w:t>
      </w:r>
      <w:proofErr w:type="spellEnd"/>
      <w:r w:rsidRPr="00E21CEC">
        <w:rPr>
          <w:lang w:val="en-GB"/>
        </w:rPr>
        <w:t xml:space="preserve">, E. and Ahmadi, A., 2018. The Business Prospect of Climbing Perch Fish Farming with </w:t>
      </w:r>
      <w:proofErr w:type="spellStart"/>
      <w:r w:rsidRPr="00E21CEC">
        <w:rPr>
          <w:lang w:val="en-GB"/>
        </w:rPr>
        <w:t>Biofloc</w:t>
      </w:r>
      <w:proofErr w:type="spellEnd"/>
      <w:r w:rsidRPr="00E21CEC">
        <w:rPr>
          <w:lang w:val="en-GB"/>
        </w:rPr>
        <w:t xml:space="preserve"> Technology at </w:t>
      </w:r>
      <w:proofErr w:type="spellStart"/>
      <w:r w:rsidRPr="00E21CEC">
        <w:rPr>
          <w:lang w:val="en-GB"/>
        </w:rPr>
        <w:t>De’Papuyu</w:t>
      </w:r>
      <w:proofErr w:type="spellEnd"/>
      <w:r w:rsidRPr="00E21CEC">
        <w:rPr>
          <w:lang w:val="en-GB"/>
        </w:rPr>
        <w:t xml:space="preserve"> Farm </w:t>
      </w:r>
      <w:proofErr w:type="spellStart"/>
      <w:r w:rsidRPr="00E21CEC">
        <w:rPr>
          <w:lang w:val="en-GB"/>
        </w:rPr>
        <w:t>Banjarbaru</w:t>
      </w:r>
      <w:proofErr w:type="spellEnd"/>
      <w:r w:rsidRPr="00E21CEC">
        <w:rPr>
          <w:lang w:val="en-GB"/>
        </w:rPr>
        <w:t>. </w:t>
      </w:r>
      <w:r w:rsidRPr="00E21CEC">
        <w:rPr>
          <w:i/>
          <w:iCs/>
          <w:lang w:val="en-GB"/>
        </w:rPr>
        <w:t xml:space="preserve">The Business Prospect of Climbing Perch Fish Farming with </w:t>
      </w:r>
      <w:proofErr w:type="spellStart"/>
      <w:r w:rsidRPr="00E21CEC">
        <w:rPr>
          <w:i/>
          <w:iCs/>
          <w:lang w:val="en-GB"/>
        </w:rPr>
        <w:t>Biofloc</w:t>
      </w:r>
      <w:proofErr w:type="spellEnd"/>
      <w:r w:rsidRPr="00E21CEC">
        <w:rPr>
          <w:i/>
          <w:iCs/>
          <w:lang w:val="en-GB"/>
        </w:rPr>
        <w:t xml:space="preserve"> Technology at </w:t>
      </w:r>
      <w:proofErr w:type="spellStart"/>
      <w:r w:rsidRPr="00E21CEC">
        <w:rPr>
          <w:i/>
          <w:iCs/>
          <w:lang w:val="en-GB"/>
        </w:rPr>
        <w:t>De’Papuyu</w:t>
      </w:r>
      <w:proofErr w:type="spellEnd"/>
      <w:r w:rsidRPr="00E21CEC">
        <w:rPr>
          <w:i/>
          <w:iCs/>
          <w:lang w:val="en-GB"/>
        </w:rPr>
        <w:t xml:space="preserve"> Farm </w:t>
      </w:r>
      <w:proofErr w:type="spellStart"/>
      <w:r w:rsidRPr="00E21CEC">
        <w:rPr>
          <w:i/>
          <w:iCs/>
          <w:lang w:val="en-GB"/>
        </w:rPr>
        <w:t>Banjarbaru</w:t>
      </w:r>
      <w:proofErr w:type="spellEnd"/>
      <w:r w:rsidRPr="00E21CEC">
        <w:rPr>
          <w:lang w:val="en-GB"/>
        </w:rPr>
        <w:t>, </w:t>
      </w:r>
      <w:r w:rsidRPr="00E21CEC">
        <w:rPr>
          <w:i/>
          <w:iCs/>
          <w:lang w:val="en-GB"/>
        </w:rPr>
        <w:t>3</w:t>
      </w:r>
      <w:r w:rsidRPr="00E21CEC">
        <w:rPr>
          <w:lang w:val="en-GB"/>
        </w:rPr>
        <w:t>.</w:t>
      </w:r>
    </w:p>
    <w:p w:rsidR="00706471" w:rsidRPr="00E21CEC" w:rsidRDefault="00706471" w:rsidP="001F6336">
      <w:pPr>
        <w:jc w:val="both"/>
        <w:rPr>
          <w:lang w:val="en-GB"/>
        </w:rPr>
      </w:pPr>
      <w:r w:rsidRPr="00E21CEC">
        <w:rPr>
          <w:lang w:val="en-GB"/>
        </w:rPr>
        <w:t>Llamas, M. and Connolly, K., 2020. </w:t>
      </w:r>
      <w:r w:rsidRPr="00E21CEC">
        <w:rPr>
          <w:i/>
          <w:iCs/>
          <w:lang w:val="en-GB"/>
        </w:rPr>
        <w:t>Astra</w:t>
      </w:r>
      <w:r w:rsidR="001F6336" w:rsidRPr="00E21CEC">
        <w:rPr>
          <w:i/>
          <w:iCs/>
          <w:lang w:val="en-GB"/>
        </w:rPr>
        <w:t xml:space="preserve"> Z</w:t>
      </w:r>
      <w:r w:rsidRPr="00E21CEC">
        <w:rPr>
          <w:i/>
          <w:iCs/>
          <w:lang w:val="en-GB"/>
        </w:rPr>
        <w:t xml:space="preserve">eneca - Review </w:t>
      </w:r>
      <w:r w:rsidR="001F6336" w:rsidRPr="00E21CEC">
        <w:rPr>
          <w:i/>
          <w:iCs/>
          <w:lang w:val="en-GB"/>
        </w:rPr>
        <w:t>of</w:t>
      </w:r>
      <w:r w:rsidRPr="00E21CEC">
        <w:rPr>
          <w:i/>
          <w:iCs/>
          <w:lang w:val="en-GB"/>
        </w:rPr>
        <w:t xml:space="preserve"> Drug Manufacturer</w:t>
      </w:r>
      <w:r w:rsidRPr="00E21CEC">
        <w:rPr>
          <w:lang w:val="en-GB"/>
        </w:rPr>
        <w:t>. [online] Drugwatch.com. Available at: &lt;https://www.drugwatch.com/manufacturers/astrazeneca/&gt; [Accessed</w:t>
      </w:r>
      <w:r w:rsidR="001F6336" w:rsidRPr="00E21CEC">
        <w:rPr>
          <w:lang w:val="en-GB"/>
        </w:rPr>
        <w:t xml:space="preserve"> 13 December 2020</w:t>
      </w:r>
      <w:r w:rsidRPr="00E21CEC">
        <w:rPr>
          <w:lang w:val="en-GB"/>
        </w:rPr>
        <w:t>].</w:t>
      </w:r>
    </w:p>
    <w:p w:rsidR="00706471" w:rsidRPr="00E21CEC" w:rsidRDefault="00706471" w:rsidP="001F6336">
      <w:pPr>
        <w:jc w:val="both"/>
        <w:rPr>
          <w:lang w:val="en-GB"/>
        </w:rPr>
      </w:pPr>
      <w:proofErr w:type="spellStart"/>
      <w:r w:rsidRPr="00E21CEC">
        <w:rPr>
          <w:lang w:val="en-GB"/>
        </w:rPr>
        <w:t>Mendell</w:t>
      </w:r>
      <w:proofErr w:type="spellEnd"/>
      <w:r w:rsidRPr="00E21CEC">
        <w:rPr>
          <w:lang w:val="en-GB"/>
        </w:rPr>
        <w:t>, B., 2020. </w:t>
      </w:r>
      <w:r w:rsidRPr="00E21CEC">
        <w:rPr>
          <w:i/>
          <w:iCs/>
          <w:lang w:val="en-GB"/>
        </w:rPr>
        <w:t xml:space="preserve">Pros </w:t>
      </w:r>
      <w:r w:rsidR="001F6336" w:rsidRPr="00E21CEC">
        <w:rPr>
          <w:i/>
          <w:iCs/>
          <w:lang w:val="en-GB"/>
        </w:rPr>
        <w:t>and</w:t>
      </w:r>
      <w:r w:rsidRPr="00E21CEC">
        <w:rPr>
          <w:i/>
          <w:iCs/>
          <w:lang w:val="en-GB"/>
        </w:rPr>
        <w:t xml:space="preserve"> Cons </w:t>
      </w:r>
      <w:r w:rsidR="001F6336" w:rsidRPr="00E21CEC">
        <w:rPr>
          <w:i/>
          <w:iCs/>
          <w:lang w:val="en-GB"/>
        </w:rPr>
        <w:t>of</w:t>
      </w:r>
      <w:r w:rsidRPr="00E21CEC">
        <w:rPr>
          <w:i/>
          <w:iCs/>
          <w:lang w:val="en-GB"/>
        </w:rPr>
        <w:t xml:space="preserve"> Using Net Present Value (NPV) - </w:t>
      </w:r>
      <w:proofErr w:type="spellStart"/>
      <w:r w:rsidRPr="00E21CEC">
        <w:rPr>
          <w:i/>
          <w:iCs/>
          <w:lang w:val="en-GB"/>
        </w:rPr>
        <w:t>Forisk</w:t>
      </w:r>
      <w:proofErr w:type="spellEnd"/>
      <w:r w:rsidRPr="00E21CEC">
        <w:rPr>
          <w:lang w:val="en-GB"/>
        </w:rPr>
        <w:t xml:space="preserve">. [online] </w:t>
      </w:r>
      <w:proofErr w:type="spellStart"/>
      <w:r w:rsidRPr="00E21CEC">
        <w:rPr>
          <w:lang w:val="en-GB"/>
        </w:rPr>
        <w:t>Forisk</w:t>
      </w:r>
      <w:proofErr w:type="spellEnd"/>
      <w:r w:rsidRPr="00E21CEC">
        <w:rPr>
          <w:lang w:val="en-GB"/>
        </w:rPr>
        <w:t>. Available at: &lt;https://forisk.com/blog/2020/05/31/pros-and-cons-of-using-net-present-value-npv/&gt; [Accessed</w:t>
      </w:r>
      <w:r w:rsidR="001F6336" w:rsidRPr="00E21CEC">
        <w:rPr>
          <w:lang w:val="en-GB"/>
        </w:rPr>
        <w:t xml:space="preserve"> 13 December 2020</w:t>
      </w:r>
      <w:r w:rsidRPr="00E21CEC">
        <w:rPr>
          <w:lang w:val="en-GB"/>
        </w:rPr>
        <w:t>].</w:t>
      </w:r>
    </w:p>
    <w:p w:rsidR="00706471" w:rsidRPr="00E21CEC" w:rsidRDefault="00706471" w:rsidP="001F6336">
      <w:pPr>
        <w:jc w:val="both"/>
        <w:rPr>
          <w:lang w:val="en-GB"/>
        </w:rPr>
      </w:pPr>
      <w:r w:rsidRPr="00E21CEC">
        <w:rPr>
          <w:lang w:val="en-GB"/>
        </w:rPr>
        <w:t>nasdaq.com, 2015. </w:t>
      </w:r>
      <w:r w:rsidRPr="00E21CEC">
        <w:rPr>
          <w:i/>
          <w:iCs/>
          <w:lang w:val="en-GB"/>
        </w:rPr>
        <w:t xml:space="preserve">Advantages </w:t>
      </w:r>
      <w:r w:rsidR="001F6336" w:rsidRPr="00E21CEC">
        <w:rPr>
          <w:i/>
          <w:iCs/>
          <w:lang w:val="en-GB"/>
        </w:rPr>
        <w:t>and</w:t>
      </w:r>
      <w:r w:rsidRPr="00E21CEC">
        <w:rPr>
          <w:i/>
          <w:iCs/>
          <w:lang w:val="en-GB"/>
        </w:rPr>
        <w:t xml:space="preserve"> Disadvantages </w:t>
      </w:r>
      <w:r w:rsidR="001F6336" w:rsidRPr="00E21CEC">
        <w:rPr>
          <w:i/>
          <w:iCs/>
          <w:lang w:val="en-GB"/>
        </w:rPr>
        <w:t>of</w:t>
      </w:r>
      <w:r w:rsidRPr="00E21CEC">
        <w:rPr>
          <w:i/>
          <w:iCs/>
          <w:lang w:val="en-GB"/>
        </w:rPr>
        <w:t xml:space="preserve"> Net Present Value Method</w:t>
      </w:r>
      <w:r w:rsidRPr="00E21CEC">
        <w:rPr>
          <w:lang w:val="en-GB"/>
        </w:rPr>
        <w:t xml:space="preserve">. [online] nasdaq.com. Available at: &lt;https://www.nasdaq.com/articles/advantages-and-disadvantages-net-present-value-method-2015-11-14&gt; [Accessed </w:t>
      </w:r>
      <w:r w:rsidR="001F6336" w:rsidRPr="00E21CEC">
        <w:rPr>
          <w:lang w:val="en-GB"/>
        </w:rPr>
        <w:t>1</w:t>
      </w:r>
      <w:r w:rsidRPr="00E21CEC">
        <w:rPr>
          <w:lang w:val="en-GB"/>
        </w:rPr>
        <w:t>6 January 202</w:t>
      </w:r>
      <w:r w:rsidR="001F6336" w:rsidRPr="00E21CEC">
        <w:rPr>
          <w:lang w:val="en-GB"/>
        </w:rPr>
        <w:t>0</w:t>
      </w:r>
      <w:r w:rsidRPr="00E21CEC">
        <w:rPr>
          <w:lang w:val="en-GB"/>
        </w:rPr>
        <w:t>].</w:t>
      </w:r>
    </w:p>
    <w:p w:rsidR="00706471" w:rsidRPr="00E21CEC" w:rsidRDefault="00706471" w:rsidP="001F6336">
      <w:pPr>
        <w:jc w:val="both"/>
        <w:rPr>
          <w:lang w:val="en-GB"/>
        </w:rPr>
      </w:pPr>
      <w:r w:rsidRPr="00E21CEC">
        <w:rPr>
          <w:lang w:val="en-GB"/>
        </w:rPr>
        <w:t>Pharmaphorum.com, 2020. </w:t>
      </w:r>
      <w:r w:rsidRPr="00E21CEC">
        <w:rPr>
          <w:i/>
          <w:iCs/>
          <w:lang w:val="en-GB"/>
        </w:rPr>
        <w:t xml:space="preserve">A History </w:t>
      </w:r>
      <w:r w:rsidR="001F6336" w:rsidRPr="00E21CEC">
        <w:rPr>
          <w:i/>
          <w:iCs/>
          <w:lang w:val="en-GB"/>
        </w:rPr>
        <w:t xml:space="preserve">of </w:t>
      </w:r>
      <w:r w:rsidRPr="00E21CEC">
        <w:rPr>
          <w:i/>
          <w:iCs/>
          <w:lang w:val="en-GB"/>
        </w:rPr>
        <w:t>Astra</w:t>
      </w:r>
      <w:r w:rsidR="001F6336" w:rsidRPr="00E21CEC">
        <w:rPr>
          <w:i/>
          <w:iCs/>
          <w:lang w:val="en-GB"/>
        </w:rPr>
        <w:t xml:space="preserve"> Z</w:t>
      </w:r>
      <w:r w:rsidRPr="00E21CEC">
        <w:rPr>
          <w:i/>
          <w:iCs/>
          <w:lang w:val="en-GB"/>
        </w:rPr>
        <w:t>eneca</w:t>
      </w:r>
      <w:r w:rsidRPr="00E21CEC">
        <w:rPr>
          <w:lang w:val="en-GB"/>
        </w:rPr>
        <w:t xml:space="preserve">. [online] Pharmaphorum.com. Available at: &lt;https://pharmaphorum.com/views-analysis-sales-marketing/a_history_of-_astrazeneca/&gt; [Accessed </w:t>
      </w:r>
      <w:r w:rsidR="001F6336" w:rsidRPr="00E21CEC">
        <w:rPr>
          <w:lang w:val="en-GB"/>
        </w:rPr>
        <w:t>18 December 2020</w:t>
      </w:r>
      <w:r w:rsidRPr="00E21CEC">
        <w:rPr>
          <w:lang w:val="en-GB"/>
        </w:rPr>
        <w:t>].</w:t>
      </w:r>
    </w:p>
    <w:p w:rsidR="00706471" w:rsidRPr="00E21CEC" w:rsidRDefault="00706471" w:rsidP="001F6336">
      <w:pPr>
        <w:jc w:val="both"/>
        <w:rPr>
          <w:lang w:val="en-GB"/>
        </w:rPr>
      </w:pPr>
      <w:r w:rsidRPr="00E21CEC">
        <w:rPr>
          <w:lang w:val="en-GB"/>
        </w:rPr>
        <w:t>Poudel, K., 2018. </w:t>
      </w:r>
      <w:r w:rsidRPr="00E21CEC">
        <w:rPr>
          <w:i/>
          <w:iCs/>
          <w:lang w:val="en-GB"/>
        </w:rPr>
        <w:t xml:space="preserve">Advantages </w:t>
      </w:r>
      <w:r w:rsidR="001F6336" w:rsidRPr="00E21CEC">
        <w:rPr>
          <w:i/>
          <w:iCs/>
          <w:lang w:val="en-GB"/>
        </w:rPr>
        <w:t>and</w:t>
      </w:r>
      <w:r w:rsidRPr="00E21CEC">
        <w:rPr>
          <w:i/>
          <w:iCs/>
          <w:lang w:val="en-GB"/>
        </w:rPr>
        <w:t xml:space="preserve"> Disadvantages </w:t>
      </w:r>
      <w:r w:rsidR="001F6336" w:rsidRPr="00E21CEC">
        <w:rPr>
          <w:i/>
          <w:iCs/>
          <w:lang w:val="en-GB"/>
        </w:rPr>
        <w:t>of</w:t>
      </w:r>
      <w:r w:rsidRPr="00E21CEC">
        <w:rPr>
          <w:i/>
          <w:iCs/>
          <w:lang w:val="en-GB"/>
        </w:rPr>
        <w:t xml:space="preserve"> Accounting Rate </w:t>
      </w:r>
      <w:r w:rsidR="001F6336" w:rsidRPr="00E21CEC">
        <w:rPr>
          <w:i/>
          <w:iCs/>
          <w:lang w:val="en-GB"/>
        </w:rPr>
        <w:t>of</w:t>
      </w:r>
      <w:r w:rsidRPr="00E21CEC">
        <w:rPr>
          <w:i/>
          <w:iCs/>
          <w:lang w:val="en-GB"/>
        </w:rPr>
        <w:t xml:space="preserve"> Return</w:t>
      </w:r>
      <w:r w:rsidRPr="00E21CEC">
        <w:rPr>
          <w:lang w:val="en-GB"/>
        </w:rPr>
        <w:t>. [online] Benefits-drawbacks.blogspot.com. Available at: &lt;https://benefits-</w:t>
      </w:r>
      <w:r w:rsidRPr="00E21CEC">
        <w:rPr>
          <w:lang w:val="en-GB"/>
        </w:rPr>
        <w:lastRenderedPageBreak/>
        <w:t xml:space="preserve">drawbacks.blogspot.com/2018/03/advantages-and-disadvantages-of_14.html&gt; [Accessed </w:t>
      </w:r>
      <w:r w:rsidR="001F6336" w:rsidRPr="00E21CEC">
        <w:rPr>
          <w:lang w:val="en-GB"/>
        </w:rPr>
        <w:t>18</w:t>
      </w:r>
      <w:r w:rsidRPr="00E21CEC">
        <w:rPr>
          <w:lang w:val="en-GB"/>
        </w:rPr>
        <w:t xml:space="preserve"> </w:t>
      </w:r>
      <w:r w:rsidR="001F6336" w:rsidRPr="00E21CEC">
        <w:rPr>
          <w:lang w:val="en-GB"/>
        </w:rPr>
        <w:t>December 2020</w:t>
      </w:r>
      <w:r w:rsidRPr="00E21CEC">
        <w:rPr>
          <w:lang w:val="en-GB"/>
        </w:rPr>
        <w:t>].</w:t>
      </w:r>
    </w:p>
    <w:p w:rsidR="00706471" w:rsidRPr="00E21CEC" w:rsidRDefault="00706471" w:rsidP="001F6336">
      <w:pPr>
        <w:jc w:val="both"/>
        <w:rPr>
          <w:lang w:val="en-GB"/>
        </w:rPr>
      </w:pPr>
      <w:proofErr w:type="spellStart"/>
      <w:r w:rsidRPr="00E21CEC">
        <w:rPr>
          <w:lang w:val="en-GB"/>
        </w:rPr>
        <w:t>WallStreetMojo</w:t>
      </w:r>
      <w:proofErr w:type="spellEnd"/>
      <w:r w:rsidRPr="00E21CEC">
        <w:rPr>
          <w:lang w:val="en-GB"/>
        </w:rPr>
        <w:t>, 2021. </w:t>
      </w:r>
      <w:r w:rsidRPr="00E21CEC">
        <w:rPr>
          <w:i/>
          <w:iCs/>
          <w:lang w:val="en-GB"/>
        </w:rPr>
        <w:t xml:space="preserve">Payback Period Advantages </w:t>
      </w:r>
      <w:r w:rsidR="001F6336" w:rsidRPr="00E21CEC">
        <w:rPr>
          <w:i/>
          <w:iCs/>
          <w:lang w:val="en-GB"/>
        </w:rPr>
        <w:t>and</w:t>
      </w:r>
      <w:r w:rsidRPr="00E21CEC">
        <w:rPr>
          <w:i/>
          <w:iCs/>
          <w:lang w:val="en-GB"/>
        </w:rPr>
        <w:t xml:space="preserve"> Disadvantages | Top Examples</w:t>
      </w:r>
      <w:r w:rsidRPr="00E21CEC">
        <w:rPr>
          <w:lang w:val="en-GB"/>
        </w:rPr>
        <w:t xml:space="preserve">. [online] </w:t>
      </w:r>
      <w:proofErr w:type="spellStart"/>
      <w:r w:rsidRPr="00E21CEC">
        <w:rPr>
          <w:lang w:val="en-GB"/>
        </w:rPr>
        <w:t>WallStreetMojo</w:t>
      </w:r>
      <w:proofErr w:type="spellEnd"/>
      <w:r w:rsidRPr="00E21CEC">
        <w:rPr>
          <w:lang w:val="en-GB"/>
        </w:rPr>
        <w:t xml:space="preserve">. Available at: &lt;https://www.wallstreetmojo.com/payback-period-advantages-and-disadvantages/&gt; [Accessed </w:t>
      </w:r>
      <w:r w:rsidR="001F6336" w:rsidRPr="00E21CEC">
        <w:rPr>
          <w:lang w:val="en-GB"/>
        </w:rPr>
        <w:t>18 December</w:t>
      </w:r>
      <w:r w:rsidRPr="00E21CEC">
        <w:rPr>
          <w:lang w:val="en-GB"/>
        </w:rPr>
        <w:t xml:space="preserve"> 202</w:t>
      </w:r>
      <w:r w:rsidR="001F6336" w:rsidRPr="00E21CEC">
        <w:rPr>
          <w:lang w:val="en-GB"/>
        </w:rPr>
        <w:t>0</w:t>
      </w:r>
      <w:r w:rsidRPr="00E21CEC">
        <w:rPr>
          <w:lang w:val="en-GB"/>
        </w:rPr>
        <w:t>].</w:t>
      </w:r>
    </w:p>
    <w:p w:rsidR="00706471" w:rsidRPr="00E21CEC" w:rsidRDefault="00706471" w:rsidP="001F6336">
      <w:pPr>
        <w:jc w:val="both"/>
        <w:rPr>
          <w:lang w:val="en-GB"/>
        </w:rPr>
      </w:pPr>
      <w:r w:rsidRPr="00E21CEC">
        <w:rPr>
          <w:lang w:val="en-GB"/>
        </w:rPr>
        <w:t>Woodruff, J., 2019. </w:t>
      </w:r>
      <w:r w:rsidRPr="00E21CEC">
        <w:rPr>
          <w:i/>
          <w:iCs/>
          <w:lang w:val="en-GB"/>
        </w:rPr>
        <w:t xml:space="preserve">Advantages &amp; Disadvantages </w:t>
      </w:r>
      <w:r w:rsidR="001F6336" w:rsidRPr="00E21CEC">
        <w:rPr>
          <w:i/>
          <w:iCs/>
          <w:lang w:val="en-GB"/>
        </w:rPr>
        <w:t>of</w:t>
      </w:r>
      <w:r w:rsidRPr="00E21CEC">
        <w:rPr>
          <w:i/>
          <w:iCs/>
          <w:lang w:val="en-GB"/>
        </w:rPr>
        <w:t xml:space="preserve"> Net Present Value </w:t>
      </w:r>
      <w:r w:rsidR="001F6336" w:rsidRPr="00E21CEC">
        <w:rPr>
          <w:i/>
          <w:iCs/>
          <w:lang w:val="en-GB"/>
        </w:rPr>
        <w:t>in</w:t>
      </w:r>
      <w:r w:rsidRPr="00E21CEC">
        <w:rPr>
          <w:i/>
          <w:iCs/>
          <w:lang w:val="en-GB"/>
        </w:rPr>
        <w:t xml:space="preserve"> Project Selection</w:t>
      </w:r>
      <w:r w:rsidRPr="00E21CEC">
        <w:rPr>
          <w:lang w:val="en-GB"/>
        </w:rPr>
        <w:t xml:space="preserve">. [online] Small Business - Chron.com. Available at: &lt;https://smallbusiness.chron.com/advantages-disadvantages-net-present-value-project-selection-54753.html&gt; [Accessed </w:t>
      </w:r>
      <w:r w:rsidR="001F6336" w:rsidRPr="00E21CEC">
        <w:rPr>
          <w:lang w:val="en-GB"/>
        </w:rPr>
        <w:t>19</w:t>
      </w:r>
      <w:r w:rsidRPr="00E21CEC">
        <w:rPr>
          <w:lang w:val="en-GB"/>
        </w:rPr>
        <w:t xml:space="preserve"> </w:t>
      </w:r>
      <w:r w:rsidR="001F6336" w:rsidRPr="00E21CEC">
        <w:rPr>
          <w:lang w:val="en-GB"/>
        </w:rPr>
        <w:t>December</w:t>
      </w:r>
      <w:r w:rsidRPr="00E21CEC">
        <w:rPr>
          <w:lang w:val="en-GB"/>
        </w:rPr>
        <w:t xml:space="preserve"> 202</w:t>
      </w:r>
      <w:r w:rsidR="001F6336" w:rsidRPr="00E21CEC">
        <w:rPr>
          <w:lang w:val="en-GB"/>
        </w:rPr>
        <w:t>0</w:t>
      </w:r>
      <w:r w:rsidRPr="00E21CEC">
        <w:rPr>
          <w:lang w:val="en-GB"/>
        </w:rPr>
        <w:t>].</w:t>
      </w:r>
    </w:p>
    <w:p w:rsidR="00706471" w:rsidRPr="00E21CEC" w:rsidRDefault="00706471" w:rsidP="001F6336">
      <w:pPr>
        <w:jc w:val="both"/>
        <w:rPr>
          <w:lang w:val="en-GB"/>
        </w:rPr>
      </w:pPr>
      <w:r w:rsidRPr="00E21CEC">
        <w:rPr>
          <w:lang w:val="en-GB"/>
        </w:rPr>
        <w:t>Contributor, C., 2020. </w:t>
      </w:r>
      <w:r w:rsidRPr="00E21CEC">
        <w:rPr>
          <w:i/>
          <w:iCs/>
          <w:lang w:val="en-GB"/>
        </w:rPr>
        <w:t xml:space="preserve">The Pros &amp; Cons </w:t>
      </w:r>
      <w:r w:rsidR="001F6336" w:rsidRPr="00E21CEC">
        <w:rPr>
          <w:i/>
          <w:iCs/>
          <w:lang w:val="en-GB"/>
        </w:rPr>
        <w:t>of</w:t>
      </w:r>
      <w:r w:rsidRPr="00E21CEC">
        <w:rPr>
          <w:i/>
          <w:iCs/>
          <w:lang w:val="en-GB"/>
        </w:rPr>
        <w:t xml:space="preserve"> The Average Accounting Return Method</w:t>
      </w:r>
      <w:r w:rsidRPr="00E21CEC">
        <w:rPr>
          <w:lang w:val="en-GB"/>
        </w:rPr>
        <w:t xml:space="preserve">. [online] Small Business - Chron.com. Available at: &lt;https://smallbusiness.chron.com/pros-cons-average-accounting-return-method-34428.html&gt; [Accessed </w:t>
      </w:r>
      <w:r w:rsidR="001F6336" w:rsidRPr="00E21CEC">
        <w:rPr>
          <w:lang w:val="en-GB"/>
        </w:rPr>
        <w:t>13 December 2020</w:t>
      </w:r>
      <w:r w:rsidRPr="00E21CEC">
        <w:rPr>
          <w:lang w:val="en-GB"/>
        </w:rPr>
        <w:t>].</w:t>
      </w:r>
    </w:p>
    <w:p w:rsidR="00706471" w:rsidRPr="00E21CEC" w:rsidRDefault="00706471" w:rsidP="001F6336">
      <w:pPr>
        <w:jc w:val="both"/>
        <w:rPr>
          <w:lang w:val="en-GB"/>
        </w:rPr>
      </w:pPr>
      <w:r w:rsidRPr="00E21CEC">
        <w:rPr>
          <w:lang w:val="en-GB"/>
        </w:rPr>
        <w:t>Nibusinessinfo.co.uk, 2021. </w:t>
      </w:r>
      <w:r w:rsidRPr="00E21CEC">
        <w:rPr>
          <w:i/>
          <w:iCs/>
          <w:lang w:val="en-GB"/>
        </w:rPr>
        <w:t xml:space="preserve">Accounting Rate </w:t>
      </w:r>
      <w:r w:rsidR="001F6336" w:rsidRPr="00E21CEC">
        <w:rPr>
          <w:i/>
          <w:iCs/>
          <w:lang w:val="en-GB"/>
        </w:rPr>
        <w:t>of</w:t>
      </w:r>
      <w:r w:rsidRPr="00E21CEC">
        <w:rPr>
          <w:i/>
          <w:iCs/>
          <w:lang w:val="en-GB"/>
        </w:rPr>
        <w:t xml:space="preserve"> Return | Nibusinessinfo.Co.Uk</w:t>
      </w:r>
      <w:r w:rsidRPr="00E21CEC">
        <w:rPr>
          <w:lang w:val="en-GB"/>
        </w:rPr>
        <w:t xml:space="preserve">. [online] Nibusinessinfo.co.uk. Available at: &lt;https://www.nibusinessinfo.co.uk/content/accounting-rate-return&gt; [Accessed </w:t>
      </w:r>
      <w:r w:rsidR="001F6336" w:rsidRPr="00E21CEC">
        <w:rPr>
          <w:lang w:val="en-GB"/>
        </w:rPr>
        <w:t>13 December 2020</w:t>
      </w:r>
      <w:r w:rsidRPr="00E21CEC">
        <w:rPr>
          <w:lang w:val="en-GB"/>
        </w:rPr>
        <w:t>].</w:t>
      </w:r>
    </w:p>
    <w:p w:rsidR="00706471" w:rsidRPr="00E21CEC" w:rsidRDefault="00706471" w:rsidP="001F6336">
      <w:pPr>
        <w:jc w:val="both"/>
        <w:rPr>
          <w:lang w:val="en-GB"/>
        </w:rPr>
      </w:pPr>
      <w:proofErr w:type="spellStart"/>
      <w:r w:rsidRPr="00E21CEC">
        <w:rPr>
          <w:lang w:val="en-GB"/>
        </w:rPr>
        <w:t>Jordà</w:t>
      </w:r>
      <w:proofErr w:type="spellEnd"/>
      <w:r w:rsidRPr="00E21CEC">
        <w:rPr>
          <w:lang w:val="en-GB"/>
        </w:rPr>
        <w:t xml:space="preserve">, Ò., Knoll, K., </w:t>
      </w:r>
      <w:proofErr w:type="spellStart"/>
      <w:r w:rsidRPr="00E21CEC">
        <w:rPr>
          <w:lang w:val="en-GB"/>
        </w:rPr>
        <w:t>Kuvshinov</w:t>
      </w:r>
      <w:proofErr w:type="spellEnd"/>
      <w:r w:rsidRPr="00E21CEC">
        <w:rPr>
          <w:lang w:val="en-GB"/>
        </w:rPr>
        <w:t xml:space="preserve">, D., </w:t>
      </w:r>
      <w:proofErr w:type="spellStart"/>
      <w:r w:rsidRPr="00E21CEC">
        <w:rPr>
          <w:lang w:val="en-GB"/>
        </w:rPr>
        <w:t>Schularick</w:t>
      </w:r>
      <w:proofErr w:type="spellEnd"/>
      <w:r w:rsidRPr="00E21CEC">
        <w:rPr>
          <w:lang w:val="en-GB"/>
        </w:rPr>
        <w:t>, M. and Taylor, A.M., 2019. The rate of return on everything, 1870–2015. </w:t>
      </w:r>
      <w:r w:rsidRPr="00E21CEC">
        <w:rPr>
          <w:i/>
          <w:iCs/>
          <w:lang w:val="en-GB"/>
        </w:rPr>
        <w:t>The Quarterly Journal of Economics</w:t>
      </w:r>
      <w:r w:rsidRPr="00E21CEC">
        <w:rPr>
          <w:lang w:val="en-GB"/>
        </w:rPr>
        <w:t>, </w:t>
      </w:r>
      <w:r w:rsidRPr="00E21CEC">
        <w:rPr>
          <w:i/>
          <w:iCs/>
          <w:lang w:val="en-GB"/>
        </w:rPr>
        <w:t>134</w:t>
      </w:r>
      <w:r w:rsidRPr="00E21CEC">
        <w:rPr>
          <w:lang w:val="en-GB"/>
        </w:rPr>
        <w:t>(3), pp.1225-1298.</w:t>
      </w:r>
    </w:p>
    <w:p w:rsidR="00997539" w:rsidRPr="00E21CEC" w:rsidRDefault="00997539" w:rsidP="001F6336">
      <w:pPr>
        <w:jc w:val="both"/>
        <w:rPr>
          <w:lang w:val="en-GB"/>
        </w:rPr>
      </w:pPr>
    </w:p>
    <w:p w:rsidR="00997539" w:rsidRPr="00E21CEC" w:rsidRDefault="00997539" w:rsidP="00997539">
      <w:pPr>
        <w:pStyle w:val="Heading2"/>
        <w:rPr>
          <w:rFonts w:ascii="Times New Roman" w:hAnsi="Times New Roman" w:cs="Times New Roman"/>
          <w:sz w:val="28"/>
          <w:szCs w:val="28"/>
          <w:lang w:val="en-GB"/>
        </w:rPr>
      </w:pPr>
      <w:bookmarkStart w:id="46" w:name="_Toc61455593"/>
      <w:r w:rsidRPr="00E21CEC">
        <w:rPr>
          <w:rFonts w:ascii="Times New Roman" w:hAnsi="Times New Roman" w:cs="Times New Roman"/>
          <w:sz w:val="28"/>
          <w:szCs w:val="28"/>
          <w:lang w:val="en-GB"/>
        </w:rPr>
        <w:lastRenderedPageBreak/>
        <w:t>Appendix</w:t>
      </w:r>
      <w:bookmarkEnd w:id="46"/>
      <w:r w:rsidRPr="00E21CEC">
        <w:rPr>
          <w:rFonts w:ascii="Times New Roman" w:hAnsi="Times New Roman" w:cs="Times New Roman"/>
          <w:sz w:val="28"/>
          <w:szCs w:val="28"/>
          <w:lang w:val="en-GB"/>
        </w:rPr>
        <w:t xml:space="preserve"> </w:t>
      </w:r>
    </w:p>
    <w:p w:rsidR="00193F82" w:rsidRPr="00E21CEC" w:rsidRDefault="00193F82" w:rsidP="00193F82">
      <w:pPr>
        <w:rPr>
          <w:lang w:val="en-GB"/>
        </w:rPr>
      </w:pPr>
      <w:r w:rsidRPr="00E21CEC">
        <w:rPr>
          <w:noProof/>
          <w:lang w:val="en-GB"/>
        </w:rPr>
        <w:drawing>
          <wp:inline distT="0" distB="0" distL="0" distR="0">
            <wp:extent cx="5943600" cy="3714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rsidR="00193F82" w:rsidRPr="00E21CEC" w:rsidRDefault="00193F82" w:rsidP="00997539">
      <w:pPr>
        <w:rPr>
          <w:lang w:val="en-GB"/>
        </w:rPr>
      </w:pPr>
      <w:r w:rsidRPr="00E21CEC">
        <w:rPr>
          <w:noProof/>
          <w:lang w:val="en-GB"/>
        </w:rPr>
        <w:drawing>
          <wp:inline distT="0" distB="0" distL="0" distR="0">
            <wp:extent cx="5943600" cy="3714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rsidR="00E21CEC" w:rsidRPr="00E21CEC" w:rsidRDefault="00E21CEC">
      <w:pPr>
        <w:rPr>
          <w:lang w:val="en-GB"/>
        </w:rPr>
      </w:pPr>
    </w:p>
    <w:sectPr w:rsidR="00E21CEC" w:rsidRPr="00E21CEC" w:rsidSect="0025427D">
      <w:footerReference w:type="even"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26F00" w:rsidRDefault="00326F00" w:rsidP="00C101CE">
      <w:pPr>
        <w:spacing w:after="0" w:line="240" w:lineRule="auto"/>
      </w:pPr>
      <w:r>
        <w:separator/>
      </w:r>
    </w:p>
  </w:endnote>
  <w:endnote w:type="continuationSeparator" w:id="0">
    <w:p w:rsidR="00326F00" w:rsidRDefault="00326F00" w:rsidP="00C10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43587866"/>
      <w:docPartObj>
        <w:docPartGallery w:val="Page Numbers (Bottom of Page)"/>
        <w:docPartUnique/>
      </w:docPartObj>
    </w:sdtPr>
    <w:sdtEndPr>
      <w:rPr>
        <w:rStyle w:val="PageNumber"/>
      </w:rPr>
    </w:sdtEndPr>
    <w:sdtContent>
      <w:p w:rsidR="00193F82" w:rsidRDefault="00193F82" w:rsidP="00193F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93F82" w:rsidRDefault="00193F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77283758"/>
      <w:docPartObj>
        <w:docPartGallery w:val="Page Numbers (Bottom of Page)"/>
        <w:docPartUnique/>
      </w:docPartObj>
    </w:sdtPr>
    <w:sdtEndPr>
      <w:rPr>
        <w:rStyle w:val="PageNumber"/>
      </w:rPr>
    </w:sdtEndPr>
    <w:sdtContent>
      <w:p w:rsidR="00193F82" w:rsidRDefault="00193F82" w:rsidP="00193F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193F82" w:rsidRDefault="00193F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26F00" w:rsidRDefault="00326F00" w:rsidP="00C101CE">
      <w:pPr>
        <w:spacing w:after="0" w:line="240" w:lineRule="auto"/>
      </w:pPr>
      <w:r>
        <w:separator/>
      </w:r>
    </w:p>
  </w:footnote>
  <w:footnote w:type="continuationSeparator" w:id="0">
    <w:p w:rsidR="00326F00" w:rsidRDefault="00326F00" w:rsidP="00C101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B2822"/>
    <w:multiLevelType w:val="hybridMultilevel"/>
    <w:tmpl w:val="B13E16E0"/>
    <w:lvl w:ilvl="0" w:tplc="008E8F14">
      <w:start w:val="1"/>
      <w:numFmt w:val="bullet"/>
      <w:lvlText w:val="•"/>
      <w:lvlJc w:val="left"/>
      <w:pPr>
        <w:tabs>
          <w:tab w:val="num" w:pos="720"/>
        </w:tabs>
        <w:ind w:left="720" w:hanging="360"/>
      </w:pPr>
      <w:rPr>
        <w:rFonts w:ascii="Times New Roman" w:hAnsi="Times New Roman" w:hint="default"/>
      </w:rPr>
    </w:lvl>
    <w:lvl w:ilvl="1" w:tplc="87E02104" w:tentative="1">
      <w:start w:val="1"/>
      <w:numFmt w:val="bullet"/>
      <w:lvlText w:val="•"/>
      <w:lvlJc w:val="left"/>
      <w:pPr>
        <w:tabs>
          <w:tab w:val="num" w:pos="1440"/>
        </w:tabs>
        <w:ind w:left="1440" w:hanging="360"/>
      </w:pPr>
      <w:rPr>
        <w:rFonts w:ascii="Times New Roman" w:hAnsi="Times New Roman" w:hint="default"/>
      </w:rPr>
    </w:lvl>
    <w:lvl w:ilvl="2" w:tplc="E822DE4A" w:tentative="1">
      <w:start w:val="1"/>
      <w:numFmt w:val="bullet"/>
      <w:lvlText w:val="•"/>
      <w:lvlJc w:val="left"/>
      <w:pPr>
        <w:tabs>
          <w:tab w:val="num" w:pos="2160"/>
        </w:tabs>
        <w:ind w:left="2160" w:hanging="360"/>
      </w:pPr>
      <w:rPr>
        <w:rFonts w:ascii="Times New Roman" w:hAnsi="Times New Roman" w:hint="default"/>
      </w:rPr>
    </w:lvl>
    <w:lvl w:ilvl="3" w:tplc="77F45F5A" w:tentative="1">
      <w:start w:val="1"/>
      <w:numFmt w:val="bullet"/>
      <w:lvlText w:val="•"/>
      <w:lvlJc w:val="left"/>
      <w:pPr>
        <w:tabs>
          <w:tab w:val="num" w:pos="2880"/>
        </w:tabs>
        <w:ind w:left="2880" w:hanging="360"/>
      </w:pPr>
      <w:rPr>
        <w:rFonts w:ascii="Times New Roman" w:hAnsi="Times New Roman" w:hint="default"/>
      </w:rPr>
    </w:lvl>
    <w:lvl w:ilvl="4" w:tplc="87A68C78" w:tentative="1">
      <w:start w:val="1"/>
      <w:numFmt w:val="bullet"/>
      <w:lvlText w:val="•"/>
      <w:lvlJc w:val="left"/>
      <w:pPr>
        <w:tabs>
          <w:tab w:val="num" w:pos="3600"/>
        </w:tabs>
        <w:ind w:left="3600" w:hanging="360"/>
      </w:pPr>
      <w:rPr>
        <w:rFonts w:ascii="Times New Roman" w:hAnsi="Times New Roman" w:hint="default"/>
      </w:rPr>
    </w:lvl>
    <w:lvl w:ilvl="5" w:tplc="6046DD96" w:tentative="1">
      <w:start w:val="1"/>
      <w:numFmt w:val="bullet"/>
      <w:lvlText w:val="•"/>
      <w:lvlJc w:val="left"/>
      <w:pPr>
        <w:tabs>
          <w:tab w:val="num" w:pos="4320"/>
        </w:tabs>
        <w:ind w:left="4320" w:hanging="360"/>
      </w:pPr>
      <w:rPr>
        <w:rFonts w:ascii="Times New Roman" w:hAnsi="Times New Roman" w:hint="default"/>
      </w:rPr>
    </w:lvl>
    <w:lvl w:ilvl="6" w:tplc="4A4002E2" w:tentative="1">
      <w:start w:val="1"/>
      <w:numFmt w:val="bullet"/>
      <w:lvlText w:val="•"/>
      <w:lvlJc w:val="left"/>
      <w:pPr>
        <w:tabs>
          <w:tab w:val="num" w:pos="5040"/>
        </w:tabs>
        <w:ind w:left="5040" w:hanging="360"/>
      </w:pPr>
      <w:rPr>
        <w:rFonts w:ascii="Times New Roman" w:hAnsi="Times New Roman" w:hint="default"/>
      </w:rPr>
    </w:lvl>
    <w:lvl w:ilvl="7" w:tplc="DC4AA886" w:tentative="1">
      <w:start w:val="1"/>
      <w:numFmt w:val="bullet"/>
      <w:lvlText w:val="•"/>
      <w:lvlJc w:val="left"/>
      <w:pPr>
        <w:tabs>
          <w:tab w:val="num" w:pos="5760"/>
        </w:tabs>
        <w:ind w:left="5760" w:hanging="360"/>
      </w:pPr>
      <w:rPr>
        <w:rFonts w:ascii="Times New Roman" w:hAnsi="Times New Roman" w:hint="default"/>
      </w:rPr>
    </w:lvl>
    <w:lvl w:ilvl="8" w:tplc="B35ED5A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7C9788D"/>
    <w:multiLevelType w:val="hybridMultilevel"/>
    <w:tmpl w:val="23D2A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B8240B"/>
    <w:multiLevelType w:val="hybridMultilevel"/>
    <w:tmpl w:val="07127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2B2823"/>
    <w:multiLevelType w:val="hybridMultilevel"/>
    <w:tmpl w:val="0A1633F0"/>
    <w:lvl w:ilvl="0" w:tplc="0DDE6F86">
      <w:start w:val="1"/>
      <w:numFmt w:val="bullet"/>
      <w:lvlText w:val="•"/>
      <w:lvlJc w:val="left"/>
      <w:pPr>
        <w:tabs>
          <w:tab w:val="num" w:pos="720"/>
        </w:tabs>
        <w:ind w:left="720" w:hanging="360"/>
      </w:pPr>
      <w:rPr>
        <w:rFonts w:ascii="Times New Roman" w:hAnsi="Times New Roman" w:hint="default"/>
      </w:rPr>
    </w:lvl>
    <w:lvl w:ilvl="1" w:tplc="F488A0DC" w:tentative="1">
      <w:start w:val="1"/>
      <w:numFmt w:val="bullet"/>
      <w:lvlText w:val="•"/>
      <w:lvlJc w:val="left"/>
      <w:pPr>
        <w:tabs>
          <w:tab w:val="num" w:pos="1440"/>
        </w:tabs>
        <w:ind w:left="1440" w:hanging="360"/>
      </w:pPr>
      <w:rPr>
        <w:rFonts w:ascii="Times New Roman" w:hAnsi="Times New Roman" w:hint="default"/>
      </w:rPr>
    </w:lvl>
    <w:lvl w:ilvl="2" w:tplc="8802355A" w:tentative="1">
      <w:start w:val="1"/>
      <w:numFmt w:val="bullet"/>
      <w:lvlText w:val="•"/>
      <w:lvlJc w:val="left"/>
      <w:pPr>
        <w:tabs>
          <w:tab w:val="num" w:pos="2160"/>
        </w:tabs>
        <w:ind w:left="2160" w:hanging="360"/>
      </w:pPr>
      <w:rPr>
        <w:rFonts w:ascii="Times New Roman" w:hAnsi="Times New Roman" w:hint="default"/>
      </w:rPr>
    </w:lvl>
    <w:lvl w:ilvl="3" w:tplc="481E08DC" w:tentative="1">
      <w:start w:val="1"/>
      <w:numFmt w:val="bullet"/>
      <w:lvlText w:val="•"/>
      <w:lvlJc w:val="left"/>
      <w:pPr>
        <w:tabs>
          <w:tab w:val="num" w:pos="2880"/>
        </w:tabs>
        <w:ind w:left="2880" w:hanging="360"/>
      </w:pPr>
      <w:rPr>
        <w:rFonts w:ascii="Times New Roman" w:hAnsi="Times New Roman" w:hint="default"/>
      </w:rPr>
    </w:lvl>
    <w:lvl w:ilvl="4" w:tplc="260AA1A4" w:tentative="1">
      <w:start w:val="1"/>
      <w:numFmt w:val="bullet"/>
      <w:lvlText w:val="•"/>
      <w:lvlJc w:val="left"/>
      <w:pPr>
        <w:tabs>
          <w:tab w:val="num" w:pos="3600"/>
        </w:tabs>
        <w:ind w:left="3600" w:hanging="360"/>
      </w:pPr>
      <w:rPr>
        <w:rFonts w:ascii="Times New Roman" w:hAnsi="Times New Roman" w:hint="default"/>
      </w:rPr>
    </w:lvl>
    <w:lvl w:ilvl="5" w:tplc="7884E346" w:tentative="1">
      <w:start w:val="1"/>
      <w:numFmt w:val="bullet"/>
      <w:lvlText w:val="•"/>
      <w:lvlJc w:val="left"/>
      <w:pPr>
        <w:tabs>
          <w:tab w:val="num" w:pos="4320"/>
        </w:tabs>
        <w:ind w:left="4320" w:hanging="360"/>
      </w:pPr>
      <w:rPr>
        <w:rFonts w:ascii="Times New Roman" w:hAnsi="Times New Roman" w:hint="default"/>
      </w:rPr>
    </w:lvl>
    <w:lvl w:ilvl="6" w:tplc="9DBA5134" w:tentative="1">
      <w:start w:val="1"/>
      <w:numFmt w:val="bullet"/>
      <w:lvlText w:val="•"/>
      <w:lvlJc w:val="left"/>
      <w:pPr>
        <w:tabs>
          <w:tab w:val="num" w:pos="5040"/>
        </w:tabs>
        <w:ind w:left="5040" w:hanging="360"/>
      </w:pPr>
      <w:rPr>
        <w:rFonts w:ascii="Times New Roman" w:hAnsi="Times New Roman" w:hint="default"/>
      </w:rPr>
    </w:lvl>
    <w:lvl w:ilvl="7" w:tplc="C82A6A4E" w:tentative="1">
      <w:start w:val="1"/>
      <w:numFmt w:val="bullet"/>
      <w:lvlText w:val="•"/>
      <w:lvlJc w:val="left"/>
      <w:pPr>
        <w:tabs>
          <w:tab w:val="num" w:pos="5760"/>
        </w:tabs>
        <w:ind w:left="5760" w:hanging="360"/>
      </w:pPr>
      <w:rPr>
        <w:rFonts w:ascii="Times New Roman" w:hAnsi="Times New Roman" w:hint="default"/>
      </w:rPr>
    </w:lvl>
    <w:lvl w:ilvl="8" w:tplc="CF265C5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F9A19A8"/>
    <w:multiLevelType w:val="hybridMultilevel"/>
    <w:tmpl w:val="D86EA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B00F9"/>
    <w:rsid w:val="00004084"/>
    <w:rsid w:val="0006045C"/>
    <w:rsid w:val="00086B8A"/>
    <w:rsid w:val="000B676F"/>
    <w:rsid w:val="000C549E"/>
    <w:rsid w:val="000D786B"/>
    <w:rsid w:val="000F35A5"/>
    <w:rsid w:val="000F4837"/>
    <w:rsid w:val="00177C69"/>
    <w:rsid w:val="00193F82"/>
    <w:rsid w:val="001A529C"/>
    <w:rsid w:val="001A6901"/>
    <w:rsid w:val="001B30FC"/>
    <w:rsid w:val="001D5682"/>
    <w:rsid w:val="001F6336"/>
    <w:rsid w:val="00201A5C"/>
    <w:rsid w:val="00217A3C"/>
    <w:rsid w:val="00241C0B"/>
    <w:rsid w:val="00251952"/>
    <w:rsid w:val="0025427D"/>
    <w:rsid w:val="00284B68"/>
    <w:rsid w:val="002B7877"/>
    <w:rsid w:val="002C4509"/>
    <w:rsid w:val="002D1B64"/>
    <w:rsid w:val="002F4120"/>
    <w:rsid w:val="00311EE2"/>
    <w:rsid w:val="003216D5"/>
    <w:rsid w:val="00326F00"/>
    <w:rsid w:val="0033625D"/>
    <w:rsid w:val="00361600"/>
    <w:rsid w:val="00366405"/>
    <w:rsid w:val="00367364"/>
    <w:rsid w:val="00367DF0"/>
    <w:rsid w:val="00377418"/>
    <w:rsid w:val="003A7595"/>
    <w:rsid w:val="003D563B"/>
    <w:rsid w:val="003F15C0"/>
    <w:rsid w:val="00413A26"/>
    <w:rsid w:val="004255EB"/>
    <w:rsid w:val="00427F57"/>
    <w:rsid w:val="00467158"/>
    <w:rsid w:val="0047048C"/>
    <w:rsid w:val="0047423B"/>
    <w:rsid w:val="00480C8C"/>
    <w:rsid w:val="00495292"/>
    <w:rsid w:val="004A0052"/>
    <w:rsid w:val="00506695"/>
    <w:rsid w:val="0051755B"/>
    <w:rsid w:val="005176BF"/>
    <w:rsid w:val="005241DB"/>
    <w:rsid w:val="005577B1"/>
    <w:rsid w:val="005E6112"/>
    <w:rsid w:val="00615FA1"/>
    <w:rsid w:val="00617A27"/>
    <w:rsid w:val="00641256"/>
    <w:rsid w:val="006739F0"/>
    <w:rsid w:val="006B11A8"/>
    <w:rsid w:val="006B31DF"/>
    <w:rsid w:val="006E70E6"/>
    <w:rsid w:val="00706471"/>
    <w:rsid w:val="00732E33"/>
    <w:rsid w:val="00743DBB"/>
    <w:rsid w:val="00762164"/>
    <w:rsid w:val="007A6CE3"/>
    <w:rsid w:val="007D0979"/>
    <w:rsid w:val="007D3FDF"/>
    <w:rsid w:val="007D5A03"/>
    <w:rsid w:val="00837082"/>
    <w:rsid w:val="008513BA"/>
    <w:rsid w:val="00865753"/>
    <w:rsid w:val="00874B37"/>
    <w:rsid w:val="0087758A"/>
    <w:rsid w:val="00897C88"/>
    <w:rsid w:val="008B0E33"/>
    <w:rsid w:val="008E457A"/>
    <w:rsid w:val="008E7746"/>
    <w:rsid w:val="00914013"/>
    <w:rsid w:val="00926505"/>
    <w:rsid w:val="00927AB4"/>
    <w:rsid w:val="00932F0D"/>
    <w:rsid w:val="0095131D"/>
    <w:rsid w:val="00960089"/>
    <w:rsid w:val="00983DE1"/>
    <w:rsid w:val="00997539"/>
    <w:rsid w:val="00A01CD9"/>
    <w:rsid w:val="00A10BA6"/>
    <w:rsid w:val="00A50577"/>
    <w:rsid w:val="00A54426"/>
    <w:rsid w:val="00A74B4B"/>
    <w:rsid w:val="00A8322B"/>
    <w:rsid w:val="00AA35EE"/>
    <w:rsid w:val="00AB00F9"/>
    <w:rsid w:val="00AC2C10"/>
    <w:rsid w:val="00AC59FB"/>
    <w:rsid w:val="00AD74F7"/>
    <w:rsid w:val="00B51E7B"/>
    <w:rsid w:val="00B75695"/>
    <w:rsid w:val="00BB5EA9"/>
    <w:rsid w:val="00BC18BC"/>
    <w:rsid w:val="00BD4A4F"/>
    <w:rsid w:val="00BE0139"/>
    <w:rsid w:val="00BE4B15"/>
    <w:rsid w:val="00C101CE"/>
    <w:rsid w:val="00C571DC"/>
    <w:rsid w:val="00C965D9"/>
    <w:rsid w:val="00CA3A1A"/>
    <w:rsid w:val="00CD1BF5"/>
    <w:rsid w:val="00CD3FE4"/>
    <w:rsid w:val="00D166CC"/>
    <w:rsid w:val="00DB0D8F"/>
    <w:rsid w:val="00DB6D8B"/>
    <w:rsid w:val="00DC0D37"/>
    <w:rsid w:val="00E123E1"/>
    <w:rsid w:val="00E14074"/>
    <w:rsid w:val="00E21CEC"/>
    <w:rsid w:val="00E52A21"/>
    <w:rsid w:val="00E565FA"/>
    <w:rsid w:val="00E60747"/>
    <w:rsid w:val="00E70435"/>
    <w:rsid w:val="00E74339"/>
    <w:rsid w:val="00E93C1A"/>
    <w:rsid w:val="00EB32EC"/>
    <w:rsid w:val="00EB66D0"/>
    <w:rsid w:val="00EC0BBA"/>
    <w:rsid w:val="00ED7817"/>
    <w:rsid w:val="00F03785"/>
    <w:rsid w:val="00F11142"/>
    <w:rsid w:val="00F21086"/>
    <w:rsid w:val="00FA66AC"/>
    <w:rsid w:val="00FB2447"/>
    <w:rsid w:val="00FE3F4F"/>
    <w:rsid w:val="00FF60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AEE21"/>
  <w15:docId w15:val="{2CA6323F-B002-C848-8CA0-59C5E3BF5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58A"/>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3216D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7423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7423B"/>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3E1"/>
    <w:pPr>
      <w:ind w:left="720"/>
      <w:contextualSpacing/>
    </w:pPr>
  </w:style>
  <w:style w:type="paragraph" w:styleId="NormalWeb">
    <w:name w:val="Normal (Web)"/>
    <w:basedOn w:val="Normal"/>
    <w:uiPriority w:val="99"/>
    <w:unhideWhenUsed/>
    <w:rsid w:val="005241DB"/>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5241DB"/>
    <w:rPr>
      <w:b/>
      <w:bCs/>
    </w:rPr>
  </w:style>
  <w:style w:type="character" w:customStyle="1" w:styleId="Heading1Char">
    <w:name w:val="Heading 1 Char"/>
    <w:basedOn w:val="DefaultParagraphFont"/>
    <w:link w:val="Heading1"/>
    <w:uiPriority w:val="9"/>
    <w:rsid w:val="003216D5"/>
    <w:rPr>
      <w:rFonts w:ascii="Times New Roman" w:eastAsiaTheme="majorEastAsia" w:hAnsi="Times New Roman" w:cstheme="majorBidi"/>
      <w:b/>
      <w:bCs/>
      <w:sz w:val="28"/>
      <w:szCs w:val="28"/>
    </w:rPr>
  </w:style>
  <w:style w:type="paragraph" w:styleId="TOCHeading">
    <w:name w:val="TOC Heading"/>
    <w:basedOn w:val="Heading1"/>
    <w:next w:val="Normal"/>
    <w:uiPriority w:val="39"/>
    <w:unhideWhenUsed/>
    <w:qFormat/>
    <w:rsid w:val="00BB5EA9"/>
    <w:pPr>
      <w:spacing w:line="276" w:lineRule="auto"/>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BB5EA9"/>
    <w:pPr>
      <w:spacing w:before="120" w:after="0"/>
    </w:pPr>
    <w:rPr>
      <w:rFonts w:asciiTheme="minorHAnsi" w:hAnsiTheme="minorHAnsi"/>
      <w:b/>
      <w:bCs/>
      <w:i/>
      <w:iCs/>
      <w:szCs w:val="24"/>
    </w:rPr>
  </w:style>
  <w:style w:type="character" w:styleId="Hyperlink">
    <w:name w:val="Hyperlink"/>
    <w:basedOn w:val="DefaultParagraphFont"/>
    <w:uiPriority w:val="99"/>
    <w:unhideWhenUsed/>
    <w:rsid w:val="00BB5EA9"/>
    <w:rPr>
      <w:color w:val="0000FF" w:themeColor="hyperlink"/>
      <w:u w:val="single"/>
    </w:rPr>
  </w:style>
  <w:style w:type="paragraph" w:styleId="BalloonText">
    <w:name w:val="Balloon Text"/>
    <w:basedOn w:val="Normal"/>
    <w:link w:val="BalloonTextChar"/>
    <w:uiPriority w:val="99"/>
    <w:semiHidden/>
    <w:unhideWhenUsed/>
    <w:rsid w:val="00BB5E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EA9"/>
    <w:rPr>
      <w:rFonts w:ascii="Tahoma" w:hAnsi="Tahoma" w:cs="Tahoma"/>
      <w:sz w:val="16"/>
      <w:szCs w:val="16"/>
    </w:rPr>
  </w:style>
  <w:style w:type="character" w:customStyle="1" w:styleId="Heading2Char">
    <w:name w:val="Heading 2 Char"/>
    <w:basedOn w:val="DefaultParagraphFont"/>
    <w:link w:val="Heading2"/>
    <w:uiPriority w:val="9"/>
    <w:rsid w:val="0047423B"/>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47423B"/>
    <w:rPr>
      <w:rFonts w:asciiTheme="majorHAnsi" w:eastAsiaTheme="majorEastAsia" w:hAnsiTheme="majorHAnsi" w:cstheme="majorBidi"/>
      <w:color w:val="243F60" w:themeColor="accent1" w:themeShade="7F"/>
      <w:sz w:val="24"/>
      <w:szCs w:val="24"/>
    </w:rPr>
  </w:style>
  <w:style w:type="paragraph" w:styleId="TOC2">
    <w:name w:val="toc 2"/>
    <w:basedOn w:val="Normal"/>
    <w:next w:val="Normal"/>
    <w:autoRedefine/>
    <w:uiPriority w:val="39"/>
    <w:unhideWhenUsed/>
    <w:rsid w:val="0047423B"/>
    <w:pPr>
      <w:spacing w:before="120" w:after="0"/>
      <w:ind w:left="240"/>
    </w:pPr>
    <w:rPr>
      <w:rFonts w:asciiTheme="minorHAnsi" w:hAnsiTheme="minorHAnsi"/>
      <w:b/>
      <w:bCs/>
      <w:sz w:val="22"/>
    </w:rPr>
  </w:style>
  <w:style w:type="paragraph" w:styleId="TOC3">
    <w:name w:val="toc 3"/>
    <w:basedOn w:val="Normal"/>
    <w:next w:val="Normal"/>
    <w:autoRedefine/>
    <w:uiPriority w:val="39"/>
    <w:unhideWhenUsed/>
    <w:rsid w:val="0047423B"/>
    <w:pPr>
      <w:spacing w:after="0"/>
      <w:ind w:left="480"/>
    </w:pPr>
    <w:rPr>
      <w:rFonts w:asciiTheme="minorHAnsi" w:hAnsiTheme="minorHAnsi"/>
      <w:sz w:val="20"/>
      <w:szCs w:val="20"/>
    </w:rPr>
  </w:style>
  <w:style w:type="paragraph" w:styleId="Header">
    <w:name w:val="header"/>
    <w:basedOn w:val="Normal"/>
    <w:link w:val="HeaderChar"/>
    <w:uiPriority w:val="99"/>
    <w:unhideWhenUsed/>
    <w:rsid w:val="00C101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1CE"/>
    <w:rPr>
      <w:rFonts w:ascii="Times New Roman" w:hAnsi="Times New Roman"/>
      <w:sz w:val="24"/>
    </w:rPr>
  </w:style>
  <w:style w:type="paragraph" w:styleId="Footer">
    <w:name w:val="footer"/>
    <w:basedOn w:val="Normal"/>
    <w:link w:val="FooterChar"/>
    <w:uiPriority w:val="99"/>
    <w:unhideWhenUsed/>
    <w:rsid w:val="00C101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1CE"/>
    <w:rPr>
      <w:rFonts w:ascii="Times New Roman" w:hAnsi="Times New Roman"/>
      <w:sz w:val="24"/>
    </w:rPr>
  </w:style>
  <w:style w:type="paragraph" w:styleId="TOC4">
    <w:name w:val="toc 4"/>
    <w:basedOn w:val="Normal"/>
    <w:next w:val="Normal"/>
    <w:autoRedefine/>
    <w:uiPriority w:val="39"/>
    <w:semiHidden/>
    <w:unhideWhenUsed/>
    <w:rsid w:val="0025427D"/>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25427D"/>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25427D"/>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25427D"/>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25427D"/>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25427D"/>
    <w:pPr>
      <w:spacing w:after="0"/>
      <w:ind w:left="1920"/>
    </w:pPr>
    <w:rPr>
      <w:rFonts w:asciiTheme="minorHAnsi" w:hAnsiTheme="minorHAnsi"/>
      <w:sz w:val="20"/>
      <w:szCs w:val="20"/>
    </w:rPr>
  </w:style>
  <w:style w:type="paragraph" w:styleId="Title">
    <w:name w:val="Title"/>
    <w:basedOn w:val="Normal"/>
    <w:next w:val="Normal"/>
    <w:link w:val="TitleChar"/>
    <w:uiPriority w:val="10"/>
    <w:qFormat/>
    <w:rsid w:val="0025427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27D"/>
    <w:rPr>
      <w:rFonts w:asciiTheme="majorHAnsi" w:eastAsiaTheme="majorEastAsia" w:hAnsiTheme="majorHAnsi" w:cstheme="majorBidi"/>
      <w:spacing w:val="-10"/>
      <w:kern w:val="28"/>
      <w:sz w:val="56"/>
      <w:szCs w:val="56"/>
    </w:rPr>
  </w:style>
  <w:style w:type="character" w:styleId="PageNumber">
    <w:name w:val="page number"/>
    <w:basedOn w:val="DefaultParagraphFont"/>
    <w:uiPriority w:val="99"/>
    <w:semiHidden/>
    <w:unhideWhenUsed/>
    <w:rsid w:val="002542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791628">
      <w:bodyDiv w:val="1"/>
      <w:marLeft w:val="0"/>
      <w:marRight w:val="0"/>
      <w:marTop w:val="0"/>
      <w:marBottom w:val="0"/>
      <w:divBdr>
        <w:top w:val="none" w:sz="0" w:space="0" w:color="auto"/>
        <w:left w:val="none" w:sz="0" w:space="0" w:color="auto"/>
        <w:bottom w:val="none" w:sz="0" w:space="0" w:color="auto"/>
        <w:right w:val="none" w:sz="0" w:space="0" w:color="auto"/>
      </w:divBdr>
    </w:div>
    <w:div w:id="235287067">
      <w:bodyDiv w:val="1"/>
      <w:marLeft w:val="0"/>
      <w:marRight w:val="0"/>
      <w:marTop w:val="0"/>
      <w:marBottom w:val="0"/>
      <w:divBdr>
        <w:top w:val="none" w:sz="0" w:space="0" w:color="auto"/>
        <w:left w:val="none" w:sz="0" w:space="0" w:color="auto"/>
        <w:bottom w:val="none" w:sz="0" w:space="0" w:color="auto"/>
        <w:right w:val="none" w:sz="0" w:space="0" w:color="auto"/>
      </w:divBdr>
    </w:div>
    <w:div w:id="1033992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E8087-2C57-4A8A-AB5E-E4CF6E759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25</Pages>
  <Words>5514</Words>
  <Characters>31433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MARIUS IONUT SAIZ</cp:lastModifiedBy>
  <cp:revision>11</cp:revision>
  <dcterms:created xsi:type="dcterms:W3CDTF">2021-01-08T11:14:00Z</dcterms:created>
  <dcterms:modified xsi:type="dcterms:W3CDTF">2021-01-13T18:39:00Z</dcterms:modified>
</cp:coreProperties>
</file>