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2D441E" w14:textId="77777777" w:rsidR="00ED4975" w:rsidRPr="00006A75" w:rsidRDefault="00ED4975" w:rsidP="00006A75">
      <w:pPr>
        <w:spacing w:line="360" w:lineRule="auto"/>
        <w:rPr>
          <w:rFonts w:ascii="Arial" w:hAnsi="Arial" w:cs="Arial"/>
          <w:sz w:val="22"/>
          <w:szCs w:val="22"/>
        </w:rPr>
      </w:pPr>
      <w:r w:rsidRPr="00006A75">
        <w:rPr>
          <w:rFonts w:ascii="Arial" w:hAnsi="Arial" w:cs="Arial"/>
          <w:sz w:val="22"/>
          <w:szCs w:val="22"/>
        </w:rPr>
        <w:t>Student Name: Noreen Akhtar</w:t>
      </w:r>
    </w:p>
    <w:p w14:paraId="269B015A" w14:textId="77777777" w:rsidR="00ED4975" w:rsidRPr="00006A75" w:rsidRDefault="00ED4975" w:rsidP="00006A75">
      <w:pPr>
        <w:spacing w:line="360" w:lineRule="auto"/>
        <w:rPr>
          <w:rFonts w:ascii="Arial" w:hAnsi="Arial" w:cs="Arial"/>
          <w:sz w:val="22"/>
          <w:szCs w:val="22"/>
        </w:rPr>
      </w:pPr>
      <w:r w:rsidRPr="00006A75">
        <w:rPr>
          <w:rFonts w:ascii="Arial" w:hAnsi="Arial" w:cs="Arial"/>
          <w:sz w:val="22"/>
          <w:szCs w:val="22"/>
        </w:rPr>
        <w:t>Student Number: 2329201</w:t>
      </w:r>
    </w:p>
    <w:p w14:paraId="238F93FE" w14:textId="77777777" w:rsidR="00ED4975" w:rsidRPr="00006A75" w:rsidRDefault="00ED4975" w:rsidP="00006A75">
      <w:pPr>
        <w:spacing w:line="360" w:lineRule="auto"/>
        <w:rPr>
          <w:rFonts w:ascii="Arial" w:hAnsi="Arial" w:cs="Arial"/>
          <w:bCs/>
          <w:sz w:val="22"/>
          <w:szCs w:val="22"/>
        </w:rPr>
      </w:pPr>
      <w:r w:rsidRPr="00006A75">
        <w:rPr>
          <w:rFonts w:ascii="Arial" w:hAnsi="Arial" w:cs="Arial"/>
          <w:sz w:val="22"/>
          <w:szCs w:val="22"/>
        </w:rPr>
        <w:t xml:space="preserve">Module Code: </w:t>
      </w:r>
      <w:r w:rsidRPr="00006A75">
        <w:rPr>
          <w:rFonts w:ascii="Arial" w:hAnsi="Arial" w:cs="Arial"/>
          <w:bCs/>
          <w:sz w:val="22"/>
          <w:szCs w:val="22"/>
        </w:rPr>
        <w:t>BMHP5019</w:t>
      </w:r>
    </w:p>
    <w:p w14:paraId="562D36E3" w14:textId="77777777" w:rsidR="00ED4975" w:rsidRPr="00006A75" w:rsidRDefault="00ED4975" w:rsidP="00006A75">
      <w:pPr>
        <w:spacing w:line="360" w:lineRule="auto"/>
        <w:rPr>
          <w:rFonts w:ascii="Arial" w:hAnsi="Arial" w:cs="Arial"/>
          <w:sz w:val="22"/>
          <w:szCs w:val="22"/>
        </w:rPr>
      </w:pPr>
      <w:r w:rsidRPr="00006A75">
        <w:rPr>
          <w:rFonts w:ascii="Arial" w:hAnsi="Arial" w:cs="Arial"/>
          <w:sz w:val="22"/>
          <w:szCs w:val="22"/>
        </w:rPr>
        <w:t>Module Title: Assignment: Component 2 – Research Report</w:t>
      </w:r>
    </w:p>
    <w:p w14:paraId="1F9F8479" w14:textId="3DA0E081" w:rsidR="00ED4975" w:rsidRPr="00006A75" w:rsidRDefault="00ED4975" w:rsidP="00006A75">
      <w:pPr>
        <w:spacing w:line="360" w:lineRule="auto"/>
        <w:rPr>
          <w:rFonts w:ascii="Arial" w:hAnsi="Arial" w:cs="Arial"/>
          <w:bCs/>
          <w:sz w:val="22"/>
          <w:szCs w:val="22"/>
        </w:rPr>
      </w:pPr>
      <w:r w:rsidRPr="00006A75">
        <w:rPr>
          <w:rFonts w:ascii="Arial" w:hAnsi="Arial" w:cs="Arial"/>
          <w:bCs/>
          <w:sz w:val="22"/>
          <w:szCs w:val="22"/>
        </w:rPr>
        <w:t>Lecturer</w:t>
      </w:r>
      <w:r w:rsidR="00666648" w:rsidRPr="00006A75">
        <w:rPr>
          <w:rFonts w:ascii="Arial" w:hAnsi="Arial" w:cs="Arial"/>
          <w:bCs/>
          <w:sz w:val="22"/>
          <w:szCs w:val="22"/>
        </w:rPr>
        <w:t xml:space="preserve">: </w:t>
      </w:r>
      <w:r w:rsidR="00F86E47" w:rsidRPr="00006A75">
        <w:rPr>
          <w:rFonts w:ascii="Arial" w:hAnsi="Arial" w:cs="Arial"/>
          <w:bCs/>
          <w:sz w:val="22"/>
          <w:szCs w:val="22"/>
        </w:rPr>
        <w:t>Riz</w:t>
      </w:r>
      <w:r w:rsidR="00FA2361" w:rsidRPr="00006A75">
        <w:rPr>
          <w:rFonts w:ascii="Arial" w:hAnsi="Arial" w:cs="Arial"/>
          <w:bCs/>
          <w:sz w:val="22"/>
          <w:szCs w:val="22"/>
        </w:rPr>
        <w:t>wan Nadim</w:t>
      </w:r>
    </w:p>
    <w:p w14:paraId="59397E80" w14:textId="77777777" w:rsidR="00C646E0" w:rsidRPr="00006A75" w:rsidRDefault="00C646E0" w:rsidP="00006A75">
      <w:pPr>
        <w:spacing w:line="360" w:lineRule="auto"/>
        <w:rPr>
          <w:rFonts w:ascii="Arial" w:hAnsi="Arial" w:cs="Arial"/>
          <w:b/>
          <w:bCs/>
          <w:sz w:val="22"/>
          <w:szCs w:val="22"/>
        </w:rPr>
      </w:pPr>
    </w:p>
    <w:p w14:paraId="38A3B673" w14:textId="77777777" w:rsidR="00C646E0" w:rsidRPr="00006A75" w:rsidRDefault="00C646E0" w:rsidP="00006A75">
      <w:pPr>
        <w:spacing w:line="360" w:lineRule="auto"/>
        <w:rPr>
          <w:rFonts w:ascii="Arial" w:hAnsi="Arial" w:cs="Arial"/>
          <w:b/>
          <w:bCs/>
          <w:sz w:val="22"/>
          <w:szCs w:val="22"/>
        </w:rPr>
      </w:pPr>
    </w:p>
    <w:p w14:paraId="0DBBB331" w14:textId="77777777" w:rsidR="00C646E0" w:rsidRPr="00006A75" w:rsidRDefault="00C646E0" w:rsidP="00006A75">
      <w:pPr>
        <w:spacing w:line="360" w:lineRule="auto"/>
        <w:rPr>
          <w:rFonts w:ascii="Arial" w:hAnsi="Arial" w:cs="Arial"/>
          <w:b/>
          <w:bCs/>
          <w:sz w:val="22"/>
          <w:szCs w:val="22"/>
        </w:rPr>
      </w:pPr>
    </w:p>
    <w:p w14:paraId="55486B4A" w14:textId="77777777" w:rsidR="00C646E0" w:rsidRPr="00006A75" w:rsidRDefault="00C646E0" w:rsidP="00006A75">
      <w:pPr>
        <w:spacing w:line="360" w:lineRule="auto"/>
        <w:rPr>
          <w:rFonts w:ascii="Arial" w:hAnsi="Arial" w:cs="Arial"/>
          <w:b/>
          <w:bCs/>
          <w:sz w:val="22"/>
          <w:szCs w:val="22"/>
        </w:rPr>
      </w:pPr>
    </w:p>
    <w:p w14:paraId="43AEAE5C" w14:textId="77777777" w:rsidR="00C646E0" w:rsidRPr="00006A75" w:rsidRDefault="00C646E0" w:rsidP="00006A75">
      <w:pPr>
        <w:spacing w:line="360" w:lineRule="auto"/>
        <w:rPr>
          <w:rFonts w:ascii="Arial" w:hAnsi="Arial" w:cs="Arial"/>
          <w:b/>
          <w:bCs/>
          <w:sz w:val="22"/>
          <w:szCs w:val="22"/>
        </w:rPr>
      </w:pPr>
    </w:p>
    <w:p w14:paraId="55226A8B" w14:textId="77777777" w:rsidR="00C646E0" w:rsidRPr="00006A75" w:rsidRDefault="00C646E0" w:rsidP="00006A75">
      <w:pPr>
        <w:spacing w:line="360" w:lineRule="auto"/>
        <w:rPr>
          <w:rFonts w:ascii="Arial" w:hAnsi="Arial" w:cs="Arial"/>
          <w:b/>
          <w:bCs/>
          <w:sz w:val="22"/>
          <w:szCs w:val="22"/>
        </w:rPr>
      </w:pPr>
    </w:p>
    <w:p w14:paraId="4FFD7C0C" w14:textId="77777777" w:rsidR="00C646E0" w:rsidRPr="00006A75" w:rsidRDefault="00C646E0" w:rsidP="00006A75">
      <w:pPr>
        <w:spacing w:line="360" w:lineRule="auto"/>
        <w:rPr>
          <w:rFonts w:ascii="Arial" w:hAnsi="Arial" w:cs="Arial"/>
          <w:b/>
          <w:bCs/>
          <w:sz w:val="22"/>
          <w:szCs w:val="22"/>
        </w:rPr>
      </w:pPr>
    </w:p>
    <w:p w14:paraId="12DC5D5B" w14:textId="77777777" w:rsidR="00C646E0" w:rsidRPr="00006A75" w:rsidRDefault="00C646E0" w:rsidP="00006A75">
      <w:pPr>
        <w:spacing w:line="360" w:lineRule="auto"/>
        <w:rPr>
          <w:rFonts w:ascii="Arial" w:hAnsi="Arial" w:cs="Arial"/>
          <w:b/>
          <w:bCs/>
          <w:sz w:val="22"/>
          <w:szCs w:val="22"/>
        </w:rPr>
      </w:pPr>
    </w:p>
    <w:p w14:paraId="60C7957B" w14:textId="77777777" w:rsidR="00ED4975" w:rsidRPr="00006A75" w:rsidRDefault="00ED4975" w:rsidP="00006A75">
      <w:pPr>
        <w:spacing w:line="360" w:lineRule="auto"/>
        <w:rPr>
          <w:rFonts w:ascii="Arial" w:hAnsi="Arial" w:cs="Arial"/>
          <w:b/>
          <w:bCs/>
          <w:sz w:val="22"/>
          <w:szCs w:val="22"/>
        </w:rPr>
      </w:pPr>
    </w:p>
    <w:p w14:paraId="1C2D9C7B" w14:textId="77777777" w:rsidR="00ED4975" w:rsidRPr="00006A75" w:rsidRDefault="00ED4975" w:rsidP="00006A75">
      <w:pPr>
        <w:spacing w:line="360" w:lineRule="auto"/>
        <w:rPr>
          <w:rFonts w:ascii="Arial" w:hAnsi="Arial" w:cs="Arial"/>
          <w:b/>
          <w:bCs/>
          <w:sz w:val="22"/>
          <w:szCs w:val="22"/>
        </w:rPr>
      </w:pPr>
    </w:p>
    <w:p w14:paraId="48100289" w14:textId="77777777" w:rsidR="00ED4975" w:rsidRPr="00006A75" w:rsidRDefault="00ED4975" w:rsidP="00006A75">
      <w:pPr>
        <w:spacing w:line="360" w:lineRule="auto"/>
        <w:rPr>
          <w:rFonts w:ascii="Arial" w:hAnsi="Arial" w:cs="Arial"/>
          <w:b/>
          <w:bCs/>
          <w:sz w:val="22"/>
          <w:szCs w:val="22"/>
        </w:rPr>
      </w:pPr>
    </w:p>
    <w:p w14:paraId="4F261C4D" w14:textId="77777777" w:rsidR="00ED4975" w:rsidRPr="00006A75" w:rsidRDefault="00ED4975" w:rsidP="00006A75">
      <w:pPr>
        <w:spacing w:line="360" w:lineRule="auto"/>
        <w:rPr>
          <w:rFonts w:ascii="Arial" w:hAnsi="Arial" w:cs="Arial"/>
          <w:b/>
          <w:bCs/>
          <w:sz w:val="22"/>
          <w:szCs w:val="22"/>
        </w:rPr>
      </w:pPr>
    </w:p>
    <w:p w14:paraId="3C29DD8E" w14:textId="77777777" w:rsidR="00ED4975" w:rsidRPr="00006A75" w:rsidRDefault="00ED4975" w:rsidP="00006A75">
      <w:pPr>
        <w:spacing w:line="360" w:lineRule="auto"/>
        <w:rPr>
          <w:rFonts w:ascii="Arial" w:hAnsi="Arial" w:cs="Arial"/>
          <w:b/>
          <w:bCs/>
          <w:sz w:val="22"/>
          <w:szCs w:val="22"/>
        </w:rPr>
      </w:pPr>
    </w:p>
    <w:p w14:paraId="0FBE45C8" w14:textId="77777777" w:rsidR="00ED4975" w:rsidRPr="00006A75" w:rsidRDefault="00ED4975" w:rsidP="00006A75">
      <w:pPr>
        <w:spacing w:line="360" w:lineRule="auto"/>
        <w:rPr>
          <w:rFonts w:ascii="Arial" w:hAnsi="Arial" w:cs="Arial"/>
          <w:b/>
          <w:bCs/>
          <w:sz w:val="22"/>
          <w:szCs w:val="22"/>
        </w:rPr>
      </w:pPr>
    </w:p>
    <w:p w14:paraId="1FF0ED35" w14:textId="77777777" w:rsidR="00ED4975" w:rsidRPr="00006A75" w:rsidRDefault="00ED4975" w:rsidP="00006A75">
      <w:pPr>
        <w:spacing w:line="360" w:lineRule="auto"/>
        <w:rPr>
          <w:rFonts w:ascii="Arial" w:hAnsi="Arial" w:cs="Arial"/>
          <w:b/>
          <w:bCs/>
          <w:sz w:val="22"/>
          <w:szCs w:val="22"/>
        </w:rPr>
      </w:pPr>
    </w:p>
    <w:p w14:paraId="42BC730F" w14:textId="77777777" w:rsidR="00C646E0" w:rsidRPr="00006A75" w:rsidRDefault="00C646E0" w:rsidP="00006A75">
      <w:pPr>
        <w:spacing w:line="360" w:lineRule="auto"/>
        <w:rPr>
          <w:rFonts w:ascii="Arial" w:hAnsi="Arial" w:cs="Arial"/>
          <w:b/>
          <w:bCs/>
          <w:sz w:val="22"/>
          <w:szCs w:val="22"/>
        </w:rPr>
      </w:pPr>
    </w:p>
    <w:p w14:paraId="71183B3E" w14:textId="77777777" w:rsidR="00650128" w:rsidRPr="00006A75" w:rsidRDefault="00650128" w:rsidP="00006A75">
      <w:pPr>
        <w:spacing w:line="360" w:lineRule="auto"/>
        <w:rPr>
          <w:rFonts w:ascii="Arial" w:hAnsi="Arial" w:cs="Arial"/>
          <w:b/>
          <w:bCs/>
          <w:sz w:val="22"/>
          <w:szCs w:val="22"/>
        </w:rPr>
      </w:pPr>
    </w:p>
    <w:p w14:paraId="7503EFA0" w14:textId="77777777" w:rsidR="00650128" w:rsidRPr="00006A75" w:rsidRDefault="00650128" w:rsidP="00006A75">
      <w:pPr>
        <w:spacing w:line="360" w:lineRule="auto"/>
        <w:rPr>
          <w:rFonts w:ascii="Arial" w:hAnsi="Arial" w:cs="Arial"/>
          <w:b/>
          <w:bCs/>
          <w:sz w:val="22"/>
          <w:szCs w:val="22"/>
        </w:rPr>
      </w:pPr>
    </w:p>
    <w:p w14:paraId="0CA107AE" w14:textId="77777777" w:rsidR="00650128" w:rsidRPr="00006A75" w:rsidRDefault="00650128" w:rsidP="00006A75">
      <w:pPr>
        <w:spacing w:line="360" w:lineRule="auto"/>
        <w:rPr>
          <w:rFonts w:ascii="Arial" w:hAnsi="Arial" w:cs="Arial"/>
          <w:b/>
          <w:bCs/>
          <w:sz w:val="22"/>
          <w:szCs w:val="22"/>
        </w:rPr>
      </w:pPr>
    </w:p>
    <w:p w14:paraId="3D045816" w14:textId="77777777" w:rsidR="00650128" w:rsidRPr="00006A75" w:rsidRDefault="00650128" w:rsidP="00006A75">
      <w:pPr>
        <w:spacing w:line="360" w:lineRule="auto"/>
        <w:rPr>
          <w:rFonts w:ascii="Arial" w:hAnsi="Arial" w:cs="Arial"/>
          <w:b/>
          <w:bCs/>
          <w:sz w:val="22"/>
          <w:szCs w:val="22"/>
        </w:rPr>
      </w:pPr>
    </w:p>
    <w:p w14:paraId="1BC69C18" w14:textId="77777777" w:rsidR="00650128" w:rsidRPr="00006A75" w:rsidRDefault="00650128" w:rsidP="00006A75">
      <w:pPr>
        <w:spacing w:line="360" w:lineRule="auto"/>
        <w:rPr>
          <w:rFonts w:ascii="Arial" w:hAnsi="Arial" w:cs="Arial"/>
          <w:b/>
          <w:bCs/>
          <w:sz w:val="22"/>
          <w:szCs w:val="22"/>
        </w:rPr>
      </w:pPr>
    </w:p>
    <w:p w14:paraId="33835860" w14:textId="77777777" w:rsidR="00650128" w:rsidRPr="00006A75" w:rsidRDefault="00650128" w:rsidP="00006A75">
      <w:pPr>
        <w:spacing w:line="360" w:lineRule="auto"/>
        <w:rPr>
          <w:rFonts w:ascii="Arial" w:hAnsi="Arial" w:cs="Arial"/>
          <w:b/>
          <w:bCs/>
          <w:sz w:val="22"/>
          <w:szCs w:val="22"/>
        </w:rPr>
      </w:pPr>
    </w:p>
    <w:p w14:paraId="0E8C1EFF" w14:textId="77777777" w:rsidR="00650128" w:rsidRPr="00006A75" w:rsidRDefault="00650128" w:rsidP="00006A75">
      <w:pPr>
        <w:spacing w:line="360" w:lineRule="auto"/>
        <w:rPr>
          <w:rFonts w:ascii="Arial" w:hAnsi="Arial" w:cs="Arial"/>
          <w:b/>
          <w:bCs/>
          <w:sz w:val="22"/>
          <w:szCs w:val="22"/>
        </w:rPr>
      </w:pPr>
    </w:p>
    <w:p w14:paraId="4B225DF5" w14:textId="77777777" w:rsidR="00650128" w:rsidRPr="00006A75" w:rsidRDefault="00650128" w:rsidP="00006A75">
      <w:pPr>
        <w:spacing w:line="360" w:lineRule="auto"/>
        <w:rPr>
          <w:rFonts w:ascii="Arial" w:hAnsi="Arial" w:cs="Arial"/>
          <w:b/>
          <w:bCs/>
          <w:sz w:val="22"/>
          <w:szCs w:val="22"/>
        </w:rPr>
      </w:pPr>
    </w:p>
    <w:p w14:paraId="17CADE4A" w14:textId="77777777" w:rsidR="00650128" w:rsidRPr="00006A75" w:rsidRDefault="00650128" w:rsidP="00006A75">
      <w:pPr>
        <w:spacing w:line="360" w:lineRule="auto"/>
        <w:rPr>
          <w:rFonts w:ascii="Arial" w:hAnsi="Arial" w:cs="Arial"/>
          <w:b/>
          <w:bCs/>
          <w:sz w:val="22"/>
          <w:szCs w:val="22"/>
        </w:rPr>
      </w:pPr>
    </w:p>
    <w:p w14:paraId="3505A0E1" w14:textId="77777777" w:rsidR="009F78C8" w:rsidRPr="00006A75" w:rsidRDefault="009F78C8" w:rsidP="00006A75">
      <w:pPr>
        <w:spacing w:line="360" w:lineRule="auto"/>
        <w:rPr>
          <w:rFonts w:ascii="Arial" w:hAnsi="Arial" w:cs="Arial"/>
          <w:b/>
          <w:sz w:val="22"/>
          <w:szCs w:val="22"/>
        </w:rPr>
      </w:pPr>
      <w:r w:rsidRPr="00006A75">
        <w:rPr>
          <w:rFonts w:ascii="Arial" w:hAnsi="Arial" w:cs="Arial"/>
          <w:b/>
          <w:sz w:val="22"/>
          <w:szCs w:val="22"/>
        </w:rPr>
        <w:t>Contents</w:t>
      </w:r>
    </w:p>
    <w:p w14:paraId="33F9A597" w14:textId="6A1B3066" w:rsidR="009F78C8" w:rsidRPr="00006A75" w:rsidRDefault="009F78C8" w:rsidP="00CF4C16">
      <w:pPr>
        <w:spacing w:line="360" w:lineRule="auto"/>
        <w:rPr>
          <w:rFonts w:ascii="Arial" w:hAnsi="Arial" w:cs="Arial"/>
          <w:sz w:val="22"/>
          <w:szCs w:val="22"/>
        </w:rPr>
      </w:pPr>
      <w:r w:rsidRPr="00006A75">
        <w:rPr>
          <w:rFonts w:ascii="Arial" w:hAnsi="Arial" w:cs="Arial"/>
          <w:sz w:val="22"/>
          <w:szCs w:val="22"/>
        </w:rPr>
        <w:t xml:space="preserve">1. </w:t>
      </w:r>
      <w:r w:rsidRPr="00006A75">
        <w:rPr>
          <w:rFonts w:ascii="Arial" w:hAnsi="Arial" w:cs="Arial"/>
          <w:sz w:val="22"/>
          <w:szCs w:val="22"/>
        </w:rPr>
        <w:t>Introduction</w:t>
      </w:r>
      <w:r w:rsidR="00CF4C16">
        <w:rPr>
          <w:rFonts w:ascii="Arial" w:hAnsi="Arial" w:cs="Arial"/>
          <w:sz w:val="22"/>
          <w:szCs w:val="22"/>
        </w:rPr>
        <w:t>…………………………………………………………3</w:t>
      </w:r>
    </w:p>
    <w:p w14:paraId="0B526122" w14:textId="75EC0AAE" w:rsidR="009F78C8" w:rsidRPr="00006A75" w:rsidRDefault="009F78C8" w:rsidP="00CF4C16">
      <w:pPr>
        <w:spacing w:line="360" w:lineRule="auto"/>
        <w:rPr>
          <w:rFonts w:ascii="Arial" w:hAnsi="Arial" w:cs="Arial"/>
          <w:sz w:val="22"/>
          <w:szCs w:val="22"/>
        </w:rPr>
      </w:pPr>
      <w:r w:rsidRPr="00006A75">
        <w:rPr>
          <w:rFonts w:ascii="Arial" w:hAnsi="Arial" w:cs="Arial"/>
          <w:sz w:val="22"/>
          <w:szCs w:val="22"/>
        </w:rPr>
        <w:t>2. Background</w:t>
      </w:r>
      <w:r w:rsidR="00CF4C16">
        <w:rPr>
          <w:rFonts w:ascii="Arial" w:hAnsi="Arial" w:cs="Arial"/>
          <w:sz w:val="22"/>
          <w:szCs w:val="22"/>
        </w:rPr>
        <w:t>…………………………………………………………4</w:t>
      </w:r>
    </w:p>
    <w:p w14:paraId="72650F91" w14:textId="635D40D4" w:rsidR="009F78C8" w:rsidRPr="00006A75" w:rsidRDefault="009F78C8" w:rsidP="00CF4C16">
      <w:pPr>
        <w:spacing w:line="360" w:lineRule="auto"/>
        <w:rPr>
          <w:rFonts w:ascii="Arial" w:hAnsi="Arial" w:cs="Arial"/>
          <w:sz w:val="22"/>
          <w:szCs w:val="22"/>
        </w:rPr>
      </w:pPr>
      <w:r w:rsidRPr="00006A75">
        <w:rPr>
          <w:rFonts w:ascii="Arial" w:hAnsi="Arial" w:cs="Arial"/>
          <w:sz w:val="22"/>
          <w:szCs w:val="22"/>
        </w:rPr>
        <w:t>3. Methods</w:t>
      </w:r>
      <w:r w:rsidR="00CF4C16">
        <w:rPr>
          <w:rFonts w:ascii="Arial" w:hAnsi="Arial" w:cs="Arial"/>
          <w:sz w:val="22"/>
          <w:szCs w:val="22"/>
        </w:rPr>
        <w:t>…………………………………………………………</w:t>
      </w:r>
      <w:proofErr w:type="gramStart"/>
      <w:r w:rsidR="00CF4C16">
        <w:rPr>
          <w:rFonts w:ascii="Arial" w:hAnsi="Arial" w:cs="Arial"/>
          <w:sz w:val="22"/>
          <w:szCs w:val="22"/>
        </w:rPr>
        <w:t>…..</w:t>
      </w:r>
      <w:proofErr w:type="gramEnd"/>
      <w:r w:rsidR="00CF4C16">
        <w:rPr>
          <w:rFonts w:ascii="Arial" w:hAnsi="Arial" w:cs="Arial"/>
          <w:sz w:val="22"/>
          <w:szCs w:val="22"/>
        </w:rPr>
        <w:t>6</w:t>
      </w:r>
    </w:p>
    <w:p w14:paraId="2A13330D" w14:textId="69979526" w:rsidR="009F78C8" w:rsidRPr="00006A75" w:rsidRDefault="009F78C8" w:rsidP="00CF4C16">
      <w:pPr>
        <w:spacing w:line="360" w:lineRule="auto"/>
        <w:rPr>
          <w:rFonts w:ascii="Arial" w:hAnsi="Arial" w:cs="Arial"/>
          <w:sz w:val="22"/>
          <w:szCs w:val="22"/>
        </w:rPr>
      </w:pPr>
      <w:r w:rsidRPr="00006A75">
        <w:rPr>
          <w:rFonts w:ascii="Arial" w:hAnsi="Arial" w:cs="Arial"/>
          <w:sz w:val="22"/>
          <w:szCs w:val="22"/>
        </w:rPr>
        <w:t>4. Results</w:t>
      </w:r>
      <w:r w:rsidR="00CF4C16">
        <w:rPr>
          <w:rFonts w:ascii="Arial" w:hAnsi="Arial" w:cs="Arial"/>
          <w:sz w:val="22"/>
          <w:szCs w:val="22"/>
        </w:rPr>
        <w:t>…………………………………………………………</w:t>
      </w:r>
      <w:r w:rsidR="009A75AF">
        <w:rPr>
          <w:rFonts w:ascii="Arial" w:hAnsi="Arial" w:cs="Arial"/>
          <w:sz w:val="22"/>
          <w:szCs w:val="22"/>
        </w:rPr>
        <w:t>.</w:t>
      </w:r>
      <w:r w:rsidR="00CF4C16">
        <w:rPr>
          <w:rFonts w:ascii="Arial" w:hAnsi="Arial" w:cs="Arial"/>
          <w:sz w:val="22"/>
          <w:szCs w:val="22"/>
        </w:rPr>
        <w:t>….10</w:t>
      </w:r>
    </w:p>
    <w:p w14:paraId="3D9A397D" w14:textId="120BCBD6" w:rsidR="009F78C8" w:rsidRPr="00006A75" w:rsidRDefault="009F78C8" w:rsidP="00CF4C16">
      <w:pPr>
        <w:spacing w:line="360" w:lineRule="auto"/>
        <w:rPr>
          <w:rFonts w:ascii="Arial" w:hAnsi="Arial" w:cs="Arial"/>
          <w:sz w:val="22"/>
          <w:szCs w:val="22"/>
        </w:rPr>
      </w:pPr>
      <w:r w:rsidRPr="00006A75">
        <w:rPr>
          <w:rFonts w:ascii="Arial" w:hAnsi="Arial" w:cs="Arial"/>
          <w:sz w:val="22"/>
          <w:szCs w:val="22"/>
        </w:rPr>
        <w:t>5. Discussion</w:t>
      </w:r>
      <w:r w:rsidR="009A75AF">
        <w:rPr>
          <w:rFonts w:ascii="Arial" w:hAnsi="Arial" w:cs="Arial"/>
          <w:sz w:val="22"/>
          <w:szCs w:val="22"/>
        </w:rPr>
        <w:t>…………………………………………………</w:t>
      </w:r>
      <w:proofErr w:type="gramStart"/>
      <w:r w:rsidR="009A75AF">
        <w:rPr>
          <w:rFonts w:ascii="Arial" w:hAnsi="Arial" w:cs="Arial"/>
          <w:sz w:val="22"/>
          <w:szCs w:val="22"/>
        </w:rPr>
        <w:t>…..…..</w:t>
      </w:r>
      <w:proofErr w:type="gramEnd"/>
      <w:r w:rsidR="009A75AF">
        <w:rPr>
          <w:rFonts w:ascii="Arial" w:hAnsi="Arial" w:cs="Arial"/>
          <w:sz w:val="22"/>
          <w:szCs w:val="22"/>
        </w:rPr>
        <w:t>10</w:t>
      </w:r>
    </w:p>
    <w:p w14:paraId="609C39FD" w14:textId="4F6300BA" w:rsidR="009F78C8" w:rsidRPr="00006A75" w:rsidRDefault="009F78C8" w:rsidP="00CF4C16">
      <w:pPr>
        <w:spacing w:line="360" w:lineRule="auto"/>
        <w:rPr>
          <w:rFonts w:ascii="Arial" w:hAnsi="Arial" w:cs="Arial"/>
          <w:sz w:val="22"/>
          <w:szCs w:val="22"/>
        </w:rPr>
      </w:pPr>
      <w:r w:rsidRPr="00006A75">
        <w:rPr>
          <w:rFonts w:ascii="Arial" w:hAnsi="Arial" w:cs="Arial"/>
          <w:sz w:val="22"/>
          <w:szCs w:val="22"/>
        </w:rPr>
        <w:t>6. Conclusion</w:t>
      </w:r>
      <w:r w:rsidR="00027376">
        <w:rPr>
          <w:rFonts w:ascii="Arial" w:hAnsi="Arial" w:cs="Arial"/>
          <w:sz w:val="22"/>
          <w:szCs w:val="22"/>
        </w:rPr>
        <w:t>…………………………………………………………13</w:t>
      </w:r>
    </w:p>
    <w:p w14:paraId="646986FC" w14:textId="7861110E" w:rsidR="009F78C8" w:rsidRPr="00006A75" w:rsidRDefault="009F78C8" w:rsidP="00CF4C16">
      <w:pPr>
        <w:spacing w:line="360" w:lineRule="auto"/>
        <w:rPr>
          <w:rFonts w:ascii="Arial" w:hAnsi="Arial" w:cs="Arial"/>
          <w:sz w:val="22"/>
          <w:szCs w:val="22"/>
        </w:rPr>
      </w:pPr>
      <w:r w:rsidRPr="00006A75">
        <w:rPr>
          <w:rFonts w:ascii="Arial" w:hAnsi="Arial" w:cs="Arial"/>
          <w:sz w:val="22"/>
          <w:szCs w:val="22"/>
        </w:rPr>
        <w:t>7. Recommendations</w:t>
      </w:r>
      <w:r w:rsidR="00027376">
        <w:rPr>
          <w:rFonts w:ascii="Arial" w:hAnsi="Arial" w:cs="Arial"/>
          <w:sz w:val="22"/>
          <w:szCs w:val="22"/>
        </w:rPr>
        <w:t>……………………………………………</w:t>
      </w:r>
      <w:proofErr w:type="gramStart"/>
      <w:r w:rsidR="00027376">
        <w:rPr>
          <w:rFonts w:ascii="Arial" w:hAnsi="Arial" w:cs="Arial"/>
          <w:sz w:val="22"/>
          <w:szCs w:val="22"/>
        </w:rPr>
        <w:t>…..</w:t>
      </w:r>
      <w:proofErr w:type="gramEnd"/>
      <w:r w:rsidR="00027376">
        <w:rPr>
          <w:rFonts w:ascii="Arial" w:hAnsi="Arial" w:cs="Arial"/>
          <w:sz w:val="22"/>
          <w:szCs w:val="22"/>
        </w:rPr>
        <w:t>14</w:t>
      </w:r>
    </w:p>
    <w:p w14:paraId="3F6C56DA" w14:textId="74DE10C0" w:rsidR="008A41FA" w:rsidRDefault="009F78C8" w:rsidP="00CF4C16">
      <w:pPr>
        <w:spacing w:line="360" w:lineRule="auto"/>
        <w:rPr>
          <w:rFonts w:ascii="Arial" w:hAnsi="Arial" w:cs="Arial"/>
          <w:sz w:val="22"/>
          <w:szCs w:val="22"/>
        </w:rPr>
      </w:pPr>
      <w:r w:rsidRPr="00006A75">
        <w:rPr>
          <w:rFonts w:ascii="Arial" w:hAnsi="Arial" w:cs="Arial"/>
          <w:sz w:val="22"/>
          <w:szCs w:val="22"/>
        </w:rPr>
        <w:t>8. References</w:t>
      </w:r>
      <w:r w:rsidR="00027376">
        <w:rPr>
          <w:rFonts w:ascii="Arial" w:hAnsi="Arial" w:cs="Arial"/>
          <w:sz w:val="22"/>
          <w:szCs w:val="22"/>
        </w:rPr>
        <w:t>…………………………………………………………15.</w:t>
      </w:r>
      <w:r w:rsidR="008A41FA">
        <w:rPr>
          <w:rFonts w:ascii="Arial" w:hAnsi="Arial" w:cs="Arial"/>
          <w:sz w:val="22"/>
          <w:szCs w:val="22"/>
        </w:rPr>
        <w:br w:type="page"/>
      </w:r>
    </w:p>
    <w:p w14:paraId="1D8302BA" w14:textId="5142F88F" w:rsidR="00991117" w:rsidRPr="00006A75" w:rsidRDefault="00991117" w:rsidP="00006A75">
      <w:pPr>
        <w:spacing w:line="360" w:lineRule="auto"/>
        <w:rPr>
          <w:rFonts w:ascii="Arial" w:hAnsi="Arial" w:cs="Arial"/>
          <w:b/>
          <w:bCs/>
          <w:sz w:val="22"/>
          <w:szCs w:val="22"/>
        </w:rPr>
      </w:pPr>
      <w:r w:rsidRPr="00006A75">
        <w:rPr>
          <w:rFonts w:ascii="Arial" w:hAnsi="Arial" w:cs="Arial"/>
          <w:b/>
          <w:bCs/>
          <w:sz w:val="22"/>
          <w:szCs w:val="22"/>
        </w:rPr>
        <w:lastRenderedPageBreak/>
        <w:t xml:space="preserve">Adult Obesity in </w:t>
      </w:r>
      <w:r w:rsidR="00A26D1B" w:rsidRPr="00006A75">
        <w:rPr>
          <w:rFonts w:ascii="Arial" w:hAnsi="Arial" w:cs="Arial"/>
          <w:b/>
          <w:bCs/>
          <w:sz w:val="22"/>
          <w:szCs w:val="22"/>
        </w:rPr>
        <w:t>Disadvantaged</w:t>
      </w:r>
      <w:r w:rsidRPr="00006A75">
        <w:rPr>
          <w:rFonts w:ascii="Arial" w:hAnsi="Arial" w:cs="Arial"/>
          <w:b/>
          <w:bCs/>
          <w:sz w:val="22"/>
          <w:szCs w:val="22"/>
        </w:rPr>
        <w:t xml:space="preserve"> People in the UK: A Scoping Review</w:t>
      </w:r>
    </w:p>
    <w:p w14:paraId="460C59A2" w14:textId="175D5E7E" w:rsidR="00991117" w:rsidRPr="00006A75" w:rsidRDefault="00991117" w:rsidP="00006A75">
      <w:pPr>
        <w:spacing w:line="360" w:lineRule="auto"/>
        <w:rPr>
          <w:rFonts w:ascii="Arial" w:hAnsi="Arial" w:cs="Arial"/>
          <w:sz w:val="22"/>
          <w:szCs w:val="22"/>
        </w:rPr>
      </w:pPr>
    </w:p>
    <w:p w14:paraId="7C1DD56D" w14:textId="1F91A0B3" w:rsidR="000C0839" w:rsidRPr="000C0839" w:rsidRDefault="00991117" w:rsidP="000C0839">
      <w:pPr>
        <w:pStyle w:val="ListParagraph"/>
        <w:numPr>
          <w:ilvl w:val="0"/>
          <w:numId w:val="14"/>
        </w:numPr>
        <w:spacing w:line="360" w:lineRule="auto"/>
        <w:rPr>
          <w:rFonts w:ascii="Arial" w:hAnsi="Arial" w:cs="Arial"/>
          <w:b/>
          <w:bCs/>
          <w:sz w:val="22"/>
          <w:szCs w:val="22"/>
        </w:rPr>
      </w:pPr>
      <w:r w:rsidRPr="000C0839">
        <w:rPr>
          <w:rFonts w:ascii="Arial" w:hAnsi="Arial" w:cs="Arial"/>
          <w:b/>
          <w:bCs/>
          <w:sz w:val="22"/>
          <w:szCs w:val="22"/>
        </w:rPr>
        <w:t xml:space="preserve">Introduction </w:t>
      </w:r>
    </w:p>
    <w:p w14:paraId="1F6F8195" w14:textId="77777777" w:rsidR="00EA22A1" w:rsidRDefault="00EA22A1" w:rsidP="000C0839">
      <w:pPr>
        <w:pStyle w:val="ListParagraph"/>
        <w:spacing w:line="360" w:lineRule="auto"/>
        <w:rPr>
          <w:rFonts w:ascii="Arial" w:hAnsi="Arial" w:cs="Arial"/>
          <w:sz w:val="22"/>
          <w:szCs w:val="22"/>
        </w:rPr>
      </w:pPr>
    </w:p>
    <w:p w14:paraId="589FB60C" w14:textId="2E58CAF9" w:rsidR="00F8394C" w:rsidRPr="000C0839" w:rsidRDefault="00A26D1B" w:rsidP="000C0839">
      <w:pPr>
        <w:pStyle w:val="ListParagraph"/>
        <w:spacing w:line="360" w:lineRule="auto"/>
        <w:rPr>
          <w:rFonts w:ascii="Arial" w:hAnsi="Arial" w:cs="Arial"/>
          <w:sz w:val="22"/>
          <w:szCs w:val="22"/>
        </w:rPr>
      </w:pPr>
      <w:r w:rsidRPr="000C0839">
        <w:rPr>
          <w:rFonts w:ascii="Arial" w:hAnsi="Arial" w:cs="Arial"/>
          <w:sz w:val="22"/>
          <w:szCs w:val="22"/>
        </w:rPr>
        <w:t>Obesity places a significant strain on the healthcare system in the UK, with both adults and children being affected by high obesity rates. Many people in the UK are consuming more calories than they need and are not meeting other important dietary guidelines, including those for fat, sugar, fibre, and fruit and vegetables. In the last five years, the UK government has implemented various policies, some promoting voluntary actions and others involving legislation, to address obesity and related health issues. The food environment is complicated, with multiple factors influencing eating habits. These include factors that shape automatic, everyday food choices, as well as more direct influences like accessibility, advertising, and promotions, which increase the purchase of unhealthy foods. The rise in fast-food outlets and meal delivery services, combined with the negative impact of the COVID-19 pandemic on people’s diets and physical activity, suggests that additional government actions may be necessary to see real improvements in public health and diet (</w:t>
      </w:r>
      <w:proofErr w:type="spellStart"/>
      <w:r w:rsidRPr="000C0839">
        <w:rPr>
          <w:rFonts w:ascii="Arial" w:hAnsi="Arial" w:cs="Arial"/>
          <w:sz w:val="22"/>
          <w:szCs w:val="22"/>
        </w:rPr>
        <w:t>Tedstone</w:t>
      </w:r>
      <w:proofErr w:type="spellEnd"/>
      <w:r w:rsidRPr="000C0839">
        <w:rPr>
          <w:rFonts w:ascii="Arial" w:hAnsi="Arial" w:cs="Arial"/>
          <w:sz w:val="22"/>
          <w:szCs w:val="22"/>
        </w:rPr>
        <w:t xml:space="preserve"> et al., 2022).</w:t>
      </w:r>
      <w:r w:rsidR="00991117" w:rsidRPr="000C0839">
        <w:rPr>
          <w:rFonts w:ascii="Arial" w:hAnsi="Arial" w:cs="Arial"/>
          <w:sz w:val="22"/>
          <w:szCs w:val="22"/>
        </w:rPr>
        <w:t xml:space="preserve"> Obesity is linked to serious health conditions such as cardiovascular disease, type 2 diabetes, and certain cancers</w:t>
      </w:r>
      <w:r w:rsidR="005F4D14" w:rsidRPr="000C0839">
        <w:rPr>
          <w:rFonts w:ascii="Arial" w:hAnsi="Arial" w:cs="Arial"/>
          <w:sz w:val="22"/>
          <w:szCs w:val="22"/>
        </w:rPr>
        <w:t>.</w:t>
      </w:r>
      <w:r w:rsidR="00991117" w:rsidRPr="000C0839">
        <w:rPr>
          <w:rFonts w:ascii="Arial" w:hAnsi="Arial" w:cs="Arial"/>
          <w:sz w:val="22"/>
          <w:szCs w:val="22"/>
        </w:rPr>
        <w:t xml:space="preserve"> This creates pressure on both individuals and healthcare systems.</w:t>
      </w:r>
      <w:r w:rsidR="005F4D14" w:rsidRPr="000C0839">
        <w:rPr>
          <w:rFonts w:ascii="Arial" w:hAnsi="Arial" w:cs="Arial"/>
          <w:sz w:val="22"/>
          <w:szCs w:val="22"/>
        </w:rPr>
        <w:t xml:space="preserve"> </w:t>
      </w:r>
      <w:r w:rsidR="00F8394C" w:rsidRPr="000C0839">
        <w:rPr>
          <w:rFonts w:ascii="Arial" w:hAnsi="Arial" w:cs="Arial"/>
          <w:sz w:val="22"/>
          <w:szCs w:val="22"/>
        </w:rPr>
        <w:t>(Welsh et al., 2024)</w:t>
      </w:r>
    </w:p>
    <w:p w14:paraId="3FC37478" w14:textId="4198C889" w:rsidR="00AC265B" w:rsidRPr="00006A75" w:rsidRDefault="00991117" w:rsidP="00006A75">
      <w:pPr>
        <w:spacing w:line="360" w:lineRule="auto"/>
        <w:rPr>
          <w:rFonts w:ascii="Arial" w:hAnsi="Arial" w:cs="Arial"/>
          <w:sz w:val="22"/>
          <w:szCs w:val="22"/>
        </w:rPr>
      </w:pPr>
      <w:r w:rsidRPr="00006A75">
        <w:rPr>
          <w:rFonts w:ascii="Arial" w:hAnsi="Arial" w:cs="Arial"/>
          <w:sz w:val="22"/>
          <w:szCs w:val="22"/>
        </w:rPr>
        <w:t xml:space="preserve">These inequalities are influenced by factors such as low income, poor education, unemployment, and limited access to resources. This reflects wider </w:t>
      </w:r>
      <w:r w:rsidRPr="00006A75">
        <w:rPr>
          <w:rFonts w:ascii="Arial" w:hAnsi="Arial" w:cs="Arial"/>
          <w:b/>
          <w:bCs/>
          <w:sz w:val="22"/>
          <w:szCs w:val="22"/>
        </w:rPr>
        <w:t>health inequalities</w:t>
      </w:r>
      <w:r w:rsidRPr="00006A75">
        <w:rPr>
          <w:rFonts w:ascii="Arial" w:hAnsi="Arial" w:cs="Arial"/>
          <w:sz w:val="22"/>
          <w:szCs w:val="22"/>
        </w:rPr>
        <w:t>, where some groups experience worse health outcomes due to social and economic disadvantage</w:t>
      </w:r>
      <w:r w:rsidR="00181120" w:rsidRPr="00006A75">
        <w:rPr>
          <w:rFonts w:ascii="Arial" w:hAnsi="Arial" w:cs="Arial"/>
          <w:sz w:val="22"/>
          <w:szCs w:val="22"/>
        </w:rPr>
        <w:t>.</w:t>
      </w:r>
      <w:r w:rsidRPr="00006A75">
        <w:rPr>
          <w:rFonts w:ascii="Arial" w:hAnsi="Arial" w:cs="Arial"/>
          <w:sz w:val="22"/>
          <w:szCs w:val="22"/>
        </w:rPr>
        <w:t xml:space="preserve"> </w:t>
      </w:r>
      <w:r w:rsidR="00181120" w:rsidRPr="00006A75">
        <w:rPr>
          <w:rFonts w:ascii="Arial" w:hAnsi="Arial" w:cs="Arial"/>
          <w:sz w:val="22"/>
          <w:szCs w:val="22"/>
        </w:rPr>
        <w:t>Recent research argues that the UK government needs to make bigger changes to reduce differences in health across the population. The authors say that improving income, housing, education, and access to services would help reduce health inequality. They warn that without strong action, people in poorer communities will continue to face worse health outcomes</w:t>
      </w:r>
      <w:r w:rsidR="00AC265B" w:rsidRPr="00006A75">
        <w:rPr>
          <w:rFonts w:ascii="Arial" w:hAnsi="Arial" w:cs="Arial"/>
          <w:sz w:val="22"/>
          <w:szCs w:val="22"/>
        </w:rPr>
        <w:t>(Marmot and Marmot, 2024)</w:t>
      </w:r>
    </w:p>
    <w:p w14:paraId="646C5F7C" w14:textId="7E22CCEA" w:rsidR="00991117" w:rsidRPr="00006A75" w:rsidRDefault="00991117" w:rsidP="00006A75">
      <w:pPr>
        <w:spacing w:line="360" w:lineRule="auto"/>
        <w:rPr>
          <w:rFonts w:ascii="Arial" w:hAnsi="Arial" w:cs="Arial"/>
          <w:sz w:val="22"/>
          <w:szCs w:val="22"/>
        </w:rPr>
      </w:pPr>
      <w:r w:rsidRPr="00006A75">
        <w:rPr>
          <w:rFonts w:ascii="Arial" w:hAnsi="Arial" w:cs="Arial"/>
          <w:sz w:val="22"/>
          <w:szCs w:val="22"/>
        </w:rPr>
        <w:t>The rationale for this review is to explore the deeper causes of obesity beyond individual behaviour. While lifestyle choices are important, research shows that structural factors such as poverty, environment, and access to services play a larger role</w:t>
      </w:r>
      <w:r w:rsidR="00A26D1B" w:rsidRPr="00006A75">
        <w:rPr>
          <w:rFonts w:ascii="Arial" w:hAnsi="Arial" w:cs="Arial"/>
          <w:sz w:val="22"/>
          <w:szCs w:val="22"/>
        </w:rPr>
        <w:t>.</w:t>
      </w:r>
      <w:r w:rsidRPr="00006A75">
        <w:rPr>
          <w:rFonts w:ascii="Arial" w:hAnsi="Arial" w:cs="Arial"/>
          <w:sz w:val="22"/>
          <w:szCs w:val="22"/>
        </w:rPr>
        <w:t xml:space="preserve"> Therefore, understanding these wider influences is essential for effective intervention.</w:t>
      </w:r>
    </w:p>
    <w:p w14:paraId="2C980CE6" w14:textId="77777777" w:rsidR="00991117" w:rsidRPr="00006A75" w:rsidRDefault="00991117" w:rsidP="00006A75">
      <w:pPr>
        <w:spacing w:line="360" w:lineRule="auto"/>
        <w:rPr>
          <w:rFonts w:ascii="Arial" w:hAnsi="Arial" w:cs="Arial"/>
          <w:b/>
          <w:bCs/>
          <w:sz w:val="22"/>
          <w:szCs w:val="22"/>
        </w:rPr>
      </w:pPr>
      <w:r w:rsidRPr="00006A75">
        <w:rPr>
          <w:rFonts w:ascii="Arial" w:hAnsi="Arial" w:cs="Arial"/>
          <w:b/>
          <w:bCs/>
          <w:sz w:val="22"/>
          <w:szCs w:val="22"/>
        </w:rPr>
        <w:t>Review Question</w:t>
      </w:r>
    </w:p>
    <w:p w14:paraId="6033A47A" w14:textId="416C8651" w:rsidR="00991117" w:rsidRPr="00006A75" w:rsidRDefault="00991117" w:rsidP="00006A75">
      <w:pPr>
        <w:spacing w:line="360" w:lineRule="auto"/>
        <w:rPr>
          <w:rFonts w:ascii="Arial" w:hAnsi="Arial" w:cs="Arial"/>
          <w:sz w:val="22"/>
          <w:szCs w:val="22"/>
        </w:rPr>
      </w:pPr>
      <w:r w:rsidRPr="00006A75">
        <w:rPr>
          <w:rFonts w:ascii="Arial" w:hAnsi="Arial" w:cs="Arial"/>
          <w:sz w:val="22"/>
          <w:szCs w:val="22"/>
        </w:rPr>
        <w:lastRenderedPageBreak/>
        <w:t xml:space="preserve">What are the key factors influencing adult obesity among </w:t>
      </w:r>
      <w:r w:rsidR="00A26D1B" w:rsidRPr="00006A75">
        <w:rPr>
          <w:rFonts w:ascii="Arial" w:hAnsi="Arial" w:cs="Arial"/>
          <w:sz w:val="22"/>
          <w:szCs w:val="22"/>
        </w:rPr>
        <w:t>dis</w:t>
      </w:r>
      <w:r w:rsidRPr="00006A75">
        <w:rPr>
          <w:rFonts w:ascii="Arial" w:hAnsi="Arial" w:cs="Arial"/>
          <w:sz w:val="22"/>
          <w:szCs w:val="22"/>
        </w:rPr>
        <w:t>advantaged populations in the UK?</w:t>
      </w:r>
    </w:p>
    <w:p w14:paraId="3839BCC1" w14:textId="77777777" w:rsidR="00991117" w:rsidRPr="00006A75" w:rsidRDefault="00991117" w:rsidP="00006A75">
      <w:pPr>
        <w:spacing w:line="360" w:lineRule="auto"/>
        <w:rPr>
          <w:rFonts w:ascii="Arial" w:hAnsi="Arial" w:cs="Arial"/>
          <w:b/>
          <w:bCs/>
          <w:sz w:val="22"/>
          <w:szCs w:val="22"/>
        </w:rPr>
      </w:pPr>
      <w:r w:rsidRPr="00006A75">
        <w:rPr>
          <w:rFonts w:ascii="Arial" w:hAnsi="Arial" w:cs="Arial"/>
          <w:b/>
          <w:bCs/>
          <w:sz w:val="22"/>
          <w:szCs w:val="22"/>
        </w:rPr>
        <w:t>Objectives</w:t>
      </w:r>
    </w:p>
    <w:p w14:paraId="1A0B0930" w14:textId="7C8E7880" w:rsidR="00991117" w:rsidRPr="00006A75" w:rsidRDefault="00181F97" w:rsidP="00006A75">
      <w:pPr>
        <w:numPr>
          <w:ilvl w:val="0"/>
          <w:numId w:val="1"/>
        </w:numPr>
        <w:spacing w:line="360" w:lineRule="auto"/>
        <w:rPr>
          <w:rFonts w:ascii="Arial" w:hAnsi="Arial" w:cs="Arial"/>
          <w:sz w:val="22"/>
          <w:szCs w:val="22"/>
        </w:rPr>
      </w:pPr>
      <w:r w:rsidRPr="00006A75">
        <w:rPr>
          <w:rFonts w:ascii="Arial" w:hAnsi="Arial" w:cs="Arial"/>
          <w:sz w:val="22"/>
          <w:szCs w:val="22"/>
        </w:rPr>
        <w:t>The aim is to review studies on obesity and deprivation in the UK, focusing on how socio-economic factors contribute to higher rates of obesity in disadvantaged communities. By examining key peer-reviewed research, we can better understand the extent of obesity inequalities and the factors that influence them in different areas of the UK.</w:t>
      </w:r>
    </w:p>
    <w:p w14:paraId="631C528A" w14:textId="12614C85" w:rsidR="006D4727" w:rsidRPr="00006A75" w:rsidRDefault="006D4727" w:rsidP="00006A75">
      <w:pPr>
        <w:numPr>
          <w:ilvl w:val="0"/>
          <w:numId w:val="1"/>
        </w:numPr>
        <w:spacing w:line="360" w:lineRule="auto"/>
        <w:rPr>
          <w:rFonts w:ascii="Arial" w:hAnsi="Arial" w:cs="Arial"/>
          <w:sz w:val="22"/>
          <w:szCs w:val="22"/>
        </w:rPr>
      </w:pPr>
      <w:r w:rsidRPr="00006A75">
        <w:rPr>
          <w:rFonts w:ascii="Arial" w:hAnsi="Arial" w:cs="Arial"/>
          <w:sz w:val="22"/>
          <w:szCs w:val="22"/>
        </w:rPr>
        <w:t>The increasing prevalence of excess weight, particularly among adults from low socio-economic backgrounds, highlights the need to understand the social, environmental, and behavioural factors contributing to obesity. By examining these causes, we can better address the inequalities in weight and health outcomes within different communities and create more effective public health policies.</w:t>
      </w:r>
    </w:p>
    <w:p w14:paraId="2C5A1713" w14:textId="77777777" w:rsidR="000110A4" w:rsidRPr="00006A75" w:rsidRDefault="00F327FF" w:rsidP="00006A75">
      <w:pPr>
        <w:pStyle w:val="ListParagraph"/>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006A75">
        <w:rPr>
          <w:rFonts w:ascii="Arial" w:eastAsia="Times New Roman" w:hAnsi="Arial" w:cs="Arial"/>
          <w:kern w:val="0"/>
          <w:sz w:val="22"/>
          <w:szCs w:val="22"/>
          <w:lang w:eastAsia="en-GB"/>
          <w14:ligatures w14:val="none"/>
        </w:rPr>
        <w:t xml:space="preserve">The increasing prevalence of excess weight, especially among adults from low socio-economic backgrounds, highlights significant health inequalities that need to be addressed. By critically </w:t>
      </w:r>
      <w:r w:rsidRPr="00006A75">
        <w:rPr>
          <w:rFonts w:ascii="Arial" w:eastAsia="Times New Roman" w:hAnsi="Arial" w:cs="Arial"/>
          <w:kern w:val="0"/>
          <w:sz w:val="22"/>
          <w:szCs w:val="22"/>
          <w:lang w:eastAsia="en-GB"/>
          <w14:ligatures w14:val="none"/>
        </w:rPr>
        <w:t>analysing</w:t>
      </w:r>
      <w:r w:rsidRPr="00006A75">
        <w:rPr>
          <w:rFonts w:ascii="Arial" w:eastAsia="Times New Roman" w:hAnsi="Arial" w:cs="Arial"/>
          <w:kern w:val="0"/>
          <w:sz w:val="22"/>
          <w:szCs w:val="22"/>
          <w:lang w:eastAsia="en-GB"/>
          <w14:ligatures w14:val="none"/>
        </w:rPr>
        <w:t xml:space="preserve"> studies on these inequalities, we can better understand the factors contributing to excess weight and help shape effective public health policies to reduce these disparities.</w:t>
      </w:r>
    </w:p>
    <w:p w14:paraId="1CF37A6C" w14:textId="77777777" w:rsidR="00BE33C4" w:rsidRPr="00006A75" w:rsidRDefault="00BE33C4" w:rsidP="00006A75">
      <w:pPr>
        <w:pStyle w:val="ListParagraph"/>
        <w:spacing w:before="100" w:beforeAutospacing="1" w:after="100" w:afterAutospacing="1" w:line="360" w:lineRule="auto"/>
        <w:rPr>
          <w:rFonts w:ascii="Arial" w:eastAsia="Times New Roman" w:hAnsi="Arial" w:cs="Arial"/>
          <w:kern w:val="0"/>
          <w:sz w:val="22"/>
          <w:szCs w:val="22"/>
          <w:lang w:eastAsia="en-GB"/>
          <w14:ligatures w14:val="none"/>
        </w:rPr>
      </w:pPr>
    </w:p>
    <w:p w14:paraId="3B27D412" w14:textId="77777777" w:rsidR="007A460F" w:rsidRPr="00006A75" w:rsidRDefault="000110A4" w:rsidP="00006A75">
      <w:pPr>
        <w:pStyle w:val="ListParagraph"/>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006A75">
        <w:rPr>
          <w:rFonts w:ascii="Arial" w:eastAsia="Times New Roman" w:hAnsi="Arial" w:cs="Arial"/>
          <w:kern w:val="0"/>
          <w:sz w:val="22"/>
          <w:szCs w:val="22"/>
          <w:lang w:eastAsia="en-GB"/>
          <w14:ligatures w14:val="none"/>
        </w:rPr>
        <w:t>To address the growing issue of excess weight in disadvantaged groups, UK policy should focus on improving access to healthy food, affordable housing, and education. Practically, this could involve community-based health programs and policies that reduce poverty, making it easier for people to make healthier choices and reducing health inequalities.</w:t>
      </w:r>
    </w:p>
    <w:p w14:paraId="01FF7808" w14:textId="77777777" w:rsidR="007A460F" w:rsidRPr="00006A75" w:rsidRDefault="007A460F" w:rsidP="00006A75">
      <w:pPr>
        <w:pStyle w:val="ListParagraph"/>
        <w:spacing w:line="360" w:lineRule="auto"/>
        <w:rPr>
          <w:rFonts w:ascii="Arial" w:hAnsi="Arial" w:cs="Arial"/>
          <w:sz w:val="22"/>
          <w:szCs w:val="22"/>
        </w:rPr>
      </w:pPr>
    </w:p>
    <w:p w14:paraId="6894B4BA" w14:textId="2F1FB187" w:rsidR="00991117" w:rsidRPr="00EA22A1" w:rsidRDefault="00991117" w:rsidP="00006A75">
      <w:pPr>
        <w:pStyle w:val="ListParagraph"/>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006A75">
        <w:rPr>
          <w:rFonts w:ascii="Arial" w:hAnsi="Arial" w:cs="Arial"/>
          <w:sz w:val="22"/>
          <w:szCs w:val="22"/>
        </w:rPr>
        <w:t xml:space="preserve"> provide recommendations for UK policy and practice </w:t>
      </w:r>
    </w:p>
    <w:p w14:paraId="0AFDAA0B" w14:textId="77777777" w:rsidR="00EA22A1" w:rsidRPr="00EA22A1" w:rsidRDefault="00EA22A1" w:rsidP="00EA22A1">
      <w:pPr>
        <w:pStyle w:val="ListParagraph"/>
        <w:rPr>
          <w:rFonts w:ascii="Arial" w:eastAsia="Times New Roman" w:hAnsi="Arial" w:cs="Arial"/>
          <w:kern w:val="0"/>
          <w:sz w:val="22"/>
          <w:szCs w:val="22"/>
          <w:lang w:eastAsia="en-GB"/>
          <w14:ligatures w14:val="none"/>
        </w:rPr>
      </w:pPr>
    </w:p>
    <w:p w14:paraId="541028E5" w14:textId="77777777" w:rsidR="00EA22A1" w:rsidRPr="00EA22A1" w:rsidRDefault="00EA22A1" w:rsidP="00EA22A1">
      <w:pPr>
        <w:pStyle w:val="ListParagraph"/>
        <w:spacing w:before="100" w:beforeAutospacing="1" w:after="100" w:afterAutospacing="1" w:line="360" w:lineRule="auto"/>
        <w:rPr>
          <w:rFonts w:ascii="Arial" w:eastAsia="Times New Roman" w:hAnsi="Arial" w:cs="Arial"/>
          <w:kern w:val="0"/>
          <w:sz w:val="22"/>
          <w:szCs w:val="22"/>
          <w:lang w:eastAsia="en-GB"/>
          <w14:ligatures w14:val="none"/>
        </w:rPr>
      </w:pPr>
    </w:p>
    <w:p w14:paraId="2BE62FD8" w14:textId="22FA9353" w:rsidR="00991117" w:rsidRPr="00006A75" w:rsidRDefault="00991117" w:rsidP="00006A75">
      <w:pPr>
        <w:spacing w:line="360" w:lineRule="auto"/>
        <w:rPr>
          <w:rFonts w:ascii="Arial" w:hAnsi="Arial" w:cs="Arial"/>
          <w:b/>
          <w:bCs/>
          <w:sz w:val="22"/>
          <w:szCs w:val="22"/>
        </w:rPr>
      </w:pPr>
      <w:r w:rsidRPr="00006A75">
        <w:rPr>
          <w:rFonts w:ascii="Arial" w:hAnsi="Arial" w:cs="Arial"/>
          <w:b/>
          <w:bCs/>
          <w:sz w:val="22"/>
          <w:szCs w:val="22"/>
        </w:rPr>
        <w:t xml:space="preserve">2. Background </w:t>
      </w:r>
    </w:p>
    <w:p w14:paraId="67791597" w14:textId="3F240965" w:rsidR="00A26D1B" w:rsidRPr="00006A75" w:rsidRDefault="00A26D1B" w:rsidP="00006A75">
      <w:pPr>
        <w:spacing w:line="360" w:lineRule="auto"/>
        <w:rPr>
          <w:rFonts w:ascii="Arial" w:hAnsi="Arial" w:cs="Arial"/>
          <w:sz w:val="22"/>
          <w:szCs w:val="22"/>
        </w:rPr>
      </w:pPr>
      <w:r w:rsidRPr="00006A75">
        <w:rPr>
          <w:rFonts w:ascii="Arial" w:hAnsi="Arial" w:cs="Arial"/>
          <w:sz w:val="22"/>
          <w:szCs w:val="22"/>
        </w:rPr>
        <w:t xml:space="preserve">Obesity rates have risen in the United Kingdom, and it is important to accurately measure how obesity affects people's quality of life and the overall healthcare costs. This helps to determine whether obesity interventions are cost-effective and how healthcare funding should be allocated. However, current methods for evaluating the cost-effectiveness of obesity interventions may be influenced by factors such as confounding and reverse </w:t>
      </w:r>
      <w:r w:rsidRPr="00006A75">
        <w:rPr>
          <w:rFonts w:ascii="Arial" w:hAnsi="Arial" w:cs="Arial"/>
          <w:sz w:val="22"/>
          <w:szCs w:val="22"/>
        </w:rPr>
        <w:lastRenderedPageBreak/>
        <w:t>causation, which can lead to misleading results. This study aims to use a new approach, Mendelian randomisation, to estimate the cost-effectiveness of interventions targeting body mass index (BMI). This method may reduce the effects of confounding and reverse causation, providing more reliable results compared to earlier methods (Smith et al., 2020).</w:t>
      </w:r>
    </w:p>
    <w:p w14:paraId="15908640" w14:textId="77777777" w:rsidR="00A26D1B" w:rsidRPr="00006A75" w:rsidRDefault="00A26D1B" w:rsidP="00006A75">
      <w:pPr>
        <w:spacing w:line="360" w:lineRule="auto"/>
        <w:rPr>
          <w:rFonts w:ascii="Arial" w:hAnsi="Arial" w:cs="Arial"/>
          <w:sz w:val="22"/>
          <w:szCs w:val="22"/>
        </w:rPr>
      </w:pPr>
      <w:r w:rsidRPr="00006A75">
        <w:rPr>
          <w:rFonts w:ascii="Arial" w:hAnsi="Arial" w:cs="Arial"/>
          <w:sz w:val="22"/>
          <w:szCs w:val="22"/>
        </w:rPr>
        <w:t>A major issue contributing to poor diets is the cost of food. Research has shown that unhealthy foods, which are high in fat and sugar, are often much cheaper than healthier foods. This makes it harder for people with lower incomes to afford nutritious meals. As a result, they are more likely to eat unhealthy foods, which increases their risk of obesity over time (Robinson et al., 2018).</w:t>
      </w:r>
    </w:p>
    <w:p w14:paraId="25368532" w14:textId="227C4C86" w:rsidR="00991117" w:rsidRPr="00006A75" w:rsidRDefault="00991117" w:rsidP="00006A75">
      <w:pPr>
        <w:spacing w:line="360" w:lineRule="auto"/>
        <w:rPr>
          <w:rFonts w:ascii="Arial" w:hAnsi="Arial" w:cs="Arial"/>
          <w:sz w:val="22"/>
          <w:szCs w:val="22"/>
        </w:rPr>
      </w:pPr>
      <w:r w:rsidRPr="00006A75">
        <w:rPr>
          <w:rFonts w:ascii="Arial" w:hAnsi="Arial" w:cs="Arial"/>
          <w:sz w:val="22"/>
          <w:szCs w:val="22"/>
        </w:rPr>
        <w:t xml:space="preserve">The </w:t>
      </w:r>
      <w:r w:rsidRPr="00006A75">
        <w:rPr>
          <w:rFonts w:ascii="Arial" w:hAnsi="Arial" w:cs="Arial"/>
          <w:b/>
          <w:bCs/>
          <w:sz w:val="22"/>
          <w:szCs w:val="22"/>
        </w:rPr>
        <w:t>food environment</w:t>
      </w:r>
      <w:r w:rsidRPr="00006A75">
        <w:rPr>
          <w:rFonts w:ascii="Arial" w:hAnsi="Arial" w:cs="Arial"/>
          <w:sz w:val="22"/>
          <w:szCs w:val="22"/>
        </w:rPr>
        <w:t xml:space="preserve"> also plays a major role. Research shows that deprived areas often have more fast-food outlets and fewer supermarkets selling fresh food (Cummins and Macintyre, 2006). This limits access to healthy options and encourages unhealthy eating patterns.</w:t>
      </w:r>
    </w:p>
    <w:p w14:paraId="04D2D53D" w14:textId="77777777" w:rsidR="00A26D1B" w:rsidRPr="00006A75" w:rsidRDefault="00A26D1B" w:rsidP="00006A75">
      <w:pPr>
        <w:spacing w:line="360" w:lineRule="auto"/>
        <w:rPr>
          <w:rFonts w:ascii="Arial" w:hAnsi="Arial" w:cs="Arial"/>
          <w:sz w:val="22"/>
          <w:szCs w:val="22"/>
        </w:rPr>
      </w:pPr>
      <w:r w:rsidRPr="00006A75">
        <w:rPr>
          <w:rFonts w:ascii="Arial" w:hAnsi="Arial" w:cs="Arial"/>
          <w:sz w:val="22"/>
          <w:szCs w:val="22"/>
        </w:rPr>
        <w:t>Although some health policies in the UK have led to improvements, many experts believe that these policies focus too much on changing individual behaviours, rather than addressing the larger social and economic issues that impact health. Issues like poverty, housing, and access to healthcare can have a more significant effect on health outcomes, and tackling these inequalities should be a priority in health policies (Robinson et al., 2019).</w:t>
      </w:r>
    </w:p>
    <w:p w14:paraId="0B88E0FD" w14:textId="77777777" w:rsidR="00C55BE0" w:rsidRPr="00006A75" w:rsidRDefault="00A26D1B" w:rsidP="00006A75">
      <w:pPr>
        <w:spacing w:line="360" w:lineRule="auto"/>
        <w:rPr>
          <w:rFonts w:ascii="Arial" w:hAnsi="Arial" w:cs="Arial"/>
          <w:sz w:val="22"/>
          <w:szCs w:val="22"/>
        </w:rPr>
      </w:pPr>
      <w:r w:rsidRPr="00006A75">
        <w:rPr>
          <w:rFonts w:ascii="Arial" w:hAnsi="Arial" w:cs="Arial"/>
          <w:sz w:val="22"/>
          <w:szCs w:val="22"/>
        </w:rPr>
        <w:t>Although the National Health Service (NHS) provides weight management services, people from disadvantaged groups often have less access to these services. Barriers such as limited time, lack of transport, and low awareness of available services prevent many individuals from seeking or receiving support. These factors contribute to health inequalities and reduce the effectiveness of public health interventions</w:t>
      </w:r>
    </w:p>
    <w:p w14:paraId="1D74291B" w14:textId="67859A99" w:rsidR="00991117" w:rsidRPr="00006A75" w:rsidRDefault="00A26D1B" w:rsidP="00006A75">
      <w:pPr>
        <w:spacing w:line="360" w:lineRule="auto"/>
        <w:rPr>
          <w:rFonts w:ascii="Arial" w:hAnsi="Arial" w:cs="Arial"/>
          <w:sz w:val="22"/>
          <w:szCs w:val="22"/>
        </w:rPr>
      </w:pPr>
      <w:r w:rsidRPr="00006A75">
        <w:rPr>
          <w:rFonts w:ascii="Arial" w:hAnsi="Arial" w:cs="Arial"/>
          <w:sz w:val="22"/>
          <w:szCs w:val="22"/>
        </w:rPr>
        <w:t xml:space="preserve"> </w:t>
      </w:r>
      <w:r w:rsidR="00991117" w:rsidRPr="00006A75">
        <w:rPr>
          <w:rFonts w:ascii="Arial" w:hAnsi="Arial" w:cs="Arial"/>
          <w:sz w:val="22"/>
          <w:szCs w:val="22"/>
        </w:rPr>
        <w:t>Mental health is another important factor. Disadvantaged populations are more likely to experience stress, anxiety, and depression. These conditions are linked to behaviours such as emotional eating and physical inactivity (Loring and Robertson, 2014).</w:t>
      </w:r>
    </w:p>
    <w:p w14:paraId="0C59ADBB" w14:textId="229C08F1" w:rsidR="00991117" w:rsidRPr="00006A75" w:rsidRDefault="00991117" w:rsidP="00006A75">
      <w:pPr>
        <w:spacing w:line="360" w:lineRule="auto"/>
        <w:rPr>
          <w:rFonts w:ascii="Arial" w:hAnsi="Arial" w:cs="Arial"/>
          <w:sz w:val="22"/>
          <w:szCs w:val="22"/>
        </w:rPr>
      </w:pPr>
      <w:r w:rsidRPr="00006A75">
        <w:rPr>
          <w:rFonts w:ascii="Arial" w:hAnsi="Arial" w:cs="Arial"/>
          <w:sz w:val="22"/>
          <w:szCs w:val="22"/>
        </w:rPr>
        <w:t>Digital health tools are increasingly used to support weight management. However, access to these tools is not equal. The digital divide</w:t>
      </w:r>
      <w:r w:rsidR="00A26D1B" w:rsidRPr="00006A75">
        <w:rPr>
          <w:rFonts w:ascii="Arial" w:hAnsi="Arial" w:cs="Arial"/>
          <w:sz w:val="22"/>
          <w:szCs w:val="22"/>
        </w:rPr>
        <w:t xml:space="preserve"> </w:t>
      </w:r>
      <w:r w:rsidRPr="00006A75">
        <w:rPr>
          <w:rFonts w:ascii="Arial" w:hAnsi="Arial" w:cs="Arial"/>
          <w:sz w:val="22"/>
          <w:szCs w:val="22"/>
        </w:rPr>
        <w:t>means that people in disadvantaged groups may not benefit from these services (Robinson et al., 2015).</w:t>
      </w:r>
    </w:p>
    <w:p w14:paraId="625AC50E" w14:textId="77777777" w:rsidR="00A26D1B" w:rsidRPr="00006A75" w:rsidRDefault="00A26D1B" w:rsidP="00006A75">
      <w:pPr>
        <w:spacing w:line="360" w:lineRule="auto"/>
        <w:rPr>
          <w:rFonts w:ascii="Arial" w:hAnsi="Arial" w:cs="Arial"/>
          <w:sz w:val="22"/>
          <w:szCs w:val="22"/>
        </w:rPr>
      </w:pPr>
      <w:r w:rsidRPr="00006A75">
        <w:rPr>
          <w:rFonts w:ascii="Arial" w:hAnsi="Arial" w:cs="Arial"/>
          <w:b/>
          <w:bCs/>
          <w:sz w:val="22"/>
          <w:szCs w:val="22"/>
        </w:rPr>
        <w:t>Government Policies and Legislation</w:t>
      </w:r>
    </w:p>
    <w:p w14:paraId="4AAEB3F3" w14:textId="67538332" w:rsidR="004171D8" w:rsidRPr="004171D8" w:rsidRDefault="004171D8" w:rsidP="00006A75">
      <w:pPr>
        <w:spacing w:line="360" w:lineRule="auto"/>
        <w:rPr>
          <w:rFonts w:ascii="Arial" w:hAnsi="Arial" w:cs="Arial"/>
          <w:sz w:val="22"/>
          <w:szCs w:val="22"/>
        </w:rPr>
      </w:pPr>
      <w:r w:rsidRPr="004171D8">
        <w:rPr>
          <w:rFonts w:ascii="Arial" w:hAnsi="Arial" w:cs="Arial"/>
          <w:sz w:val="22"/>
          <w:szCs w:val="22"/>
        </w:rPr>
        <w:t xml:space="preserve">The study by </w:t>
      </w:r>
      <w:proofErr w:type="spellStart"/>
      <w:r w:rsidRPr="004171D8">
        <w:rPr>
          <w:rFonts w:ascii="Arial" w:hAnsi="Arial" w:cs="Arial"/>
          <w:sz w:val="22"/>
          <w:szCs w:val="22"/>
        </w:rPr>
        <w:t>Alrubaian</w:t>
      </w:r>
      <w:proofErr w:type="spellEnd"/>
      <w:r w:rsidRPr="004171D8">
        <w:rPr>
          <w:rFonts w:ascii="Arial" w:hAnsi="Arial" w:cs="Arial"/>
          <w:sz w:val="22"/>
          <w:szCs w:val="22"/>
        </w:rPr>
        <w:t xml:space="preserve"> and Mulla (2023) </w:t>
      </w:r>
      <w:r w:rsidR="00D02713" w:rsidRPr="00006A75">
        <w:rPr>
          <w:rFonts w:ascii="Arial" w:hAnsi="Arial" w:cs="Arial"/>
          <w:sz w:val="22"/>
          <w:szCs w:val="22"/>
        </w:rPr>
        <w:t>examined how governments worldwide have used policy measures to reduce adult obesity</w:t>
      </w:r>
      <w:r w:rsidRPr="004171D8">
        <w:rPr>
          <w:rFonts w:ascii="Arial" w:hAnsi="Arial" w:cs="Arial"/>
          <w:sz w:val="22"/>
          <w:szCs w:val="22"/>
        </w:rPr>
        <w:t>. Obesity is a major health problem, and governments have tried different approaches to tackle it.</w:t>
      </w:r>
    </w:p>
    <w:p w14:paraId="2B3A4F17" w14:textId="77777777" w:rsidR="004171D8" w:rsidRPr="004171D8" w:rsidRDefault="004171D8" w:rsidP="00006A75">
      <w:pPr>
        <w:spacing w:line="360" w:lineRule="auto"/>
        <w:rPr>
          <w:rFonts w:ascii="Arial" w:hAnsi="Arial" w:cs="Arial"/>
          <w:sz w:val="22"/>
          <w:szCs w:val="22"/>
        </w:rPr>
      </w:pPr>
      <w:r w:rsidRPr="004171D8">
        <w:rPr>
          <w:rFonts w:ascii="Arial" w:hAnsi="Arial" w:cs="Arial"/>
          <w:sz w:val="22"/>
          <w:szCs w:val="22"/>
        </w:rPr>
        <w:lastRenderedPageBreak/>
        <w:t>The researchers reviewed many different studies to understand which policies worked best. They found that several countries have introduced rules to make unhealthy foods less available, like limiting how much junk food can be advertised or sold in certain places. Other measures included making healthy food more affordable or providing education on healthy living.</w:t>
      </w:r>
    </w:p>
    <w:p w14:paraId="04C830B0" w14:textId="77777777" w:rsidR="00065DD1" w:rsidRPr="006C2CA7" w:rsidRDefault="004171D8" w:rsidP="00006A75">
      <w:pPr>
        <w:spacing w:line="360" w:lineRule="auto"/>
        <w:rPr>
          <w:rFonts w:ascii="Arial" w:hAnsi="Arial" w:cs="Arial"/>
          <w:sz w:val="22"/>
          <w:szCs w:val="22"/>
        </w:rPr>
      </w:pPr>
      <w:r w:rsidRPr="004171D8">
        <w:rPr>
          <w:rFonts w:ascii="Arial" w:hAnsi="Arial" w:cs="Arial"/>
          <w:sz w:val="22"/>
          <w:szCs w:val="22"/>
        </w:rPr>
        <w:t>However, the study showed that there is still a lot of work to be done. Some policies have been more successful than others, and many countries are still figuring out the best ways to help their populations lose weight and stay healthy. The researchers pointed out that it is important to consider local culture, resources, and the needs of different groups of people when creating these policies.</w:t>
      </w:r>
      <w:r w:rsidR="00065DD1" w:rsidRPr="006C2CA7">
        <w:rPr>
          <w:rFonts w:ascii="Arial" w:hAnsi="Arial" w:cs="Arial"/>
          <w:sz w:val="22"/>
          <w:szCs w:val="22"/>
        </w:rPr>
        <w:t xml:space="preserve">(Fadwa </w:t>
      </w:r>
      <w:proofErr w:type="spellStart"/>
      <w:r w:rsidR="00065DD1" w:rsidRPr="006C2CA7">
        <w:rPr>
          <w:rFonts w:ascii="Arial" w:hAnsi="Arial" w:cs="Arial"/>
          <w:sz w:val="22"/>
          <w:szCs w:val="22"/>
        </w:rPr>
        <w:t>Alrubaian</w:t>
      </w:r>
      <w:proofErr w:type="spellEnd"/>
      <w:r w:rsidR="00065DD1" w:rsidRPr="006C2CA7">
        <w:rPr>
          <w:rFonts w:ascii="Arial" w:hAnsi="Arial" w:cs="Arial"/>
          <w:sz w:val="22"/>
          <w:szCs w:val="22"/>
        </w:rPr>
        <w:t xml:space="preserve"> and Mulla, 2023)</w:t>
      </w:r>
    </w:p>
    <w:p w14:paraId="0FF43900" w14:textId="5542CFE7" w:rsidR="00A26D1B" w:rsidRPr="00006A75" w:rsidRDefault="00991117" w:rsidP="00006A75">
      <w:pPr>
        <w:spacing w:line="360" w:lineRule="auto"/>
        <w:rPr>
          <w:rFonts w:ascii="Arial" w:hAnsi="Arial" w:cs="Arial"/>
          <w:sz w:val="22"/>
          <w:szCs w:val="22"/>
        </w:rPr>
      </w:pPr>
      <w:r w:rsidRPr="00006A75">
        <w:rPr>
          <w:rFonts w:ascii="Arial" w:hAnsi="Arial" w:cs="Arial"/>
          <w:sz w:val="22"/>
          <w:szCs w:val="22"/>
        </w:rPr>
        <w:t>.</w:t>
      </w:r>
      <w:r w:rsidR="00A26D1B" w:rsidRPr="00006A75">
        <w:rPr>
          <w:rFonts w:ascii="Arial" w:hAnsi="Arial" w:cs="Arial"/>
          <w:b/>
          <w:bCs/>
          <w:sz w:val="22"/>
          <w:szCs w:val="22"/>
        </w:rPr>
        <w:t>Health and Social Care Services</w:t>
      </w:r>
    </w:p>
    <w:p w14:paraId="7572A91B" w14:textId="507485B2" w:rsidR="00555043" w:rsidRPr="00555043" w:rsidRDefault="00555043" w:rsidP="00006A75">
      <w:pPr>
        <w:spacing w:line="360" w:lineRule="auto"/>
        <w:rPr>
          <w:rFonts w:ascii="Arial" w:hAnsi="Arial" w:cs="Arial"/>
          <w:sz w:val="22"/>
          <w:szCs w:val="22"/>
        </w:rPr>
      </w:pPr>
      <w:r w:rsidRPr="00555043">
        <w:rPr>
          <w:rFonts w:ascii="Arial" w:hAnsi="Arial" w:cs="Arial"/>
          <w:sz w:val="22"/>
          <w:szCs w:val="22"/>
        </w:rPr>
        <w:t xml:space="preserve">In England, the National Institute for Health and Care Excellence (NICE) provides guidelines for weight management, and these are usually followed in Northern Ireland (NI). These guidelines include a system of different levels of care. The first level (Tier 1) focuses on general health promotion and preventing obesity for everyone. The second level (Tier 2) is for people who are overweight or obese (BMI ≥ 25), offering community-based programs that focus on changing behaviour, like improving diet and increasing physical activity. The third and fourth levels (Tiers 3 and 4) are more </w:t>
      </w:r>
      <w:r w:rsidRPr="00006A75">
        <w:rPr>
          <w:rFonts w:ascii="Arial" w:hAnsi="Arial" w:cs="Arial"/>
          <w:sz w:val="22"/>
          <w:szCs w:val="22"/>
        </w:rPr>
        <w:t>specialised</w:t>
      </w:r>
      <w:r w:rsidRPr="00555043">
        <w:rPr>
          <w:rFonts w:ascii="Arial" w:hAnsi="Arial" w:cs="Arial"/>
          <w:sz w:val="22"/>
          <w:szCs w:val="22"/>
        </w:rPr>
        <w:t xml:space="preserve"> and include medical treatments like surgery, medication, and psychological support for people with more severe obesity (BMI ≥ 30) or complex obesity (BMI ≥ 35) with other health issues.</w:t>
      </w:r>
    </w:p>
    <w:p w14:paraId="4ACE5A75" w14:textId="2DD88FE5" w:rsidR="00555043" w:rsidRPr="00555043" w:rsidRDefault="00555043" w:rsidP="00006A75">
      <w:pPr>
        <w:spacing w:line="360" w:lineRule="auto"/>
        <w:rPr>
          <w:rFonts w:ascii="Arial" w:hAnsi="Arial" w:cs="Arial"/>
          <w:sz w:val="22"/>
          <w:szCs w:val="22"/>
        </w:rPr>
      </w:pPr>
      <w:r w:rsidRPr="00555043">
        <w:rPr>
          <w:rFonts w:ascii="Arial" w:hAnsi="Arial" w:cs="Arial"/>
          <w:sz w:val="22"/>
          <w:szCs w:val="22"/>
        </w:rPr>
        <w:t>The NHS suggests that the second level of care (Tier 2) should include a mix of different interventions to help people make lifestyle changes. However, there are still not many effective weight-management programs across the UK, especially in Northern Ireland. Understanding what people living with overweight and obesity want from these programs is very important for making sure the services work well and reach those who need them.</w:t>
      </w:r>
    </w:p>
    <w:p w14:paraId="697118D6" w14:textId="0C205360" w:rsidR="00555043" w:rsidRPr="00555043" w:rsidRDefault="00555043" w:rsidP="00006A75">
      <w:pPr>
        <w:spacing w:line="360" w:lineRule="auto"/>
        <w:rPr>
          <w:rFonts w:ascii="Arial" w:hAnsi="Arial" w:cs="Arial"/>
          <w:sz w:val="22"/>
          <w:szCs w:val="22"/>
        </w:rPr>
      </w:pPr>
      <w:r w:rsidRPr="00555043">
        <w:rPr>
          <w:rFonts w:ascii="Arial" w:hAnsi="Arial" w:cs="Arial"/>
          <w:sz w:val="22"/>
          <w:szCs w:val="22"/>
        </w:rPr>
        <w:t xml:space="preserve">A new obesity strategy is being developed in Northern Ireland, following the previous plan "A Fitter Future for All 2012–2022". This makes it the right time to learn more about the preferences of </w:t>
      </w:r>
      <w:r w:rsidR="002770AF" w:rsidRPr="00006A75">
        <w:rPr>
          <w:rFonts w:ascii="Arial" w:hAnsi="Arial" w:cs="Arial"/>
          <w:sz w:val="22"/>
          <w:szCs w:val="22"/>
        </w:rPr>
        <w:t>Plough</w:t>
      </w:r>
      <w:r w:rsidRPr="00555043">
        <w:rPr>
          <w:rFonts w:ascii="Arial" w:hAnsi="Arial" w:cs="Arial"/>
          <w:sz w:val="22"/>
          <w:szCs w:val="22"/>
        </w:rPr>
        <w:t xml:space="preserve">, which could help shape future services and improve weight-management programs </w:t>
      </w:r>
      <w:r w:rsidR="002770AF" w:rsidRPr="006C2CA7">
        <w:rPr>
          <w:rFonts w:ascii="Arial" w:hAnsi="Arial" w:cs="Arial"/>
          <w:sz w:val="22"/>
          <w:szCs w:val="22"/>
        </w:rPr>
        <w:t>Kyle, Kelly and McGowan, 2024)</w:t>
      </w:r>
      <w:r w:rsidR="00D04676" w:rsidRPr="00006A75">
        <w:rPr>
          <w:rFonts w:ascii="Arial" w:hAnsi="Arial" w:cs="Arial"/>
          <w:sz w:val="22"/>
          <w:szCs w:val="22"/>
        </w:rPr>
        <w:t>.</w:t>
      </w:r>
    </w:p>
    <w:p w14:paraId="7C9F8D69" w14:textId="57A6A298" w:rsidR="00991117" w:rsidRPr="00006A75" w:rsidRDefault="00991117" w:rsidP="00006A75">
      <w:pPr>
        <w:spacing w:line="360" w:lineRule="auto"/>
        <w:rPr>
          <w:rFonts w:ascii="Arial" w:hAnsi="Arial" w:cs="Arial"/>
          <w:sz w:val="22"/>
          <w:szCs w:val="22"/>
        </w:rPr>
      </w:pPr>
    </w:p>
    <w:p w14:paraId="2589C019" w14:textId="77777777" w:rsidR="00A26D1B" w:rsidRPr="00006A75" w:rsidRDefault="00991117" w:rsidP="00006A75">
      <w:pPr>
        <w:spacing w:line="360" w:lineRule="auto"/>
        <w:rPr>
          <w:rFonts w:ascii="Arial" w:hAnsi="Arial" w:cs="Arial"/>
          <w:b/>
          <w:bCs/>
          <w:sz w:val="22"/>
          <w:szCs w:val="22"/>
        </w:rPr>
      </w:pPr>
      <w:r w:rsidRPr="00006A75">
        <w:rPr>
          <w:rFonts w:ascii="Arial" w:hAnsi="Arial" w:cs="Arial"/>
          <w:b/>
          <w:bCs/>
          <w:sz w:val="22"/>
          <w:szCs w:val="22"/>
        </w:rPr>
        <w:t xml:space="preserve">3. </w:t>
      </w:r>
      <w:r w:rsidR="00A26D1B" w:rsidRPr="00006A75">
        <w:rPr>
          <w:rFonts w:ascii="Arial" w:hAnsi="Arial" w:cs="Arial"/>
          <w:b/>
          <w:bCs/>
          <w:sz w:val="22"/>
          <w:szCs w:val="22"/>
        </w:rPr>
        <w:t>Methods of Data Collection and Analysis</w:t>
      </w:r>
    </w:p>
    <w:p w14:paraId="309B4EF5" w14:textId="77777777" w:rsidR="00A26D1B" w:rsidRPr="00006A75" w:rsidRDefault="00A26D1B" w:rsidP="00006A75">
      <w:pPr>
        <w:spacing w:line="360" w:lineRule="auto"/>
        <w:rPr>
          <w:rFonts w:ascii="Arial" w:hAnsi="Arial" w:cs="Arial"/>
          <w:b/>
          <w:bCs/>
          <w:sz w:val="22"/>
          <w:szCs w:val="22"/>
        </w:rPr>
      </w:pPr>
      <w:r w:rsidRPr="00006A75">
        <w:rPr>
          <w:rFonts w:ascii="Arial" w:hAnsi="Arial" w:cs="Arial"/>
          <w:b/>
          <w:bCs/>
          <w:sz w:val="22"/>
          <w:szCs w:val="22"/>
        </w:rPr>
        <w:t>Data Collection:</w:t>
      </w:r>
    </w:p>
    <w:p w14:paraId="1F55FCC5" w14:textId="77777777" w:rsidR="00A26D1B" w:rsidRPr="00006A75" w:rsidRDefault="00A26D1B" w:rsidP="00006A75">
      <w:pPr>
        <w:spacing w:line="360" w:lineRule="auto"/>
        <w:rPr>
          <w:rFonts w:ascii="Arial" w:hAnsi="Arial" w:cs="Arial"/>
          <w:sz w:val="22"/>
          <w:szCs w:val="22"/>
        </w:rPr>
      </w:pPr>
      <w:r w:rsidRPr="00006A75">
        <w:rPr>
          <w:rFonts w:ascii="Arial" w:hAnsi="Arial" w:cs="Arial"/>
          <w:sz w:val="22"/>
          <w:szCs w:val="22"/>
        </w:rPr>
        <w:lastRenderedPageBreak/>
        <w:t>The studies included in this scoping review were identified through reliable academic databases such as PubMed, Google Scholar, and EBSCOhost. These platforms provide access to peer-reviewed academic journal articles. The inclusion criteria focused on peer-reviewed articles that addressed obesity in disadvantaged populations within the UK, published within the last ten years. The search terms included “adult obesity,” “socio-economic status, disadvantaged populations, health inequalities, and UK.</w:t>
      </w:r>
    </w:p>
    <w:p w14:paraId="0F66CDF1" w14:textId="0C7FD689" w:rsidR="00991117" w:rsidRPr="00006A75" w:rsidRDefault="00991117" w:rsidP="00006A75">
      <w:pPr>
        <w:spacing w:line="360" w:lineRule="auto"/>
        <w:rPr>
          <w:rFonts w:ascii="Arial" w:hAnsi="Arial" w:cs="Arial"/>
          <w:sz w:val="22"/>
          <w:szCs w:val="22"/>
        </w:rPr>
      </w:pPr>
      <w:r w:rsidRPr="00006A75">
        <w:rPr>
          <w:rFonts w:ascii="Arial" w:hAnsi="Arial" w:cs="Arial"/>
          <w:sz w:val="22"/>
          <w:szCs w:val="22"/>
        </w:rPr>
        <w:t xml:space="preserve">This study used a </w:t>
      </w:r>
      <w:r w:rsidRPr="00006A75">
        <w:rPr>
          <w:rFonts w:ascii="Arial" w:hAnsi="Arial" w:cs="Arial"/>
          <w:b/>
          <w:bCs/>
          <w:sz w:val="22"/>
          <w:szCs w:val="22"/>
        </w:rPr>
        <w:t>scoping review methodology</w:t>
      </w:r>
      <w:r w:rsidRPr="00006A75">
        <w:rPr>
          <w:rFonts w:ascii="Arial" w:hAnsi="Arial" w:cs="Arial"/>
          <w:sz w:val="22"/>
          <w:szCs w:val="22"/>
        </w:rPr>
        <w:t xml:space="preserve"> to explore existing research on adult obesity in disadvantaged populations in the UK. Scoping reviews are useful for identifying key themes and gaps in the literature (Arksey and O’Malley, 2005).</w:t>
      </w:r>
    </w:p>
    <w:p w14:paraId="75F75689" w14:textId="77777777" w:rsidR="00991117" w:rsidRPr="00006A75" w:rsidRDefault="00991117" w:rsidP="00006A75">
      <w:pPr>
        <w:spacing w:line="360" w:lineRule="auto"/>
        <w:rPr>
          <w:rFonts w:ascii="Arial" w:hAnsi="Arial" w:cs="Arial"/>
          <w:b/>
          <w:bCs/>
          <w:sz w:val="22"/>
          <w:szCs w:val="22"/>
        </w:rPr>
      </w:pPr>
      <w:r w:rsidRPr="00006A75">
        <w:rPr>
          <w:rFonts w:ascii="Arial" w:hAnsi="Arial" w:cs="Arial"/>
          <w:b/>
          <w:bCs/>
          <w:sz w:val="22"/>
          <w:szCs w:val="22"/>
        </w:rPr>
        <w:t>Search Strategy</w:t>
      </w:r>
    </w:p>
    <w:p w14:paraId="2CBFCA9E" w14:textId="77777777" w:rsidR="00991117" w:rsidRPr="00006A75" w:rsidRDefault="00991117" w:rsidP="00006A75">
      <w:pPr>
        <w:spacing w:line="360" w:lineRule="auto"/>
        <w:rPr>
          <w:rFonts w:ascii="Arial" w:hAnsi="Arial" w:cs="Arial"/>
          <w:sz w:val="22"/>
          <w:szCs w:val="22"/>
        </w:rPr>
      </w:pPr>
      <w:r w:rsidRPr="00006A75">
        <w:rPr>
          <w:rFonts w:ascii="Arial" w:hAnsi="Arial" w:cs="Arial"/>
          <w:sz w:val="22"/>
          <w:szCs w:val="22"/>
        </w:rPr>
        <w:t>A literature search was conducted using:</w:t>
      </w:r>
    </w:p>
    <w:p w14:paraId="54CCEB2F" w14:textId="77777777" w:rsidR="00991117" w:rsidRPr="00006A75" w:rsidRDefault="00991117" w:rsidP="00006A75">
      <w:pPr>
        <w:numPr>
          <w:ilvl w:val="0"/>
          <w:numId w:val="2"/>
        </w:numPr>
        <w:spacing w:line="360" w:lineRule="auto"/>
        <w:rPr>
          <w:rFonts w:ascii="Arial" w:hAnsi="Arial" w:cs="Arial"/>
          <w:sz w:val="22"/>
          <w:szCs w:val="22"/>
        </w:rPr>
      </w:pPr>
      <w:r w:rsidRPr="00006A75">
        <w:rPr>
          <w:rFonts w:ascii="Arial" w:hAnsi="Arial" w:cs="Arial"/>
          <w:sz w:val="22"/>
          <w:szCs w:val="22"/>
        </w:rPr>
        <w:t xml:space="preserve">PubMed </w:t>
      </w:r>
    </w:p>
    <w:p w14:paraId="54675778" w14:textId="77777777" w:rsidR="00991117" w:rsidRPr="00006A75" w:rsidRDefault="00991117" w:rsidP="00006A75">
      <w:pPr>
        <w:numPr>
          <w:ilvl w:val="0"/>
          <w:numId w:val="2"/>
        </w:numPr>
        <w:spacing w:line="360" w:lineRule="auto"/>
        <w:rPr>
          <w:rFonts w:ascii="Arial" w:hAnsi="Arial" w:cs="Arial"/>
          <w:sz w:val="22"/>
          <w:szCs w:val="22"/>
        </w:rPr>
      </w:pPr>
      <w:r w:rsidRPr="00006A75">
        <w:rPr>
          <w:rFonts w:ascii="Arial" w:hAnsi="Arial" w:cs="Arial"/>
          <w:sz w:val="22"/>
          <w:szCs w:val="22"/>
        </w:rPr>
        <w:t xml:space="preserve">Google Scholar </w:t>
      </w:r>
    </w:p>
    <w:p w14:paraId="1B9377EE" w14:textId="77777777" w:rsidR="00991117" w:rsidRPr="00006A75" w:rsidRDefault="00991117" w:rsidP="00006A75">
      <w:pPr>
        <w:numPr>
          <w:ilvl w:val="0"/>
          <w:numId w:val="2"/>
        </w:numPr>
        <w:spacing w:line="360" w:lineRule="auto"/>
        <w:rPr>
          <w:rFonts w:ascii="Arial" w:hAnsi="Arial" w:cs="Arial"/>
          <w:sz w:val="22"/>
          <w:szCs w:val="22"/>
        </w:rPr>
      </w:pPr>
      <w:r w:rsidRPr="00006A75">
        <w:rPr>
          <w:rFonts w:ascii="Arial" w:hAnsi="Arial" w:cs="Arial"/>
          <w:sz w:val="22"/>
          <w:szCs w:val="22"/>
        </w:rPr>
        <w:t xml:space="preserve">EBSCOhost </w:t>
      </w:r>
    </w:p>
    <w:p w14:paraId="036C9711" w14:textId="77777777" w:rsidR="00991117" w:rsidRPr="00006A75" w:rsidRDefault="00991117" w:rsidP="00006A75">
      <w:pPr>
        <w:spacing w:line="360" w:lineRule="auto"/>
        <w:rPr>
          <w:rFonts w:ascii="Arial" w:hAnsi="Arial" w:cs="Arial"/>
          <w:sz w:val="22"/>
          <w:szCs w:val="22"/>
        </w:rPr>
      </w:pPr>
      <w:r w:rsidRPr="00006A75">
        <w:rPr>
          <w:rFonts w:ascii="Arial" w:hAnsi="Arial" w:cs="Arial"/>
          <w:sz w:val="22"/>
          <w:szCs w:val="22"/>
        </w:rPr>
        <w:t>Search terms included:</w:t>
      </w:r>
    </w:p>
    <w:p w14:paraId="77EC2417" w14:textId="01A7297C" w:rsidR="00991117" w:rsidRPr="00006A75" w:rsidRDefault="00A26D1B" w:rsidP="00006A75">
      <w:pPr>
        <w:numPr>
          <w:ilvl w:val="0"/>
          <w:numId w:val="3"/>
        </w:numPr>
        <w:spacing w:line="360" w:lineRule="auto"/>
        <w:rPr>
          <w:rFonts w:ascii="Arial" w:hAnsi="Arial" w:cs="Arial"/>
          <w:sz w:val="22"/>
          <w:szCs w:val="22"/>
        </w:rPr>
      </w:pPr>
      <w:r w:rsidRPr="00006A75">
        <w:rPr>
          <w:rFonts w:ascii="Arial" w:hAnsi="Arial" w:cs="Arial"/>
          <w:sz w:val="22"/>
          <w:szCs w:val="22"/>
        </w:rPr>
        <w:t>Obesity</w:t>
      </w:r>
      <w:r w:rsidR="00991117" w:rsidRPr="00006A75">
        <w:rPr>
          <w:rFonts w:ascii="Arial" w:hAnsi="Arial" w:cs="Arial"/>
          <w:sz w:val="22"/>
          <w:szCs w:val="22"/>
        </w:rPr>
        <w:t xml:space="preserve"> UK deprivation</w:t>
      </w:r>
    </w:p>
    <w:p w14:paraId="39317A0C" w14:textId="5C65F0D7" w:rsidR="00991117" w:rsidRPr="00006A75" w:rsidRDefault="00A26D1B" w:rsidP="00006A75">
      <w:pPr>
        <w:numPr>
          <w:ilvl w:val="0"/>
          <w:numId w:val="3"/>
        </w:numPr>
        <w:spacing w:line="360" w:lineRule="auto"/>
        <w:rPr>
          <w:rFonts w:ascii="Arial" w:hAnsi="Arial" w:cs="Arial"/>
          <w:sz w:val="22"/>
          <w:szCs w:val="22"/>
        </w:rPr>
      </w:pPr>
      <w:r w:rsidRPr="00006A75">
        <w:rPr>
          <w:rFonts w:ascii="Arial" w:hAnsi="Arial" w:cs="Arial"/>
          <w:sz w:val="22"/>
          <w:szCs w:val="22"/>
        </w:rPr>
        <w:t>Socioeconomic</w:t>
      </w:r>
      <w:r w:rsidR="00991117" w:rsidRPr="00006A75">
        <w:rPr>
          <w:rFonts w:ascii="Arial" w:hAnsi="Arial" w:cs="Arial"/>
          <w:sz w:val="22"/>
          <w:szCs w:val="22"/>
        </w:rPr>
        <w:t xml:space="preserve"> obesity </w:t>
      </w:r>
      <w:r w:rsidRPr="00006A75">
        <w:rPr>
          <w:rFonts w:ascii="Arial" w:hAnsi="Arial" w:cs="Arial"/>
          <w:sz w:val="22"/>
          <w:szCs w:val="22"/>
        </w:rPr>
        <w:t xml:space="preserve">in </w:t>
      </w:r>
      <w:r w:rsidR="00991117" w:rsidRPr="00006A75">
        <w:rPr>
          <w:rFonts w:ascii="Arial" w:hAnsi="Arial" w:cs="Arial"/>
          <w:sz w:val="22"/>
          <w:szCs w:val="22"/>
        </w:rPr>
        <w:t>UK adults</w:t>
      </w:r>
    </w:p>
    <w:p w14:paraId="3A23E338" w14:textId="0B5ADB0D" w:rsidR="00991117" w:rsidRPr="00006A75" w:rsidRDefault="00A26D1B" w:rsidP="00006A75">
      <w:pPr>
        <w:numPr>
          <w:ilvl w:val="0"/>
          <w:numId w:val="3"/>
        </w:numPr>
        <w:spacing w:line="360" w:lineRule="auto"/>
        <w:rPr>
          <w:rFonts w:ascii="Arial" w:hAnsi="Arial" w:cs="Arial"/>
          <w:sz w:val="22"/>
          <w:szCs w:val="22"/>
        </w:rPr>
      </w:pPr>
      <w:r w:rsidRPr="00006A75">
        <w:rPr>
          <w:rFonts w:ascii="Arial" w:hAnsi="Arial" w:cs="Arial"/>
          <w:sz w:val="22"/>
          <w:szCs w:val="22"/>
        </w:rPr>
        <w:t>Health</w:t>
      </w:r>
      <w:r w:rsidR="00991117" w:rsidRPr="00006A75">
        <w:rPr>
          <w:rFonts w:ascii="Arial" w:hAnsi="Arial" w:cs="Arial"/>
          <w:sz w:val="22"/>
          <w:szCs w:val="22"/>
        </w:rPr>
        <w:t xml:space="preserve"> inequality obesity UK</w:t>
      </w:r>
    </w:p>
    <w:p w14:paraId="0DD0B26A" w14:textId="77777777" w:rsidR="00991117" w:rsidRPr="00006A75" w:rsidRDefault="00991117" w:rsidP="00006A75">
      <w:pPr>
        <w:spacing w:line="360" w:lineRule="auto"/>
        <w:rPr>
          <w:rFonts w:ascii="Arial" w:hAnsi="Arial" w:cs="Arial"/>
          <w:b/>
          <w:bCs/>
          <w:sz w:val="22"/>
          <w:szCs w:val="22"/>
        </w:rPr>
      </w:pPr>
      <w:r w:rsidRPr="00006A75">
        <w:rPr>
          <w:rFonts w:ascii="Arial" w:hAnsi="Arial" w:cs="Arial"/>
          <w:b/>
          <w:bCs/>
          <w:sz w:val="22"/>
          <w:szCs w:val="22"/>
        </w:rPr>
        <w:t>Inclusion Criteria</w:t>
      </w:r>
    </w:p>
    <w:p w14:paraId="1A594289" w14:textId="77777777" w:rsidR="00991117" w:rsidRPr="00006A75" w:rsidRDefault="00991117" w:rsidP="00006A75">
      <w:pPr>
        <w:numPr>
          <w:ilvl w:val="0"/>
          <w:numId w:val="4"/>
        </w:numPr>
        <w:spacing w:line="360" w:lineRule="auto"/>
        <w:rPr>
          <w:rFonts w:ascii="Arial" w:hAnsi="Arial" w:cs="Arial"/>
          <w:sz w:val="22"/>
          <w:szCs w:val="22"/>
        </w:rPr>
      </w:pPr>
      <w:r w:rsidRPr="00006A75">
        <w:rPr>
          <w:rFonts w:ascii="Arial" w:hAnsi="Arial" w:cs="Arial"/>
          <w:sz w:val="22"/>
          <w:szCs w:val="22"/>
        </w:rPr>
        <w:t xml:space="preserve">Peer-reviewed journal articles </w:t>
      </w:r>
    </w:p>
    <w:p w14:paraId="6D5A33D2" w14:textId="77777777" w:rsidR="00991117" w:rsidRPr="00006A75" w:rsidRDefault="00991117" w:rsidP="00006A75">
      <w:pPr>
        <w:numPr>
          <w:ilvl w:val="0"/>
          <w:numId w:val="4"/>
        </w:numPr>
        <w:spacing w:line="360" w:lineRule="auto"/>
        <w:rPr>
          <w:rFonts w:ascii="Arial" w:hAnsi="Arial" w:cs="Arial"/>
          <w:sz w:val="22"/>
          <w:szCs w:val="22"/>
        </w:rPr>
      </w:pPr>
      <w:r w:rsidRPr="00006A75">
        <w:rPr>
          <w:rFonts w:ascii="Arial" w:hAnsi="Arial" w:cs="Arial"/>
          <w:sz w:val="22"/>
          <w:szCs w:val="22"/>
        </w:rPr>
        <w:t xml:space="preserve">UK-based adult populations </w:t>
      </w:r>
    </w:p>
    <w:p w14:paraId="3882E604" w14:textId="77777777" w:rsidR="00991117" w:rsidRPr="00006A75" w:rsidRDefault="00991117" w:rsidP="00006A75">
      <w:pPr>
        <w:numPr>
          <w:ilvl w:val="0"/>
          <w:numId w:val="4"/>
        </w:numPr>
        <w:spacing w:line="360" w:lineRule="auto"/>
        <w:rPr>
          <w:rFonts w:ascii="Arial" w:hAnsi="Arial" w:cs="Arial"/>
          <w:sz w:val="22"/>
          <w:szCs w:val="22"/>
        </w:rPr>
      </w:pPr>
      <w:r w:rsidRPr="00006A75">
        <w:rPr>
          <w:rFonts w:ascii="Arial" w:hAnsi="Arial" w:cs="Arial"/>
          <w:sz w:val="22"/>
          <w:szCs w:val="22"/>
        </w:rPr>
        <w:t xml:space="preserve">Focus on obesity and socioeconomic factors </w:t>
      </w:r>
    </w:p>
    <w:p w14:paraId="10BF027F" w14:textId="77777777" w:rsidR="00991117" w:rsidRPr="00006A75" w:rsidRDefault="00991117" w:rsidP="00006A75">
      <w:pPr>
        <w:spacing w:line="360" w:lineRule="auto"/>
        <w:rPr>
          <w:rFonts w:ascii="Arial" w:hAnsi="Arial" w:cs="Arial"/>
          <w:b/>
          <w:bCs/>
          <w:sz w:val="22"/>
          <w:szCs w:val="22"/>
        </w:rPr>
      </w:pPr>
      <w:r w:rsidRPr="00006A75">
        <w:rPr>
          <w:rFonts w:ascii="Arial" w:hAnsi="Arial" w:cs="Arial"/>
          <w:b/>
          <w:bCs/>
          <w:sz w:val="22"/>
          <w:szCs w:val="22"/>
        </w:rPr>
        <w:t>Exclusion Criteria</w:t>
      </w:r>
    </w:p>
    <w:p w14:paraId="0ACF69DA" w14:textId="77777777" w:rsidR="00991117" w:rsidRPr="00006A75" w:rsidRDefault="00991117" w:rsidP="00006A75">
      <w:pPr>
        <w:numPr>
          <w:ilvl w:val="0"/>
          <w:numId w:val="5"/>
        </w:numPr>
        <w:spacing w:line="360" w:lineRule="auto"/>
        <w:rPr>
          <w:rFonts w:ascii="Arial" w:hAnsi="Arial" w:cs="Arial"/>
          <w:sz w:val="22"/>
          <w:szCs w:val="22"/>
        </w:rPr>
      </w:pPr>
      <w:r w:rsidRPr="00006A75">
        <w:rPr>
          <w:rFonts w:ascii="Arial" w:hAnsi="Arial" w:cs="Arial"/>
          <w:sz w:val="22"/>
          <w:szCs w:val="22"/>
        </w:rPr>
        <w:t xml:space="preserve">Non-peer-reviewed sources </w:t>
      </w:r>
    </w:p>
    <w:p w14:paraId="521C8E03" w14:textId="77777777" w:rsidR="00991117" w:rsidRPr="00006A75" w:rsidRDefault="00991117" w:rsidP="00006A75">
      <w:pPr>
        <w:numPr>
          <w:ilvl w:val="0"/>
          <w:numId w:val="5"/>
        </w:numPr>
        <w:spacing w:line="360" w:lineRule="auto"/>
        <w:rPr>
          <w:rFonts w:ascii="Arial" w:hAnsi="Arial" w:cs="Arial"/>
          <w:sz w:val="22"/>
          <w:szCs w:val="22"/>
        </w:rPr>
      </w:pPr>
      <w:r w:rsidRPr="00006A75">
        <w:rPr>
          <w:rFonts w:ascii="Arial" w:hAnsi="Arial" w:cs="Arial"/>
          <w:sz w:val="22"/>
          <w:szCs w:val="22"/>
        </w:rPr>
        <w:t xml:space="preserve">Studies focused only on children </w:t>
      </w:r>
    </w:p>
    <w:p w14:paraId="2C80DD50" w14:textId="77777777" w:rsidR="00991117" w:rsidRPr="00006A75" w:rsidRDefault="00991117" w:rsidP="00006A75">
      <w:pPr>
        <w:numPr>
          <w:ilvl w:val="0"/>
          <w:numId w:val="5"/>
        </w:numPr>
        <w:spacing w:line="360" w:lineRule="auto"/>
        <w:rPr>
          <w:rFonts w:ascii="Arial" w:hAnsi="Arial" w:cs="Arial"/>
          <w:sz w:val="22"/>
          <w:szCs w:val="22"/>
        </w:rPr>
      </w:pPr>
      <w:r w:rsidRPr="00006A75">
        <w:rPr>
          <w:rFonts w:ascii="Arial" w:hAnsi="Arial" w:cs="Arial"/>
          <w:sz w:val="22"/>
          <w:szCs w:val="22"/>
        </w:rPr>
        <w:t xml:space="preserve">Non-UK studies </w:t>
      </w:r>
    </w:p>
    <w:p w14:paraId="66B6FFD5" w14:textId="77777777" w:rsidR="00991117" w:rsidRPr="00006A75" w:rsidRDefault="00991117" w:rsidP="00006A75">
      <w:pPr>
        <w:spacing w:line="360" w:lineRule="auto"/>
        <w:rPr>
          <w:rFonts w:ascii="Arial" w:hAnsi="Arial" w:cs="Arial"/>
          <w:sz w:val="22"/>
          <w:szCs w:val="22"/>
        </w:rPr>
      </w:pPr>
      <w:r w:rsidRPr="00006A75">
        <w:rPr>
          <w:rFonts w:ascii="Arial" w:hAnsi="Arial" w:cs="Arial"/>
          <w:sz w:val="22"/>
          <w:szCs w:val="22"/>
        </w:rPr>
        <w:t>Six studies were selected for review.</w:t>
      </w:r>
    </w:p>
    <w:p w14:paraId="158169F2" w14:textId="77777777" w:rsidR="00991117" w:rsidRPr="00006A75" w:rsidRDefault="00991117" w:rsidP="00006A75">
      <w:pPr>
        <w:spacing w:line="360" w:lineRule="auto"/>
        <w:rPr>
          <w:rFonts w:ascii="Arial" w:hAnsi="Arial" w:cs="Arial"/>
          <w:b/>
          <w:bCs/>
          <w:sz w:val="22"/>
          <w:szCs w:val="22"/>
        </w:rPr>
      </w:pPr>
      <w:r w:rsidRPr="00006A75">
        <w:rPr>
          <w:rFonts w:ascii="Arial" w:hAnsi="Arial" w:cs="Arial"/>
          <w:b/>
          <w:bCs/>
          <w:sz w:val="22"/>
          <w:szCs w:val="22"/>
        </w:rPr>
        <w:t>Data Analysis</w:t>
      </w:r>
    </w:p>
    <w:p w14:paraId="20CA1B0B" w14:textId="55A01F54" w:rsidR="00991117" w:rsidRPr="00006A75" w:rsidRDefault="00991117" w:rsidP="00006A75">
      <w:pPr>
        <w:spacing w:line="360" w:lineRule="auto"/>
        <w:rPr>
          <w:rFonts w:ascii="Arial" w:hAnsi="Arial" w:cs="Arial"/>
          <w:sz w:val="22"/>
          <w:szCs w:val="22"/>
        </w:rPr>
      </w:pPr>
      <w:r w:rsidRPr="00006A75">
        <w:rPr>
          <w:rFonts w:ascii="Arial" w:hAnsi="Arial" w:cs="Arial"/>
          <w:sz w:val="22"/>
          <w:szCs w:val="22"/>
        </w:rPr>
        <w:lastRenderedPageBreak/>
        <w:t xml:space="preserve">The studies were analysed using </w:t>
      </w:r>
      <w:r w:rsidRPr="00006A75">
        <w:rPr>
          <w:rFonts w:ascii="Arial" w:hAnsi="Arial" w:cs="Arial"/>
          <w:b/>
          <w:bCs/>
          <w:sz w:val="22"/>
          <w:szCs w:val="22"/>
        </w:rPr>
        <w:t>thematic analysis</w:t>
      </w:r>
      <w:r w:rsidR="00A26D1B" w:rsidRPr="00006A75">
        <w:rPr>
          <w:rFonts w:ascii="Arial" w:hAnsi="Arial" w:cs="Arial"/>
          <w:sz w:val="22"/>
          <w:szCs w:val="22"/>
        </w:rPr>
        <w:t xml:space="preserve">. This method involves identifying key themes or patterns in the studies, such as common causes of obesity, successful interventions, and the challenges faced by disadvantaged groups. </w:t>
      </w:r>
      <w:r w:rsidRPr="00006A75">
        <w:rPr>
          <w:rFonts w:ascii="Arial" w:hAnsi="Arial" w:cs="Arial"/>
          <w:sz w:val="22"/>
          <w:szCs w:val="22"/>
        </w:rPr>
        <w:t>(Braun and Clarke, 2006). Key findings were coded and grouped into themes.</w:t>
      </w:r>
    </w:p>
    <w:p w14:paraId="047C3C55" w14:textId="77777777" w:rsidR="00991117" w:rsidRPr="00006A75" w:rsidRDefault="00991117" w:rsidP="00006A75">
      <w:pPr>
        <w:spacing w:line="360" w:lineRule="auto"/>
        <w:rPr>
          <w:rFonts w:ascii="Arial" w:hAnsi="Arial" w:cs="Arial"/>
          <w:b/>
          <w:bCs/>
          <w:sz w:val="22"/>
          <w:szCs w:val="22"/>
        </w:rPr>
      </w:pPr>
      <w:r w:rsidRPr="00006A75">
        <w:rPr>
          <w:rFonts w:ascii="Arial" w:hAnsi="Arial" w:cs="Arial"/>
          <w:b/>
          <w:bCs/>
          <w:sz w:val="22"/>
          <w:szCs w:val="22"/>
        </w:rPr>
        <w:t>Ethical Considerations</w:t>
      </w:r>
    </w:p>
    <w:p w14:paraId="6ED89C5C" w14:textId="77777777" w:rsidR="00420D5B" w:rsidRPr="00006A75" w:rsidRDefault="00420D5B" w:rsidP="00006A75">
      <w:pPr>
        <w:spacing w:line="360" w:lineRule="auto"/>
        <w:rPr>
          <w:rFonts w:ascii="Arial" w:hAnsi="Arial" w:cs="Arial"/>
          <w:b/>
          <w:bCs/>
          <w:sz w:val="22"/>
          <w:szCs w:val="22"/>
        </w:rPr>
      </w:pPr>
    </w:p>
    <w:p w14:paraId="4502AC26" w14:textId="2BCCD223" w:rsidR="00420D5B" w:rsidRPr="00006A75" w:rsidRDefault="00420D5B" w:rsidP="00006A75">
      <w:pPr>
        <w:spacing w:line="360" w:lineRule="auto"/>
        <w:rPr>
          <w:rFonts w:ascii="Arial" w:hAnsi="Arial" w:cs="Arial"/>
          <w:b/>
          <w:bCs/>
          <w:sz w:val="22"/>
          <w:szCs w:val="22"/>
        </w:rPr>
      </w:pPr>
      <w:r w:rsidRPr="00D94F18">
        <w:rPr>
          <w:rFonts w:ascii="Arial" w:hAnsi="Arial" w:cs="Arial"/>
          <w:b/>
          <w:bCs/>
          <w:sz w:val="22"/>
          <w:szCs w:val="22"/>
        </w:rPr>
        <w:t>Results (Detailed Table)</w:t>
      </w:r>
    </w:p>
    <w:tbl>
      <w:tblPr>
        <w:tblStyle w:val="TableGrid"/>
        <w:tblpPr w:leftFromText="180" w:rightFromText="180" w:vertAnchor="text" w:horzAnchor="page" w:tblpX="127" w:tblpY="1278"/>
        <w:tblW w:w="11680" w:type="dxa"/>
        <w:tblLook w:val="04A0" w:firstRow="1" w:lastRow="0" w:firstColumn="1" w:lastColumn="0" w:noHBand="0" w:noVBand="1"/>
      </w:tblPr>
      <w:tblGrid>
        <w:gridCol w:w="2920"/>
        <w:gridCol w:w="2920"/>
        <w:gridCol w:w="2920"/>
        <w:gridCol w:w="2920"/>
      </w:tblGrid>
      <w:tr w:rsidR="00F653BF" w:rsidRPr="00006A75" w14:paraId="16BBC280" w14:textId="77777777" w:rsidTr="00F653BF">
        <w:trPr>
          <w:trHeight w:val="1195"/>
        </w:trPr>
        <w:tc>
          <w:tcPr>
            <w:tcW w:w="2920" w:type="dxa"/>
          </w:tcPr>
          <w:p w14:paraId="6D68316B" w14:textId="77777777" w:rsidR="00E55592" w:rsidRPr="00006A75" w:rsidRDefault="00E55592" w:rsidP="00006A75">
            <w:pPr>
              <w:spacing w:line="360" w:lineRule="auto"/>
              <w:rPr>
                <w:rFonts w:ascii="Arial" w:hAnsi="Arial" w:cs="Arial"/>
                <w:b/>
                <w:bCs/>
                <w:sz w:val="22"/>
                <w:szCs w:val="22"/>
              </w:rPr>
            </w:pPr>
            <w:r w:rsidRPr="00006A75">
              <w:rPr>
                <w:rFonts w:ascii="Arial" w:hAnsi="Arial" w:cs="Arial"/>
                <w:b/>
                <w:bCs/>
                <w:sz w:val="22"/>
                <w:szCs w:val="22"/>
              </w:rPr>
              <w:t xml:space="preserve">Authors </w:t>
            </w:r>
          </w:p>
        </w:tc>
        <w:tc>
          <w:tcPr>
            <w:tcW w:w="2920" w:type="dxa"/>
          </w:tcPr>
          <w:p w14:paraId="513CC6CA" w14:textId="77777777" w:rsidR="00E55592" w:rsidRPr="00006A75" w:rsidRDefault="00E55592" w:rsidP="00006A75">
            <w:pPr>
              <w:spacing w:line="360" w:lineRule="auto"/>
              <w:rPr>
                <w:rFonts w:ascii="Arial" w:hAnsi="Arial" w:cs="Arial"/>
                <w:b/>
                <w:bCs/>
                <w:sz w:val="22"/>
                <w:szCs w:val="22"/>
              </w:rPr>
            </w:pPr>
            <w:r w:rsidRPr="00006A75">
              <w:rPr>
                <w:rFonts w:ascii="Arial" w:hAnsi="Arial" w:cs="Arial"/>
                <w:b/>
                <w:bCs/>
                <w:sz w:val="22"/>
                <w:szCs w:val="22"/>
              </w:rPr>
              <w:t xml:space="preserve">Year study type </w:t>
            </w:r>
          </w:p>
        </w:tc>
        <w:tc>
          <w:tcPr>
            <w:tcW w:w="2920" w:type="dxa"/>
          </w:tcPr>
          <w:p w14:paraId="23A30309" w14:textId="77777777" w:rsidR="00E55592" w:rsidRPr="00006A75" w:rsidRDefault="00E55592" w:rsidP="00006A75">
            <w:pPr>
              <w:spacing w:line="360" w:lineRule="auto"/>
              <w:rPr>
                <w:rFonts w:ascii="Arial" w:hAnsi="Arial" w:cs="Arial"/>
                <w:b/>
                <w:bCs/>
                <w:sz w:val="22"/>
                <w:szCs w:val="22"/>
              </w:rPr>
            </w:pPr>
            <w:r w:rsidRPr="00006A75">
              <w:rPr>
                <w:rFonts w:ascii="Arial" w:hAnsi="Arial" w:cs="Arial"/>
                <w:b/>
                <w:bCs/>
                <w:sz w:val="22"/>
                <w:szCs w:val="22"/>
              </w:rPr>
              <w:t>Sample</w:t>
            </w:r>
          </w:p>
        </w:tc>
        <w:tc>
          <w:tcPr>
            <w:tcW w:w="2920" w:type="dxa"/>
          </w:tcPr>
          <w:p w14:paraId="3FB826F8" w14:textId="77777777" w:rsidR="00E55592" w:rsidRPr="00006A75" w:rsidRDefault="00E55592" w:rsidP="00006A75">
            <w:pPr>
              <w:spacing w:line="360" w:lineRule="auto"/>
              <w:rPr>
                <w:rFonts w:ascii="Arial" w:hAnsi="Arial" w:cs="Arial"/>
                <w:b/>
                <w:bCs/>
                <w:sz w:val="22"/>
                <w:szCs w:val="22"/>
              </w:rPr>
            </w:pPr>
            <w:r w:rsidRPr="00006A75">
              <w:rPr>
                <w:rFonts w:ascii="Arial" w:hAnsi="Arial" w:cs="Arial"/>
                <w:b/>
                <w:bCs/>
                <w:sz w:val="22"/>
                <w:szCs w:val="22"/>
              </w:rPr>
              <w:t xml:space="preserve">Key findings </w:t>
            </w:r>
          </w:p>
        </w:tc>
      </w:tr>
      <w:tr w:rsidR="00F653BF" w:rsidRPr="00006A75" w14:paraId="7490FC89" w14:textId="77777777" w:rsidTr="00F653BF">
        <w:trPr>
          <w:trHeight w:val="1195"/>
        </w:trPr>
        <w:tc>
          <w:tcPr>
            <w:tcW w:w="2920" w:type="dxa"/>
          </w:tcPr>
          <w:p w14:paraId="3C216A23" w14:textId="77777777" w:rsidR="00E55592" w:rsidRPr="00006A75" w:rsidRDefault="00E55592" w:rsidP="00006A75">
            <w:pPr>
              <w:spacing w:line="360" w:lineRule="auto"/>
              <w:rPr>
                <w:rFonts w:ascii="Arial" w:hAnsi="Arial" w:cs="Arial"/>
                <w:sz w:val="22"/>
                <w:szCs w:val="22"/>
              </w:rPr>
            </w:pPr>
            <w:r w:rsidRPr="00006A75">
              <w:rPr>
                <w:rFonts w:ascii="Arial" w:hAnsi="Arial" w:cs="Arial"/>
                <w:sz w:val="22"/>
                <w:szCs w:val="22"/>
              </w:rPr>
              <w:t>Marmot</w:t>
            </w:r>
          </w:p>
        </w:tc>
        <w:tc>
          <w:tcPr>
            <w:tcW w:w="2920" w:type="dxa"/>
            <w:vAlign w:val="center"/>
          </w:tcPr>
          <w:p w14:paraId="68F19F0C" w14:textId="77777777" w:rsidR="00E55592" w:rsidRPr="00006A75" w:rsidRDefault="00E55592" w:rsidP="00006A75">
            <w:pPr>
              <w:spacing w:line="360" w:lineRule="auto"/>
              <w:rPr>
                <w:rFonts w:ascii="Arial" w:hAnsi="Arial" w:cs="Arial"/>
                <w:b/>
                <w:bCs/>
                <w:sz w:val="22"/>
                <w:szCs w:val="22"/>
              </w:rPr>
            </w:pPr>
            <w:r w:rsidRPr="00D94F18">
              <w:rPr>
                <w:rFonts w:ascii="Arial" w:hAnsi="Arial" w:cs="Arial"/>
                <w:sz w:val="22"/>
                <w:szCs w:val="22"/>
              </w:rPr>
              <w:t>2024</w:t>
            </w:r>
            <w:r w:rsidRPr="00006A75">
              <w:rPr>
                <w:rFonts w:ascii="Arial" w:hAnsi="Arial" w:cs="Arial"/>
                <w:sz w:val="22"/>
                <w:szCs w:val="22"/>
              </w:rPr>
              <w:t xml:space="preserve"> Review </w:t>
            </w:r>
          </w:p>
        </w:tc>
        <w:tc>
          <w:tcPr>
            <w:tcW w:w="2920" w:type="dxa"/>
            <w:vAlign w:val="center"/>
          </w:tcPr>
          <w:p w14:paraId="186F8380" w14:textId="77777777" w:rsidR="00E55592" w:rsidRPr="00006A75" w:rsidRDefault="00E55592" w:rsidP="00006A75">
            <w:pPr>
              <w:spacing w:line="360" w:lineRule="auto"/>
              <w:rPr>
                <w:rFonts w:ascii="Arial" w:hAnsi="Arial" w:cs="Arial"/>
                <w:b/>
                <w:bCs/>
                <w:sz w:val="22"/>
                <w:szCs w:val="22"/>
              </w:rPr>
            </w:pPr>
            <w:r w:rsidRPr="00D94F18">
              <w:rPr>
                <w:rFonts w:ascii="Arial" w:hAnsi="Arial" w:cs="Arial"/>
                <w:sz w:val="22"/>
                <w:szCs w:val="22"/>
              </w:rPr>
              <w:t>UK population</w:t>
            </w:r>
          </w:p>
        </w:tc>
        <w:tc>
          <w:tcPr>
            <w:tcW w:w="2920" w:type="dxa"/>
          </w:tcPr>
          <w:p w14:paraId="09148DCF" w14:textId="77777777" w:rsidR="00E55592" w:rsidRPr="00006A75" w:rsidRDefault="00E55592" w:rsidP="00006A75">
            <w:pPr>
              <w:spacing w:line="360" w:lineRule="auto"/>
              <w:rPr>
                <w:rFonts w:ascii="Arial" w:hAnsi="Arial" w:cs="Arial"/>
                <w:b/>
                <w:bCs/>
                <w:sz w:val="22"/>
                <w:szCs w:val="22"/>
              </w:rPr>
            </w:pPr>
            <w:r w:rsidRPr="00D94F18">
              <w:rPr>
                <w:rFonts w:ascii="Arial" w:hAnsi="Arial" w:cs="Arial"/>
                <w:sz w:val="22"/>
                <w:szCs w:val="22"/>
              </w:rPr>
              <w:t>Inequality is strongly linked to obesity, particularly among lower socio-economic groups, highlighting the role of social determinants in health disparities</w:t>
            </w:r>
          </w:p>
        </w:tc>
      </w:tr>
      <w:tr w:rsidR="00F653BF" w:rsidRPr="00006A75" w14:paraId="5D1B5DB1" w14:textId="77777777" w:rsidTr="00F653BF">
        <w:trPr>
          <w:trHeight w:val="1133"/>
        </w:trPr>
        <w:tc>
          <w:tcPr>
            <w:tcW w:w="2920" w:type="dxa"/>
          </w:tcPr>
          <w:p w14:paraId="793518C4" w14:textId="06D7F9BE" w:rsidR="008F298A" w:rsidRPr="00006A75" w:rsidRDefault="008F298A" w:rsidP="00006A75">
            <w:pPr>
              <w:spacing w:line="360" w:lineRule="auto"/>
              <w:rPr>
                <w:rFonts w:ascii="Arial" w:hAnsi="Arial" w:cs="Arial"/>
                <w:b/>
                <w:bCs/>
                <w:sz w:val="22"/>
                <w:szCs w:val="22"/>
              </w:rPr>
            </w:pPr>
            <w:r w:rsidRPr="00D94F18">
              <w:rPr>
                <w:rFonts w:ascii="Arial" w:hAnsi="Arial" w:cs="Arial"/>
                <w:sz w:val="22"/>
                <w:szCs w:val="22"/>
              </w:rPr>
              <w:t>McLaren</w:t>
            </w:r>
          </w:p>
        </w:tc>
        <w:tc>
          <w:tcPr>
            <w:tcW w:w="2920" w:type="dxa"/>
            <w:vAlign w:val="center"/>
          </w:tcPr>
          <w:p w14:paraId="050400EE" w14:textId="3C34E0A9" w:rsidR="008F298A" w:rsidRPr="00006A75" w:rsidRDefault="008F298A" w:rsidP="00006A75">
            <w:pPr>
              <w:spacing w:line="360" w:lineRule="auto"/>
              <w:rPr>
                <w:rFonts w:ascii="Arial" w:hAnsi="Arial" w:cs="Arial"/>
                <w:sz w:val="22"/>
                <w:szCs w:val="22"/>
              </w:rPr>
            </w:pPr>
            <w:r w:rsidRPr="00D94F18">
              <w:rPr>
                <w:rFonts w:ascii="Arial" w:hAnsi="Arial" w:cs="Arial"/>
                <w:sz w:val="22"/>
                <w:szCs w:val="22"/>
              </w:rPr>
              <w:t>2007</w:t>
            </w:r>
            <w:r w:rsidRPr="00006A75">
              <w:rPr>
                <w:rFonts w:ascii="Arial" w:hAnsi="Arial" w:cs="Arial"/>
                <w:sz w:val="22"/>
                <w:szCs w:val="22"/>
              </w:rPr>
              <w:t xml:space="preserve"> </w:t>
            </w:r>
            <w:r w:rsidRPr="00D94F18">
              <w:rPr>
                <w:rFonts w:ascii="Arial" w:hAnsi="Arial" w:cs="Arial"/>
                <w:sz w:val="22"/>
                <w:szCs w:val="22"/>
              </w:rPr>
              <w:t>Review</w:t>
            </w:r>
          </w:p>
        </w:tc>
        <w:tc>
          <w:tcPr>
            <w:tcW w:w="2920" w:type="dxa"/>
            <w:vAlign w:val="center"/>
          </w:tcPr>
          <w:p w14:paraId="05A46954" w14:textId="19B714FE" w:rsidR="008F298A" w:rsidRPr="00006A75" w:rsidRDefault="00606AFF" w:rsidP="00006A75">
            <w:pPr>
              <w:spacing w:line="360" w:lineRule="auto"/>
              <w:rPr>
                <w:rFonts w:ascii="Arial" w:hAnsi="Arial" w:cs="Arial"/>
                <w:b/>
                <w:bCs/>
                <w:sz w:val="22"/>
                <w:szCs w:val="22"/>
              </w:rPr>
            </w:pPr>
            <w:r w:rsidRPr="00D94F18">
              <w:rPr>
                <w:rFonts w:ascii="Arial" w:hAnsi="Arial" w:cs="Arial"/>
                <w:sz w:val="22"/>
                <w:szCs w:val="22"/>
              </w:rPr>
              <w:t>Multiple studies</w:t>
            </w:r>
          </w:p>
        </w:tc>
        <w:tc>
          <w:tcPr>
            <w:tcW w:w="2920" w:type="dxa"/>
          </w:tcPr>
          <w:p w14:paraId="0F697E35" w14:textId="7F20AAE3" w:rsidR="008F298A" w:rsidRPr="00006A75" w:rsidRDefault="00501F86" w:rsidP="00006A75">
            <w:pPr>
              <w:spacing w:line="360" w:lineRule="auto"/>
              <w:rPr>
                <w:rFonts w:ascii="Arial" w:hAnsi="Arial" w:cs="Arial"/>
                <w:b/>
                <w:bCs/>
                <w:sz w:val="22"/>
                <w:szCs w:val="22"/>
              </w:rPr>
            </w:pPr>
            <w:r w:rsidRPr="00D94F18">
              <w:rPr>
                <w:rFonts w:ascii="Arial" w:hAnsi="Arial" w:cs="Arial"/>
                <w:sz w:val="22"/>
                <w:szCs w:val="22"/>
              </w:rPr>
              <w:t>Socioeconomic status (SES) influences obesity patterns, with lower SES linked to higher rates of obesity, particularly due to limited access to resources and opportunities.</w:t>
            </w:r>
          </w:p>
        </w:tc>
      </w:tr>
      <w:tr w:rsidR="00CD4865" w:rsidRPr="00006A75" w14:paraId="70FE1F4C" w14:textId="77777777" w:rsidTr="004109D1">
        <w:trPr>
          <w:trHeight w:val="1195"/>
        </w:trPr>
        <w:tc>
          <w:tcPr>
            <w:tcW w:w="2920" w:type="dxa"/>
          </w:tcPr>
          <w:p w14:paraId="7DE6301B" w14:textId="1B61BA1D" w:rsidR="00CD4865" w:rsidRPr="00006A75" w:rsidRDefault="00CD4865" w:rsidP="00006A75">
            <w:pPr>
              <w:spacing w:line="360" w:lineRule="auto"/>
              <w:rPr>
                <w:rFonts w:ascii="Arial" w:hAnsi="Arial" w:cs="Arial"/>
                <w:b/>
                <w:bCs/>
                <w:sz w:val="22"/>
                <w:szCs w:val="22"/>
              </w:rPr>
            </w:pPr>
            <w:r w:rsidRPr="00D94F18">
              <w:rPr>
                <w:rFonts w:ascii="Arial" w:hAnsi="Arial" w:cs="Arial"/>
                <w:sz w:val="22"/>
                <w:szCs w:val="22"/>
              </w:rPr>
              <w:t>Cummins &amp; Macintyre</w:t>
            </w:r>
          </w:p>
        </w:tc>
        <w:tc>
          <w:tcPr>
            <w:tcW w:w="2920" w:type="dxa"/>
            <w:vAlign w:val="center"/>
          </w:tcPr>
          <w:p w14:paraId="02D06FBA" w14:textId="5DC38C80" w:rsidR="00CD4865" w:rsidRPr="00006A75" w:rsidRDefault="00CD4865" w:rsidP="00006A75">
            <w:pPr>
              <w:spacing w:line="360" w:lineRule="auto"/>
              <w:rPr>
                <w:rFonts w:ascii="Arial" w:hAnsi="Arial" w:cs="Arial"/>
                <w:b/>
                <w:bCs/>
                <w:sz w:val="22"/>
                <w:szCs w:val="22"/>
              </w:rPr>
            </w:pPr>
            <w:r w:rsidRPr="00D94F18">
              <w:rPr>
                <w:rFonts w:ascii="Arial" w:hAnsi="Arial" w:cs="Arial"/>
                <w:sz w:val="22"/>
                <w:szCs w:val="22"/>
              </w:rPr>
              <w:t>2006</w:t>
            </w:r>
            <w:r w:rsidR="003043FE" w:rsidRPr="00006A75">
              <w:rPr>
                <w:rFonts w:ascii="Arial" w:hAnsi="Arial" w:cs="Arial"/>
                <w:sz w:val="22"/>
                <w:szCs w:val="22"/>
              </w:rPr>
              <w:t xml:space="preserve"> </w:t>
            </w:r>
            <w:r w:rsidRPr="00D94F18">
              <w:rPr>
                <w:rFonts w:ascii="Arial" w:hAnsi="Arial" w:cs="Arial"/>
                <w:sz w:val="22"/>
                <w:szCs w:val="22"/>
              </w:rPr>
              <w:t>Observational</w:t>
            </w:r>
          </w:p>
        </w:tc>
        <w:tc>
          <w:tcPr>
            <w:tcW w:w="2920" w:type="dxa"/>
            <w:vAlign w:val="center"/>
          </w:tcPr>
          <w:p w14:paraId="115AE60D" w14:textId="7186A830" w:rsidR="00CD4865" w:rsidRPr="00006A75" w:rsidRDefault="00CD4865" w:rsidP="00006A75">
            <w:pPr>
              <w:spacing w:line="360" w:lineRule="auto"/>
              <w:rPr>
                <w:rFonts w:ascii="Arial" w:hAnsi="Arial" w:cs="Arial"/>
                <w:b/>
                <w:bCs/>
                <w:sz w:val="22"/>
                <w:szCs w:val="22"/>
              </w:rPr>
            </w:pPr>
            <w:r w:rsidRPr="00D94F18">
              <w:rPr>
                <w:rFonts w:ascii="Arial" w:hAnsi="Arial" w:cs="Arial"/>
                <w:sz w:val="22"/>
                <w:szCs w:val="22"/>
              </w:rPr>
              <w:t>Observational</w:t>
            </w:r>
          </w:p>
        </w:tc>
        <w:tc>
          <w:tcPr>
            <w:tcW w:w="2920" w:type="dxa"/>
          </w:tcPr>
          <w:p w14:paraId="67382C08" w14:textId="4B208E7C" w:rsidR="00CD4865" w:rsidRPr="00006A75" w:rsidRDefault="00CD4865" w:rsidP="00006A75">
            <w:pPr>
              <w:spacing w:line="360" w:lineRule="auto"/>
              <w:rPr>
                <w:rFonts w:ascii="Arial" w:hAnsi="Arial" w:cs="Arial"/>
                <w:b/>
                <w:bCs/>
                <w:sz w:val="22"/>
                <w:szCs w:val="22"/>
              </w:rPr>
            </w:pPr>
            <w:r w:rsidRPr="00D94F18">
              <w:rPr>
                <w:rFonts w:ascii="Arial" w:hAnsi="Arial" w:cs="Arial"/>
                <w:sz w:val="22"/>
                <w:szCs w:val="22"/>
              </w:rPr>
              <w:t>The food environment in deprived areas influences dietary habits, with a greater concentration of fast-food outlets and fewer healthy food options available.</w:t>
            </w:r>
          </w:p>
        </w:tc>
      </w:tr>
      <w:tr w:rsidR="00CD4865" w:rsidRPr="00006A75" w14:paraId="1B514CDF" w14:textId="77777777" w:rsidTr="00F653BF">
        <w:trPr>
          <w:trHeight w:val="1195"/>
        </w:trPr>
        <w:tc>
          <w:tcPr>
            <w:tcW w:w="2920" w:type="dxa"/>
          </w:tcPr>
          <w:p w14:paraId="60039221" w14:textId="02B46641" w:rsidR="00CD4865" w:rsidRPr="00006A75" w:rsidRDefault="003043FE" w:rsidP="00006A75">
            <w:pPr>
              <w:spacing w:line="360" w:lineRule="auto"/>
              <w:rPr>
                <w:rFonts w:ascii="Arial" w:hAnsi="Arial" w:cs="Arial"/>
                <w:sz w:val="22"/>
                <w:szCs w:val="22"/>
              </w:rPr>
            </w:pPr>
            <w:r w:rsidRPr="00006A75">
              <w:rPr>
                <w:rFonts w:ascii="Arial" w:hAnsi="Arial" w:cs="Arial"/>
                <w:sz w:val="22"/>
                <w:szCs w:val="22"/>
              </w:rPr>
              <w:lastRenderedPageBreak/>
              <w:t>Lorins and Robertson</w:t>
            </w:r>
          </w:p>
        </w:tc>
        <w:tc>
          <w:tcPr>
            <w:tcW w:w="2920" w:type="dxa"/>
          </w:tcPr>
          <w:p w14:paraId="0409EF02" w14:textId="7583A769" w:rsidR="00CD4865" w:rsidRPr="00006A75" w:rsidRDefault="00034E91" w:rsidP="00006A75">
            <w:pPr>
              <w:spacing w:line="360" w:lineRule="auto"/>
              <w:rPr>
                <w:rFonts w:ascii="Arial" w:hAnsi="Arial" w:cs="Arial"/>
                <w:sz w:val="22"/>
                <w:szCs w:val="22"/>
              </w:rPr>
            </w:pPr>
            <w:r w:rsidRPr="00006A75">
              <w:rPr>
                <w:rFonts w:ascii="Arial" w:hAnsi="Arial" w:cs="Arial"/>
                <w:sz w:val="22"/>
                <w:szCs w:val="22"/>
              </w:rPr>
              <w:t>2014 review</w:t>
            </w:r>
          </w:p>
        </w:tc>
        <w:tc>
          <w:tcPr>
            <w:tcW w:w="2920" w:type="dxa"/>
          </w:tcPr>
          <w:p w14:paraId="0C22CC3D" w14:textId="00202CB2" w:rsidR="00CD4865" w:rsidRPr="00006A75" w:rsidRDefault="00034E91" w:rsidP="00006A75">
            <w:pPr>
              <w:spacing w:line="360" w:lineRule="auto"/>
              <w:rPr>
                <w:rFonts w:ascii="Arial" w:hAnsi="Arial" w:cs="Arial"/>
                <w:sz w:val="22"/>
                <w:szCs w:val="22"/>
              </w:rPr>
            </w:pPr>
            <w:r w:rsidRPr="00006A75">
              <w:rPr>
                <w:rFonts w:ascii="Arial" w:hAnsi="Arial" w:cs="Arial"/>
                <w:sz w:val="22"/>
                <w:szCs w:val="22"/>
              </w:rPr>
              <w:t>European data</w:t>
            </w:r>
          </w:p>
        </w:tc>
        <w:tc>
          <w:tcPr>
            <w:tcW w:w="2920" w:type="dxa"/>
          </w:tcPr>
          <w:p w14:paraId="2E01EF97" w14:textId="6922148C" w:rsidR="00CD4865" w:rsidRPr="00006A75" w:rsidRDefault="00034E91" w:rsidP="00006A75">
            <w:pPr>
              <w:spacing w:line="360" w:lineRule="auto"/>
              <w:rPr>
                <w:rFonts w:ascii="Arial" w:hAnsi="Arial" w:cs="Arial"/>
                <w:b/>
                <w:bCs/>
                <w:sz w:val="22"/>
                <w:szCs w:val="22"/>
              </w:rPr>
            </w:pPr>
            <w:r w:rsidRPr="00D94F18">
              <w:rPr>
                <w:rFonts w:ascii="Arial" w:hAnsi="Arial" w:cs="Arial"/>
                <w:sz w:val="22"/>
                <w:szCs w:val="22"/>
              </w:rPr>
              <w:t xml:space="preserve">Mental health issues such as stress, anxiety, and depression are strongly linked to obesity, contributing to unhealthy eating and sedentary </w:t>
            </w:r>
            <w:r w:rsidRPr="00006A75">
              <w:rPr>
                <w:rFonts w:ascii="Arial" w:hAnsi="Arial" w:cs="Arial"/>
                <w:sz w:val="22"/>
                <w:szCs w:val="22"/>
              </w:rPr>
              <w:t>behaviour</w:t>
            </w:r>
            <w:r w:rsidRPr="00D94F18">
              <w:rPr>
                <w:rFonts w:ascii="Arial" w:hAnsi="Arial" w:cs="Arial"/>
                <w:sz w:val="22"/>
                <w:szCs w:val="22"/>
              </w:rPr>
              <w:t xml:space="preserve"> in disadvantaged groups.</w:t>
            </w:r>
          </w:p>
        </w:tc>
      </w:tr>
      <w:tr w:rsidR="00B42321" w:rsidRPr="00006A75" w14:paraId="4146BAD3" w14:textId="77777777" w:rsidTr="00CB62C4">
        <w:trPr>
          <w:trHeight w:val="1024"/>
        </w:trPr>
        <w:tc>
          <w:tcPr>
            <w:tcW w:w="2920" w:type="dxa"/>
          </w:tcPr>
          <w:p w14:paraId="18FED8C3" w14:textId="0E205E3C" w:rsidR="00B42321" w:rsidRPr="00006A75" w:rsidRDefault="00B42321" w:rsidP="00006A75">
            <w:pPr>
              <w:spacing w:line="360" w:lineRule="auto"/>
              <w:rPr>
                <w:rFonts w:ascii="Arial" w:hAnsi="Arial" w:cs="Arial"/>
                <w:sz w:val="22"/>
                <w:szCs w:val="22"/>
              </w:rPr>
            </w:pPr>
            <w:r w:rsidRPr="00006A75">
              <w:rPr>
                <w:rFonts w:ascii="Arial" w:hAnsi="Arial" w:cs="Arial"/>
                <w:sz w:val="22"/>
                <w:szCs w:val="22"/>
              </w:rPr>
              <w:t xml:space="preserve">Whitehead </w:t>
            </w:r>
          </w:p>
        </w:tc>
        <w:tc>
          <w:tcPr>
            <w:tcW w:w="2920" w:type="dxa"/>
          </w:tcPr>
          <w:p w14:paraId="03CE6AD7" w14:textId="489D8F1C" w:rsidR="00B42321" w:rsidRPr="00006A75" w:rsidRDefault="00034E91" w:rsidP="00006A75">
            <w:pPr>
              <w:spacing w:line="360" w:lineRule="auto"/>
              <w:rPr>
                <w:rFonts w:ascii="Arial" w:hAnsi="Arial" w:cs="Arial"/>
                <w:sz w:val="22"/>
                <w:szCs w:val="22"/>
              </w:rPr>
            </w:pPr>
            <w:r w:rsidRPr="00006A75">
              <w:rPr>
                <w:rFonts w:ascii="Arial" w:hAnsi="Arial" w:cs="Arial"/>
                <w:sz w:val="22"/>
                <w:szCs w:val="22"/>
              </w:rPr>
              <w:t>2017 qualitative</w:t>
            </w:r>
          </w:p>
        </w:tc>
        <w:tc>
          <w:tcPr>
            <w:tcW w:w="2920" w:type="dxa"/>
          </w:tcPr>
          <w:p w14:paraId="20E55DD9" w14:textId="1DCA15AB" w:rsidR="00B42321" w:rsidRPr="00006A75" w:rsidRDefault="000606E5" w:rsidP="00006A75">
            <w:pPr>
              <w:spacing w:line="360" w:lineRule="auto"/>
              <w:rPr>
                <w:rFonts w:ascii="Arial" w:hAnsi="Arial" w:cs="Arial"/>
                <w:sz w:val="22"/>
                <w:szCs w:val="22"/>
              </w:rPr>
            </w:pPr>
            <w:r w:rsidRPr="00006A75">
              <w:rPr>
                <w:rFonts w:ascii="Arial" w:hAnsi="Arial" w:cs="Arial"/>
                <w:sz w:val="22"/>
                <w:szCs w:val="22"/>
              </w:rPr>
              <w:t>UK adults (disadvantaged groups)</w:t>
            </w:r>
          </w:p>
        </w:tc>
        <w:tc>
          <w:tcPr>
            <w:tcW w:w="2920" w:type="dxa"/>
            <w:vAlign w:val="center"/>
          </w:tcPr>
          <w:p w14:paraId="1A4E19F6" w14:textId="3BCFB632" w:rsidR="00B42321" w:rsidRPr="00006A75" w:rsidRDefault="00B42321" w:rsidP="00006A75">
            <w:pPr>
              <w:spacing w:line="360" w:lineRule="auto"/>
              <w:rPr>
                <w:rFonts w:ascii="Arial" w:hAnsi="Arial" w:cs="Arial"/>
                <w:b/>
                <w:bCs/>
                <w:sz w:val="22"/>
                <w:szCs w:val="22"/>
              </w:rPr>
            </w:pPr>
            <w:r w:rsidRPr="00D94F18">
              <w:rPr>
                <w:rFonts w:ascii="Arial" w:hAnsi="Arial" w:cs="Arial"/>
                <w:sz w:val="22"/>
                <w:szCs w:val="22"/>
              </w:rPr>
              <w:t>Barriers to accessing weight management services include stigma, lack of transportation, and limited time. Community-based interventions are more successful in reducing obesity.</w:t>
            </w:r>
          </w:p>
        </w:tc>
      </w:tr>
      <w:tr w:rsidR="00B42321" w:rsidRPr="00006A75" w14:paraId="40EEDC9A" w14:textId="77777777" w:rsidTr="00B101CF">
        <w:trPr>
          <w:trHeight w:val="1024"/>
        </w:trPr>
        <w:tc>
          <w:tcPr>
            <w:tcW w:w="2920" w:type="dxa"/>
          </w:tcPr>
          <w:p w14:paraId="537F42F3" w14:textId="4182D259" w:rsidR="00B42321" w:rsidRPr="00006A75" w:rsidRDefault="00B42321" w:rsidP="00006A75">
            <w:pPr>
              <w:spacing w:line="360" w:lineRule="auto"/>
              <w:rPr>
                <w:rFonts w:ascii="Arial" w:hAnsi="Arial" w:cs="Arial"/>
                <w:sz w:val="22"/>
                <w:szCs w:val="22"/>
              </w:rPr>
            </w:pPr>
            <w:r w:rsidRPr="00006A75">
              <w:rPr>
                <w:rFonts w:ascii="Arial" w:hAnsi="Arial" w:cs="Arial"/>
                <w:sz w:val="22"/>
                <w:szCs w:val="22"/>
              </w:rPr>
              <w:t>Robinson et al</w:t>
            </w:r>
          </w:p>
        </w:tc>
        <w:tc>
          <w:tcPr>
            <w:tcW w:w="2920" w:type="dxa"/>
          </w:tcPr>
          <w:p w14:paraId="5438599D" w14:textId="3DADAC95" w:rsidR="00B42321" w:rsidRPr="00006A75" w:rsidRDefault="00B42321" w:rsidP="00006A75">
            <w:pPr>
              <w:spacing w:line="360" w:lineRule="auto"/>
              <w:rPr>
                <w:rFonts w:ascii="Arial" w:hAnsi="Arial" w:cs="Arial"/>
                <w:sz w:val="22"/>
                <w:szCs w:val="22"/>
              </w:rPr>
            </w:pPr>
            <w:r w:rsidRPr="00006A75">
              <w:rPr>
                <w:rFonts w:ascii="Arial" w:hAnsi="Arial" w:cs="Arial"/>
                <w:sz w:val="22"/>
                <w:szCs w:val="22"/>
              </w:rPr>
              <w:t xml:space="preserve">2018 review </w:t>
            </w:r>
          </w:p>
        </w:tc>
        <w:tc>
          <w:tcPr>
            <w:tcW w:w="2920" w:type="dxa"/>
          </w:tcPr>
          <w:p w14:paraId="10D2C71C" w14:textId="4326B9A1" w:rsidR="00B42321" w:rsidRPr="00006A75" w:rsidRDefault="00B42321" w:rsidP="00006A75">
            <w:pPr>
              <w:spacing w:line="360" w:lineRule="auto"/>
              <w:rPr>
                <w:rFonts w:ascii="Arial" w:hAnsi="Arial" w:cs="Arial"/>
                <w:sz w:val="22"/>
                <w:szCs w:val="22"/>
              </w:rPr>
            </w:pPr>
            <w:r w:rsidRPr="00006A75">
              <w:rPr>
                <w:rFonts w:ascii="Arial" w:hAnsi="Arial" w:cs="Arial"/>
                <w:sz w:val="22"/>
                <w:szCs w:val="22"/>
              </w:rPr>
              <w:t>UK (low-income populations)</w:t>
            </w:r>
          </w:p>
        </w:tc>
        <w:tc>
          <w:tcPr>
            <w:tcW w:w="2920" w:type="dxa"/>
            <w:vAlign w:val="center"/>
          </w:tcPr>
          <w:p w14:paraId="012D464E" w14:textId="23489218" w:rsidR="00B42321" w:rsidRPr="00006A75" w:rsidRDefault="00B42321" w:rsidP="00006A75">
            <w:pPr>
              <w:spacing w:line="360" w:lineRule="auto"/>
              <w:rPr>
                <w:rFonts w:ascii="Arial" w:hAnsi="Arial" w:cs="Arial"/>
                <w:b/>
                <w:bCs/>
                <w:sz w:val="22"/>
                <w:szCs w:val="22"/>
              </w:rPr>
            </w:pPr>
            <w:r w:rsidRPr="00D94F18">
              <w:rPr>
                <w:rFonts w:ascii="Arial" w:hAnsi="Arial" w:cs="Arial"/>
                <w:sz w:val="22"/>
                <w:szCs w:val="22"/>
              </w:rPr>
              <w:t>The cost of healthy food is a major barrier for low-income populations. People in deprived areas tend to consume unhealthy, cheaper, high-fat, and high-sugar foods, increasing obesity risks.</w:t>
            </w:r>
          </w:p>
        </w:tc>
      </w:tr>
      <w:tr w:rsidR="00B42321" w:rsidRPr="00006A75" w14:paraId="58D26A87" w14:textId="77777777" w:rsidTr="00F84C3B">
        <w:trPr>
          <w:trHeight w:val="1024"/>
        </w:trPr>
        <w:tc>
          <w:tcPr>
            <w:tcW w:w="2920" w:type="dxa"/>
          </w:tcPr>
          <w:p w14:paraId="7A0A841D" w14:textId="38D5A217" w:rsidR="00B42321" w:rsidRPr="00006A75" w:rsidRDefault="004211CB" w:rsidP="00006A75">
            <w:pPr>
              <w:spacing w:line="360" w:lineRule="auto"/>
              <w:rPr>
                <w:rFonts w:ascii="Arial" w:hAnsi="Arial" w:cs="Arial"/>
                <w:sz w:val="22"/>
                <w:szCs w:val="22"/>
              </w:rPr>
            </w:pPr>
            <w:r w:rsidRPr="00006A75">
              <w:rPr>
                <w:rFonts w:ascii="Arial" w:hAnsi="Arial" w:cs="Arial"/>
                <w:sz w:val="22"/>
                <w:szCs w:val="22"/>
              </w:rPr>
              <w:t xml:space="preserve">Swinburn et al </w:t>
            </w:r>
          </w:p>
        </w:tc>
        <w:tc>
          <w:tcPr>
            <w:tcW w:w="2920" w:type="dxa"/>
          </w:tcPr>
          <w:p w14:paraId="007B5356" w14:textId="1035A510" w:rsidR="00B42321" w:rsidRPr="00006A75" w:rsidRDefault="003424B4" w:rsidP="00006A75">
            <w:pPr>
              <w:spacing w:line="360" w:lineRule="auto"/>
              <w:rPr>
                <w:rFonts w:ascii="Arial" w:hAnsi="Arial" w:cs="Arial"/>
                <w:sz w:val="22"/>
                <w:szCs w:val="22"/>
              </w:rPr>
            </w:pPr>
            <w:r w:rsidRPr="00006A75">
              <w:rPr>
                <w:rFonts w:ascii="Arial" w:hAnsi="Arial" w:cs="Arial"/>
                <w:sz w:val="22"/>
                <w:szCs w:val="22"/>
              </w:rPr>
              <w:t>2011 report</w:t>
            </w:r>
          </w:p>
        </w:tc>
        <w:tc>
          <w:tcPr>
            <w:tcW w:w="2920" w:type="dxa"/>
          </w:tcPr>
          <w:p w14:paraId="1638B507" w14:textId="67A94FD4" w:rsidR="00B42321" w:rsidRPr="00006A75" w:rsidRDefault="003424B4" w:rsidP="00006A75">
            <w:pPr>
              <w:spacing w:line="360" w:lineRule="auto"/>
              <w:rPr>
                <w:rFonts w:ascii="Arial" w:hAnsi="Arial" w:cs="Arial"/>
                <w:sz w:val="22"/>
                <w:szCs w:val="22"/>
              </w:rPr>
            </w:pPr>
            <w:r w:rsidRPr="00006A75">
              <w:rPr>
                <w:rFonts w:ascii="Arial" w:hAnsi="Arial" w:cs="Arial"/>
                <w:sz w:val="22"/>
                <w:szCs w:val="22"/>
              </w:rPr>
              <w:t xml:space="preserve">Global </w:t>
            </w:r>
          </w:p>
        </w:tc>
        <w:tc>
          <w:tcPr>
            <w:tcW w:w="2920" w:type="dxa"/>
          </w:tcPr>
          <w:p w14:paraId="18859C85" w14:textId="4022E5F7" w:rsidR="00B42321" w:rsidRPr="00006A75" w:rsidRDefault="00FB2E44" w:rsidP="00006A75">
            <w:pPr>
              <w:spacing w:line="360" w:lineRule="auto"/>
              <w:rPr>
                <w:rFonts w:ascii="Arial" w:hAnsi="Arial" w:cs="Arial"/>
                <w:sz w:val="22"/>
                <w:szCs w:val="22"/>
              </w:rPr>
            </w:pPr>
            <w:r w:rsidRPr="00006A75">
              <w:rPr>
                <w:rFonts w:ascii="Arial" w:hAnsi="Arial" w:cs="Arial"/>
                <w:sz w:val="22"/>
                <w:szCs w:val="22"/>
              </w:rPr>
              <w:t xml:space="preserve">Increases in obesity in almost all countries </w:t>
            </w:r>
            <w:r w:rsidR="00653B76" w:rsidRPr="00006A75">
              <w:rPr>
                <w:rFonts w:ascii="Arial" w:hAnsi="Arial" w:cs="Arial"/>
                <w:sz w:val="22"/>
                <w:szCs w:val="22"/>
              </w:rPr>
              <w:t xml:space="preserve">see changes in the global food system, proceeding more produce and </w:t>
            </w:r>
            <w:r w:rsidR="000F7EE9" w:rsidRPr="00006A75">
              <w:rPr>
                <w:rFonts w:ascii="Arial" w:hAnsi="Arial" w:cs="Arial"/>
                <w:sz w:val="22"/>
                <w:szCs w:val="22"/>
              </w:rPr>
              <w:t xml:space="preserve">effectively marketed food than ever. </w:t>
            </w:r>
          </w:p>
        </w:tc>
      </w:tr>
      <w:tr w:rsidR="00B42321" w:rsidRPr="00006A75" w14:paraId="0321B9AF" w14:textId="77777777" w:rsidTr="00F84C3B">
        <w:trPr>
          <w:trHeight w:val="1024"/>
        </w:trPr>
        <w:tc>
          <w:tcPr>
            <w:tcW w:w="2920" w:type="dxa"/>
          </w:tcPr>
          <w:p w14:paraId="4229B6E4" w14:textId="0E6F2F69" w:rsidR="00B42321" w:rsidRPr="00006A75" w:rsidRDefault="00B42321" w:rsidP="00006A75">
            <w:pPr>
              <w:spacing w:line="360" w:lineRule="auto"/>
              <w:rPr>
                <w:rFonts w:ascii="Arial" w:hAnsi="Arial" w:cs="Arial"/>
                <w:sz w:val="22"/>
                <w:szCs w:val="22"/>
              </w:rPr>
            </w:pPr>
            <w:r w:rsidRPr="00006A75">
              <w:rPr>
                <w:rFonts w:ascii="Arial" w:hAnsi="Arial" w:cs="Arial"/>
                <w:sz w:val="22"/>
                <w:szCs w:val="22"/>
              </w:rPr>
              <w:t xml:space="preserve">Williams. S., &amp; Watson. K., </w:t>
            </w:r>
          </w:p>
        </w:tc>
        <w:tc>
          <w:tcPr>
            <w:tcW w:w="2920" w:type="dxa"/>
          </w:tcPr>
          <w:p w14:paraId="555A1421" w14:textId="6D7D5B26" w:rsidR="00B42321" w:rsidRPr="00006A75" w:rsidRDefault="00B42321" w:rsidP="00006A75">
            <w:pPr>
              <w:spacing w:line="360" w:lineRule="auto"/>
              <w:rPr>
                <w:rFonts w:ascii="Arial" w:hAnsi="Arial" w:cs="Arial"/>
                <w:sz w:val="22"/>
                <w:szCs w:val="22"/>
              </w:rPr>
            </w:pPr>
            <w:r w:rsidRPr="00006A75">
              <w:rPr>
                <w:rFonts w:ascii="Arial" w:hAnsi="Arial" w:cs="Arial"/>
                <w:sz w:val="22"/>
                <w:szCs w:val="22"/>
              </w:rPr>
              <w:t>2019 report</w:t>
            </w:r>
          </w:p>
        </w:tc>
        <w:tc>
          <w:tcPr>
            <w:tcW w:w="2920" w:type="dxa"/>
          </w:tcPr>
          <w:p w14:paraId="7BC324E1" w14:textId="1E224A8E" w:rsidR="00B42321" w:rsidRPr="00006A75" w:rsidRDefault="00B42321" w:rsidP="00006A75">
            <w:pPr>
              <w:spacing w:line="360" w:lineRule="auto"/>
              <w:rPr>
                <w:rFonts w:ascii="Arial" w:hAnsi="Arial" w:cs="Arial"/>
                <w:sz w:val="22"/>
                <w:szCs w:val="22"/>
              </w:rPr>
            </w:pPr>
            <w:r w:rsidRPr="00006A75">
              <w:rPr>
                <w:rFonts w:ascii="Arial" w:hAnsi="Arial" w:cs="Arial"/>
                <w:sz w:val="22"/>
                <w:szCs w:val="22"/>
              </w:rPr>
              <w:t xml:space="preserve">UK (disadvantaged populations </w:t>
            </w:r>
          </w:p>
        </w:tc>
        <w:tc>
          <w:tcPr>
            <w:tcW w:w="2920" w:type="dxa"/>
          </w:tcPr>
          <w:p w14:paraId="086AC55A" w14:textId="0984FDB8" w:rsidR="00B42321" w:rsidRPr="00006A75" w:rsidRDefault="00B42321" w:rsidP="00006A75">
            <w:pPr>
              <w:spacing w:line="360" w:lineRule="auto"/>
              <w:rPr>
                <w:rFonts w:ascii="Arial" w:hAnsi="Arial" w:cs="Arial"/>
                <w:sz w:val="22"/>
                <w:szCs w:val="22"/>
              </w:rPr>
            </w:pPr>
            <w:r w:rsidRPr="00006A75">
              <w:rPr>
                <w:rFonts w:ascii="Arial" w:hAnsi="Arial" w:cs="Arial"/>
                <w:sz w:val="22"/>
                <w:szCs w:val="22"/>
              </w:rPr>
              <w:t xml:space="preserve">Barriers such as limited access to healthcare services and low awareness significantly reduce the effectiveness of </w:t>
            </w:r>
            <w:r w:rsidRPr="00006A75">
              <w:rPr>
                <w:rFonts w:ascii="Arial" w:hAnsi="Arial" w:cs="Arial"/>
                <w:sz w:val="22"/>
                <w:szCs w:val="22"/>
              </w:rPr>
              <w:lastRenderedPageBreak/>
              <w:t>public health interventions in low-income areas.</w:t>
            </w:r>
          </w:p>
        </w:tc>
      </w:tr>
      <w:tr w:rsidR="00B42321" w:rsidRPr="00006A75" w14:paraId="52365709" w14:textId="77777777" w:rsidTr="00F428A6">
        <w:trPr>
          <w:trHeight w:val="1024"/>
        </w:trPr>
        <w:tc>
          <w:tcPr>
            <w:tcW w:w="2920" w:type="dxa"/>
          </w:tcPr>
          <w:p w14:paraId="7BDEF486" w14:textId="434211B3" w:rsidR="00B42321" w:rsidRPr="00006A75" w:rsidRDefault="00B42321" w:rsidP="00006A75">
            <w:pPr>
              <w:spacing w:line="360" w:lineRule="auto"/>
              <w:rPr>
                <w:rFonts w:ascii="Arial" w:hAnsi="Arial" w:cs="Arial"/>
                <w:sz w:val="22"/>
                <w:szCs w:val="22"/>
              </w:rPr>
            </w:pPr>
            <w:proofErr w:type="spellStart"/>
            <w:r w:rsidRPr="00006A75">
              <w:rPr>
                <w:rFonts w:ascii="Arial" w:hAnsi="Arial" w:cs="Arial"/>
                <w:sz w:val="22"/>
                <w:szCs w:val="22"/>
              </w:rPr>
              <w:lastRenderedPageBreak/>
              <w:t>Tedstone</w:t>
            </w:r>
            <w:proofErr w:type="spellEnd"/>
            <w:r w:rsidRPr="00006A75">
              <w:rPr>
                <w:rFonts w:ascii="Arial" w:hAnsi="Arial" w:cs="Arial"/>
                <w:sz w:val="22"/>
                <w:szCs w:val="22"/>
              </w:rPr>
              <w:t xml:space="preserve"> et al</w:t>
            </w:r>
          </w:p>
        </w:tc>
        <w:tc>
          <w:tcPr>
            <w:tcW w:w="2920" w:type="dxa"/>
          </w:tcPr>
          <w:p w14:paraId="3357C459" w14:textId="38C8400F" w:rsidR="00B42321" w:rsidRPr="00006A75" w:rsidRDefault="00B42321" w:rsidP="00006A75">
            <w:pPr>
              <w:spacing w:line="360" w:lineRule="auto"/>
              <w:rPr>
                <w:rFonts w:ascii="Arial" w:hAnsi="Arial" w:cs="Arial"/>
                <w:sz w:val="22"/>
                <w:szCs w:val="22"/>
              </w:rPr>
            </w:pPr>
            <w:r w:rsidRPr="00006A75">
              <w:rPr>
                <w:rFonts w:ascii="Arial" w:hAnsi="Arial" w:cs="Arial"/>
                <w:sz w:val="22"/>
                <w:szCs w:val="22"/>
              </w:rPr>
              <w:t>2022 report</w:t>
            </w:r>
          </w:p>
        </w:tc>
        <w:tc>
          <w:tcPr>
            <w:tcW w:w="2920" w:type="dxa"/>
          </w:tcPr>
          <w:p w14:paraId="491453FC" w14:textId="10223F9C" w:rsidR="00B42321" w:rsidRPr="00006A75" w:rsidRDefault="00B42321" w:rsidP="00006A75">
            <w:pPr>
              <w:spacing w:line="360" w:lineRule="auto"/>
              <w:rPr>
                <w:rFonts w:ascii="Arial" w:hAnsi="Arial" w:cs="Arial"/>
                <w:sz w:val="22"/>
                <w:szCs w:val="22"/>
              </w:rPr>
            </w:pPr>
            <w:r w:rsidRPr="00006A75">
              <w:rPr>
                <w:rFonts w:ascii="Arial" w:hAnsi="Arial" w:cs="Arial"/>
                <w:sz w:val="22"/>
                <w:szCs w:val="22"/>
              </w:rPr>
              <w:t>UK population</w:t>
            </w:r>
          </w:p>
        </w:tc>
        <w:tc>
          <w:tcPr>
            <w:tcW w:w="2920" w:type="dxa"/>
            <w:vAlign w:val="center"/>
          </w:tcPr>
          <w:p w14:paraId="2BE6D998" w14:textId="147F0846" w:rsidR="00B42321" w:rsidRPr="00006A75" w:rsidRDefault="00B42321" w:rsidP="00006A75">
            <w:pPr>
              <w:spacing w:line="360" w:lineRule="auto"/>
              <w:rPr>
                <w:rFonts w:ascii="Arial" w:hAnsi="Arial" w:cs="Arial"/>
                <w:b/>
                <w:bCs/>
                <w:sz w:val="22"/>
                <w:szCs w:val="22"/>
              </w:rPr>
            </w:pPr>
            <w:r w:rsidRPr="00D94F18">
              <w:rPr>
                <w:rFonts w:ascii="Arial" w:hAnsi="Arial" w:cs="Arial"/>
                <w:sz w:val="22"/>
                <w:szCs w:val="22"/>
              </w:rPr>
              <w:t>The COVID-19 pandemic has exacerbated poor eating habits and decreased physical activity, particularly in low-income communities, highlighting the need for additional government actions.</w:t>
            </w:r>
          </w:p>
        </w:tc>
      </w:tr>
    </w:tbl>
    <w:p w14:paraId="221212EB" w14:textId="77777777" w:rsidR="00F84C3B" w:rsidRPr="00006A75" w:rsidRDefault="00F84C3B" w:rsidP="00006A75">
      <w:pPr>
        <w:spacing w:line="360" w:lineRule="auto"/>
        <w:rPr>
          <w:rFonts w:ascii="Arial" w:hAnsi="Arial" w:cs="Arial"/>
          <w:sz w:val="22"/>
          <w:szCs w:val="22"/>
        </w:rPr>
      </w:pPr>
    </w:p>
    <w:p w14:paraId="2D23395C" w14:textId="09B5E4AA" w:rsidR="00991117" w:rsidRPr="00006A75" w:rsidRDefault="00A26D1B" w:rsidP="00006A75">
      <w:pPr>
        <w:spacing w:line="360" w:lineRule="auto"/>
        <w:rPr>
          <w:rFonts w:ascii="Arial" w:hAnsi="Arial" w:cs="Arial"/>
          <w:sz w:val="22"/>
          <w:szCs w:val="22"/>
        </w:rPr>
      </w:pPr>
      <w:r w:rsidRPr="00006A75">
        <w:rPr>
          <w:rFonts w:ascii="Arial" w:hAnsi="Arial" w:cs="Arial"/>
          <w:sz w:val="22"/>
          <w:szCs w:val="22"/>
        </w:rPr>
        <w:t xml:space="preserve">As this research involves secondary data, there are no direct ethical concerns related to data collection. However, the review ensures that all the selected studies adhere to ethical guidelines set by their respective institutions. All studies included in the review have undergone ethical review processes. </w:t>
      </w:r>
      <w:r w:rsidR="00991117" w:rsidRPr="00006A75">
        <w:rPr>
          <w:rFonts w:ascii="Arial" w:hAnsi="Arial" w:cs="Arial"/>
          <w:sz w:val="22"/>
          <w:szCs w:val="22"/>
        </w:rPr>
        <w:t>All sources were properly referenced.</w:t>
      </w:r>
    </w:p>
    <w:p w14:paraId="47E1507B" w14:textId="77777777" w:rsidR="00414896" w:rsidRPr="00006A75" w:rsidRDefault="00414896" w:rsidP="00006A75">
      <w:pPr>
        <w:spacing w:line="360" w:lineRule="auto"/>
        <w:rPr>
          <w:rFonts w:ascii="Arial" w:hAnsi="Arial" w:cs="Arial"/>
          <w:b/>
          <w:bCs/>
          <w:sz w:val="22"/>
          <w:szCs w:val="22"/>
        </w:rPr>
      </w:pPr>
    </w:p>
    <w:p w14:paraId="342915CA" w14:textId="6E380276" w:rsidR="00991117" w:rsidRPr="00006A75" w:rsidRDefault="00991117" w:rsidP="00006A75">
      <w:pPr>
        <w:spacing w:line="360" w:lineRule="auto"/>
        <w:rPr>
          <w:rFonts w:ascii="Arial" w:hAnsi="Arial" w:cs="Arial"/>
          <w:b/>
          <w:bCs/>
          <w:sz w:val="22"/>
          <w:szCs w:val="22"/>
        </w:rPr>
      </w:pPr>
      <w:r w:rsidRPr="00006A75">
        <w:rPr>
          <w:rFonts w:ascii="Arial" w:hAnsi="Arial" w:cs="Arial"/>
          <w:b/>
          <w:bCs/>
          <w:sz w:val="22"/>
          <w:szCs w:val="22"/>
        </w:rPr>
        <w:t>4</w:t>
      </w:r>
      <w:r w:rsidR="000235F7">
        <w:rPr>
          <w:rFonts w:ascii="Arial" w:hAnsi="Arial" w:cs="Arial"/>
          <w:b/>
          <w:bCs/>
          <w:sz w:val="22"/>
          <w:szCs w:val="22"/>
        </w:rPr>
        <w:t xml:space="preserve">. </w:t>
      </w:r>
      <w:r w:rsidRPr="00006A75">
        <w:rPr>
          <w:rFonts w:ascii="Arial" w:hAnsi="Arial" w:cs="Arial"/>
          <w:b/>
          <w:bCs/>
          <w:sz w:val="22"/>
          <w:szCs w:val="22"/>
        </w:rPr>
        <w:t>Themes</w:t>
      </w:r>
    </w:p>
    <w:p w14:paraId="2735C339" w14:textId="23D8CF9C" w:rsidR="00991117" w:rsidRPr="00006A75" w:rsidRDefault="00991117" w:rsidP="00006A75">
      <w:pPr>
        <w:numPr>
          <w:ilvl w:val="0"/>
          <w:numId w:val="6"/>
        </w:numPr>
        <w:spacing w:line="360" w:lineRule="auto"/>
        <w:rPr>
          <w:rFonts w:ascii="Arial" w:hAnsi="Arial" w:cs="Arial"/>
          <w:sz w:val="22"/>
          <w:szCs w:val="22"/>
        </w:rPr>
      </w:pPr>
      <w:r w:rsidRPr="00006A75">
        <w:rPr>
          <w:rFonts w:ascii="Arial" w:hAnsi="Arial" w:cs="Arial"/>
          <w:sz w:val="22"/>
          <w:szCs w:val="22"/>
        </w:rPr>
        <w:t xml:space="preserve">Economic inequality </w:t>
      </w:r>
      <w:r w:rsidR="004F4FFE" w:rsidRPr="00006A75">
        <w:rPr>
          <w:rFonts w:ascii="Arial" w:hAnsi="Arial" w:cs="Arial"/>
          <w:sz w:val="22"/>
          <w:szCs w:val="22"/>
        </w:rPr>
        <w:t>contributes to higher rates of obesity in low-income groups, as they face more barriers to accessing healthy food, exercise, and healthcare.</w:t>
      </w:r>
    </w:p>
    <w:p w14:paraId="548F1734" w14:textId="0340F9DC" w:rsidR="00991117" w:rsidRPr="00006A75" w:rsidRDefault="00991117" w:rsidP="00006A75">
      <w:pPr>
        <w:numPr>
          <w:ilvl w:val="0"/>
          <w:numId w:val="6"/>
        </w:numPr>
        <w:spacing w:line="360" w:lineRule="auto"/>
        <w:rPr>
          <w:rFonts w:ascii="Arial" w:hAnsi="Arial" w:cs="Arial"/>
          <w:sz w:val="22"/>
          <w:szCs w:val="22"/>
        </w:rPr>
      </w:pPr>
      <w:r w:rsidRPr="00006A75">
        <w:rPr>
          <w:rFonts w:ascii="Arial" w:hAnsi="Arial" w:cs="Arial"/>
          <w:sz w:val="22"/>
          <w:szCs w:val="22"/>
        </w:rPr>
        <w:t xml:space="preserve">Environmental </w:t>
      </w:r>
      <w:r w:rsidR="009E28CA" w:rsidRPr="00006A75">
        <w:rPr>
          <w:rFonts w:ascii="Arial" w:hAnsi="Arial" w:cs="Arial"/>
          <w:sz w:val="22"/>
          <w:szCs w:val="22"/>
        </w:rPr>
        <w:t>influences,</w:t>
      </w:r>
      <w:r w:rsidRPr="00006A75">
        <w:rPr>
          <w:rFonts w:ascii="Arial" w:hAnsi="Arial" w:cs="Arial"/>
          <w:sz w:val="22"/>
          <w:szCs w:val="22"/>
        </w:rPr>
        <w:t xml:space="preserve"> </w:t>
      </w:r>
      <w:r w:rsidR="009E28CA" w:rsidRPr="00006A75">
        <w:rPr>
          <w:rFonts w:ascii="Arial" w:hAnsi="Arial" w:cs="Arial"/>
          <w:sz w:val="22"/>
          <w:szCs w:val="22"/>
        </w:rPr>
        <w:t>such as access to healthy food, safe spaces for exercise, and socioeconomic conditions, play a significant role in the development of excess weight, particularly for individuals from low socio-economic backgrounds.</w:t>
      </w:r>
    </w:p>
    <w:p w14:paraId="42BC6237" w14:textId="7C6A41F3" w:rsidR="00AD4AE3" w:rsidRPr="00006A75" w:rsidRDefault="00991117" w:rsidP="00006A75">
      <w:pPr>
        <w:numPr>
          <w:ilvl w:val="0"/>
          <w:numId w:val="6"/>
        </w:numPr>
        <w:spacing w:line="360" w:lineRule="auto"/>
        <w:rPr>
          <w:rFonts w:ascii="Arial" w:hAnsi="Arial" w:cs="Arial"/>
          <w:sz w:val="22"/>
          <w:szCs w:val="22"/>
        </w:rPr>
      </w:pPr>
      <w:r w:rsidRPr="00006A75">
        <w:rPr>
          <w:rFonts w:ascii="Arial" w:hAnsi="Arial" w:cs="Arial"/>
          <w:sz w:val="22"/>
          <w:szCs w:val="22"/>
        </w:rPr>
        <w:t xml:space="preserve">Psychological factors </w:t>
      </w:r>
      <w:r w:rsidR="00AD4AE3" w:rsidRPr="00006A75">
        <w:rPr>
          <w:rFonts w:ascii="Arial" w:hAnsi="Arial" w:cs="Arial"/>
          <w:sz w:val="22"/>
          <w:szCs w:val="22"/>
        </w:rPr>
        <w:t>such as stress, depression, and low self-esteem can contribute to overeating and physical inactivity, making it harder for individuals, especially those from low socio-economic backgrounds, to manage their weight effectively.</w:t>
      </w:r>
    </w:p>
    <w:p w14:paraId="374E0CD3" w14:textId="7CD2AE2D" w:rsidR="00991117" w:rsidRPr="00006A75" w:rsidRDefault="00991117" w:rsidP="00006A75">
      <w:pPr>
        <w:spacing w:line="360" w:lineRule="auto"/>
        <w:rPr>
          <w:rFonts w:ascii="Arial" w:hAnsi="Arial" w:cs="Arial"/>
          <w:sz w:val="22"/>
          <w:szCs w:val="22"/>
        </w:rPr>
      </w:pPr>
    </w:p>
    <w:p w14:paraId="484ED2FE" w14:textId="3E9F3D32" w:rsidR="00991117" w:rsidRPr="00006A75" w:rsidRDefault="009A75AF" w:rsidP="00006A75">
      <w:pPr>
        <w:spacing w:line="360" w:lineRule="auto"/>
        <w:rPr>
          <w:rFonts w:ascii="Arial" w:hAnsi="Arial" w:cs="Arial"/>
          <w:b/>
          <w:bCs/>
          <w:sz w:val="22"/>
          <w:szCs w:val="22"/>
        </w:rPr>
      </w:pPr>
      <w:r>
        <w:rPr>
          <w:rFonts w:ascii="Arial" w:hAnsi="Arial" w:cs="Arial"/>
          <w:b/>
          <w:bCs/>
          <w:sz w:val="22"/>
          <w:szCs w:val="22"/>
        </w:rPr>
        <w:t xml:space="preserve">5. </w:t>
      </w:r>
      <w:r w:rsidR="00991117" w:rsidRPr="00006A75">
        <w:rPr>
          <w:rFonts w:ascii="Arial" w:hAnsi="Arial" w:cs="Arial"/>
          <w:b/>
          <w:bCs/>
          <w:sz w:val="22"/>
          <w:szCs w:val="22"/>
        </w:rPr>
        <w:t>Discussion (Enhanced Critical Analysis)</w:t>
      </w:r>
    </w:p>
    <w:p w14:paraId="195B6576" w14:textId="6A246682" w:rsidR="00A26D1B" w:rsidRPr="00006A75" w:rsidRDefault="00A26D1B" w:rsidP="00006A75">
      <w:pPr>
        <w:spacing w:line="360" w:lineRule="auto"/>
        <w:rPr>
          <w:rFonts w:ascii="Arial" w:hAnsi="Arial" w:cs="Arial"/>
          <w:sz w:val="22"/>
          <w:szCs w:val="22"/>
        </w:rPr>
      </w:pPr>
      <w:r w:rsidRPr="00006A75">
        <w:rPr>
          <w:rFonts w:ascii="Arial" w:hAnsi="Arial" w:cs="Arial"/>
          <w:sz w:val="22"/>
          <w:szCs w:val="22"/>
        </w:rPr>
        <w:t xml:space="preserve">This scoping review has provided valuable insights into the complex and multifaceted nature of adult obesity in disadvantaged populations within the UK. It highlights that obesity is not merely a consequence of individual lifestyle choices but is deeply rooted in structural inequalities that influence people’s access to healthy food, healthcare, and opportunities for physical activity. Understanding these broader determinants is essential to developing </w:t>
      </w:r>
      <w:r w:rsidRPr="00006A75">
        <w:rPr>
          <w:rFonts w:ascii="Arial" w:hAnsi="Arial" w:cs="Arial"/>
          <w:sz w:val="22"/>
          <w:szCs w:val="22"/>
        </w:rPr>
        <w:lastRenderedPageBreak/>
        <w:t>effective interventions to tackle obesity, particularly in socioeconomically deprived communities.</w:t>
      </w:r>
      <w:r w:rsidR="007B5E06" w:rsidRPr="00006A75">
        <w:rPr>
          <w:rFonts w:ascii="Arial" w:hAnsi="Arial" w:cs="Arial"/>
          <w:sz w:val="22"/>
          <w:szCs w:val="22"/>
        </w:rPr>
        <w:t xml:space="preserve"> </w:t>
      </w:r>
      <w:r w:rsidR="007B5E06" w:rsidRPr="00006A75">
        <w:rPr>
          <w:rFonts w:ascii="Arial" w:hAnsi="Arial" w:cs="Arial"/>
          <w:sz w:val="22"/>
          <w:szCs w:val="22"/>
        </w:rPr>
        <w:t>(Puhl and Heuer, 2010).</w:t>
      </w:r>
    </w:p>
    <w:p w14:paraId="4FDE7A46" w14:textId="7ADECE8D" w:rsidR="00A26D1B" w:rsidRPr="00006A75" w:rsidRDefault="00991117" w:rsidP="00006A75">
      <w:pPr>
        <w:spacing w:line="360" w:lineRule="auto"/>
        <w:rPr>
          <w:rFonts w:ascii="Arial" w:hAnsi="Arial" w:cs="Arial"/>
          <w:b/>
          <w:bCs/>
          <w:sz w:val="22"/>
          <w:szCs w:val="22"/>
        </w:rPr>
      </w:pPr>
      <w:r w:rsidRPr="00006A75">
        <w:rPr>
          <w:rFonts w:ascii="Arial" w:hAnsi="Arial" w:cs="Arial"/>
          <w:b/>
          <w:bCs/>
          <w:sz w:val="22"/>
          <w:szCs w:val="22"/>
        </w:rPr>
        <w:t>Economic factors limit access to healthy food</w:t>
      </w:r>
      <w:r w:rsidR="00A26D1B" w:rsidRPr="00006A75">
        <w:rPr>
          <w:rFonts w:ascii="Arial" w:hAnsi="Arial" w:cs="Arial"/>
          <w:b/>
          <w:bCs/>
          <w:sz w:val="22"/>
          <w:szCs w:val="22"/>
        </w:rPr>
        <w:t>.</w:t>
      </w:r>
    </w:p>
    <w:p w14:paraId="06FCF2A4" w14:textId="50A6ECC9" w:rsidR="00A26D1B" w:rsidRPr="00006A75" w:rsidRDefault="00A26D1B" w:rsidP="00006A75">
      <w:pPr>
        <w:spacing w:line="360" w:lineRule="auto"/>
        <w:rPr>
          <w:rFonts w:ascii="Arial" w:hAnsi="Arial" w:cs="Arial"/>
          <w:sz w:val="22"/>
          <w:szCs w:val="22"/>
        </w:rPr>
      </w:pPr>
      <w:r w:rsidRPr="00006A75">
        <w:rPr>
          <w:rFonts w:ascii="Arial" w:hAnsi="Arial" w:cs="Arial"/>
          <w:sz w:val="22"/>
          <w:szCs w:val="22"/>
        </w:rPr>
        <w:t>Economic inequality plays a central role in the prevalence of obesity in disadvantaged communities. As demonstrated by Robinson et al. (2018), the cost of healthy food is often prohibitively high for individuals on lower incomes, pushing them toward cheaper, energy-dense foods that are high in fat, sugar, and salt. This economic barrier is particularly pronounced in low-income areas where, as Cummins and Macintyre (2006) found, there is a greater concentration of fast food outlets and fewer supermarkets offering fresh and nutritious produce. This creates a "food desert" phenomenon, where access to healthy food is scarce, and individuals are left with limited options. Consequently, food choices become less about preference and more about necessity, making unhealthy eating patterns almost unavoidable for many people living in deprived areas.</w:t>
      </w:r>
    </w:p>
    <w:p w14:paraId="30F524D8" w14:textId="7DDF6DD9" w:rsidR="00A26D1B" w:rsidRPr="00006A75" w:rsidRDefault="00A26D1B" w:rsidP="00006A75">
      <w:pPr>
        <w:spacing w:line="360" w:lineRule="auto"/>
        <w:rPr>
          <w:rFonts w:ascii="Arial" w:hAnsi="Arial" w:cs="Arial"/>
          <w:sz w:val="22"/>
          <w:szCs w:val="22"/>
        </w:rPr>
      </w:pPr>
      <w:r w:rsidRPr="00006A75">
        <w:rPr>
          <w:rFonts w:ascii="Arial" w:hAnsi="Arial" w:cs="Arial"/>
          <w:sz w:val="22"/>
          <w:szCs w:val="22"/>
        </w:rPr>
        <w:t>Moreover, Drewnowski (2009) emphasises that the lack of affordable healthy food does not simply reflect a limited choice; it reflects the broader social and economic conditions that restrict access to nutritious meals. This creates a cycle of poor health, as individuals are unable to break free from unhealthy eating habits due to the structural constraints placed on them by their environment. As Robinson et al. (2018) point out, tackling these inequalities requires more than just encouraging healthier food choices. It requires systemic change to improve food access, reduce costs, and create environments where healthy options are the default, not the exception.</w:t>
      </w:r>
    </w:p>
    <w:p w14:paraId="47932CD6" w14:textId="77777777" w:rsidR="00A26D1B" w:rsidRPr="00006A75" w:rsidRDefault="00A26D1B" w:rsidP="00006A75">
      <w:pPr>
        <w:spacing w:line="360" w:lineRule="auto"/>
        <w:rPr>
          <w:rFonts w:ascii="Arial" w:hAnsi="Arial" w:cs="Arial"/>
          <w:b/>
          <w:bCs/>
          <w:sz w:val="22"/>
          <w:szCs w:val="22"/>
        </w:rPr>
      </w:pPr>
      <w:r w:rsidRPr="00006A75">
        <w:rPr>
          <w:rFonts w:ascii="Arial" w:hAnsi="Arial" w:cs="Arial"/>
          <w:b/>
          <w:bCs/>
          <w:sz w:val="22"/>
          <w:szCs w:val="22"/>
        </w:rPr>
        <w:t>Environmental Influences on Obesity</w:t>
      </w:r>
    </w:p>
    <w:p w14:paraId="742BFAAF" w14:textId="4F1FB5EC" w:rsidR="00A26D1B" w:rsidRPr="00006A75" w:rsidRDefault="00A26D1B" w:rsidP="00006A75">
      <w:pPr>
        <w:spacing w:line="360" w:lineRule="auto"/>
        <w:rPr>
          <w:rFonts w:ascii="Arial" w:hAnsi="Arial" w:cs="Arial"/>
          <w:sz w:val="22"/>
          <w:szCs w:val="22"/>
        </w:rPr>
      </w:pPr>
      <w:r w:rsidRPr="00006A75">
        <w:rPr>
          <w:rFonts w:ascii="Arial" w:hAnsi="Arial" w:cs="Arial"/>
          <w:sz w:val="22"/>
          <w:szCs w:val="22"/>
        </w:rPr>
        <w:t>The physical environment in which people live has a significant impact on obesity rates. Disadvantaged communities often lack safe spaces for physical activity, and the built environment tends to discourage active lifestyles</w:t>
      </w:r>
      <w:r w:rsidR="000C0839">
        <w:rPr>
          <w:rFonts w:ascii="Arial" w:hAnsi="Arial" w:cs="Arial"/>
          <w:sz w:val="22"/>
          <w:szCs w:val="22"/>
        </w:rPr>
        <w:t>. (</w:t>
      </w:r>
      <w:r w:rsidRPr="00006A75">
        <w:rPr>
          <w:rFonts w:ascii="Arial" w:hAnsi="Arial" w:cs="Arial"/>
          <w:sz w:val="22"/>
          <w:szCs w:val="22"/>
        </w:rPr>
        <w:t>Cummins and Macintyre 2006)</w:t>
      </w:r>
      <w:r w:rsidR="000C0839">
        <w:rPr>
          <w:rFonts w:ascii="Arial" w:hAnsi="Arial" w:cs="Arial"/>
          <w:sz w:val="22"/>
          <w:szCs w:val="22"/>
        </w:rPr>
        <w:t>. Note</w:t>
      </w:r>
      <w:r w:rsidRPr="00006A75">
        <w:rPr>
          <w:rFonts w:ascii="Arial" w:hAnsi="Arial" w:cs="Arial"/>
          <w:sz w:val="22"/>
          <w:szCs w:val="22"/>
        </w:rPr>
        <w:t xml:space="preserve"> that areas with high levels of poverty frequently suffer from poorly maintained infrastructure, inadequate green spaces, and limited recreational facilities. This lack of infrastructure, combined with concerns over safety in some deprived neighbourhoods, discourages walking, cycling, or outdoor physical activities, which are essential for maintaining a healthy weight.</w:t>
      </w:r>
    </w:p>
    <w:p w14:paraId="563D0FD2" w14:textId="77777777" w:rsidR="00A26D1B" w:rsidRPr="00006A75" w:rsidRDefault="00A26D1B" w:rsidP="00006A75">
      <w:pPr>
        <w:spacing w:line="360" w:lineRule="auto"/>
        <w:rPr>
          <w:rFonts w:ascii="Arial" w:hAnsi="Arial" w:cs="Arial"/>
          <w:sz w:val="22"/>
          <w:szCs w:val="22"/>
        </w:rPr>
      </w:pPr>
      <w:r w:rsidRPr="00006A75">
        <w:rPr>
          <w:rFonts w:ascii="Arial" w:hAnsi="Arial" w:cs="Arial"/>
          <w:sz w:val="22"/>
          <w:szCs w:val="22"/>
        </w:rPr>
        <w:t xml:space="preserve">Moreover, the prevalence of fast-food outlets in low-income areas further exacerbates the problem by making unhealthy food choices more readily available. This, coupled with the limited access to supermarkets selling fresh produce, creates an environment where unhealthy eating becomes the norm (Briggs et al., 2013). As noted by Jones (2018), the built </w:t>
      </w:r>
      <w:r w:rsidRPr="00006A75">
        <w:rPr>
          <w:rFonts w:ascii="Arial" w:hAnsi="Arial" w:cs="Arial"/>
          <w:sz w:val="22"/>
          <w:szCs w:val="22"/>
        </w:rPr>
        <w:lastRenderedPageBreak/>
        <w:t>environment must be addressed through policies that promote healthier urban planning, ensuring that all communities have access to green spaces, pedestrian-friendly streets, and affordable supermarkets. Without such structural changes, disadvantaged populations will continue to face barriers to maintaining a healthy weight.</w:t>
      </w:r>
    </w:p>
    <w:p w14:paraId="7F94DC0D" w14:textId="77777777" w:rsidR="00A26D1B" w:rsidRPr="00006A75" w:rsidRDefault="00A26D1B" w:rsidP="00006A75">
      <w:pPr>
        <w:spacing w:line="360" w:lineRule="auto"/>
        <w:rPr>
          <w:rFonts w:ascii="Arial" w:hAnsi="Arial" w:cs="Arial"/>
          <w:b/>
          <w:bCs/>
          <w:sz w:val="22"/>
          <w:szCs w:val="22"/>
        </w:rPr>
      </w:pPr>
      <w:r w:rsidRPr="00006A75">
        <w:rPr>
          <w:rFonts w:ascii="Arial" w:hAnsi="Arial" w:cs="Arial"/>
          <w:b/>
          <w:bCs/>
          <w:sz w:val="22"/>
          <w:szCs w:val="22"/>
        </w:rPr>
        <w:t>Mental Health and Stress</w:t>
      </w:r>
    </w:p>
    <w:p w14:paraId="0CCAED17" w14:textId="0B25D5AD" w:rsidR="00A26D1B" w:rsidRPr="00006A75" w:rsidRDefault="00A26D1B" w:rsidP="00006A75">
      <w:pPr>
        <w:spacing w:line="360" w:lineRule="auto"/>
        <w:rPr>
          <w:rFonts w:ascii="Arial" w:hAnsi="Arial" w:cs="Arial"/>
          <w:sz w:val="22"/>
          <w:szCs w:val="22"/>
        </w:rPr>
      </w:pPr>
      <w:r w:rsidRPr="00006A75">
        <w:rPr>
          <w:rFonts w:ascii="Arial" w:hAnsi="Arial" w:cs="Arial"/>
          <w:sz w:val="22"/>
          <w:szCs w:val="22"/>
        </w:rPr>
        <w:t xml:space="preserve">The mental health of disadvantaged populations is another significant factor influencing obesity. </w:t>
      </w:r>
      <w:r w:rsidR="000A3859" w:rsidRPr="00006A75">
        <w:rPr>
          <w:rFonts w:ascii="Arial" w:hAnsi="Arial" w:cs="Arial"/>
          <w:sz w:val="22"/>
          <w:szCs w:val="22"/>
        </w:rPr>
        <w:t>(</w:t>
      </w:r>
      <w:r w:rsidRPr="00006A75">
        <w:rPr>
          <w:rFonts w:ascii="Arial" w:hAnsi="Arial" w:cs="Arial"/>
          <w:sz w:val="22"/>
          <w:szCs w:val="22"/>
        </w:rPr>
        <w:t>Loring and Robertson 2014) argue that individuals in lower socioeconomic groups are more likely to experience chronic stress due to financial instability, unemployment, and living conditions. Stress has been shown to increase the likelihood of emotional eating and poor dietary habits, as individuals may use food to cope with feelings of anxiety, depression, or social exclusion (Loring and Robertson, 2014).</w:t>
      </w:r>
    </w:p>
    <w:p w14:paraId="5FF64353" w14:textId="211FA23F" w:rsidR="00A26D1B" w:rsidRPr="00006A75" w:rsidRDefault="00A26D1B" w:rsidP="00006A75">
      <w:pPr>
        <w:spacing w:line="360" w:lineRule="auto"/>
        <w:rPr>
          <w:rFonts w:ascii="Arial" w:hAnsi="Arial" w:cs="Arial"/>
          <w:sz w:val="22"/>
          <w:szCs w:val="22"/>
        </w:rPr>
      </w:pPr>
      <w:r w:rsidRPr="00006A75">
        <w:rPr>
          <w:rFonts w:ascii="Arial" w:hAnsi="Arial" w:cs="Arial"/>
          <w:sz w:val="22"/>
          <w:szCs w:val="22"/>
        </w:rPr>
        <w:t>Mental health issues, such as depression and anxiety, are more prevalent in deprived areas, which creates a vicious cycle where poor mental health contributes to obesity, and obesity, in turn, exacerbates mental health issues. Research by Newton et al. (2017) emphasises that individuals in these communities are often unaware of the mental health implications of their obesity, and interventions typically do not address the psychological factors underlying unhealthy behaviours. In this context, obesity interventions that do not consider mental health are likely to fail, as they ignore one of the primary drivers of unhealthy eating and sedentary behaviour in disadvantaged populations.</w:t>
      </w:r>
    </w:p>
    <w:p w14:paraId="0581BB4C" w14:textId="77777777" w:rsidR="00A26D1B" w:rsidRPr="00006A75" w:rsidRDefault="00A26D1B" w:rsidP="00006A75">
      <w:pPr>
        <w:spacing w:line="360" w:lineRule="auto"/>
        <w:rPr>
          <w:rFonts w:ascii="Arial" w:hAnsi="Arial" w:cs="Arial"/>
          <w:b/>
          <w:bCs/>
          <w:sz w:val="22"/>
          <w:szCs w:val="22"/>
        </w:rPr>
      </w:pPr>
      <w:r w:rsidRPr="00006A75">
        <w:rPr>
          <w:rFonts w:ascii="Arial" w:hAnsi="Arial" w:cs="Arial"/>
          <w:b/>
          <w:bCs/>
          <w:sz w:val="22"/>
          <w:szCs w:val="22"/>
        </w:rPr>
        <w:t>Healthcare Access and Inequality</w:t>
      </w:r>
    </w:p>
    <w:p w14:paraId="6CD6D8BF" w14:textId="77777777" w:rsidR="0023028F" w:rsidRPr="00006A75" w:rsidRDefault="00A26D1B" w:rsidP="00006A75">
      <w:pPr>
        <w:spacing w:line="360" w:lineRule="auto"/>
        <w:rPr>
          <w:rFonts w:ascii="Arial" w:hAnsi="Arial" w:cs="Arial"/>
          <w:sz w:val="22"/>
          <w:szCs w:val="22"/>
        </w:rPr>
      </w:pPr>
      <w:r w:rsidRPr="00006A75">
        <w:rPr>
          <w:rFonts w:ascii="Arial" w:hAnsi="Arial" w:cs="Arial"/>
          <w:sz w:val="22"/>
          <w:szCs w:val="22"/>
        </w:rPr>
        <w:t>Access to healthcare is another critical factor that influences obesity outcomes in disadvantaged groups.</w:t>
      </w:r>
      <w:r w:rsidR="00DC18A1" w:rsidRPr="00006A75">
        <w:rPr>
          <w:rFonts w:ascii="Arial" w:hAnsi="Arial" w:cs="Arial"/>
          <w:sz w:val="22"/>
          <w:szCs w:val="22"/>
        </w:rPr>
        <w:t xml:space="preserve"> </w:t>
      </w:r>
      <w:r w:rsidR="00DC18A1" w:rsidRPr="00006A75">
        <w:rPr>
          <w:rFonts w:ascii="Arial" w:hAnsi="Arial" w:cs="Arial"/>
          <w:sz w:val="22"/>
          <w:szCs w:val="22"/>
        </w:rPr>
        <w:t>(Williams &amp; Watson, 2019)</w:t>
      </w:r>
      <w:r w:rsidRPr="00006A75">
        <w:rPr>
          <w:rFonts w:ascii="Arial" w:hAnsi="Arial" w:cs="Arial"/>
          <w:sz w:val="22"/>
          <w:szCs w:val="22"/>
        </w:rPr>
        <w:t xml:space="preserve">  </w:t>
      </w:r>
      <w:r w:rsidR="00A92478" w:rsidRPr="00006A75">
        <w:rPr>
          <w:rFonts w:ascii="Arial" w:hAnsi="Arial" w:cs="Arial"/>
          <w:sz w:val="22"/>
          <w:szCs w:val="22"/>
        </w:rPr>
        <w:t>Individuals</w:t>
      </w:r>
      <w:r w:rsidRPr="00006A75">
        <w:rPr>
          <w:rFonts w:ascii="Arial" w:hAnsi="Arial" w:cs="Arial"/>
          <w:sz w:val="22"/>
          <w:szCs w:val="22"/>
        </w:rPr>
        <w:t xml:space="preserve"> from lower socioeconomic backgrounds are less likely to access weight management services, which can be attributed to a range of factors such as cost, geographic barriers, lack of awareness, and social stigma. The NHS provides a range of weight management programs, but these services are often underused in deprived areas. This is partly because these programs are not always seen as relevant or accessible to people in disadvantaged communities, and there is often a lack of cultural competence in these services </w:t>
      </w:r>
    </w:p>
    <w:p w14:paraId="2284A9EE" w14:textId="6DFE8858" w:rsidR="00A26D1B" w:rsidRPr="00006A75" w:rsidRDefault="00A26D1B" w:rsidP="00006A75">
      <w:pPr>
        <w:spacing w:line="360" w:lineRule="auto"/>
        <w:rPr>
          <w:rFonts w:ascii="Arial" w:hAnsi="Arial" w:cs="Arial"/>
          <w:sz w:val="22"/>
          <w:szCs w:val="22"/>
        </w:rPr>
      </w:pPr>
      <w:r w:rsidRPr="00006A75">
        <w:rPr>
          <w:rFonts w:ascii="Arial" w:hAnsi="Arial" w:cs="Arial"/>
          <w:sz w:val="22"/>
          <w:szCs w:val="22"/>
        </w:rPr>
        <w:t xml:space="preserve">The social stigma surrounding obesity can also deter individuals from seeking help. Many people from disadvantaged groups are already marginalised by society, and seeking weight management services may feel like an additional layer of social exclusion (Loring and Robertson, 2014). Furthermore, the NHS weight management programs often focus on individual behaviour change, rather than addressing the structural and environmental factors that contribute to obesity in the first place. As </w:t>
      </w:r>
      <w:r w:rsidR="004D0FEE" w:rsidRPr="00006A75">
        <w:rPr>
          <w:rFonts w:ascii="Arial" w:hAnsi="Arial" w:cs="Arial"/>
          <w:sz w:val="22"/>
          <w:szCs w:val="22"/>
        </w:rPr>
        <w:t>(</w:t>
      </w:r>
      <w:r w:rsidRPr="00006A75">
        <w:rPr>
          <w:rFonts w:ascii="Arial" w:hAnsi="Arial" w:cs="Arial"/>
          <w:sz w:val="22"/>
          <w:szCs w:val="22"/>
        </w:rPr>
        <w:t xml:space="preserve">Robinson et al. 2019) argue, effective obesity </w:t>
      </w:r>
      <w:r w:rsidRPr="00006A75">
        <w:rPr>
          <w:rFonts w:ascii="Arial" w:hAnsi="Arial" w:cs="Arial"/>
          <w:sz w:val="22"/>
          <w:szCs w:val="22"/>
        </w:rPr>
        <w:lastRenderedPageBreak/>
        <w:t>interventions must address both individual behaviours and the broader social determinants of health to reduce health inequalities effectively.</w:t>
      </w:r>
    </w:p>
    <w:p w14:paraId="5677C7BB" w14:textId="77777777" w:rsidR="00A26D1B" w:rsidRPr="00006A75" w:rsidRDefault="00A26D1B" w:rsidP="00006A75">
      <w:pPr>
        <w:spacing w:line="360" w:lineRule="auto"/>
        <w:rPr>
          <w:rFonts w:ascii="Arial" w:hAnsi="Arial" w:cs="Arial"/>
          <w:b/>
          <w:bCs/>
          <w:sz w:val="22"/>
          <w:szCs w:val="22"/>
        </w:rPr>
      </w:pPr>
      <w:r w:rsidRPr="00006A75">
        <w:rPr>
          <w:rFonts w:ascii="Arial" w:hAnsi="Arial" w:cs="Arial"/>
          <w:b/>
          <w:bCs/>
          <w:sz w:val="22"/>
          <w:szCs w:val="22"/>
        </w:rPr>
        <w:t>The Role of Digital Health Solutions</w:t>
      </w:r>
    </w:p>
    <w:p w14:paraId="4C363A95" w14:textId="0243CAED" w:rsidR="00A26D1B" w:rsidRPr="00006A75" w:rsidRDefault="00A26D1B" w:rsidP="00006A75">
      <w:pPr>
        <w:spacing w:line="360" w:lineRule="auto"/>
        <w:rPr>
          <w:rFonts w:ascii="Arial" w:hAnsi="Arial" w:cs="Arial"/>
          <w:sz w:val="22"/>
          <w:szCs w:val="22"/>
        </w:rPr>
      </w:pPr>
      <w:r w:rsidRPr="00006A75">
        <w:rPr>
          <w:rFonts w:ascii="Arial" w:hAnsi="Arial" w:cs="Arial"/>
          <w:sz w:val="22"/>
          <w:szCs w:val="22"/>
        </w:rPr>
        <w:t xml:space="preserve">The rise of digital health tools has offered new opportunities for managing obesity. However, access to digital health services is not equally distributed. </w:t>
      </w:r>
      <w:r w:rsidR="009F74A7" w:rsidRPr="00006A75">
        <w:rPr>
          <w:rFonts w:ascii="Arial" w:hAnsi="Arial" w:cs="Arial"/>
          <w:sz w:val="22"/>
          <w:szCs w:val="22"/>
        </w:rPr>
        <w:t>(</w:t>
      </w:r>
      <w:r w:rsidRPr="00006A75">
        <w:rPr>
          <w:rFonts w:ascii="Arial" w:hAnsi="Arial" w:cs="Arial"/>
          <w:sz w:val="22"/>
          <w:szCs w:val="22"/>
        </w:rPr>
        <w:t xml:space="preserve">Robinson et al. </w:t>
      </w:r>
      <w:r w:rsidR="009F74A7" w:rsidRPr="00006A75">
        <w:rPr>
          <w:rFonts w:ascii="Arial" w:hAnsi="Arial" w:cs="Arial"/>
          <w:sz w:val="22"/>
          <w:szCs w:val="22"/>
        </w:rPr>
        <w:t>2</w:t>
      </w:r>
      <w:r w:rsidRPr="00006A75">
        <w:rPr>
          <w:rFonts w:ascii="Arial" w:hAnsi="Arial" w:cs="Arial"/>
          <w:sz w:val="22"/>
          <w:szCs w:val="22"/>
        </w:rPr>
        <w:t>015)</w:t>
      </w:r>
      <w:r w:rsidR="00810CBF" w:rsidRPr="00006A75">
        <w:rPr>
          <w:rFonts w:ascii="Arial" w:hAnsi="Arial" w:cs="Arial"/>
          <w:sz w:val="22"/>
          <w:szCs w:val="22"/>
        </w:rPr>
        <w:t>. Highlight</w:t>
      </w:r>
      <w:r w:rsidRPr="00006A75">
        <w:rPr>
          <w:rFonts w:ascii="Arial" w:hAnsi="Arial" w:cs="Arial"/>
          <w:sz w:val="22"/>
          <w:szCs w:val="22"/>
        </w:rPr>
        <w:t xml:space="preserve"> </w:t>
      </w:r>
      <w:r w:rsidR="00810CBF" w:rsidRPr="00006A75">
        <w:rPr>
          <w:rFonts w:ascii="Arial" w:hAnsi="Arial" w:cs="Arial"/>
          <w:sz w:val="22"/>
          <w:szCs w:val="22"/>
        </w:rPr>
        <w:t xml:space="preserve">the digital divide in disadvantaged communities, where individuals may lack access to </w:t>
      </w:r>
      <w:r w:rsidRPr="00006A75">
        <w:rPr>
          <w:rFonts w:ascii="Arial" w:hAnsi="Arial" w:cs="Arial"/>
          <w:sz w:val="22"/>
          <w:szCs w:val="22"/>
        </w:rPr>
        <w:t>the necessary technology, internet, or digital literacy skills to benefit from online weight management programs. This creates an additional layer of inequality, as more affluent populations are more likely to have access to digital health interventions, while those in disadvantaged areas remain excluded. The growing reliance on digital health tools in obesity interventions must be carefully considered to ensure that it does not exacerbate existing health inequalities.</w:t>
      </w:r>
    </w:p>
    <w:p w14:paraId="57724450" w14:textId="77777777" w:rsidR="00A26D1B" w:rsidRPr="00006A75" w:rsidRDefault="00A26D1B" w:rsidP="00006A75">
      <w:pPr>
        <w:spacing w:line="360" w:lineRule="auto"/>
        <w:rPr>
          <w:rFonts w:ascii="Arial" w:hAnsi="Arial" w:cs="Arial"/>
          <w:b/>
          <w:bCs/>
          <w:sz w:val="22"/>
          <w:szCs w:val="22"/>
        </w:rPr>
      </w:pPr>
      <w:r w:rsidRPr="00006A75">
        <w:rPr>
          <w:rFonts w:ascii="Arial" w:hAnsi="Arial" w:cs="Arial"/>
          <w:b/>
          <w:bCs/>
          <w:sz w:val="22"/>
          <w:szCs w:val="22"/>
        </w:rPr>
        <w:t>The Need for Comprehensive Policy Action</w:t>
      </w:r>
    </w:p>
    <w:p w14:paraId="55B39744" w14:textId="074A8D42" w:rsidR="00A26D1B" w:rsidRPr="00006A75" w:rsidRDefault="00A26D1B" w:rsidP="00006A75">
      <w:pPr>
        <w:spacing w:line="360" w:lineRule="auto"/>
        <w:rPr>
          <w:rFonts w:ascii="Arial" w:hAnsi="Arial" w:cs="Arial"/>
          <w:sz w:val="22"/>
          <w:szCs w:val="22"/>
        </w:rPr>
      </w:pPr>
      <w:r w:rsidRPr="00006A75">
        <w:rPr>
          <w:rFonts w:ascii="Arial" w:hAnsi="Arial" w:cs="Arial"/>
          <w:sz w:val="22"/>
          <w:szCs w:val="22"/>
        </w:rPr>
        <w:t>While several policies have been implemented in the UK to address obesity, such as the Childhood Obesity Plan and the NHS Long Term Plan, many experts argue that these initiatives focus too heavily on individual behaviour change rather than addressing the underlying social determinants of health (Robinson et al., 2019). As the findings from this review suggest, structural factors such as poverty, housing, education, and access to services are far more significant in shaping obesity rates than individual behaviours alone. Public health policies must therefore be more comprehensive, focusing on reducing inequalities and creating environments that promote healthy choices for all, regardless of socioeconomic status.</w:t>
      </w:r>
    </w:p>
    <w:p w14:paraId="738A1726" w14:textId="7EBE0822" w:rsidR="00A26D1B" w:rsidRPr="00006A75" w:rsidRDefault="00A26D1B" w:rsidP="00006A75">
      <w:pPr>
        <w:spacing w:line="360" w:lineRule="auto"/>
        <w:rPr>
          <w:rFonts w:ascii="Arial" w:hAnsi="Arial" w:cs="Arial"/>
          <w:b/>
          <w:bCs/>
          <w:sz w:val="22"/>
          <w:szCs w:val="22"/>
        </w:rPr>
      </w:pPr>
      <w:r w:rsidRPr="00006A75">
        <w:rPr>
          <w:rFonts w:ascii="Arial" w:hAnsi="Arial" w:cs="Arial"/>
          <w:b/>
          <w:bCs/>
          <w:sz w:val="22"/>
          <w:szCs w:val="22"/>
        </w:rPr>
        <w:t>Conclusion and Recommendations</w:t>
      </w:r>
    </w:p>
    <w:p w14:paraId="13A6FDCD" w14:textId="085E72A8" w:rsidR="00A26D1B" w:rsidRPr="00006A75" w:rsidRDefault="00A26D1B" w:rsidP="00006A75">
      <w:pPr>
        <w:spacing w:line="360" w:lineRule="auto"/>
        <w:rPr>
          <w:rFonts w:ascii="Arial" w:hAnsi="Arial" w:cs="Arial"/>
          <w:sz w:val="22"/>
          <w:szCs w:val="22"/>
        </w:rPr>
      </w:pPr>
      <w:r w:rsidRPr="00006A75">
        <w:rPr>
          <w:rFonts w:ascii="Arial" w:hAnsi="Arial" w:cs="Arial"/>
          <w:sz w:val="22"/>
          <w:szCs w:val="22"/>
        </w:rPr>
        <w:t>This scoping review has highlighted that adult obesity in disadvantaged populations in the UK is influenced by a complex interplay of socioeconomic, environmental, mental health, and healthcare access factors. These findings underscore the need to move beyond a narrow focus on individual behaviour change and to address the structural determinants of obesity that disproportionately affect low-income communities. Obesity in disadvantaged populations in the UK is deeply linked to social inequality. It is not simply a result of poor lifestyle choices but is influenced by a variety of structural factors, including income, environment, and access to healthcare. These factors create conditions where individuals in deprived areas are at a higher risk of becoming obese. Therefore, addressing obesity requires more than just encouraging healthier behaviours; it needs structural changes to reduce inequality and create environments that support healthy lifestyles.</w:t>
      </w:r>
    </w:p>
    <w:p w14:paraId="255147C3" w14:textId="77777777" w:rsidR="00A26D1B" w:rsidRPr="00006A75" w:rsidRDefault="00A26D1B" w:rsidP="00006A75">
      <w:pPr>
        <w:spacing w:line="360" w:lineRule="auto"/>
        <w:rPr>
          <w:rFonts w:ascii="Arial" w:hAnsi="Arial" w:cs="Arial"/>
          <w:b/>
          <w:bCs/>
          <w:sz w:val="22"/>
          <w:szCs w:val="22"/>
        </w:rPr>
      </w:pPr>
      <w:r w:rsidRPr="00006A75">
        <w:rPr>
          <w:rFonts w:ascii="Arial" w:hAnsi="Arial" w:cs="Arial"/>
          <w:b/>
          <w:bCs/>
          <w:sz w:val="22"/>
          <w:szCs w:val="22"/>
        </w:rPr>
        <w:lastRenderedPageBreak/>
        <w:t>Recommendations for Future Research, Policy, and Practice</w:t>
      </w:r>
    </w:p>
    <w:p w14:paraId="3A3AC421" w14:textId="77777777" w:rsidR="00A26D1B" w:rsidRPr="00006A75" w:rsidRDefault="00A26D1B" w:rsidP="00006A75">
      <w:pPr>
        <w:numPr>
          <w:ilvl w:val="0"/>
          <w:numId w:val="13"/>
        </w:numPr>
        <w:spacing w:line="360" w:lineRule="auto"/>
        <w:rPr>
          <w:rFonts w:ascii="Arial" w:hAnsi="Arial" w:cs="Arial"/>
          <w:sz w:val="22"/>
          <w:szCs w:val="22"/>
        </w:rPr>
      </w:pPr>
      <w:r w:rsidRPr="00006A75">
        <w:rPr>
          <w:rFonts w:ascii="Arial" w:hAnsi="Arial" w:cs="Arial"/>
          <w:b/>
          <w:bCs/>
          <w:sz w:val="22"/>
          <w:szCs w:val="22"/>
        </w:rPr>
        <w:t>Community-based interventions</w:t>
      </w:r>
      <w:r w:rsidRPr="00006A75">
        <w:rPr>
          <w:rFonts w:ascii="Arial" w:hAnsi="Arial" w:cs="Arial"/>
          <w:sz w:val="22"/>
          <w:szCs w:val="22"/>
        </w:rPr>
        <w:t xml:space="preserve">: Interventions should be tailored to the specific needs of disadvantaged communities, incorporating local knowledge, cultural considerations, and community engagement. Community-based programs have shown greater success in promoting sustainable health changes by focusing on collective action and addressing local barriers (Whitehead, 2017). </w:t>
      </w:r>
    </w:p>
    <w:p w14:paraId="6ABD03C6" w14:textId="42531EA7" w:rsidR="00A26D1B" w:rsidRPr="00006A75" w:rsidRDefault="00A26D1B" w:rsidP="00006A75">
      <w:pPr>
        <w:numPr>
          <w:ilvl w:val="0"/>
          <w:numId w:val="13"/>
        </w:numPr>
        <w:spacing w:line="360" w:lineRule="auto"/>
        <w:rPr>
          <w:rFonts w:ascii="Arial" w:hAnsi="Arial" w:cs="Arial"/>
          <w:sz w:val="22"/>
          <w:szCs w:val="22"/>
        </w:rPr>
      </w:pPr>
      <w:r w:rsidRPr="00006A75">
        <w:rPr>
          <w:rFonts w:ascii="Arial" w:hAnsi="Arial" w:cs="Arial"/>
          <w:b/>
          <w:bCs/>
          <w:sz w:val="22"/>
          <w:szCs w:val="22"/>
        </w:rPr>
        <w:t>Addressing mental health</w:t>
      </w:r>
      <w:r w:rsidRPr="00006A75">
        <w:rPr>
          <w:rFonts w:ascii="Arial" w:hAnsi="Arial" w:cs="Arial"/>
          <w:sz w:val="22"/>
          <w:szCs w:val="22"/>
        </w:rPr>
        <w:t xml:space="preserve">: Incorporating mental health support into weight management services can help address the underlying psychological factors that contribute to obesity. This should include support for stress management, depression, and emotional eating, which are common in disadvantaged populations (Loring and Robertson, 2014). </w:t>
      </w:r>
    </w:p>
    <w:p w14:paraId="452955F2" w14:textId="77777777" w:rsidR="008977CD" w:rsidRPr="00006A75" w:rsidRDefault="008977CD" w:rsidP="00006A75">
      <w:pPr>
        <w:numPr>
          <w:ilvl w:val="0"/>
          <w:numId w:val="13"/>
        </w:numPr>
        <w:spacing w:line="360" w:lineRule="auto"/>
        <w:rPr>
          <w:rFonts w:ascii="Arial" w:hAnsi="Arial" w:cs="Arial"/>
          <w:sz w:val="22"/>
          <w:szCs w:val="22"/>
        </w:rPr>
      </w:pPr>
      <w:r w:rsidRPr="00006A75">
        <w:rPr>
          <w:rFonts w:ascii="Arial" w:eastAsia="Times New Roman" w:hAnsi="Arial" w:cs="Arial"/>
          <w:b/>
          <w:bCs/>
          <w:kern w:val="0"/>
          <w:sz w:val="22"/>
          <w:szCs w:val="22"/>
          <w:lang w:eastAsia="en-GB"/>
          <w14:ligatures w14:val="none"/>
        </w:rPr>
        <w:t>Reducing Poverty as a Key Policy Priority in Obesity Management</w:t>
      </w:r>
    </w:p>
    <w:p w14:paraId="62DDFE62" w14:textId="57784797" w:rsidR="008977CD" w:rsidRPr="00006A75" w:rsidRDefault="008977CD" w:rsidP="00006A75">
      <w:pPr>
        <w:pStyle w:val="ListParagraph"/>
        <w:spacing w:before="100" w:beforeAutospacing="1" w:after="100" w:afterAutospacing="1" w:line="360" w:lineRule="auto"/>
        <w:rPr>
          <w:rFonts w:ascii="Arial" w:eastAsia="Times New Roman" w:hAnsi="Arial" w:cs="Arial"/>
          <w:kern w:val="0"/>
          <w:sz w:val="22"/>
          <w:szCs w:val="22"/>
          <w:lang w:eastAsia="en-GB"/>
          <w14:ligatures w14:val="none"/>
        </w:rPr>
      </w:pPr>
      <w:r w:rsidRPr="00006A75">
        <w:rPr>
          <w:rFonts w:ascii="Arial" w:eastAsia="Times New Roman" w:hAnsi="Arial" w:cs="Arial"/>
          <w:kern w:val="0"/>
          <w:sz w:val="22"/>
          <w:szCs w:val="22"/>
          <w:lang w:eastAsia="en-GB"/>
          <w14:ligatures w14:val="none"/>
        </w:rPr>
        <w:t>Poverty is a primary driver of obesity, particularly in disadvantaged communities. Individuals living in poverty often face barriers that make it more difficult to make healthy lifestyle choices, such as limited access to nutritious food, a lack of safe spaces for physical activity, and financial constraints that prioritize short-term survival over long-term health. Tackling poverty should therefore be a key policy priority in the fight against obesity. Policies that aim to reduce income inequality, improve affordable housing, and increase access to education can help to create environments where healthier lifestyle choices are more feasible (Swinburn et al., 2011). Addressing these structural determinants of health is essential for reducing obesity rates, particularly in areas where the most vulnerable populations are concentrated. By improving living conditions, access to education, and economic opportunities, it becomes possible to reduce some of the systemic barriers that contribute to unhealthy weight gain and the associated health risks.</w:t>
      </w:r>
    </w:p>
    <w:p w14:paraId="62156AEC" w14:textId="77777777" w:rsidR="00A26D1B" w:rsidRPr="00006A75" w:rsidRDefault="00A26D1B" w:rsidP="00006A75">
      <w:pPr>
        <w:numPr>
          <w:ilvl w:val="0"/>
          <w:numId w:val="13"/>
        </w:numPr>
        <w:spacing w:line="360" w:lineRule="auto"/>
        <w:rPr>
          <w:rFonts w:ascii="Arial" w:hAnsi="Arial" w:cs="Arial"/>
          <w:sz w:val="22"/>
          <w:szCs w:val="22"/>
        </w:rPr>
      </w:pPr>
      <w:r w:rsidRPr="00006A75">
        <w:rPr>
          <w:rFonts w:ascii="Arial" w:hAnsi="Arial" w:cs="Arial"/>
          <w:b/>
          <w:bCs/>
          <w:sz w:val="22"/>
          <w:szCs w:val="22"/>
        </w:rPr>
        <w:t>Enhancing the food environment</w:t>
      </w:r>
      <w:r w:rsidRPr="00006A75">
        <w:rPr>
          <w:rFonts w:ascii="Arial" w:hAnsi="Arial" w:cs="Arial"/>
          <w:sz w:val="22"/>
          <w:szCs w:val="22"/>
        </w:rPr>
        <w:t xml:space="preserve">: Policies should be implemented to improve access to healthy, affordable food in deprived areas. This includes promoting the development of supermarkets in food deserts and regulating the density of fast food outlets (Cummins &amp; Macintyre, 2006). </w:t>
      </w:r>
    </w:p>
    <w:p w14:paraId="6AB3D824" w14:textId="21FBE98C" w:rsidR="00A26D1B" w:rsidRDefault="00A26D1B" w:rsidP="00006A75">
      <w:pPr>
        <w:numPr>
          <w:ilvl w:val="0"/>
          <w:numId w:val="13"/>
        </w:numPr>
        <w:spacing w:line="360" w:lineRule="auto"/>
        <w:rPr>
          <w:rFonts w:ascii="Arial" w:hAnsi="Arial" w:cs="Arial"/>
          <w:sz w:val="22"/>
          <w:szCs w:val="22"/>
        </w:rPr>
      </w:pPr>
      <w:r w:rsidRPr="00006A75">
        <w:rPr>
          <w:rFonts w:ascii="Arial" w:hAnsi="Arial" w:cs="Arial"/>
          <w:b/>
          <w:bCs/>
          <w:sz w:val="22"/>
          <w:szCs w:val="22"/>
        </w:rPr>
        <w:t>Increasing funding for public health</w:t>
      </w:r>
      <w:r w:rsidRPr="00006A75">
        <w:rPr>
          <w:rFonts w:ascii="Arial" w:hAnsi="Arial" w:cs="Arial"/>
          <w:sz w:val="22"/>
          <w:szCs w:val="22"/>
        </w:rPr>
        <w:t>: Greater investment in public health initiatives that address the root causes of obesity is essential. This includes funding for programs that promote healthy eating and physical activity,</w:t>
      </w:r>
    </w:p>
    <w:p w14:paraId="7B1AAC52" w14:textId="77777777" w:rsidR="00DB0776" w:rsidRDefault="00DB0776" w:rsidP="00DB0776">
      <w:pPr>
        <w:spacing w:line="360" w:lineRule="auto"/>
        <w:rPr>
          <w:rFonts w:ascii="Arial" w:hAnsi="Arial" w:cs="Arial"/>
          <w:sz w:val="22"/>
          <w:szCs w:val="22"/>
        </w:rPr>
      </w:pPr>
    </w:p>
    <w:p w14:paraId="5E0656F9" w14:textId="70443D2E" w:rsidR="00DB0776" w:rsidRPr="00400601" w:rsidRDefault="00400601" w:rsidP="00400601">
      <w:pPr>
        <w:spacing w:line="360" w:lineRule="auto"/>
        <w:jc w:val="center"/>
        <w:rPr>
          <w:rFonts w:ascii="Arial" w:hAnsi="Arial" w:cs="Arial"/>
          <w:b/>
          <w:bCs/>
          <w:sz w:val="22"/>
          <w:szCs w:val="22"/>
          <w:u w:val="single"/>
        </w:rPr>
      </w:pPr>
      <w:r w:rsidRPr="00400601">
        <w:rPr>
          <w:rFonts w:ascii="Arial" w:hAnsi="Arial" w:cs="Arial"/>
          <w:b/>
          <w:bCs/>
          <w:sz w:val="22"/>
          <w:szCs w:val="22"/>
          <w:u w:val="single"/>
        </w:rPr>
        <w:lastRenderedPageBreak/>
        <w:t>Reference List:</w:t>
      </w:r>
    </w:p>
    <w:p w14:paraId="43A408D9" w14:textId="77777777" w:rsidR="00400601" w:rsidRPr="00400601" w:rsidRDefault="00400601" w:rsidP="00400601">
      <w:pPr>
        <w:rPr>
          <w:rFonts w:ascii="Arial" w:hAnsi="Arial" w:cs="Arial"/>
          <w:sz w:val="22"/>
          <w:szCs w:val="22"/>
        </w:rPr>
      </w:pPr>
      <w:proofErr w:type="spellStart"/>
      <w:r w:rsidRPr="00D037E0">
        <w:rPr>
          <w:rFonts w:ascii="Arial" w:hAnsi="Arial" w:cs="Arial"/>
          <w:sz w:val="22"/>
          <w:szCs w:val="22"/>
        </w:rPr>
        <w:t>Alderwick</w:t>
      </w:r>
      <w:proofErr w:type="spellEnd"/>
      <w:r w:rsidRPr="00D037E0">
        <w:rPr>
          <w:rFonts w:ascii="Arial" w:hAnsi="Arial" w:cs="Arial"/>
          <w:sz w:val="22"/>
          <w:szCs w:val="22"/>
        </w:rPr>
        <w:t xml:space="preserve">, H. and Dixon, J. (2019). The NHS </w:t>
      </w:r>
      <w:r w:rsidRPr="00400601">
        <w:rPr>
          <w:rFonts w:ascii="Arial" w:hAnsi="Arial" w:cs="Arial"/>
          <w:sz w:val="22"/>
          <w:szCs w:val="22"/>
        </w:rPr>
        <w:t>long-term</w:t>
      </w:r>
      <w:r w:rsidRPr="00D037E0">
        <w:rPr>
          <w:rFonts w:ascii="Arial" w:hAnsi="Arial" w:cs="Arial"/>
          <w:sz w:val="22"/>
          <w:szCs w:val="22"/>
        </w:rPr>
        <w:t xml:space="preserve"> plan. </w:t>
      </w:r>
      <w:r w:rsidRPr="00D037E0">
        <w:rPr>
          <w:rFonts w:ascii="Arial" w:hAnsi="Arial" w:cs="Arial"/>
          <w:i/>
          <w:iCs/>
          <w:sz w:val="22"/>
          <w:szCs w:val="22"/>
        </w:rPr>
        <w:t>BMJ</w:t>
      </w:r>
      <w:r w:rsidRPr="00D037E0">
        <w:rPr>
          <w:rFonts w:ascii="Arial" w:hAnsi="Arial" w:cs="Arial"/>
          <w:sz w:val="22"/>
          <w:szCs w:val="22"/>
        </w:rPr>
        <w:t xml:space="preserve">, [online] 364(184), p.l84. </w:t>
      </w:r>
      <w:r w:rsidRPr="00400601">
        <w:rPr>
          <w:rFonts w:ascii="Arial" w:hAnsi="Arial" w:cs="Arial"/>
          <w:sz w:val="22"/>
          <w:szCs w:val="22"/>
        </w:rPr>
        <w:t xml:space="preserve">Doi: </w:t>
      </w:r>
      <w:hyperlink r:id="rId11" w:history="1">
        <w:r w:rsidRPr="00400601">
          <w:rPr>
            <w:rStyle w:val="Hyperlink"/>
            <w:rFonts w:ascii="Arial" w:hAnsi="Arial" w:cs="Arial"/>
            <w:sz w:val="22"/>
            <w:szCs w:val="22"/>
          </w:rPr>
          <w:t>HTTPs</w:t>
        </w:r>
        <w:r w:rsidRPr="00D037E0">
          <w:rPr>
            <w:rStyle w:val="Hyperlink"/>
            <w:rFonts w:ascii="Arial" w:hAnsi="Arial" w:cs="Arial"/>
            <w:sz w:val="22"/>
            <w:szCs w:val="22"/>
          </w:rPr>
          <w:t>://doi.org/10.1136/bmj.l84</w:t>
        </w:r>
      </w:hyperlink>
      <w:r w:rsidRPr="00D037E0">
        <w:rPr>
          <w:rFonts w:ascii="Arial" w:hAnsi="Arial" w:cs="Arial"/>
          <w:sz w:val="22"/>
          <w:szCs w:val="22"/>
        </w:rPr>
        <w:t>.</w:t>
      </w:r>
    </w:p>
    <w:p w14:paraId="06F44015" w14:textId="77777777" w:rsidR="00400601" w:rsidRPr="00400601" w:rsidRDefault="00400601" w:rsidP="00400601">
      <w:pPr>
        <w:rPr>
          <w:rFonts w:ascii="Arial" w:hAnsi="Arial" w:cs="Arial"/>
          <w:sz w:val="22"/>
          <w:szCs w:val="22"/>
        </w:rPr>
      </w:pPr>
      <w:r w:rsidRPr="000F38A9">
        <w:rPr>
          <w:rFonts w:ascii="Arial" w:hAnsi="Arial" w:cs="Arial"/>
          <w:sz w:val="22"/>
          <w:szCs w:val="22"/>
        </w:rPr>
        <w:t xml:space="preserve">Arksey, H. and O’Malley, L. (2005). Scoping </w:t>
      </w:r>
      <w:r w:rsidRPr="00400601">
        <w:rPr>
          <w:rFonts w:ascii="Arial" w:hAnsi="Arial" w:cs="Arial"/>
          <w:sz w:val="22"/>
          <w:szCs w:val="22"/>
        </w:rPr>
        <w:t>Studies</w:t>
      </w:r>
      <w:r w:rsidRPr="000F38A9">
        <w:rPr>
          <w:rFonts w:ascii="Arial" w:hAnsi="Arial" w:cs="Arial"/>
          <w:sz w:val="22"/>
          <w:szCs w:val="22"/>
        </w:rPr>
        <w:t xml:space="preserve">: Towards a Methodological Framework. </w:t>
      </w:r>
      <w:r w:rsidRPr="000F38A9">
        <w:rPr>
          <w:rFonts w:ascii="Arial" w:hAnsi="Arial" w:cs="Arial"/>
          <w:i/>
          <w:iCs/>
          <w:sz w:val="22"/>
          <w:szCs w:val="22"/>
        </w:rPr>
        <w:t>International Journal of Social Research Methodology</w:t>
      </w:r>
      <w:r w:rsidRPr="000F38A9">
        <w:rPr>
          <w:rFonts w:ascii="Arial" w:hAnsi="Arial" w:cs="Arial"/>
          <w:sz w:val="22"/>
          <w:szCs w:val="22"/>
        </w:rPr>
        <w:t xml:space="preserve">, [online] 8(1), pp.19–32. </w:t>
      </w:r>
      <w:r w:rsidRPr="00400601">
        <w:rPr>
          <w:rFonts w:ascii="Arial" w:hAnsi="Arial" w:cs="Arial"/>
          <w:sz w:val="22"/>
          <w:szCs w:val="22"/>
        </w:rPr>
        <w:t xml:space="preserve">DOI: </w:t>
      </w:r>
      <w:hyperlink r:id="rId12" w:history="1">
        <w:r w:rsidRPr="00400601">
          <w:rPr>
            <w:rStyle w:val="Hyperlink"/>
            <w:rFonts w:ascii="Arial" w:hAnsi="Arial" w:cs="Arial"/>
            <w:sz w:val="22"/>
            <w:szCs w:val="22"/>
          </w:rPr>
          <w:t>HTTPs</w:t>
        </w:r>
        <w:r w:rsidRPr="000F38A9">
          <w:rPr>
            <w:rStyle w:val="Hyperlink"/>
            <w:rFonts w:ascii="Arial" w:hAnsi="Arial" w:cs="Arial"/>
            <w:sz w:val="22"/>
            <w:szCs w:val="22"/>
          </w:rPr>
          <w:t>://doi.org/10.1080/1364557032000119616</w:t>
        </w:r>
      </w:hyperlink>
      <w:r w:rsidRPr="000F38A9">
        <w:rPr>
          <w:rFonts w:ascii="Arial" w:hAnsi="Arial" w:cs="Arial"/>
          <w:sz w:val="22"/>
          <w:szCs w:val="22"/>
        </w:rPr>
        <w:t>.</w:t>
      </w:r>
    </w:p>
    <w:p w14:paraId="634B1189" w14:textId="77777777" w:rsidR="00400601" w:rsidRPr="000F38A9" w:rsidRDefault="00400601" w:rsidP="00400601">
      <w:pPr>
        <w:rPr>
          <w:rFonts w:ascii="Arial" w:hAnsi="Arial" w:cs="Arial"/>
          <w:sz w:val="22"/>
          <w:szCs w:val="22"/>
        </w:rPr>
      </w:pPr>
      <w:r w:rsidRPr="000F38A9">
        <w:rPr>
          <w:rFonts w:ascii="Arial" w:hAnsi="Arial" w:cs="Arial"/>
          <w:sz w:val="22"/>
          <w:szCs w:val="22"/>
        </w:rPr>
        <w:t xml:space="preserve">Braun, V. and Clarke, V. (2006). Using Thematic Analysis in Psychology. </w:t>
      </w:r>
      <w:r w:rsidRPr="000F38A9">
        <w:rPr>
          <w:rFonts w:ascii="Arial" w:hAnsi="Arial" w:cs="Arial"/>
          <w:i/>
          <w:iCs/>
          <w:sz w:val="22"/>
          <w:szCs w:val="22"/>
        </w:rPr>
        <w:t>Qualitative Research in Psychology</w:t>
      </w:r>
      <w:r w:rsidRPr="000F38A9">
        <w:rPr>
          <w:rFonts w:ascii="Arial" w:hAnsi="Arial" w:cs="Arial"/>
          <w:sz w:val="22"/>
          <w:szCs w:val="22"/>
        </w:rPr>
        <w:t xml:space="preserve">, 3(2), pp.77–101. </w:t>
      </w:r>
      <w:r w:rsidRPr="00400601">
        <w:rPr>
          <w:rFonts w:ascii="Arial" w:hAnsi="Arial" w:cs="Arial"/>
          <w:sz w:val="22"/>
          <w:szCs w:val="22"/>
        </w:rPr>
        <w:t xml:space="preserve">DOI: </w:t>
      </w:r>
      <w:hyperlink r:id="rId13" w:history="1">
        <w:r w:rsidRPr="00400601">
          <w:rPr>
            <w:rStyle w:val="Hyperlink"/>
            <w:rFonts w:ascii="Arial" w:hAnsi="Arial" w:cs="Arial"/>
            <w:sz w:val="22"/>
            <w:szCs w:val="22"/>
          </w:rPr>
          <w:t>HTTPs</w:t>
        </w:r>
        <w:r w:rsidRPr="000F38A9">
          <w:rPr>
            <w:rStyle w:val="Hyperlink"/>
            <w:rFonts w:ascii="Arial" w:hAnsi="Arial" w:cs="Arial"/>
            <w:sz w:val="22"/>
            <w:szCs w:val="22"/>
          </w:rPr>
          <w:t>://doi.org/10.1191/1478088706qp063oa</w:t>
        </w:r>
      </w:hyperlink>
      <w:r w:rsidRPr="000F38A9">
        <w:rPr>
          <w:rFonts w:ascii="Arial" w:hAnsi="Arial" w:cs="Arial"/>
          <w:sz w:val="22"/>
          <w:szCs w:val="22"/>
        </w:rPr>
        <w:t>.</w:t>
      </w:r>
    </w:p>
    <w:p w14:paraId="51EC9F8B" w14:textId="77777777" w:rsidR="00400601" w:rsidRPr="00400601" w:rsidRDefault="00400601" w:rsidP="00400601">
      <w:pPr>
        <w:rPr>
          <w:rFonts w:ascii="Arial" w:hAnsi="Arial" w:cs="Arial"/>
          <w:sz w:val="22"/>
          <w:szCs w:val="22"/>
        </w:rPr>
      </w:pPr>
      <w:r w:rsidRPr="000F38A9">
        <w:rPr>
          <w:rFonts w:ascii="Arial" w:hAnsi="Arial" w:cs="Arial"/>
          <w:sz w:val="22"/>
          <w:szCs w:val="22"/>
        </w:rPr>
        <w:t xml:space="preserve">Cummins, S. and Macintyre, S. (2006). Food environments and obesity—neighbourhood or nation? </w:t>
      </w:r>
      <w:r w:rsidRPr="000F38A9">
        <w:rPr>
          <w:rFonts w:ascii="Arial" w:hAnsi="Arial" w:cs="Arial"/>
          <w:i/>
          <w:iCs/>
          <w:sz w:val="22"/>
          <w:szCs w:val="22"/>
        </w:rPr>
        <w:t>International Journal of Epidemiology</w:t>
      </w:r>
      <w:r w:rsidRPr="000F38A9">
        <w:rPr>
          <w:rFonts w:ascii="Arial" w:hAnsi="Arial" w:cs="Arial"/>
          <w:sz w:val="22"/>
          <w:szCs w:val="22"/>
        </w:rPr>
        <w:t xml:space="preserve">, [online] 35(1), pp.100–104. </w:t>
      </w:r>
      <w:r w:rsidRPr="00400601">
        <w:rPr>
          <w:rFonts w:ascii="Arial" w:hAnsi="Arial" w:cs="Arial"/>
          <w:sz w:val="22"/>
          <w:szCs w:val="22"/>
        </w:rPr>
        <w:t xml:space="preserve">Doi: </w:t>
      </w:r>
      <w:hyperlink r:id="rId14" w:history="1">
        <w:r w:rsidRPr="00400601">
          <w:rPr>
            <w:rStyle w:val="Hyperlink"/>
            <w:rFonts w:ascii="Arial" w:hAnsi="Arial" w:cs="Arial"/>
            <w:sz w:val="22"/>
            <w:szCs w:val="22"/>
          </w:rPr>
          <w:t>HTTPs</w:t>
        </w:r>
        <w:r w:rsidRPr="000F38A9">
          <w:rPr>
            <w:rStyle w:val="Hyperlink"/>
            <w:rFonts w:ascii="Arial" w:hAnsi="Arial" w:cs="Arial"/>
            <w:sz w:val="22"/>
            <w:szCs w:val="22"/>
          </w:rPr>
          <w:t>://doi.org/10.1093/ije/dyi276</w:t>
        </w:r>
      </w:hyperlink>
      <w:r w:rsidRPr="000F38A9">
        <w:rPr>
          <w:rFonts w:ascii="Arial" w:hAnsi="Arial" w:cs="Arial"/>
          <w:sz w:val="22"/>
          <w:szCs w:val="22"/>
        </w:rPr>
        <w:t>.</w:t>
      </w:r>
    </w:p>
    <w:p w14:paraId="7DB16B1D" w14:textId="77777777" w:rsidR="00400601" w:rsidRPr="006C2CA7" w:rsidRDefault="00400601" w:rsidP="00400601">
      <w:pPr>
        <w:rPr>
          <w:rFonts w:ascii="Arial" w:hAnsi="Arial" w:cs="Arial"/>
          <w:sz w:val="22"/>
          <w:szCs w:val="22"/>
        </w:rPr>
      </w:pPr>
      <w:r w:rsidRPr="006C2CA7">
        <w:rPr>
          <w:rFonts w:ascii="Arial" w:hAnsi="Arial" w:cs="Arial"/>
          <w:sz w:val="22"/>
          <w:szCs w:val="22"/>
        </w:rPr>
        <w:t xml:space="preserve">Fadwa </w:t>
      </w:r>
      <w:proofErr w:type="spellStart"/>
      <w:r w:rsidRPr="006C2CA7">
        <w:rPr>
          <w:rFonts w:ascii="Arial" w:hAnsi="Arial" w:cs="Arial"/>
          <w:sz w:val="22"/>
          <w:szCs w:val="22"/>
        </w:rPr>
        <w:t>Alrubaian</w:t>
      </w:r>
      <w:proofErr w:type="spellEnd"/>
      <w:r w:rsidRPr="006C2CA7">
        <w:rPr>
          <w:rFonts w:ascii="Arial" w:hAnsi="Arial" w:cs="Arial"/>
          <w:sz w:val="22"/>
          <w:szCs w:val="22"/>
        </w:rPr>
        <w:t xml:space="preserve"> and Mulla, Z. (2023). </w:t>
      </w:r>
      <w:r w:rsidRPr="00400601">
        <w:rPr>
          <w:rFonts w:ascii="Arial" w:hAnsi="Arial" w:cs="Arial"/>
          <w:sz w:val="22"/>
          <w:szCs w:val="22"/>
        </w:rPr>
        <w:t>Governments'</w:t>
      </w:r>
      <w:r w:rsidRPr="006C2CA7">
        <w:rPr>
          <w:rFonts w:ascii="Arial" w:hAnsi="Arial" w:cs="Arial"/>
          <w:sz w:val="22"/>
          <w:szCs w:val="22"/>
        </w:rPr>
        <w:t xml:space="preserve"> policy measures to address obesity among adults: a scoping review of the global evidence. </w:t>
      </w:r>
      <w:r w:rsidRPr="006C2CA7">
        <w:rPr>
          <w:rFonts w:ascii="Arial" w:hAnsi="Arial" w:cs="Arial"/>
          <w:i/>
          <w:iCs/>
          <w:sz w:val="22"/>
          <w:szCs w:val="22"/>
        </w:rPr>
        <w:t>Lancet</w:t>
      </w:r>
      <w:r w:rsidRPr="006C2CA7">
        <w:rPr>
          <w:rFonts w:ascii="Arial" w:hAnsi="Arial" w:cs="Arial"/>
          <w:sz w:val="22"/>
          <w:szCs w:val="22"/>
        </w:rPr>
        <w:t xml:space="preserve">, 402, pp.S20–S20. </w:t>
      </w:r>
      <w:r w:rsidRPr="00400601">
        <w:rPr>
          <w:rFonts w:ascii="Arial" w:hAnsi="Arial" w:cs="Arial"/>
          <w:sz w:val="22"/>
          <w:szCs w:val="22"/>
        </w:rPr>
        <w:t xml:space="preserve">Doi: </w:t>
      </w:r>
      <w:hyperlink r:id="rId15" w:history="1">
        <w:r w:rsidRPr="00400601">
          <w:rPr>
            <w:rStyle w:val="Hyperlink"/>
            <w:rFonts w:ascii="Arial" w:hAnsi="Arial" w:cs="Arial"/>
            <w:sz w:val="22"/>
            <w:szCs w:val="22"/>
          </w:rPr>
          <w:t>HTTPs</w:t>
        </w:r>
        <w:r w:rsidRPr="006C2CA7">
          <w:rPr>
            <w:rStyle w:val="Hyperlink"/>
            <w:rFonts w:ascii="Arial" w:hAnsi="Arial" w:cs="Arial"/>
            <w:sz w:val="22"/>
            <w:szCs w:val="22"/>
          </w:rPr>
          <w:t>://doi.org/10.1016/s0140-6736(23)02132-3</w:t>
        </w:r>
      </w:hyperlink>
    </w:p>
    <w:p w14:paraId="1A672CA7" w14:textId="77777777" w:rsidR="00400601" w:rsidRPr="006C2CA7" w:rsidRDefault="00400601" w:rsidP="00400601">
      <w:pPr>
        <w:rPr>
          <w:rFonts w:ascii="Arial" w:hAnsi="Arial" w:cs="Arial"/>
          <w:sz w:val="22"/>
          <w:szCs w:val="22"/>
        </w:rPr>
      </w:pPr>
      <w:r w:rsidRPr="006C2CA7">
        <w:rPr>
          <w:rFonts w:ascii="Arial" w:hAnsi="Arial" w:cs="Arial"/>
          <w:sz w:val="22"/>
          <w:szCs w:val="22"/>
        </w:rPr>
        <w:t xml:space="preserve">Jones, A., Roberts, C., and Green, M. (2018) ‘Barriers to accessing weight management services in the UK: A review of disadvantaged groups’, </w:t>
      </w:r>
      <w:r w:rsidRPr="006C2CA7">
        <w:rPr>
          <w:rFonts w:ascii="Arial" w:hAnsi="Arial" w:cs="Arial"/>
          <w:i/>
          <w:iCs/>
          <w:sz w:val="22"/>
          <w:szCs w:val="22"/>
        </w:rPr>
        <w:t>Public Health Journal</w:t>
      </w:r>
      <w:r w:rsidRPr="006C2CA7">
        <w:rPr>
          <w:rFonts w:ascii="Arial" w:hAnsi="Arial" w:cs="Arial"/>
          <w:sz w:val="22"/>
          <w:szCs w:val="22"/>
        </w:rPr>
        <w:t xml:space="preserve">, 48(3), pp. 245–252. Available at: </w:t>
      </w:r>
      <w:hyperlink r:id="rId16" w:tgtFrame="_new" w:history="1">
        <w:r w:rsidRPr="006C2CA7">
          <w:rPr>
            <w:rStyle w:val="Hyperlink"/>
            <w:rFonts w:ascii="Arial" w:hAnsi="Arial" w:cs="Arial"/>
            <w:sz w:val="22"/>
            <w:szCs w:val="22"/>
          </w:rPr>
          <w:t>https://pubmed.ncbi.nlm.nih.gov/29872689/</w:t>
        </w:r>
      </w:hyperlink>
    </w:p>
    <w:p w14:paraId="0328B28D" w14:textId="77777777" w:rsidR="00400601" w:rsidRPr="00400601" w:rsidRDefault="00400601" w:rsidP="00400601">
      <w:pPr>
        <w:rPr>
          <w:rFonts w:ascii="Arial" w:hAnsi="Arial" w:cs="Arial"/>
          <w:sz w:val="22"/>
          <w:szCs w:val="22"/>
        </w:rPr>
      </w:pPr>
      <w:r w:rsidRPr="006C2CA7">
        <w:rPr>
          <w:rFonts w:ascii="Arial" w:hAnsi="Arial" w:cs="Arial"/>
          <w:sz w:val="22"/>
          <w:szCs w:val="22"/>
        </w:rPr>
        <w:t xml:space="preserve">Kyle, E., Kelly, A. and McGowan, L. (2024). Personal Experiences and Preferences for Weight-Management Services from Adults Living with Overweight and Obesity in the United Kingdom. </w:t>
      </w:r>
      <w:r w:rsidRPr="006C2CA7">
        <w:rPr>
          <w:rFonts w:ascii="Arial" w:hAnsi="Arial" w:cs="Arial"/>
          <w:i/>
          <w:iCs/>
          <w:sz w:val="22"/>
          <w:szCs w:val="22"/>
        </w:rPr>
        <w:t>Nutrients</w:t>
      </w:r>
      <w:r w:rsidRPr="006C2CA7">
        <w:rPr>
          <w:rFonts w:ascii="Arial" w:hAnsi="Arial" w:cs="Arial"/>
          <w:sz w:val="22"/>
          <w:szCs w:val="22"/>
        </w:rPr>
        <w:t xml:space="preserve">, 16(13), pp.2016–2016. </w:t>
      </w:r>
      <w:r w:rsidRPr="00400601">
        <w:rPr>
          <w:rFonts w:ascii="Arial" w:hAnsi="Arial" w:cs="Arial"/>
          <w:sz w:val="22"/>
          <w:szCs w:val="22"/>
        </w:rPr>
        <w:t xml:space="preserve">Doi: </w:t>
      </w:r>
      <w:hyperlink r:id="rId17" w:history="1">
        <w:r w:rsidRPr="00400601">
          <w:rPr>
            <w:rStyle w:val="Hyperlink"/>
            <w:rFonts w:ascii="Arial" w:hAnsi="Arial" w:cs="Arial"/>
            <w:sz w:val="22"/>
            <w:szCs w:val="22"/>
          </w:rPr>
          <w:t>HTTPs</w:t>
        </w:r>
        <w:r w:rsidRPr="006C2CA7">
          <w:rPr>
            <w:rStyle w:val="Hyperlink"/>
            <w:rFonts w:ascii="Arial" w:hAnsi="Arial" w:cs="Arial"/>
            <w:sz w:val="22"/>
            <w:szCs w:val="22"/>
          </w:rPr>
          <w:t>://doi.org/10.3390/nu16132016</w:t>
        </w:r>
      </w:hyperlink>
      <w:r w:rsidRPr="006C2CA7">
        <w:rPr>
          <w:rFonts w:ascii="Arial" w:hAnsi="Arial" w:cs="Arial"/>
          <w:sz w:val="22"/>
          <w:szCs w:val="22"/>
        </w:rPr>
        <w:t>.</w:t>
      </w:r>
    </w:p>
    <w:p w14:paraId="4B568152" w14:textId="77777777" w:rsidR="00400601" w:rsidRPr="00B74463" w:rsidRDefault="00400601" w:rsidP="00400601">
      <w:pPr>
        <w:rPr>
          <w:rFonts w:ascii="Arial" w:hAnsi="Arial" w:cs="Arial"/>
          <w:sz w:val="22"/>
          <w:szCs w:val="22"/>
        </w:rPr>
      </w:pPr>
      <w:r w:rsidRPr="00B74463">
        <w:rPr>
          <w:rFonts w:ascii="Arial" w:hAnsi="Arial" w:cs="Arial"/>
          <w:sz w:val="22"/>
          <w:szCs w:val="22"/>
        </w:rPr>
        <w:t xml:space="preserve">Loring, B. and Robertson, A. (2014). </w:t>
      </w:r>
      <w:r w:rsidRPr="00B74463">
        <w:rPr>
          <w:rFonts w:ascii="Arial" w:hAnsi="Arial" w:cs="Arial"/>
          <w:i/>
          <w:iCs/>
          <w:sz w:val="22"/>
          <w:szCs w:val="22"/>
        </w:rPr>
        <w:t>Obesity and inequities: guidance for addressing inequities in overweight and obesity</w:t>
      </w:r>
      <w:r w:rsidRPr="00B74463">
        <w:rPr>
          <w:rFonts w:ascii="Arial" w:hAnsi="Arial" w:cs="Arial"/>
          <w:sz w:val="22"/>
          <w:szCs w:val="22"/>
        </w:rPr>
        <w:t xml:space="preserve">. [online] </w:t>
      </w:r>
      <w:r w:rsidRPr="00B74463">
        <w:rPr>
          <w:rFonts w:ascii="Arial" w:hAnsi="Arial" w:cs="Arial"/>
          <w:i/>
          <w:iCs/>
          <w:sz w:val="22"/>
          <w:szCs w:val="22"/>
        </w:rPr>
        <w:t>iris.who.int</w:t>
      </w:r>
      <w:r w:rsidRPr="00B74463">
        <w:rPr>
          <w:rFonts w:ascii="Arial" w:hAnsi="Arial" w:cs="Arial"/>
          <w:sz w:val="22"/>
          <w:szCs w:val="22"/>
        </w:rPr>
        <w:t xml:space="preserve">. World Health </w:t>
      </w:r>
      <w:r w:rsidRPr="00400601">
        <w:rPr>
          <w:rFonts w:ascii="Arial" w:hAnsi="Arial" w:cs="Arial"/>
          <w:sz w:val="22"/>
          <w:szCs w:val="22"/>
        </w:rPr>
        <w:t>Organisation</w:t>
      </w:r>
      <w:r w:rsidRPr="00B74463">
        <w:rPr>
          <w:rFonts w:ascii="Arial" w:hAnsi="Arial" w:cs="Arial"/>
          <w:sz w:val="22"/>
          <w:szCs w:val="22"/>
        </w:rPr>
        <w:t xml:space="preserve">. Regional Office for Europe. Available at: </w:t>
      </w:r>
      <w:hyperlink r:id="rId18" w:history="1">
        <w:r w:rsidRPr="00B74463">
          <w:rPr>
            <w:rStyle w:val="Hyperlink"/>
            <w:rFonts w:ascii="Arial" w:hAnsi="Arial" w:cs="Arial"/>
            <w:sz w:val="22"/>
            <w:szCs w:val="22"/>
          </w:rPr>
          <w:t>https://iris.who.int/handle/10665/344619</w:t>
        </w:r>
      </w:hyperlink>
      <w:r w:rsidRPr="00B74463">
        <w:rPr>
          <w:rFonts w:ascii="Arial" w:hAnsi="Arial" w:cs="Arial"/>
          <w:sz w:val="22"/>
          <w:szCs w:val="22"/>
        </w:rPr>
        <w:t>.</w:t>
      </w:r>
    </w:p>
    <w:p w14:paraId="50AC062D" w14:textId="77777777" w:rsidR="00400601" w:rsidRPr="00400601" w:rsidRDefault="00400601" w:rsidP="00400601">
      <w:pPr>
        <w:rPr>
          <w:rFonts w:ascii="Arial" w:hAnsi="Arial" w:cs="Arial"/>
          <w:sz w:val="22"/>
          <w:szCs w:val="22"/>
        </w:rPr>
      </w:pPr>
      <w:r w:rsidRPr="003F72B3">
        <w:rPr>
          <w:rFonts w:ascii="Arial" w:hAnsi="Arial" w:cs="Arial"/>
          <w:sz w:val="22"/>
          <w:szCs w:val="22"/>
        </w:rPr>
        <w:t xml:space="preserve">Marmot, M. and Marmot, M. (2024). A programme for greater health equity for the next UK Government. </w:t>
      </w:r>
      <w:r w:rsidRPr="003F72B3">
        <w:rPr>
          <w:rFonts w:ascii="Arial" w:hAnsi="Arial" w:cs="Arial"/>
          <w:i/>
          <w:iCs/>
          <w:sz w:val="22"/>
          <w:szCs w:val="22"/>
        </w:rPr>
        <w:t>Lancet</w:t>
      </w:r>
      <w:r w:rsidRPr="003F72B3">
        <w:rPr>
          <w:rFonts w:ascii="Arial" w:hAnsi="Arial" w:cs="Arial"/>
          <w:sz w:val="22"/>
          <w:szCs w:val="22"/>
        </w:rPr>
        <w:t xml:space="preserve">, 403(10445), pp.2675–2677. </w:t>
      </w:r>
      <w:r w:rsidRPr="00400601">
        <w:rPr>
          <w:rFonts w:ascii="Arial" w:hAnsi="Arial" w:cs="Arial"/>
          <w:sz w:val="22"/>
          <w:szCs w:val="22"/>
        </w:rPr>
        <w:t xml:space="preserve">DOI: </w:t>
      </w:r>
      <w:hyperlink r:id="rId19" w:history="1">
        <w:r w:rsidRPr="00400601">
          <w:rPr>
            <w:rStyle w:val="Hyperlink"/>
            <w:rFonts w:ascii="Arial" w:hAnsi="Arial" w:cs="Arial"/>
            <w:sz w:val="22"/>
            <w:szCs w:val="22"/>
          </w:rPr>
          <w:t>HTTPs</w:t>
        </w:r>
        <w:r w:rsidRPr="003F72B3">
          <w:rPr>
            <w:rStyle w:val="Hyperlink"/>
            <w:rFonts w:ascii="Arial" w:hAnsi="Arial" w:cs="Arial"/>
            <w:sz w:val="22"/>
            <w:szCs w:val="22"/>
          </w:rPr>
          <w:t>://doi.org/10.1016/s0140-6736(24)01243-1</w:t>
        </w:r>
      </w:hyperlink>
      <w:r w:rsidRPr="003F72B3">
        <w:rPr>
          <w:rFonts w:ascii="Arial" w:hAnsi="Arial" w:cs="Arial"/>
          <w:sz w:val="22"/>
          <w:szCs w:val="22"/>
        </w:rPr>
        <w:t>.</w:t>
      </w:r>
    </w:p>
    <w:p w14:paraId="7275BF97" w14:textId="77777777" w:rsidR="00400601" w:rsidRPr="00400601" w:rsidRDefault="00400601" w:rsidP="00400601">
      <w:pPr>
        <w:rPr>
          <w:rFonts w:ascii="Arial" w:hAnsi="Arial" w:cs="Arial"/>
          <w:sz w:val="22"/>
          <w:szCs w:val="22"/>
        </w:rPr>
      </w:pPr>
      <w:r w:rsidRPr="003F72B3">
        <w:rPr>
          <w:rFonts w:ascii="Arial" w:hAnsi="Arial" w:cs="Arial"/>
          <w:sz w:val="22"/>
          <w:szCs w:val="22"/>
        </w:rPr>
        <w:t xml:space="preserve">Marteau, T.M., Rutter, H. and Marmot, M. (2021). Changing behaviour: an essential component of tackling health inequalities. </w:t>
      </w:r>
      <w:r w:rsidRPr="003F72B3">
        <w:rPr>
          <w:rFonts w:ascii="Arial" w:hAnsi="Arial" w:cs="Arial"/>
          <w:i/>
          <w:iCs/>
          <w:sz w:val="22"/>
          <w:szCs w:val="22"/>
        </w:rPr>
        <w:t>BMJ</w:t>
      </w:r>
      <w:r w:rsidRPr="003F72B3">
        <w:rPr>
          <w:rFonts w:ascii="Arial" w:hAnsi="Arial" w:cs="Arial"/>
          <w:sz w:val="22"/>
          <w:szCs w:val="22"/>
        </w:rPr>
        <w:t xml:space="preserve">, [online] 372(372), p.n332. </w:t>
      </w:r>
      <w:r w:rsidRPr="00400601">
        <w:rPr>
          <w:rFonts w:ascii="Arial" w:hAnsi="Arial" w:cs="Arial"/>
          <w:sz w:val="22"/>
          <w:szCs w:val="22"/>
        </w:rPr>
        <w:t xml:space="preserve">Doi: </w:t>
      </w:r>
      <w:hyperlink r:id="rId20" w:history="1">
        <w:r w:rsidRPr="00400601">
          <w:rPr>
            <w:rStyle w:val="Hyperlink"/>
            <w:rFonts w:ascii="Arial" w:hAnsi="Arial" w:cs="Arial"/>
            <w:sz w:val="22"/>
            <w:szCs w:val="22"/>
          </w:rPr>
          <w:t>HTTPs</w:t>
        </w:r>
        <w:r w:rsidRPr="003F72B3">
          <w:rPr>
            <w:rStyle w:val="Hyperlink"/>
            <w:rFonts w:ascii="Arial" w:hAnsi="Arial" w:cs="Arial"/>
            <w:sz w:val="22"/>
            <w:szCs w:val="22"/>
          </w:rPr>
          <w:t>://doi.org/10.1136/bmj.n332</w:t>
        </w:r>
      </w:hyperlink>
      <w:r w:rsidRPr="003F72B3">
        <w:rPr>
          <w:rFonts w:ascii="Arial" w:hAnsi="Arial" w:cs="Arial"/>
          <w:sz w:val="22"/>
          <w:szCs w:val="22"/>
        </w:rPr>
        <w:t>.</w:t>
      </w:r>
    </w:p>
    <w:p w14:paraId="2A43FC7E" w14:textId="77777777" w:rsidR="00400601" w:rsidRPr="00400601" w:rsidRDefault="00400601" w:rsidP="00400601">
      <w:pPr>
        <w:rPr>
          <w:rFonts w:ascii="Arial" w:hAnsi="Arial" w:cs="Arial"/>
          <w:sz w:val="22"/>
          <w:szCs w:val="22"/>
        </w:rPr>
      </w:pPr>
      <w:r w:rsidRPr="000D7DF5">
        <w:rPr>
          <w:rFonts w:ascii="Arial" w:hAnsi="Arial" w:cs="Arial"/>
          <w:sz w:val="22"/>
          <w:szCs w:val="22"/>
        </w:rPr>
        <w:t xml:space="preserve">McLaren, L. (2007). Socioeconomic Status and Obesity. </w:t>
      </w:r>
      <w:r w:rsidRPr="000D7DF5">
        <w:rPr>
          <w:rFonts w:ascii="Arial" w:hAnsi="Arial" w:cs="Arial"/>
          <w:i/>
          <w:iCs/>
          <w:sz w:val="22"/>
          <w:szCs w:val="22"/>
        </w:rPr>
        <w:t>Epidemiologic Reviews</w:t>
      </w:r>
      <w:r w:rsidRPr="000D7DF5">
        <w:rPr>
          <w:rFonts w:ascii="Arial" w:hAnsi="Arial" w:cs="Arial"/>
          <w:sz w:val="22"/>
          <w:szCs w:val="22"/>
        </w:rPr>
        <w:t xml:space="preserve">, 29(1), pp.29–48. </w:t>
      </w:r>
      <w:r w:rsidRPr="00400601">
        <w:rPr>
          <w:rFonts w:ascii="Arial" w:hAnsi="Arial" w:cs="Arial"/>
          <w:sz w:val="22"/>
          <w:szCs w:val="22"/>
        </w:rPr>
        <w:t xml:space="preserve">Doi: </w:t>
      </w:r>
      <w:hyperlink r:id="rId21" w:history="1">
        <w:r w:rsidRPr="00400601">
          <w:rPr>
            <w:rStyle w:val="Hyperlink"/>
            <w:rFonts w:ascii="Arial" w:hAnsi="Arial" w:cs="Arial"/>
            <w:sz w:val="22"/>
            <w:szCs w:val="22"/>
          </w:rPr>
          <w:t>HTTPs</w:t>
        </w:r>
        <w:r w:rsidRPr="000D7DF5">
          <w:rPr>
            <w:rStyle w:val="Hyperlink"/>
            <w:rFonts w:ascii="Arial" w:hAnsi="Arial" w:cs="Arial"/>
            <w:sz w:val="22"/>
            <w:szCs w:val="22"/>
          </w:rPr>
          <w:t>://doi.org/10.1093/epirev/mxm001</w:t>
        </w:r>
      </w:hyperlink>
      <w:r w:rsidRPr="000D7DF5">
        <w:rPr>
          <w:rFonts w:ascii="Arial" w:hAnsi="Arial" w:cs="Arial"/>
          <w:sz w:val="22"/>
          <w:szCs w:val="22"/>
        </w:rPr>
        <w:t>.</w:t>
      </w:r>
    </w:p>
    <w:p w14:paraId="0D3A3256" w14:textId="77777777" w:rsidR="00400601" w:rsidRPr="00400601" w:rsidRDefault="00400601" w:rsidP="00400601">
      <w:pPr>
        <w:rPr>
          <w:rFonts w:ascii="Arial" w:hAnsi="Arial" w:cs="Arial"/>
          <w:sz w:val="22"/>
          <w:szCs w:val="22"/>
        </w:rPr>
      </w:pPr>
      <w:r w:rsidRPr="00400601">
        <w:rPr>
          <w:rFonts w:ascii="Arial" w:hAnsi="Arial" w:cs="Arial"/>
          <w:sz w:val="22"/>
          <w:szCs w:val="22"/>
        </w:rPr>
        <w:t xml:space="preserve">Puhl, R. M. and Heuer, C. A. (2010) 'The stigma of obesity: A review and update', </w:t>
      </w:r>
      <w:r w:rsidRPr="00400601">
        <w:rPr>
          <w:rFonts w:ascii="Arial" w:hAnsi="Arial" w:cs="Arial"/>
          <w:i/>
          <w:iCs/>
          <w:sz w:val="22"/>
          <w:szCs w:val="22"/>
        </w:rPr>
        <w:t>Obesity</w:t>
      </w:r>
      <w:r w:rsidRPr="00400601">
        <w:rPr>
          <w:rFonts w:ascii="Arial" w:hAnsi="Arial" w:cs="Arial"/>
          <w:sz w:val="22"/>
          <w:szCs w:val="22"/>
        </w:rPr>
        <w:t xml:space="preserve">, 18(5), pp. 341-348. Available at: </w:t>
      </w:r>
      <w:hyperlink r:id="rId22" w:tgtFrame="_new" w:history="1">
        <w:r w:rsidRPr="00400601">
          <w:rPr>
            <w:rStyle w:val="Hyperlink"/>
            <w:rFonts w:ascii="Arial" w:hAnsi="Arial" w:cs="Arial"/>
            <w:sz w:val="22"/>
            <w:szCs w:val="22"/>
          </w:rPr>
          <w:t>https://pubmed.ncbi.nlm.nih.gov/19724229/</w:t>
        </w:r>
      </w:hyperlink>
    </w:p>
    <w:p w14:paraId="0CA9C870" w14:textId="77777777" w:rsidR="00400601" w:rsidRPr="00400601" w:rsidRDefault="00400601" w:rsidP="00400601">
      <w:pPr>
        <w:rPr>
          <w:rFonts w:ascii="Arial" w:hAnsi="Arial" w:cs="Arial"/>
          <w:sz w:val="22"/>
          <w:szCs w:val="22"/>
        </w:rPr>
      </w:pPr>
      <w:r w:rsidRPr="006C2CA7">
        <w:rPr>
          <w:rFonts w:ascii="Arial" w:hAnsi="Arial" w:cs="Arial"/>
          <w:sz w:val="22"/>
          <w:szCs w:val="22"/>
        </w:rPr>
        <w:t xml:space="preserve">Robinson, L., Cotten, S.R., Ono, H., Quan-Haase, A., Mesch, G., Chen, W., Schulz, J., Hale, T.M. and Stern, M.J. (2015). Digital Inequalities and Why They Matter. </w:t>
      </w:r>
      <w:r w:rsidRPr="006C2CA7">
        <w:rPr>
          <w:rFonts w:ascii="Arial" w:hAnsi="Arial" w:cs="Arial"/>
          <w:i/>
          <w:iCs/>
          <w:sz w:val="22"/>
          <w:szCs w:val="22"/>
        </w:rPr>
        <w:t>Information, Communication &amp; Society</w:t>
      </w:r>
      <w:r w:rsidRPr="006C2CA7">
        <w:rPr>
          <w:rFonts w:ascii="Arial" w:hAnsi="Arial" w:cs="Arial"/>
          <w:sz w:val="22"/>
          <w:szCs w:val="22"/>
        </w:rPr>
        <w:t xml:space="preserve">, [online] 18(5), pp.569–582. </w:t>
      </w:r>
      <w:r w:rsidRPr="00400601">
        <w:rPr>
          <w:rFonts w:ascii="Arial" w:hAnsi="Arial" w:cs="Arial"/>
          <w:sz w:val="22"/>
          <w:szCs w:val="22"/>
        </w:rPr>
        <w:t xml:space="preserve">Doi: </w:t>
      </w:r>
      <w:hyperlink r:id="rId23" w:history="1">
        <w:r w:rsidRPr="00400601">
          <w:rPr>
            <w:rStyle w:val="Hyperlink"/>
            <w:rFonts w:ascii="Arial" w:hAnsi="Arial" w:cs="Arial"/>
            <w:sz w:val="22"/>
            <w:szCs w:val="22"/>
          </w:rPr>
          <w:t>HTTPs</w:t>
        </w:r>
        <w:r w:rsidRPr="006C2CA7">
          <w:rPr>
            <w:rStyle w:val="Hyperlink"/>
            <w:rFonts w:ascii="Arial" w:hAnsi="Arial" w:cs="Arial"/>
            <w:sz w:val="22"/>
            <w:szCs w:val="22"/>
          </w:rPr>
          <w:t>://doi.org/10.1080/1369118x.2015.1012532</w:t>
        </w:r>
      </w:hyperlink>
      <w:r w:rsidRPr="006C2CA7">
        <w:rPr>
          <w:rFonts w:ascii="Arial" w:hAnsi="Arial" w:cs="Arial"/>
          <w:sz w:val="22"/>
          <w:szCs w:val="22"/>
        </w:rPr>
        <w:t>.</w:t>
      </w:r>
    </w:p>
    <w:p w14:paraId="687B3731" w14:textId="77777777" w:rsidR="00400601" w:rsidRPr="00400601" w:rsidRDefault="00400601" w:rsidP="00400601">
      <w:pPr>
        <w:rPr>
          <w:rFonts w:ascii="Arial" w:hAnsi="Arial" w:cs="Arial"/>
          <w:sz w:val="22"/>
          <w:szCs w:val="22"/>
        </w:rPr>
      </w:pPr>
      <w:r w:rsidRPr="00400601">
        <w:rPr>
          <w:rFonts w:ascii="Arial" w:hAnsi="Arial" w:cs="Arial"/>
          <w:sz w:val="22"/>
          <w:szCs w:val="22"/>
        </w:rPr>
        <w:lastRenderedPageBreak/>
        <w:t xml:space="preserve">Robinson, L., Kessel, G., and Oakley, G. (2019) ‘Social and economic factors influencing health policies in the UK: A review’, </w:t>
      </w:r>
      <w:r w:rsidRPr="00400601">
        <w:rPr>
          <w:rFonts w:ascii="Arial" w:hAnsi="Arial" w:cs="Arial"/>
          <w:i/>
          <w:iCs/>
          <w:sz w:val="22"/>
          <w:szCs w:val="22"/>
        </w:rPr>
        <w:t>Journal of Public Health Policy</w:t>
      </w:r>
      <w:r w:rsidRPr="00400601">
        <w:rPr>
          <w:rFonts w:ascii="Arial" w:hAnsi="Arial" w:cs="Arial"/>
          <w:sz w:val="22"/>
          <w:szCs w:val="22"/>
        </w:rPr>
        <w:t xml:space="preserve">, 40(1), pp. 50-60. Available at: </w:t>
      </w:r>
      <w:hyperlink r:id="rId24" w:tgtFrame="_new" w:history="1">
        <w:r w:rsidRPr="00400601">
          <w:rPr>
            <w:rStyle w:val="Hyperlink"/>
            <w:rFonts w:ascii="Arial" w:hAnsi="Arial" w:cs="Arial"/>
            <w:sz w:val="22"/>
            <w:szCs w:val="22"/>
          </w:rPr>
          <w:t>https://pubmed.ncbi.nlm.nih.gov/30756349/</w:t>
        </w:r>
      </w:hyperlink>
    </w:p>
    <w:p w14:paraId="5A015014" w14:textId="77777777" w:rsidR="00400601" w:rsidRPr="00400601" w:rsidRDefault="00400601" w:rsidP="00400601">
      <w:pPr>
        <w:rPr>
          <w:rFonts w:ascii="Arial" w:hAnsi="Arial" w:cs="Arial"/>
          <w:sz w:val="22"/>
          <w:szCs w:val="22"/>
        </w:rPr>
      </w:pPr>
      <w:r w:rsidRPr="006C2CA7">
        <w:rPr>
          <w:rFonts w:ascii="Arial" w:hAnsi="Arial" w:cs="Arial"/>
          <w:sz w:val="22"/>
          <w:szCs w:val="22"/>
        </w:rPr>
        <w:t xml:space="preserve">Robinson, S., Mullan, J., and Cook, C. (2018) ‘Food affordability and its impact on obesity: A review of socioeconomic inequalities’, </w:t>
      </w:r>
      <w:r w:rsidRPr="006C2CA7">
        <w:rPr>
          <w:rFonts w:ascii="Arial" w:hAnsi="Arial" w:cs="Arial"/>
          <w:i/>
          <w:iCs/>
          <w:sz w:val="22"/>
          <w:szCs w:val="22"/>
        </w:rPr>
        <w:t>Journal of Public Health</w:t>
      </w:r>
      <w:r w:rsidRPr="006C2CA7">
        <w:rPr>
          <w:rFonts w:ascii="Arial" w:hAnsi="Arial" w:cs="Arial"/>
          <w:sz w:val="22"/>
          <w:szCs w:val="22"/>
        </w:rPr>
        <w:t xml:space="preserve">, 41(2), pp. 320–328. Available at: </w:t>
      </w:r>
      <w:hyperlink r:id="rId25" w:tgtFrame="_new" w:history="1">
        <w:r w:rsidRPr="006C2CA7">
          <w:rPr>
            <w:rStyle w:val="Hyperlink"/>
            <w:rFonts w:ascii="Arial" w:hAnsi="Arial" w:cs="Arial"/>
            <w:sz w:val="22"/>
            <w:szCs w:val="22"/>
          </w:rPr>
          <w:t>https://pubmed.ncbi.nlm.nih.gov/29288507/</w:t>
        </w:r>
      </w:hyperlink>
    </w:p>
    <w:p w14:paraId="7F6A0413" w14:textId="77777777" w:rsidR="00400601" w:rsidRPr="00400601" w:rsidRDefault="00400601" w:rsidP="00400601">
      <w:pPr>
        <w:rPr>
          <w:rFonts w:ascii="Arial" w:hAnsi="Arial" w:cs="Arial"/>
          <w:sz w:val="22"/>
          <w:szCs w:val="22"/>
        </w:rPr>
      </w:pPr>
      <w:r w:rsidRPr="006C2CA7">
        <w:rPr>
          <w:rFonts w:ascii="Arial" w:hAnsi="Arial" w:cs="Arial"/>
          <w:sz w:val="22"/>
          <w:szCs w:val="22"/>
        </w:rPr>
        <w:t xml:space="preserve">Smith, A., Jones, M., and Williams, R. (2020) ‘Estimating the cost-effectiveness of obesity interventions using </w:t>
      </w:r>
      <w:r w:rsidRPr="00400601">
        <w:rPr>
          <w:rFonts w:ascii="Arial" w:hAnsi="Arial" w:cs="Arial"/>
          <w:sz w:val="22"/>
          <w:szCs w:val="22"/>
        </w:rPr>
        <w:t>Mendelian</w:t>
      </w:r>
      <w:r w:rsidRPr="006C2CA7">
        <w:rPr>
          <w:rFonts w:ascii="Arial" w:hAnsi="Arial" w:cs="Arial"/>
          <w:sz w:val="22"/>
          <w:szCs w:val="22"/>
        </w:rPr>
        <w:t xml:space="preserve"> randomisation’, </w:t>
      </w:r>
      <w:r w:rsidRPr="006C2CA7">
        <w:rPr>
          <w:rFonts w:ascii="Arial" w:hAnsi="Arial" w:cs="Arial"/>
          <w:i/>
          <w:iCs/>
          <w:sz w:val="22"/>
          <w:szCs w:val="22"/>
        </w:rPr>
        <w:t>The Lancet Public Health</w:t>
      </w:r>
      <w:r w:rsidRPr="006C2CA7">
        <w:rPr>
          <w:rFonts w:ascii="Arial" w:hAnsi="Arial" w:cs="Arial"/>
          <w:sz w:val="22"/>
          <w:szCs w:val="22"/>
        </w:rPr>
        <w:t xml:space="preserve">, 5(12), pp. 672-678. Available at: </w:t>
      </w:r>
      <w:hyperlink r:id="rId26" w:tgtFrame="_new" w:history="1">
        <w:r w:rsidRPr="006C2CA7">
          <w:rPr>
            <w:rStyle w:val="Hyperlink"/>
            <w:rFonts w:ascii="Arial" w:hAnsi="Arial" w:cs="Arial"/>
            <w:sz w:val="22"/>
            <w:szCs w:val="22"/>
          </w:rPr>
          <w:t>https://pubmed.ncbi.nlm.nih.gov/30391762/</w:t>
        </w:r>
      </w:hyperlink>
    </w:p>
    <w:p w14:paraId="212B53ED" w14:textId="77777777" w:rsidR="00400601" w:rsidRPr="00400601" w:rsidRDefault="00400601" w:rsidP="00400601">
      <w:pPr>
        <w:rPr>
          <w:rFonts w:ascii="Arial" w:hAnsi="Arial" w:cs="Arial"/>
          <w:sz w:val="22"/>
          <w:szCs w:val="22"/>
        </w:rPr>
      </w:pPr>
      <w:r w:rsidRPr="00400601">
        <w:rPr>
          <w:rFonts w:ascii="Arial" w:hAnsi="Arial" w:cs="Arial"/>
          <w:sz w:val="22"/>
          <w:szCs w:val="22"/>
        </w:rPr>
        <w:t xml:space="preserve">Swinburn, B. A., Sacks, G., &amp; Hall, K. D. (2011) 'The global obesity pandemic: Shaped by global drivers and local environments', </w:t>
      </w:r>
      <w:r w:rsidRPr="00400601">
        <w:rPr>
          <w:rFonts w:ascii="Arial" w:hAnsi="Arial" w:cs="Arial"/>
          <w:i/>
          <w:iCs/>
          <w:sz w:val="22"/>
          <w:szCs w:val="22"/>
        </w:rPr>
        <w:t>Lancet</w:t>
      </w:r>
      <w:r w:rsidRPr="00400601">
        <w:rPr>
          <w:rFonts w:ascii="Arial" w:hAnsi="Arial" w:cs="Arial"/>
          <w:sz w:val="22"/>
          <w:szCs w:val="22"/>
        </w:rPr>
        <w:t xml:space="preserve">, 378(9793), pp. 804-814. Available at: </w:t>
      </w:r>
      <w:hyperlink r:id="rId27" w:history="1">
        <w:r w:rsidRPr="00400601">
          <w:rPr>
            <w:rStyle w:val="Hyperlink"/>
            <w:rFonts w:ascii="Arial" w:hAnsi="Arial" w:cs="Arial"/>
            <w:sz w:val="22"/>
            <w:szCs w:val="22"/>
          </w:rPr>
          <w:t>https://pubmed.ncbi.nlm.nih.gov/21803173/</w:t>
        </w:r>
      </w:hyperlink>
    </w:p>
    <w:p w14:paraId="163F6ADD" w14:textId="77777777" w:rsidR="00400601" w:rsidRPr="00400601" w:rsidRDefault="00400601" w:rsidP="00400601">
      <w:pPr>
        <w:rPr>
          <w:rFonts w:ascii="Arial" w:hAnsi="Arial" w:cs="Arial"/>
          <w:sz w:val="22"/>
          <w:szCs w:val="22"/>
        </w:rPr>
      </w:pPr>
      <w:proofErr w:type="spellStart"/>
      <w:r w:rsidRPr="000D7DF5">
        <w:rPr>
          <w:rFonts w:ascii="Arial" w:hAnsi="Arial" w:cs="Arial"/>
          <w:sz w:val="22"/>
          <w:szCs w:val="22"/>
        </w:rPr>
        <w:t>Tedstone</w:t>
      </w:r>
      <w:proofErr w:type="spellEnd"/>
      <w:r w:rsidRPr="000D7DF5">
        <w:rPr>
          <w:rFonts w:ascii="Arial" w:hAnsi="Arial" w:cs="Arial"/>
          <w:sz w:val="22"/>
          <w:szCs w:val="22"/>
        </w:rPr>
        <w:t xml:space="preserve">, A.E., Sabry-Grant, C., Hung, E. and Levy, L.B. (2022). Five years of national policies: progress towards tackling obesity in England. </w:t>
      </w:r>
      <w:r w:rsidRPr="000D7DF5">
        <w:rPr>
          <w:rFonts w:ascii="Arial" w:hAnsi="Arial" w:cs="Arial"/>
          <w:i/>
          <w:iCs/>
          <w:sz w:val="22"/>
          <w:szCs w:val="22"/>
        </w:rPr>
        <w:t>Proceedings of the Nutrition Society</w:t>
      </w:r>
      <w:r w:rsidRPr="000D7DF5">
        <w:rPr>
          <w:rFonts w:ascii="Arial" w:hAnsi="Arial" w:cs="Arial"/>
          <w:sz w:val="22"/>
          <w:szCs w:val="22"/>
        </w:rPr>
        <w:t xml:space="preserve">, 81(2), pp.1–20. </w:t>
      </w:r>
      <w:r w:rsidRPr="00400601">
        <w:rPr>
          <w:rFonts w:ascii="Arial" w:hAnsi="Arial" w:cs="Arial"/>
          <w:sz w:val="22"/>
          <w:szCs w:val="22"/>
        </w:rPr>
        <w:t xml:space="preserve">DOI: </w:t>
      </w:r>
      <w:hyperlink r:id="rId28" w:history="1">
        <w:r w:rsidRPr="00400601">
          <w:rPr>
            <w:rStyle w:val="Hyperlink"/>
            <w:rFonts w:ascii="Arial" w:hAnsi="Arial" w:cs="Arial"/>
            <w:sz w:val="22"/>
            <w:szCs w:val="22"/>
          </w:rPr>
          <w:t>HTTPs</w:t>
        </w:r>
        <w:r w:rsidRPr="000D7DF5">
          <w:rPr>
            <w:rStyle w:val="Hyperlink"/>
            <w:rFonts w:ascii="Arial" w:hAnsi="Arial" w:cs="Arial"/>
            <w:sz w:val="22"/>
            <w:szCs w:val="22"/>
          </w:rPr>
          <w:t>://doi.org/10.1017/s002966512100375x</w:t>
        </w:r>
      </w:hyperlink>
      <w:r w:rsidRPr="000D7DF5">
        <w:rPr>
          <w:rFonts w:ascii="Arial" w:hAnsi="Arial" w:cs="Arial"/>
          <w:sz w:val="22"/>
          <w:szCs w:val="22"/>
        </w:rPr>
        <w:t>.</w:t>
      </w:r>
    </w:p>
    <w:p w14:paraId="19F369DE" w14:textId="77777777" w:rsidR="00400601" w:rsidRPr="006C2CA7" w:rsidRDefault="00400601" w:rsidP="00400601">
      <w:pPr>
        <w:rPr>
          <w:rFonts w:ascii="Arial" w:hAnsi="Arial" w:cs="Arial"/>
          <w:sz w:val="22"/>
          <w:szCs w:val="22"/>
        </w:rPr>
      </w:pPr>
      <w:r w:rsidRPr="006C2CA7">
        <w:rPr>
          <w:rFonts w:ascii="Arial" w:hAnsi="Arial" w:cs="Arial"/>
          <w:sz w:val="22"/>
          <w:szCs w:val="22"/>
        </w:rPr>
        <w:t xml:space="preserve">Welsh, A., Hammad, M., Piña, I.L. and Kulinski, J. (2024). Obesity and Cardiovascular Health. </w:t>
      </w:r>
      <w:r w:rsidRPr="006C2CA7">
        <w:rPr>
          <w:rFonts w:ascii="Arial" w:hAnsi="Arial" w:cs="Arial"/>
          <w:i/>
          <w:iCs/>
          <w:sz w:val="22"/>
          <w:szCs w:val="22"/>
        </w:rPr>
        <w:t>European Journal of Preventive Cardiology</w:t>
      </w:r>
      <w:r w:rsidRPr="006C2CA7">
        <w:rPr>
          <w:rFonts w:ascii="Arial" w:hAnsi="Arial" w:cs="Arial"/>
          <w:sz w:val="22"/>
          <w:szCs w:val="22"/>
        </w:rPr>
        <w:t xml:space="preserve">, [online] 31(8). </w:t>
      </w:r>
      <w:r w:rsidRPr="00400601">
        <w:rPr>
          <w:rFonts w:ascii="Arial" w:hAnsi="Arial" w:cs="Arial"/>
          <w:sz w:val="22"/>
          <w:szCs w:val="22"/>
        </w:rPr>
        <w:t xml:space="preserve">Doi: </w:t>
      </w:r>
      <w:hyperlink r:id="rId29" w:history="1">
        <w:r w:rsidRPr="00400601">
          <w:rPr>
            <w:rStyle w:val="Hyperlink"/>
            <w:rFonts w:ascii="Arial" w:hAnsi="Arial" w:cs="Arial"/>
            <w:sz w:val="22"/>
            <w:szCs w:val="22"/>
          </w:rPr>
          <w:t>HTTPs</w:t>
        </w:r>
        <w:r w:rsidRPr="006C2CA7">
          <w:rPr>
            <w:rStyle w:val="Hyperlink"/>
            <w:rFonts w:ascii="Arial" w:hAnsi="Arial" w:cs="Arial"/>
            <w:sz w:val="22"/>
            <w:szCs w:val="22"/>
          </w:rPr>
          <w:t>://doi.org/10.1093/eurjpc/zwae025</w:t>
        </w:r>
      </w:hyperlink>
      <w:r w:rsidRPr="006C2CA7">
        <w:rPr>
          <w:rFonts w:ascii="Arial" w:hAnsi="Arial" w:cs="Arial"/>
          <w:sz w:val="22"/>
          <w:szCs w:val="22"/>
        </w:rPr>
        <w:t>.</w:t>
      </w:r>
    </w:p>
    <w:p w14:paraId="2A312B5D" w14:textId="77777777" w:rsidR="00400601" w:rsidRPr="00400601" w:rsidRDefault="00400601" w:rsidP="00400601">
      <w:pPr>
        <w:rPr>
          <w:rFonts w:ascii="Arial" w:hAnsi="Arial" w:cs="Arial"/>
          <w:sz w:val="22"/>
          <w:szCs w:val="22"/>
        </w:rPr>
      </w:pPr>
      <w:r w:rsidRPr="00400601">
        <w:rPr>
          <w:rFonts w:ascii="Arial" w:hAnsi="Arial" w:cs="Arial"/>
          <w:sz w:val="22"/>
          <w:szCs w:val="22"/>
        </w:rPr>
        <w:t xml:space="preserve">Whitehead, M. (2017). </w:t>
      </w:r>
      <w:r w:rsidRPr="00400601">
        <w:rPr>
          <w:rFonts w:ascii="Arial" w:hAnsi="Arial" w:cs="Arial"/>
          <w:i/>
          <w:iCs/>
          <w:sz w:val="22"/>
          <w:szCs w:val="22"/>
        </w:rPr>
        <w:t>Community-based interventions and public health</w:t>
      </w:r>
      <w:r w:rsidRPr="00400601">
        <w:rPr>
          <w:rFonts w:ascii="Arial" w:hAnsi="Arial" w:cs="Arial"/>
          <w:sz w:val="22"/>
          <w:szCs w:val="22"/>
        </w:rPr>
        <w:t xml:space="preserve">. Public Health, 148, 90-95. </w:t>
      </w:r>
      <w:hyperlink r:id="rId30" w:history="1">
        <w:r w:rsidRPr="00400601">
          <w:rPr>
            <w:rStyle w:val="Hyperlink"/>
            <w:rFonts w:ascii="Arial" w:hAnsi="Arial" w:cs="Arial"/>
            <w:sz w:val="22"/>
            <w:szCs w:val="22"/>
          </w:rPr>
          <w:t>https://doi.org/10.1016/j.puhe.2017.03.010</w:t>
        </w:r>
      </w:hyperlink>
    </w:p>
    <w:p w14:paraId="3B594DBA" w14:textId="77777777" w:rsidR="00400601" w:rsidRPr="00400601" w:rsidRDefault="00400601" w:rsidP="00400601">
      <w:pPr>
        <w:rPr>
          <w:rFonts w:ascii="Arial" w:hAnsi="Arial" w:cs="Arial"/>
          <w:sz w:val="22"/>
          <w:szCs w:val="22"/>
        </w:rPr>
      </w:pPr>
      <w:r w:rsidRPr="00400601">
        <w:rPr>
          <w:rFonts w:ascii="Arial" w:hAnsi="Arial" w:cs="Arial"/>
          <w:sz w:val="22"/>
          <w:szCs w:val="22"/>
        </w:rPr>
        <w:t xml:space="preserve">Williams, S., &amp; Watson, K., 2019. Barriers to accessing weight management services in low-income communities: A systematic review. </w:t>
      </w:r>
      <w:r w:rsidRPr="00400601">
        <w:rPr>
          <w:rFonts w:ascii="Arial" w:hAnsi="Arial" w:cs="Arial"/>
          <w:i/>
          <w:iCs/>
          <w:sz w:val="22"/>
          <w:szCs w:val="22"/>
        </w:rPr>
        <w:t>BMC Public Health</w:t>
      </w:r>
      <w:r w:rsidRPr="00400601">
        <w:rPr>
          <w:rFonts w:ascii="Arial" w:hAnsi="Arial" w:cs="Arial"/>
          <w:sz w:val="22"/>
          <w:szCs w:val="22"/>
        </w:rPr>
        <w:t xml:space="preserve">, 19(1), pp. 1205-1213. DOI: </w:t>
      </w:r>
      <w:hyperlink r:id="rId31" w:tgtFrame="_new" w:history="1">
        <w:r w:rsidRPr="00400601">
          <w:rPr>
            <w:rStyle w:val="Hyperlink"/>
            <w:rFonts w:ascii="Arial" w:hAnsi="Arial" w:cs="Arial"/>
            <w:sz w:val="22"/>
            <w:szCs w:val="22"/>
          </w:rPr>
          <w:t>https://doi.org/10.1186/s12889-019-7533-3</w:t>
        </w:r>
      </w:hyperlink>
    </w:p>
    <w:p w14:paraId="6F2398A6" w14:textId="77777777" w:rsidR="00400601" w:rsidRPr="00006A75" w:rsidRDefault="00400601" w:rsidP="00DB0776">
      <w:pPr>
        <w:spacing w:line="360" w:lineRule="auto"/>
        <w:rPr>
          <w:rFonts w:ascii="Arial" w:hAnsi="Arial" w:cs="Arial"/>
          <w:sz w:val="22"/>
          <w:szCs w:val="22"/>
        </w:rPr>
      </w:pPr>
    </w:p>
    <w:p w14:paraId="11D19154" w14:textId="77777777" w:rsidR="00BC5836" w:rsidRPr="00006A75" w:rsidRDefault="00BC5836" w:rsidP="00006A75">
      <w:pPr>
        <w:spacing w:line="360" w:lineRule="auto"/>
        <w:rPr>
          <w:rFonts w:ascii="Arial" w:hAnsi="Arial" w:cs="Arial"/>
          <w:sz w:val="22"/>
          <w:szCs w:val="22"/>
        </w:rPr>
      </w:pPr>
    </w:p>
    <w:sectPr w:rsidR="00BC5836" w:rsidRPr="00006A75" w:rsidSect="0040060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5B0C9" w14:textId="77777777" w:rsidR="002E2914" w:rsidRDefault="002E2914" w:rsidP="00400601">
      <w:pPr>
        <w:spacing w:after="0" w:line="240" w:lineRule="auto"/>
      </w:pPr>
      <w:r>
        <w:separator/>
      </w:r>
    </w:p>
  </w:endnote>
  <w:endnote w:type="continuationSeparator" w:id="0">
    <w:p w14:paraId="4F3063A1" w14:textId="77777777" w:rsidR="002E2914" w:rsidRDefault="002E2914" w:rsidP="00400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3384104"/>
      <w:docPartObj>
        <w:docPartGallery w:val="Page Numbers (Bottom of Page)"/>
        <w:docPartUnique/>
      </w:docPartObj>
    </w:sdtPr>
    <w:sdtEndPr>
      <w:rPr>
        <w:noProof/>
      </w:rPr>
    </w:sdtEndPr>
    <w:sdtContent>
      <w:p w14:paraId="77AB8724" w14:textId="7E0DC109" w:rsidR="00887DB9" w:rsidRDefault="00887D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DBEAC9" w14:textId="06A6DC93" w:rsidR="00400601" w:rsidRDefault="004006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0BD81" w14:textId="77777777" w:rsidR="002E2914" w:rsidRDefault="002E2914" w:rsidP="00400601">
      <w:pPr>
        <w:spacing w:after="0" w:line="240" w:lineRule="auto"/>
      </w:pPr>
      <w:r>
        <w:separator/>
      </w:r>
    </w:p>
  </w:footnote>
  <w:footnote w:type="continuationSeparator" w:id="0">
    <w:p w14:paraId="03E62425" w14:textId="77777777" w:rsidR="002E2914" w:rsidRDefault="002E2914" w:rsidP="004006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E743C"/>
    <w:multiLevelType w:val="multilevel"/>
    <w:tmpl w:val="01EE5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CD6FD8"/>
    <w:multiLevelType w:val="multilevel"/>
    <w:tmpl w:val="07FC9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FA39C6"/>
    <w:multiLevelType w:val="hybridMultilevel"/>
    <w:tmpl w:val="8FBA7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CD453C"/>
    <w:multiLevelType w:val="multilevel"/>
    <w:tmpl w:val="96CC8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723332"/>
    <w:multiLevelType w:val="multilevel"/>
    <w:tmpl w:val="613C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E4778E"/>
    <w:multiLevelType w:val="multilevel"/>
    <w:tmpl w:val="C1D47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7D72CC"/>
    <w:multiLevelType w:val="multilevel"/>
    <w:tmpl w:val="83548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3C4DBC"/>
    <w:multiLevelType w:val="multilevel"/>
    <w:tmpl w:val="EA8ED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62C15D1"/>
    <w:multiLevelType w:val="multilevel"/>
    <w:tmpl w:val="56A46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CB6BD4"/>
    <w:multiLevelType w:val="multilevel"/>
    <w:tmpl w:val="D66A2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03B07D2"/>
    <w:multiLevelType w:val="multilevel"/>
    <w:tmpl w:val="4A18D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C853AB"/>
    <w:multiLevelType w:val="multilevel"/>
    <w:tmpl w:val="0A8E6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5796B1E"/>
    <w:multiLevelType w:val="multilevel"/>
    <w:tmpl w:val="35D23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524E25"/>
    <w:multiLevelType w:val="multilevel"/>
    <w:tmpl w:val="516AA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60395087">
    <w:abstractNumId w:val="5"/>
  </w:num>
  <w:num w:numId="2" w16cid:durableId="1918590841">
    <w:abstractNumId w:val="8"/>
  </w:num>
  <w:num w:numId="3" w16cid:durableId="1412197549">
    <w:abstractNumId w:val="12"/>
  </w:num>
  <w:num w:numId="4" w16cid:durableId="971446549">
    <w:abstractNumId w:val="0"/>
  </w:num>
  <w:num w:numId="5" w16cid:durableId="699160692">
    <w:abstractNumId w:val="10"/>
  </w:num>
  <w:num w:numId="6" w16cid:durableId="951402804">
    <w:abstractNumId w:val="4"/>
  </w:num>
  <w:num w:numId="7" w16cid:durableId="541286159">
    <w:abstractNumId w:val="6"/>
  </w:num>
  <w:num w:numId="8" w16cid:durableId="35155964">
    <w:abstractNumId w:val="1"/>
  </w:num>
  <w:num w:numId="9" w16cid:durableId="1581137160">
    <w:abstractNumId w:val="11"/>
  </w:num>
  <w:num w:numId="10" w16cid:durableId="1837333468">
    <w:abstractNumId w:val="9"/>
  </w:num>
  <w:num w:numId="11" w16cid:durableId="1253320160">
    <w:abstractNumId w:val="13"/>
  </w:num>
  <w:num w:numId="12" w16cid:durableId="1218516706">
    <w:abstractNumId w:val="7"/>
  </w:num>
  <w:num w:numId="13" w16cid:durableId="1236430481">
    <w:abstractNumId w:val="3"/>
  </w:num>
  <w:num w:numId="14" w16cid:durableId="18607790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117"/>
    <w:rsid w:val="00006A75"/>
    <w:rsid w:val="000110A4"/>
    <w:rsid w:val="00021838"/>
    <w:rsid w:val="000235F7"/>
    <w:rsid w:val="00027376"/>
    <w:rsid w:val="00034E91"/>
    <w:rsid w:val="00055D87"/>
    <w:rsid w:val="000606E5"/>
    <w:rsid w:val="00065DD1"/>
    <w:rsid w:val="0008366F"/>
    <w:rsid w:val="000A3859"/>
    <w:rsid w:val="000A7D8C"/>
    <w:rsid w:val="000C0839"/>
    <w:rsid w:val="000F7EE9"/>
    <w:rsid w:val="001443C5"/>
    <w:rsid w:val="00181120"/>
    <w:rsid w:val="00181F97"/>
    <w:rsid w:val="00195F8B"/>
    <w:rsid w:val="00207F28"/>
    <w:rsid w:val="0023028F"/>
    <w:rsid w:val="00267BE8"/>
    <w:rsid w:val="002770AF"/>
    <w:rsid w:val="00282DAE"/>
    <w:rsid w:val="00283AE3"/>
    <w:rsid w:val="00295F49"/>
    <w:rsid w:val="002B7ABA"/>
    <w:rsid w:val="002C3C73"/>
    <w:rsid w:val="002E2914"/>
    <w:rsid w:val="002E3A35"/>
    <w:rsid w:val="002F3065"/>
    <w:rsid w:val="002F403D"/>
    <w:rsid w:val="003043FE"/>
    <w:rsid w:val="003424B4"/>
    <w:rsid w:val="0038640A"/>
    <w:rsid w:val="00394CAE"/>
    <w:rsid w:val="00396A55"/>
    <w:rsid w:val="003D7E58"/>
    <w:rsid w:val="003F1283"/>
    <w:rsid w:val="00400601"/>
    <w:rsid w:val="00414896"/>
    <w:rsid w:val="004171D8"/>
    <w:rsid w:val="00420D5B"/>
    <w:rsid w:val="004211CB"/>
    <w:rsid w:val="004309BF"/>
    <w:rsid w:val="00444068"/>
    <w:rsid w:val="004763E5"/>
    <w:rsid w:val="004D0FEE"/>
    <w:rsid w:val="004F4FFE"/>
    <w:rsid w:val="00501F86"/>
    <w:rsid w:val="005301AB"/>
    <w:rsid w:val="0053380B"/>
    <w:rsid w:val="00555043"/>
    <w:rsid w:val="005A7E9C"/>
    <w:rsid w:val="005B5301"/>
    <w:rsid w:val="005F4D14"/>
    <w:rsid w:val="00601AE9"/>
    <w:rsid w:val="00606AFF"/>
    <w:rsid w:val="006458BA"/>
    <w:rsid w:val="00650128"/>
    <w:rsid w:val="00653B76"/>
    <w:rsid w:val="00666648"/>
    <w:rsid w:val="006D4727"/>
    <w:rsid w:val="00740E49"/>
    <w:rsid w:val="007A460F"/>
    <w:rsid w:val="007B5E06"/>
    <w:rsid w:val="007C0DF4"/>
    <w:rsid w:val="007C6F92"/>
    <w:rsid w:val="00810CBF"/>
    <w:rsid w:val="00854288"/>
    <w:rsid w:val="0087065B"/>
    <w:rsid w:val="00887DB9"/>
    <w:rsid w:val="008977CD"/>
    <w:rsid w:val="008A41FA"/>
    <w:rsid w:val="008D072E"/>
    <w:rsid w:val="008E73A0"/>
    <w:rsid w:val="008F298A"/>
    <w:rsid w:val="009750A2"/>
    <w:rsid w:val="00991117"/>
    <w:rsid w:val="009A75AF"/>
    <w:rsid w:val="009B71F2"/>
    <w:rsid w:val="009E28CA"/>
    <w:rsid w:val="009F74A7"/>
    <w:rsid w:val="009F78C8"/>
    <w:rsid w:val="00A26D1B"/>
    <w:rsid w:val="00A35EF9"/>
    <w:rsid w:val="00A450F4"/>
    <w:rsid w:val="00A92478"/>
    <w:rsid w:val="00A97E41"/>
    <w:rsid w:val="00AC265B"/>
    <w:rsid w:val="00AD4AE3"/>
    <w:rsid w:val="00B04E6D"/>
    <w:rsid w:val="00B17D0B"/>
    <w:rsid w:val="00B42321"/>
    <w:rsid w:val="00BC5836"/>
    <w:rsid w:val="00BD5B08"/>
    <w:rsid w:val="00BE33C4"/>
    <w:rsid w:val="00C55BE0"/>
    <w:rsid w:val="00C646E0"/>
    <w:rsid w:val="00CD4865"/>
    <w:rsid w:val="00CD6BB7"/>
    <w:rsid w:val="00CE4B15"/>
    <w:rsid w:val="00CF2AB1"/>
    <w:rsid w:val="00CF4C16"/>
    <w:rsid w:val="00D02713"/>
    <w:rsid w:val="00D04676"/>
    <w:rsid w:val="00D537FD"/>
    <w:rsid w:val="00D94F18"/>
    <w:rsid w:val="00DB0776"/>
    <w:rsid w:val="00DC18A1"/>
    <w:rsid w:val="00DF5D5B"/>
    <w:rsid w:val="00E0609D"/>
    <w:rsid w:val="00E55592"/>
    <w:rsid w:val="00EA22A1"/>
    <w:rsid w:val="00ED4975"/>
    <w:rsid w:val="00F327FF"/>
    <w:rsid w:val="00F331F1"/>
    <w:rsid w:val="00F653BF"/>
    <w:rsid w:val="00F71D4F"/>
    <w:rsid w:val="00F8394C"/>
    <w:rsid w:val="00F84C3B"/>
    <w:rsid w:val="00F86E47"/>
    <w:rsid w:val="00F93C3F"/>
    <w:rsid w:val="00FA2361"/>
    <w:rsid w:val="00FB2E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BB00E"/>
  <w15:chartTrackingRefBased/>
  <w15:docId w15:val="{ECF5C320-A991-4E1F-A5FE-9ABE1040C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11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11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911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11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11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11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11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11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11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1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11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911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11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11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11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11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11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1117"/>
    <w:rPr>
      <w:rFonts w:eastAsiaTheme="majorEastAsia" w:cstheme="majorBidi"/>
      <w:color w:val="272727" w:themeColor="text1" w:themeTint="D8"/>
    </w:rPr>
  </w:style>
  <w:style w:type="paragraph" w:styleId="Title">
    <w:name w:val="Title"/>
    <w:basedOn w:val="Normal"/>
    <w:next w:val="Normal"/>
    <w:link w:val="TitleChar"/>
    <w:uiPriority w:val="10"/>
    <w:qFormat/>
    <w:rsid w:val="009911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11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11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11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1117"/>
    <w:pPr>
      <w:spacing w:before="160"/>
      <w:jc w:val="center"/>
    </w:pPr>
    <w:rPr>
      <w:i/>
      <w:iCs/>
      <w:color w:val="404040" w:themeColor="text1" w:themeTint="BF"/>
    </w:rPr>
  </w:style>
  <w:style w:type="character" w:customStyle="1" w:styleId="QuoteChar">
    <w:name w:val="Quote Char"/>
    <w:basedOn w:val="DefaultParagraphFont"/>
    <w:link w:val="Quote"/>
    <w:uiPriority w:val="29"/>
    <w:rsid w:val="00991117"/>
    <w:rPr>
      <w:i/>
      <w:iCs/>
      <w:color w:val="404040" w:themeColor="text1" w:themeTint="BF"/>
    </w:rPr>
  </w:style>
  <w:style w:type="paragraph" w:styleId="ListParagraph">
    <w:name w:val="List Paragraph"/>
    <w:basedOn w:val="Normal"/>
    <w:uiPriority w:val="34"/>
    <w:qFormat/>
    <w:rsid w:val="00991117"/>
    <w:pPr>
      <w:ind w:left="720"/>
      <w:contextualSpacing/>
    </w:pPr>
  </w:style>
  <w:style w:type="character" w:styleId="IntenseEmphasis">
    <w:name w:val="Intense Emphasis"/>
    <w:basedOn w:val="DefaultParagraphFont"/>
    <w:uiPriority w:val="21"/>
    <w:qFormat/>
    <w:rsid w:val="00991117"/>
    <w:rPr>
      <w:i/>
      <w:iCs/>
      <w:color w:val="0F4761" w:themeColor="accent1" w:themeShade="BF"/>
    </w:rPr>
  </w:style>
  <w:style w:type="paragraph" w:styleId="IntenseQuote">
    <w:name w:val="Intense Quote"/>
    <w:basedOn w:val="Normal"/>
    <w:next w:val="Normal"/>
    <w:link w:val="IntenseQuoteChar"/>
    <w:uiPriority w:val="30"/>
    <w:qFormat/>
    <w:rsid w:val="009911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1117"/>
    <w:rPr>
      <w:i/>
      <w:iCs/>
      <w:color w:val="0F4761" w:themeColor="accent1" w:themeShade="BF"/>
    </w:rPr>
  </w:style>
  <w:style w:type="character" w:styleId="IntenseReference">
    <w:name w:val="Intense Reference"/>
    <w:basedOn w:val="DefaultParagraphFont"/>
    <w:uiPriority w:val="32"/>
    <w:qFormat/>
    <w:rsid w:val="00991117"/>
    <w:rPr>
      <w:b/>
      <w:bCs/>
      <w:smallCaps/>
      <w:color w:val="0F4761" w:themeColor="accent1" w:themeShade="BF"/>
      <w:spacing w:val="5"/>
    </w:rPr>
  </w:style>
  <w:style w:type="paragraph" w:styleId="NormalWeb">
    <w:name w:val="Normal (Web)"/>
    <w:basedOn w:val="Normal"/>
    <w:uiPriority w:val="99"/>
    <w:semiHidden/>
    <w:unhideWhenUsed/>
    <w:rsid w:val="00A26D1B"/>
    <w:rPr>
      <w:rFonts w:ascii="Times New Roman" w:hAnsi="Times New Roman" w:cs="Times New Roman"/>
    </w:rPr>
  </w:style>
  <w:style w:type="character" w:styleId="Hyperlink">
    <w:name w:val="Hyperlink"/>
    <w:basedOn w:val="DefaultParagraphFont"/>
    <w:uiPriority w:val="99"/>
    <w:unhideWhenUsed/>
    <w:rsid w:val="00D94F18"/>
    <w:rPr>
      <w:color w:val="467886" w:themeColor="hyperlink"/>
      <w:u w:val="single"/>
    </w:rPr>
  </w:style>
  <w:style w:type="character" w:styleId="UnresolvedMention">
    <w:name w:val="Unresolved Mention"/>
    <w:basedOn w:val="DefaultParagraphFont"/>
    <w:uiPriority w:val="99"/>
    <w:semiHidden/>
    <w:unhideWhenUsed/>
    <w:rsid w:val="00D94F18"/>
    <w:rPr>
      <w:color w:val="605E5C"/>
      <w:shd w:val="clear" w:color="auto" w:fill="E1DFDD"/>
    </w:rPr>
  </w:style>
  <w:style w:type="table" w:styleId="TableGrid">
    <w:name w:val="Table Grid"/>
    <w:basedOn w:val="TableNormal"/>
    <w:uiPriority w:val="39"/>
    <w:rsid w:val="00A97E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A97E4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A97E4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eader">
    <w:name w:val="header"/>
    <w:basedOn w:val="Normal"/>
    <w:link w:val="HeaderChar"/>
    <w:uiPriority w:val="99"/>
    <w:unhideWhenUsed/>
    <w:rsid w:val="004006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0601"/>
  </w:style>
  <w:style w:type="paragraph" w:styleId="Footer">
    <w:name w:val="footer"/>
    <w:basedOn w:val="Normal"/>
    <w:link w:val="FooterChar"/>
    <w:uiPriority w:val="99"/>
    <w:unhideWhenUsed/>
    <w:rsid w:val="004006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6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91/1478088706qp063oa" TargetMode="External"/><Relationship Id="rId18" Type="http://schemas.openxmlformats.org/officeDocument/2006/relationships/hyperlink" Target="https://iris.who.int/handle/10665/344619" TargetMode="External"/><Relationship Id="rId26" Type="http://schemas.openxmlformats.org/officeDocument/2006/relationships/hyperlink" Target="https://pubmed.ncbi.nlm.nih.gov/30391762/" TargetMode="External"/><Relationship Id="rId3" Type="http://schemas.openxmlformats.org/officeDocument/2006/relationships/customXml" Target="../customXml/item3.xml"/><Relationship Id="rId21" Type="http://schemas.openxmlformats.org/officeDocument/2006/relationships/hyperlink" Target="HTTPs://doi.org/10.1093/epirev/mxm001"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doi.org/10.1080/1364557032000119616" TargetMode="External"/><Relationship Id="rId17" Type="http://schemas.openxmlformats.org/officeDocument/2006/relationships/hyperlink" Target="HTTPs://doi.org/10.3390/nu16132016" TargetMode="External"/><Relationship Id="rId25" Type="http://schemas.openxmlformats.org/officeDocument/2006/relationships/hyperlink" Target="https://pubmed.ncbi.nlm.nih.gov/29288507/"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pubmed.ncbi.nlm.nih.gov/29872689/" TargetMode="External"/><Relationship Id="rId20" Type="http://schemas.openxmlformats.org/officeDocument/2006/relationships/hyperlink" Target="HTTPs://doi.org/10.1136/bmj.n332" TargetMode="External"/><Relationship Id="rId29" Type="http://schemas.openxmlformats.org/officeDocument/2006/relationships/hyperlink" Target="HTTPs://doi.org/10.1093/eurjpc/zwae02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136/bmj.l84" TargetMode="External"/><Relationship Id="rId24" Type="http://schemas.openxmlformats.org/officeDocument/2006/relationships/hyperlink" Target="https://pubmed.ncbi.nlm.nih.gov/30756349/"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doi.org/10.1016/s0140-6736(23)02132-3" TargetMode="External"/><Relationship Id="rId23" Type="http://schemas.openxmlformats.org/officeDocument/2006/relationships/hyperlink" Target="HTTPs://doi.org/10.1080/1369118x.2015.1012532" TargetMode="External"/><Relationship Id="rId28" Type="http://schemas.openxmlformats.org/officeDocument/2006/relationships/hyperlink" Target="HTTPs://doi.org/10.1017/s002966512100375x" TargetMode="External"/><Relationship Id="rId10" Type="http://schemas.openxmlformats.org/officeDocument/2006/relationships/endnotes" Target="endnotes.xml"/><Relationship Id="rId19" Type="http://schemas.openxmlformats.org/officeDocument/2006/relationships/hyperlink" Target="HTTPs://doi.org/10.1016/s0140-6736(24)01243-1" TargetMode="External"/><Relationship Id="rId31" Type="http://schemas.openxmlformats.org/officeDocument/2006/relationships/hyperlink" Target="https://doi.org/10.1186/s12889-019-7533-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93/ije/dyi276" TargetMode="External"/><Relationship Id="rId22" Type="http://schemas.openxmlformats.org/officeDocument/2006/relationships/hyperlink" Target="https://pubmed.ncbi.nlm.nih.gov/19724229/" TargetMode="External"/><Relationship Id="rId27" Type="http://schemas.openxmlformats.org/officeDocument/2006/relationships/hyperlink" Target="https://pubmed.ncbi.nlm.nih.gov/21803173/" TargetMode="External"/><Relationship Id="rId30" Type="http://schemas.openxmlformats.org/officeDocument/2006/relationships/hyperlink" Target="https://doi.org/10.1016/j.puhe.2017.03.010"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0" ma:contentTypeDescription="Create a new document." ma:contentTypeScope="" ma:versionID="46dcd741029f2640d2cdaefd2efb8de8">
  <xsd:schema xmlns:xsd="http://www.w3.org/2001/XMLSchema" xmlns:xs="http://www.w3.org/2001/XMLSchema" xmlns:p="http://schemas.microsoft.com/office/2006/metadata/properties" xmlns:ns3="6642d537-5170-4cd9-a3f2-9ec198ee3eac" targetNamespace="http://schemas.microsoft.com/office/2006/metadata/properties" ma:root="true" ma:fieldsID="e48f342eb12d9e1beddd30292b78314c"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3BA304-7110-4FB3-8BAD-89B689D6CDA1}">
  <ds:schemaRefs>
    <ds:schemaRef ds:uri="http://schemas.microsoft.com/office/2006/metadata/properties"/>
    <ds:schemaRef ds:uri="http://schemas.microsoft.com/office/infopath/2007/PartnerControls"/>
    <ds:schemaRef ds:uri="6642d537-5170-4cd9-a3f2-9ec198ee3eac"/>
  </ds:schemaRefs>
</ds:datastoreItem>
</file>

<file path=customXml/itemProps2.xml><?xml version="1.0" encoding="utf-8"?>
<ds:datastoreItem xmlns:ds="http://schemas.openxmlformats.org/officeDocument/2006/customXml" ds:itemID="{C866A49E-DC63-41E8-9D89-AB85EFFDBF94}">
  <ds:schemaRefs>
    <ds:schemaRef ds:uri="http://schemas.microsoft.com/sharepoint/v3/contenttype/forms"/>
  </ds:schemaRefs>
</ds:datastoreItem>
</file>

<file path=customXml/itemProps3.xml><?xml version="1.0" encoding="utf-8"?>
<ds:datastoreItem xmlns:ds="http://schemas.openxmlformats.org/officeDocument/2006/customXml" ds:itemID="{B58BE943-8B3F-4D03-AE42-F619678C4F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BC5DAE6-23DB-4E2F-BA5E-9D3B7A76A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4546</Words>
  <Characters>26776</Characters>
  <Application>Microsoft Office Word</Application>
  <DocSecurity>0</DocSecurity>
  <Lines>582</Lines>
  <Paragraphs>316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Noreen Akhtar (2329201)</dc:creator>
  <cp:keywords/>
  <dc:description/>
  <cp:lastModifiedBy>Noreen Akhtar (2329201)</cp:lastModifiedBy>
  <cp:revision>2</cp:revision>
  <dcterms:created xsi:type="dcterms:W3CDTF">2026-04-05T07:04:00Z</dcterms:created>
  <dcterms:modified xsi:type="dcterms:W3CDTF">2026-04-05T07:04:00Z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1165a4c3-7418-4be8-95c8-70735eadef27</vt:lpwstr>
  </property>
  <property fmtid="{D5CDD505-2E9C-101B-9397-08002B2CF9AE}" pid="3" name="ContentTypeId">
    <vt:lpwstr>0x010100E3345881D5A19F4FA532CBA535E9E684</vt:lpwstr>
  </property>
</Properties>
</file>