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464EDD" w14:textId="480D0889" w:rsidR="00D933E7" w:rsidRPr="002A0B97" w:rsidRDefault="00D933E7" w:rsidP="004D5CFF">
      <w:pPr>
        <w:spacing w:line="360" w:lineRule="auto"/>
        <w:jc w:val="center"/>
        <w:rPr>
          <w:rFonts w:ascii="Arial" w:hAnsi="Arial" w:cs="Arial"/>
          <w:b/>
        </w:rPr>
      </w:pPr>
      <w:r w:rsidRPr="002A0B97">
        <w:rPr>
          <w:rFonts w:ascii="Arial" w:hAnsi="Arial" w:cs="Arial"/>
          <w:b/>
          <w:noProof/>
          <w:lang w:eastAsia="en-GB"/>
        </w:rPr>
        <w:drawing>
          <wp:inline distT="0" distB="0" distL="0" distR="0" wp14:anchorId="7C0B0EDE" wp14:editId="46AA39C1">
            <wp:extent cx="3505200" cy="1166204"/>
            <wp:effectExtent l="0" t="0" r="0" b="0"/>
            <wp:docPr id="1218243877" name="Picture 2" descr="University of Wales Trinity St David - The World Reimag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t David - The World Reimag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16210" cy="1169867"/>
                    </a:xfrm>
                    <a:prstGeom prst="rect">
                      <a:avLst/>
                    </a:prstGeom>
                    <a:noFill/>
                    <a:ln>
                      <a:noFill/>
                    </a:ln>
                  </pic:spPr>
                </pic:pic>
              </a:graphicData>
            </a:graphic>
          </wp:inline>
        </w:drawing>
      </w:r>
    </w:p>
    <w:p w14:paraId="574C43A2" w14:textId="77777777" w:rsidR="00D933E7" w:rsidRPr="002A0B97" w:rsidRDefault="00D933E7" w:rsidP="004D5CFF">
      <w:pPr>
        <w:spacing w:line="360" w:lineRule="auto"/>
        <w:rPr>
          <w:rFonts w:ascii="Arial" w:hAnsi="Arial" w:cs="Arial"/>
          <w:b/>
        </w:rPr>
      </w:pPr>
    </w:p>
    <w:p w14:paraId="23CB8568" w14:textId="77777777" w:rsidR="00D933E7" w:rsidRPr="002A0B97" w:rsidRDefault="00D933E7" w:rsidP="004D5CFF">
      <w:pPr>
        <w:spacing w:line="360" w:lineRule="auto"/>
        <w:rPr>
          <w:rFonts w:ascii="Arial" w:hAnsi="Arial" w:cs="Arial"/>
          <w:b/>
        </w:rPr>
      </w:pPr>
    </w:p>
    <w:p w14:paraId="37762EB0" w14:textId="77777777" w:rsidR="00D933E7" w:rsidRPr="002A0B97" w:rsidRDefault="00D933E7" w:rsidP="004D5CFF">
      <w:pPr>
        <w:spacing w:line="360" w:lineRule="auto"/>
        <w:rPr>
          <w:rFonts w:ascii="Arial" w:hAnsi="Arial" w:cs="Arial"/>
          <w:b/>
        </w:rPr>
      </w:pPr>
    </w:p>
    <w:p w14:paraId="69416FB8" w14:textId="77777777" w:rsidR="00D933E7" w:rsidRPr="002A0B97" w:rsidRDefault="00D933E7" w:rsidP="004D5CFF">
      <w:pPr>
        <w:spacing w:line="360" w:lineRule="auto"/>
        <w:rPr>
          <w:rFonts w:ascii="Arial" w:hAnsi="Arial" w:cs="Arial"/>
          <w:b/>
        </w:rPr>
      </w:pPr>
    </w:p>
    <w:p w14:paraId="42C8EDD8" w14:textId="77777777" w:rsidR="00D933E7" w:rsidRPr="002A0B97" w:rsidRDefault="00D933E7" w:rsidP="004D5CFF">
      <w:pPr>
        <w:spacing w:line="360" w:lineRule="auto"/>
        <w:rPr>
          <w:rFonts w:ascii="Arial" w:hAnsi="Arial" w:cs="Arial"/>
          <w:b/>
        </w:rPr>
      </w:pPr>
    </w:p>
    <w:p w14:paraId="51C99B4E" w14:textId="77777777" w:rsidR="00D933E7" w:rsidRPr="002A0B97" w:rsidRDefault="00D933E7" w:rsidP="004D5CFF">
      <w:pPr>
        <w:spacing w:line="360" w:lineRule="auto"/>
        <w:rPr>
          <w:rFonts w:ascii="Arial" w:hAnsi="Arial" w:cs="Arial"/>
          <w:b/>
        </w:rPr>
      </w:pPr>
    </w:p>
    <w:p w14:paraId="4D192F2A" w14:textId="77777777" w:rsidR="00D933E7" w:rsidRPr="002A0B97" w:rsidRDefault="00D933E7" w:rsidP="004D5CFF">
      <w:pPr>
        <w:spacing w:line="360" w:lineRule="auto"/>
        <w:jc w:val="center"/>
        <w:rPr>
          <w:rFonts w:ascii="Arial" w:hAnsi="Arial" w:cs="Arial"/>
          <w:b/>
          <w:sz w:val="32"/>
          <w:szCs w:val="32"/>
        </w:rPr>
      </w:pPr>
      <w:r w:rsidRPr="002A0B97">
        <w:rPr>
          <w:rFonts w:ascii="Arial" w:hAnsi="Arial" w:cs="Arial"/>
          <w:b/>
          <w:sz w:val="32"/>
          <w:szCs w:val="32"/>
        </w:rPr>
        <w:t>BA (Hons) Leadership and Management Skills in the Workplace</w:t>
      </w:r>
    </w:p>
    <w:p w14:paraId="5A3331BA" w14:textId="77777777" w:rsidR="00D933E7" w:rsidRPr="002A0B97" w:rsidRDefault="00D933E7" w:rsidP="004D5CFF">
      <w:pPr>
        <w:spacing w:line="360" w:lineRule="auto"/>
        <w:jc w:val="center"/>
        <w:rPr>
          <w:rFonts w:ascii="Arial" w:hAnsi="Arial" w:cs="Arial"/>
          <w:b/>
          <w:sz w:val="32"/>
          <w:szCs w:val="32"/>
        </w:rPr>
      </w:pPr>
      <w:r w:rsidRPr="002A0B97">
        <w:rPr>
          <w:rFonts w:ascii="Arial" w:hAnsi="Arial" w:cs="Arial"/>
          <w:b/>
          <w:sz w:val="32"/>
          <w:szCs w:val="32"/>
        </w:rPr>
        <w:t>LCLM6004: Research Method for Business</w:t>
      </w:r>
    </w:p>
    <w:p w14:paraId="790793BE" w14:textId="77777777" w:rsidR="00D933E7" w:rsidRPr="002A0B97" w:rsidRDefault="00D933E7" w:rsidP="004D5CFF">
      <w:pPr>
        <w:spacing w:line="360" w:lineRule="auto"/>
        <w:jc w:val="center"/>
        <w:rPr>
          <w:rFonts w:ascii="Arial" w:hAnsi="Arial" w:cs="Arial"/>
          <w:b/>
        </w:rPr>
      </w:pPr>
    </w:p>
    <w:p w14:paraId="47A5B6FF" w14:textId="77777777" w:rsidR="00D933E7" w:rsidRPr="002A0B97" w:rsidRDefault="00D933E7" w:rsidP="004D5CFF">
      <w:pPr>
        <w:spacing w:line="360" w:lineRule="auto"/>
        <w:jc w:val="center"/>
        <w:rPr>
          <w:rFonts w:ascii="Arial" w:hAnsi="Arial" w:cs="Arial"/>
          <w:b/>
        </w:rPr>
      </w:pPr>
    </w:p>
    <w:p w14:paraId="730D156C" w14:textId="77777777" w:rsidR="00D933E7" w:rsidRPr="002A0B97" w:rsidRDefault="00D933E7" w:rsidP="004D5CFF">
      <w:pPr>
        <w:spacing w:line="360" w:lineRule="auto"/>
        <w:jc w:val="center"/>
        <w:rPr>
          <w:rFonts w:ascii="Arial" w:hAnsi="Arial" w:cs="Arial"/>
          <w:b/>
        </w:rPr>
      </w:pPr>
    </w:p>
    <w:p w14:paraId="6F984B8A" w14:textId="77777777" w:rsidR="00D933E7" w:rsidRPr="002A0B97" w:rsidRDefault="00D933E7" w:rsidP="004D5CFF">
      <w:pPr>
        <w:spacing w:line="360" w:lineRule="auto"/>
        <w:jc w:val="center"/>
        <w:rPr>
          <w:rFonts w:ascii="Arial" w:hAnsi="Arial" w:cs="Arial"/>
          <w:b/>
        </w:rPr>
      </w:pPr>
    </w:p>
    <w:p w14:paraId="773603EB" w14:textId="77777777" w:rsidR="00D933E7" w:rsidRPr="002A0B97" w:rsidRDefault="00D933E7" w:rsidP="004D5CFF">
      <w:pPr>
        <w:spacing w:line="360" w:lineRule="auto"/>
        <w:jc w:val="center"/>
        <w:rPr>
          <w:rFonts w:ascii="Arial" w:hAnsi="Arial" w:cs="Arial"/>
          <w:b/>
        </w:rPr>
      </w:pPr>
    </w:p>
    <w:p w14:paraId="516ED314" w14:textId="77777777" w:rsidR="00D933E7" w:rsidRPr="002A0B97" w:rsidRDefault="00D933E7" w:rsidP="004D5CFF">
      <w:pPr>
        <w:spacing w:line="360" w:lineRule="auto"/>
        <w:jc w:val="center"/>
        <w:rPr>
          <w:rFonts w:ascii="Arial" w:hAnsi="Arial" w:cs="Arial"/>
          <w:b/>
        </w:rPr>
      </w:pPr>
    </w:p>
    <w:p w14:paraId="32BBE4CC" w14:textId="57222036" w:rsidR="00D933E7" w:rsidRPr="002A0B97" w:rsidRDefault="00D933E7" w:rsidP="004D5CFF">
      <w:pPr>
        <w:spacing w:line="360" w:lineRule="auto"/>
        <w:jc w:val="center"/>
        <w:rPr>
          <w:rFonts w:ascii="Arial" w:hAnsi="Arial" w:cs="Arial"/>
          <w:b/>
        </w:rPr>
      </w:pPr>
      <w:r w:rsidRPr="002A0B97">
        <w:rPr>
          <w:rFonts w:ascii="Arial" w:hAnsi="Arial" w:cs="Arial"/>
          <w:b/>
        </w:rPr>
        <w:t>Student: Ruben Paul Nerghis 2243521</w:t>
      </w:r>
    </w:p>
    <w:p w14:paraId="6D453ADA" w14:textId="74E0263C" w:rsidR="00D933E7" w:rsidRPr="002A0B97" w:rsidRDefault="00D933E7" w:rsidP="004D5CFF">
      <w:pPr>
        <w:spacing w:line="360" w:lineRule="auto"/>
        <w:jc w:val="center"/>
        <w:rPr>
          <w:rFonts w:ascii="Arial" w:hAnsi="Arial" w:cs="Arial"/>
          <w:b/>
        </w:rPr>
      </w:pPr>
      <w:r w:rsidRPr="002A0B97">
        <w:rPr>
          <w:rFonts w:ascii="Arial" w:hAnsi="Arial" w:cs="Arial"/>
          <w:b/>
        </w:rPr>
        <w:t>Lecturer: Dr. Akshay Narayanan</w:t>
      </w:r>
    </w:p>
    <w:p w14:paraId="13EFA7BF" w14:textId="77777777" w:rsidR="00D933E7" w:rsidRPr="002A0B97" w:rsidRDefault="00D933E7" w:rsidP="004D5CFF">
      <w:pPr>
        <w:spacing w:line="360" w:lineRule="auto"/>
        <w:rPr>
          <w:rFonts w:ascii="Arial" w:hAnsi="Arial" w:cs="Arial"/>
          <w:b/>
        </w:rPr>
      </w:pPr>
    </w:p>
    <w:p w14:paraId="6C030940" w14:textId="77777777" w:rsidR="00D933E7" w:rsidRPr="002A0B97" w:rsidRDefault="00D933E7" w:rsidP="004D5CFF">
      <w:pPr>
        <w:spacing w:line="360" w:lineRule="auto"/>
        <w:rPr>
          <w:rFonts w:ascii="Arial" w:hAnsi="Arial" w:cs="Arial"/>
          <w:b/>
        </w:rPr>
      </w:pPr>
    </w:p>
    <w:p w14:paraId="4B86C54D" w14:textId="77777777" w:rsidR="00D933E7" w:rsidRPr="002A0B97" w:rsidRDefault="00D933E7" w:rsidP="004D5CFF">
      <w:pPr>
        <w:spacing w:line="360" w:lineRule="auto"/>
        <w:rPr>
          <w:rFonts w:ascii="Arial" w:hAnsi="Arial" w:cs="Arial"/>
          <w:b/>
        </w:rPr>
      </w:pPr>
    </w:p>
    <w:sdt>
      <w:sdtPr>
        <w:rPr>
          <w:rFonts w:asciiTheme="minorHAnsi" w:eastAsiaTheme="minorHAnsi" w:hAnsiTheme="minorHAnsi" w:cstheme="minorBidi"/>
          <w:color w:val="auto"/>
          <w:kern w:val="2"/>
          <w:sz w:val="24"/>
          <w:szCs w:val="24"/>
          <w:lang w:val="en-GB"/>
          <w14:ligatures w14:val="standardContextual"/>
        </w:rPr>
        <w:id w:val="1023220576"/>
        <w:docPartObj>
          <w:docPartGallery w:val="Table of Contents"/>
          <w:docPartUnique/>
        </w:docPartObj>
      </w:sdtPr>
      <w:sdtEndPr>
        <w:rPr>
          <w:b/>
          <w:bCs/>
          <w:noProof/>
        </w:rPr>
      </w:sdtEndPr>
      <w:sdtContent>
        <w:p w14:paraId="2652163D" w14:textId="7A2307F0" w:rsidR="004D5CFF" w:rsidRPr="0007357D" w:rsidRDefault="004D5CFF" w:rsidP="0007357D">
          <w:pPr>
            <w:pStyle w:val="TOCHeading"/>
            <w:spacing w:line="360" w:lineRule="auto"/>
            <w:rPr>
              <w:rFonts w:ascii="Arial" w:hAnsi="Arial" w:cs="Arial"/>
            </w:rPr>
          </w:pPr>
          <w:r w:rsidRPr="0007357D">
            <w:rPr>
              <w:rFonts w:ascii="Arial" w:hAnsi="Arial" w:cs="Arial"/>
            </w:rPr>
            <w:t>Table of Contents</w:t>
          </w:r>
        </w:p>
        <w:p w14:paraId="07E32FBC" w14:textId="77777777" w:rsidR="00A173A2" w:rsidRDefault="004D5CFF">
          <w:pPr>
            <w:pStyle w:val="TOC1"/>
            <w:tabs>
              <w:tab w:val="right" w:leader="dot" w:pos="9016"/>
            </w:tabs>
            <w:rPr>
              <w:rFonts w:eastAsiaTheme="minorEastAsia"/>
              <w:noProof/>
              <w:kern w:val="0"/>
              <w:sz w:val="22"/>
              <w:szCs w:val="22"/>
              <w:lang w:eastAsia="en-GB"/>
              <w14:ligatures w14:val="none"/>
            </w:rPr>
          </w:pPr>
          <w:r w:rsidRPr="0007357D">
            <w:rPr>
              <w:rFonts w:ascii="Arial" w:hAnsi="Arial" w:cs="Arial"/>
            </w:rPr>
            <w:fldChar w:fldCharType="begin"/>
          </w:r>
          <w:r w:rsidRPr="0007357D">
            <w:rPr>
              <w:rFonts w:ascii="Arial" w:hAnsi="Arial" w:cs="Arial"/>
            </w:rPr>
            <w:instrText xml:space="preserve"> TOC \o "1-3" \h \z \u </w:instrText>
          </w:r>
          <w:r w:rsidRPr="0007357D">
            <w:rPr>
              <w:rFonts w:ascii="Arial" w:hAnsi="Arial" w:cs="Arial"/>
            </w:rPr>
            <w:fldChar w:fldCharType="separate"/>
          </w:r>
          <w:hyperlink w:anchor="_Toc215816952" w:history="1">
            <w:r w:rsidR="00A173A2" w:rsidRPr="005269EF">
              <w:rPr>
                <w:rStyle w:val="Hyperlink"/>
                <w:rFonts w:cs="Arial"/>
                <w:noProof/>
              </w:rPr>
              <w:t>Introduction and Identification of the Business Problem</w:t>
            </w:r>
            <w:r w:rsidR="00A173A2">
              <w:rPr>
                <w:noProof/>
                <w:webHidden/>
              </w:rPr>
              <w:tab/>
            </w:r>
            <w:r w:rsidR="00A173A2">
              <w:rPr>
                <w:noProof/>
                <w:webHidden/>
              </w:rPr>
              <w:fldChar w:fldCharType="begin"/>
            </w:r>
            <w:r w:rsidR="00A173A2">
              <w:rPr>
                <w:noProof/>
                <w:webHidden/>
              </w:rPr>
              <w:instrText xml:space="preserve"> PAGEREF _Toc215816952 \h </w:instrText>
            </w:r>
            <w:r w:rsidR="00A173A2">
              <w:rPr>
                <w:noProof/>
                <w:webHidden/>
              </w:rPr>
            </w:r>
            <w:r w:rsidR="00A173A2">
              <w:rPr>
                <w:noProof/>
                <w:webHidden/>
              </w:rPr>
              <w:fldChar w:fldCharType="separate"/>
            </w:r>
            <w:r w:rsidR="00A173A2">
              <w:rPr>
                <w:noProof/>
                <w:webHidden/>
              </w:rPr>
              <w:t>3</w:t>
            </w:r>
            <w:r w:rsidR="00A173A2">
              <w:rPr>
                <w:noProof/>
                <w:webHidden/>
              </w:rPr>
              <w:fldChar w:fldCharType="end"/>
            </w:r>
          </w:hyperlink>
        </w:p>
        <w:p w14:paraId="31AAF027" w14:textId="77777777" w:rsidR="00A173A2" w:rsidRDefault="00A173A2">
          <w:pPr>
            <w:pStyle w:val="TOC2"/>
            <w:tabs>
              <w:tab w:val="right" w:leader="dot" w:pos="9016"/>
            </w:tabs>
            <w:rPr>
              <w:rFonts w:eastAsiaTheme="minorEastAsia"/>
              <w:noProof/>
              <w:kern w:val="0"/>
              <w:sz w:val="22"/>
              <w:szCs w:val="22"/>
              <w:lang w:eastAsia="en-GB"/>
              <w14:ligatures w14:val="none"/>
            </w:rPr>
          </w:pPr>
          <w:hyperlink w:anchor="_Toc215816953" w:history="1">
            <w:r w:rsidRPr="005269EF">
              <w:rPr>
                <w:rStyle w:val="Hyperlink"/>
                <w:rFonts w:cs="Arial"/>
                <w:noProof/>
              </w:rPr>
              <w:t>Significance and Rationale for the Research</w:t>
            </w:r>
            <w:r>
              <w:rPr>
                <w:noProof/>
                <w:webHidden/>
              </w:rPr>
              <w:tab/>
            </w:r>
            <w:r>
              <w:rPr>
                <w:noProof/>
                <w:webHidden/>
              </w:rPr>
              <w:fldChar w:fldCharType="begin"/>
            </w:r>
            <w:r>
              <w:rPr>
                <w:noProof/>
                <w:webHidden/>
              </w:rPr>
              <w:instrText xml:space="preserve"> PAGEREF _Toc215816953 \h </w:instrText>
            </w:r>
            <w:r>
              <w:rPr>
                <w:noProof/>
                <w:webHidden/>
              </w:rPr>
            </w:r>
            <w:r>
              <w:rPr>
                <w:noProof/>
                <w:webHidden/>
              </w:rPr>
              <w:fldChar w:fldCharType="separate"/>
            </w:r>
            <w:r>
              <w:rPr>
                <w:noProof/>
                <w:webHidden/>
              </w:rPr>
              <w:t>4</w:t>
            </w:r>
            <w:r>
              <w:rPr>
                <w:noProof/>
                <w:webHidden/>
              </w:rPr>
              <w:fldChar w:fldCharType="end"/>
            </w:r>
          </w:hyperlink>
        </w:p>
        <w:p w14:paraId="05CBCC22" w14:textId="77777777" w:rsidR="00A173A2" w:rsidRDefault="00A173A2">
          <w:pPr>
            <w:pStyle w:val="TOC2"/>
            <w:tabs>
              <w:tab w:val="right" w:leader="dot" w:pos="9016"/>
            </w:tabs>
            <w:rPr>
              <w:rFonts w:eastAsiaTheme="minorEastAsia"/>
              <w:noProof/>
              <w:kern w:val="0"/>
              <w:sz w:val="22"/>
              <w:szCs w:val="22"/>
              <w:lang w:eastAsia="en-GB"/>
              <w14:ligatures w14:val="none"/>
            </w:rPr>
          </w:pPr>
          <w:hyperlink w:anchor="_Toc215816954" w:history="1">
            <w:r w:rsidRPr="005269EF">
              <w:rPr>
                <w:rStyle w:val="Hyperlink"/>
                <w:rFonts w:cs="Arial"/>
                <w:noProof/>
              </w:rPr>
              <w:t>Aim, Objectives, and Questions (Affinity Water)</w:t>
            </w:r>
            <w:r>
              <w:rPr>
                <w:noProof/>
                <w:webHidden/>
              </w:rPr>
              <w:tab/>
            </w:r>
            <w:r>
              <w:rPr>
                <w:noProof/>
                <w:webHidden/>
              </w:rPr>
              <w:fldChar w:fldCharType="begin"/>
            </w:r>
            <w:r>
              <w:rPr>
                <w:noProof/>
                <w:webHidden/>
              </w:rPr>
              <w:instrText xml:space="preserve"> PAGEREF _Toc215816954 \h </w:instrText>
            </w:r>
            <w:r>
              <w:rPr>
                <w:noProof/>
                <w:webHidden/>
              </w:rPr>
            </w:r>
            <w:r>
              <w:rPr>
                <w:noProof/>
                <w:webHidden/>
              </w:rPr>
              <w:fldChar w:fldCharType="separate"/>
            </w:r>
            <w:r>
              <w:rPr>
                <w:noProof/>
                <w:webHidden/>
              </w:rPr>
              <w:t>4</w:t>
            </w:r>
            <w:r>
              <w:rPr>
                <w:noProof/>
                <w:webHidden/>
              </w:rPr>
              <w:fldChar w:fldCharType="end"/>
            </w:r>
          </w:hyperlink>
        </w:p>
        <w:p w14:paraId="7662DE29" w14:textId="77777777" w:rsidR="00A173A2" w:rsidRDefault="00A173A2">
          <w:pPr>
            <w:pStyle w:val="TOC3"/>
            <w:tabs>
              <w:tab w:val="right" w:leader="dot" w:pos="9016"/>
            </w:tabs>
            <w:rPr>
              <w:rFonts w:eastAsiaTheme="minorEastAsia"/>
              <w:noProof/>
              <w:kern w:val="0"/>
              <w:sz w:val="22"/>
              <w:szCs w:val="22"/>
              <w:lang w:eastAsia="en-GB"/>
              <w14:ligatures w14:val="none"/>
            </w:rPr>
          </w:pPr>
          <w:hyperlink w:anchor="_Toc215816955" w:history="1">
            <w:r w:rsidRPr="005269EF">
              <w:rPr>
                <w:rStyle w:val="Hyperlink"/>
                <w:noProof/>
              </w:rPr>
              <w:t xml:space="preserve">Specific Objectives </w:t>
            </w:r>
            <w:r w:rsidRPr="005269EF">
              <w:rPr>
                <w:rStyle w:val="Hyperlink"/>
                <w:rFonts w:eastAsia="Times New Roman"/>
                <w:noProof/>
                <w:lang w:eastAsia="en-GB"/>
              </w:rPr>
              <w:t>(SMART-Aligned)</w:t>
            </w:r>
            <w:r>
              <w:rPr>
                <w:noProof/>
                <w:webHidden/>
              </w:rPr>
              <w:tab/>
            </w:r>
            <w:r>
              <w:rPr>
                <w:noProof/>
                <w:webHidden/>
              </w:rPr>
              <w:fldChar w:fldCharType="begin"/>
            </w:r>
            <w:r>
              <w:rPr>
                <w:noProof/>
                <w:webHidden/>
              </w:rPr>
              <w:instrText xml:space="preserve"> PAGEREF _Toc215816955 \h </w:instrText>
            </w:r>
            <w:r>
              <w:rPr>
                <w:noProof/>
                <w:webHidden/>
              </w:rPr>
            </w:r>
            <w:r>
              <w:rPr>
                <w:noProof/>
                <w:webHidden/>
              </w:rPr>
              <w:fldChar w:fldCharType="separate"/>
            </w:r>
            <w:r>
              <w:rPr>
                <w:noProof/>
                <w:webHidden/>
              </w:rPr>
              <w:t>5</w:t>
            </w:r>
            <w:r>
              <w:rPr>
                <w:noProof/>
                <w:webHidden/>
              </w:rPr>
              <w:fldChar w:fldCharType="end"/>
            </w:r>
          </w:hyperlink>
        </w:p>
        <w:p w14:paraId="49F1B25F" w14:textId="77777777" w:rsidR="00A173A2" w:rsidRDefault="00A173A2">
          <w:pPr>
            <w:pStyle w:val="TOC3"/>
            <w:tabs>
              <w:tab w:val="right" w:leader="dot" w:pos="9016"/>
            </w:tabs>
            <w:rPr>
              <w:rFonts w:eastAsiaTheme="minorEastAsia"/>
              <w:noProof/>
              <w:kern w:val="0"/>
              <w:sz w:val="22"/>
              <w:szCs w:val="22"/>
              <w:lang w:eastAsia="en-GB"/>
              <w14:ligatures w14:val="none"/>
            </w:rPr>
          </w:pPr>
          <w:hyperlink w:anchor="_Toc215816956" w:history="1">
            <w:r w:rsidRPr="005269EF">
              <w:rPr>
                <w:rStyle w:val="Hyperlink"/>
                <w:rFonts w:eastAsia="Times New Roman"/>
                <w:noProof/>
                <w:lang w:eastAsia="en-GB"/>
              </w:rPr>
              <w:t>Significant Research Questions</w:t>
            </w:r>
            <w:r>
              <w:rPr>
                <w:noProof/>
                <w:webHidden/>
              </w:rPr>
              <w:tab/>
            </w:r>
            <w:r>
              <w:rPr>
                <w:noProof/>
                <w:webHidden/>
              </w:rPr>
              <w:fldChar w:fldCharType="begin"/>
            </w:r>
            <w:r>
              <w:rPr>
                <w:noProof/>
                <w:webHidden/>
              </w:rPr>
              <w:instrText xml:space="preserve"> PAGEREF _Toc215816956 \h </w:instrText>
            </w:r>
            <w:r>
              <w:rPr>
                <w:noProof/>
                <w:webHidden/>
              </w:rPr>
            </w:r>
            <w:r>
              <w:rPr>
                <w:noProof/>
                <w:webHidden/>
              </w:rPr>
              <w:fldChar w:fldCharType="separate"/>
            </w:r>
            <w:r>
              <w:rPr>
                <w:noProof/>
                <w:webHidden/>
              </w:rPr>
              <w:t>5</w:t>
            </w:r>
            <w:r>
              <w:rPr>
                <w:noProof/>
                <w:webHidden/>
              </w:rPr>
              <w:fldChar w:fldCharType="end"/>
            </w:r>
          </w:hyperlink>
        </w:p>
        <w:p w14:paraId="5854BA81" w14:textId="77777777" w:rsidR="00A173A2" w:rsidRDefault="00A173A2">
          <w:pPr>
            <w:pStyle w:val="TOC2"/>
            <w:tabs>
              <w:tab w:val="right" w:leader="dot" w:pos="9016"/>
            </w:tabs>
            <w:rPr>
              <w:rFonts w:eastAsiaTheme="minorEastAsia"/>
              <w:noProof/>
              <w:kern w:val="0"/>
              <w:sz w:val="22"/>
              <w:szCs w:val="22"/>
              <w:lang w:eastAsia="en-GB"/>
              <w14:ligatures w14:val="none"/>
            </w:rPr>
          </w:pPr>
          <w:hyperlink w:anchor="_Toc215816957" w:history="1">
            <w:r w:rsidRPr="005269EF">
              <w:rPr>
                <w:rStyle w:val="Hyperlink"/>
                <w:noProof/>
              </w:rPr>
              <w:t>Preliminary Literature Review</w:t>
            </w:r>
            <w:r>
              <w:rPr>
                <w:noProof/>
                <w:webHidden/>
              </w:rPr>
              <w:tab/>
            </w:r>
            <w:r>
              <w:rPr>
                <w:noProof/>
                <w:webHidden/>
              </w:rPr>
              <w:fldChar w:fldCharType="begin"/>
            </w:r>
            <w:r>
              <w:rPr>
                <w:noProof/>
                <w:webHidden/>
              </w:rPr>
              <w:instrText xml:space="preserve"> PAGEREF _Toc215816957 \h </w:instrText>
            </w:r>
            <w:r>
              <w:rPr>
                <w:noProof/>
                <w:webHidden/>
              </w:rPr>
            </w:r>
            <w:r>
              <w:rPr>
                <w:noProof/>
                <w:webHidden/>
              </w:rPr>
              <w:fldChar w:fldCharType="separate"/>
            </w:r>
            <w:r>
              <w:rPr>
                <w:noProof/>
                <w:webHidden/>
              </w:rPr>
              <w:t>5</w:t>
            </w:r>
            <w:r>
              <w:rPr>
                <w:noProof/>
                <w:webHidden/>
              </w:rPr>
              <w:fldChar w:fldCharType="end"/>
            </w:r>
          </w:hyperlink>
        </w:p>
        <w:p w14:paraId="4583D874" w14:textId="77777777" w:rsidR="00A173A2" w:rsidRDefault="00A173A2">
          <w:pPr>
            <w:pStyle w:val="TOC3"/>
            <w:tabs>
              <w:tab w:val="right" w:leader="dot" w:pos="9016"/>
            </w:tabs>
            <w:rPr>
              <w:rFonts w:eastAsiaTheme="minorEastAsia"/>
              <w:noProof/>
              <w:kern w:val="0"/>
              <w:sz w:val="22"/>
              <w:szCs w:val="22"/>
              <w:lang w:eastAsia="en-GB"/>
              <w14:ligatures w14:val="none"/>
            </w:rPr>
          </w:pPr>
          <w:hyperlink w:anchor="_Toc215816958" w:history="1">
            <w:r w:rsidRPr="005269EF">
              <w:rPr>
                <w:rStyle w:val="Hyperlink"/>
                <w:rFonts w:eastAsia="Times New Roman"/>
                <w:noProof/>
                <w:lang w:eastAsia="en-GB"/>
              </w:rPr>
              <w:t>Review Process and Source Selection</w:t>
            </w:r>
            <w:r>
              <w:rPr>
                <w:noProof/>
                <w:webHidden/>
              </w:rPr>
              <w:tab/>
            </w:r>
            <w:r>
              <w:rPr>
                <w:noProof/>
                <w:webHidden/>
              </w:rPr>
              <w:fldChar w:fldCharType="begin"/>
            </w:r>
            <w:r>
              <w:rPr>
                <w:noProof/>
                <w:webHidden/>
              </w:rPr>
              <w:instrText xml:space="preserve"> PAGEREF _Toc215816958 \h </w:instrText>
            </w:r>
            <w:r>
              <w:rPr>
                <w:noProof/>
                <w:webHidden/>
              </w:rPr>
            </w:r>
            <w:r>
              <w:rPr>
                <w:noProof/>
                <w:webHidden/>
              </w:rPr>
              <w:fldChar w:fldCharType="separate"/>
            </w:r>
            <w:r>
              <w:rPr>
                <w:noProof/>
                <w:webHidden/>
              </w:rPr>
              <w:t>6</w:t>
            </w:r>
            <w:r>
              <w:rPr>
                <w:noProof/>
                <w:webHidden/>
              </w:rPr>
              <w:fldChar w:fldCharType="end"/>
            </w:r>
          </w:hyperlink>
        </w:p>
        <w:p w14:paraId="6E13C210" w14:textId="77777777" w:rsidR="00A173A2" w:rsidRDefault="00A173A2">
          <w:pPr>
            <w:pStyle w:val="TOC3"/>
            <w:tabs>
              <w:tab w:val="right" w:leader="dot" w:pos="9016"/>
            </w:tabs>
            <w:rPr>
              <w:rFonts w:eastAsiaTheme="minorEastAsia"/>
              <w:noProof/>
              <w:kern w:val="0"/>
              <w:sz w:val="22"/>
              <w:szCs w:val="22"/>
              <w:lang w:eastAsia="en-GB"/>
              <w14:ligatures w14:val="none"/>
            </w:rPr>
          </w:pPr>
          <w:hyperlink w:anchor="_Toc215816959" w:history="1">
            <w:r w:rsidRPr="005269EF">
              <w:rPr>
                <w:rStyle w:val="Hyperlink"/>
                <w:rFonts w:eastAsia="Times New Roman"/>
                <w:noProof/>
                <w:lang w:eastAsia="en-GB"/>
              </w:rPr>
              <w:t>Key Theoretical Frameworks</w:t>
            </w:r>
            <w:r>
              <w:rPr>
                <w:noProof/>
                <w:webHidden/>
              </w:rPr>
              <w:tab/>
            </w:r>
            <w:r>
              <w:rPr>
                <w:noProof/>
                <w:webHidden/>
              </w:rPr>
              <w:fldChar w:fldCharType="begin"/>
            </w:r>
            <w:r>
              <w:rPr>
                <w:noProof/>
                <w:webHidden/>
              </w:rPr>
              <w:instrText xml:space="preserve"> PAGEREF _Toc215816959 \h </w:instrText>
            </w:r>
            <w:r>
              <w:rPr>
                <w:noProof/>
                <w:webHidden/>
              </w:rPr>
            </w:r>
            <w:r>
              <w:rPr>
                <w:noProof/>
                <w:webHidden/>
              </w:rPr>
              <w:fldChar w:fldCharType="separate"/>
            </w:r>
            <w:r>
              <w:rPr>
                <w:noProof/>
                <w:webHidden/>
              </w:rPr>
              <w:t>6</w:t>
            </w:r>
            <w:r>
              <w:rPr>
                <w:noProof/>
                <w:webHidden/>
              </w:rPr>
              <w:fldChar w:fldCharType="end"/>
            </w:r>
          </w:hyperlink>
        </w:p>
        <w:p w14:paraId="0708DD8C" w14:textId="77777777" w:rsidR="00A173A2" w:rsidRDefault="00A173A2">
          <w:pPr>
            <w:pStyle w:val="TOC3"/>
            <w:tabs>
              <w:tab w:val="right" w:leader="dot" w:pos="9016"/>
            </w:tabs>
            <w:rPr>
              <w:rFonts w:eastAsiaTheme="minorEastAsia"/>
              <w:noProof/>
              <w:kern w:val="0"/>
              <w:sz w:val="22"/>
              <w:szCs w:val="22"/>
              <w:lang w:eastAsia="en-GB"/>
              <w14:ligatures w14:val="none"/>
            </w:rPr>
          </w:pPr>
          <w:hyperlink w:anchor="_Toc215816960" w:history="1">
            <w:r w:rsidRPr="005269EF">
              <w:rPr>
                <w:rStyle w:val="Hyperlink"/>
                <w:noProof/>
              </w:rPr>
              <w:t>Critical gaps identified</w:t>
            </w:r>
            <w:r>
              <w:rPr>
                <w:noProof/>
                <w:webHidden/>
              </w:rPr>
              <w:tab/>
            </w:r>
            <w:r>
              <w:rPr>
                <w:noProof/>
                <w:webHidden/>
              </w:rPr>
              <w:fldChar w:fldCharType="begin"/>
            </w:r>
            <w:r>
              <w:rPr>
                <w:noProof/>
                <w:webHidden/>
              </w:rPr>
              <w:instrText xml:space="preserve"> PAGEREF _Toc215816960 \h </w:instrText>
            </w:r>
            <w:r>
              <w:rPr>
                <w:noProof/>
                <w:webHidden/>
              </w:rPr>
            </w:r>
            <w:r>
              <w:rPr>
                <w:noProof/>
                <w:webHidden/>
              </w:rPr>
              <w:fldChar w:fldCharType="separate"/>
            </w:r>
            <w:r>
              <w:rPr>
                <w:noProof/>
                <w:webHidden/>
              </w:rPr>
              <w:t>9</w:t>
            </w:r>
            <w:r>
              <w:rPr>
                <w:noProof/>
                <w:webHidden/>
              </w:rPr>
              <w:fldChar w:fldCharType="end"/>
            </w:r>
          </w:hyperlink>
        </w:p>
        <w:p w14:paraId="7A27EF8A" w14:textId="77777777" w:rsidR="00A173A2" w:rsidRDefault="00A173A2">
          <w:pPr>
            <w:pStyle w:val="TOC2"/>
            <w:tabs>
              <w:tab w:val="right" w:leader="dot" w:pos="9016"/>
            </w:tabs>
            <w:rPr>
              <w:rFonts w:eastAsiaTheme="minorEastAsia"/>
              <w:noProof/>
              <w:kern w:val="0"/>
              <w:sz w:val="22"/>
              <w:szCs w:val="22"/>
              <w:lang w:eastAsia="en-GB"/>
              <w14:ligatures w14:val="none"/>
            </w:rPr>
          </w:pPr>
          <w:hyperlink w:anchor="_Toc215816961" w:history="1">
            <w:r w:rsidRPr="005269EF">
              <w:rPr>
                <w:rStyle w:val="Hyperlink"/>
                <w:rFonts w:eastAsia="Times New Roman"/>
                <w:noProof/>
                <w:lang w:eastAsia="en-GB"/>
              </w:rPr>
              <w:t>Research Methodology and Design</w:t>
            </w:r>
            <w:r>
              <w:rPr>
                <w:noProof/>
                <w:webHidden/>
              </w:rPr>
              <w:tab/>
            </w:r>
            <w:r>
              <w:rPr>
                <w:noProof/>
                <w:webHidden/>
              </w:rPr>
              <w:fldChar w:fldCharType="begin"/>
            </w:r>
            <w:r>
              <w:rPr>
                <w:noProof/>
                <w:webHidden/>
              </w:rPr>
              <w:instrText xml:space="preserve"> PAGEREF _Toc215816961 \h </w:instrText>
            </w:r>
            <w:r>
              <w:rPr>
                <w:noProof/>
                <w:webHidden/>
              </w:rPr>
            </w:r>
            <w:r>
              <w:rPr>
                <w:noProof/>
                <w:webHidden/>
              </w:rPr>
              <w:fldChar w:fldCharType="separate"/>
            </w:r>
            <w:r>
              <w:rPr>
                <w:noProof/>
                <w:webHidden/>
              </w:rPr>
              <w:t>9</w:t>
            </w:r>
            <w:r>
              <w:rPr>
                <w:noProof/>
                <w:webHidden/>
              </w:rPr>
              <w:fldChar w:fldCharType="end"/>
            </w:r>
          </w:hyperlink>
        </w:p>
        <w:p w14:paraId="691D7D5D" w14:textId="77777777" w:rsidR="00A173A2" w:rsidRDefault="00A173A2">
          <w:pPr>
            <w:pStyle w:val="TOC2"/>
            <w:tabs>
              <w:tab w:val="right" w:leader="dot" w:pos="9016"/>
            </w:tabs>
            <w:rPr>
              <w:rFonts w:eastAsiaTheme="minorEastAsia"/>
              <w:noProof/>
              <w:kern w:val="0"/>
              <w:sz w:val="22"/>
              <w:szCs w:val="22"/>
              <w:lang w:eastAsia="en-GB"/>
              <w14:ligatures w14:val="none"/>
            </w:rPr>
          </w:pPr>
          <w:hyperlink w:anchor="_Toc215816962" w:history="1">
            <w:r w:rsidRPr="005269EF">
              <w:rPr>
                <w:rStyle w:val="Hyperlink"/>
                <w:rFonts w:cs="Arial"/>
                <w:noProof/>
              </w:rPr>
              <w:t>Business Relevance and Practical Implications</w:t>
            </w:r>
            <w:r>
              <w:rPr>
                <w:noProof/>
                <w:webHidden/>
              </w:rPr>
              <w:tab/>
            </w:r>
            <w:r>
              <w:rPr>
                <w:noProof/>
                <w:webHidden/>
              </w:rPr>
              <w:fldChar w:fldCharType="begin"/>
            </w:r>
            <w:r>
              <w:rPr>
                <w:noProof/>
                <w:webHidden/>
              </w:rPr>
              <w:instrText xml:space="preserve"> PAGEREF _Toc215816962 \h </w:instrText>
            </w:r>
            <w:r>
              <w:rPr>
                <w:noProof/>
                <w:webHidden/>
              </w:rPr>
            </w:r>
            <w:r>
              <w:rPr>
                <w:noProof/>
                <w:webHidden/>
              </w:rPr>
              <w:fldChar w:fldCharType="separate"/>
            </w:r>
            <w:r>
              <w:rPr>
                <w:noProof/>
                <w:webHidden/>
              </w:rPr>
              <w:t>10</w:t>
            </w:r>
            <w:r>
              <w:rPr>
                <w:noProof/>
                <w:webHidden/>
              </w:rPr>
              <w:fldChar w:fldCharType="end"/>
            </w:r>
          </w:hyperlink>
        </w:p>
        <w:p w14:paraId="2B5F38EB" w14:textId="77777777" w:rsidR="00A173A2" w:rsidRDefault="00A173A2">
          <w:pPr>
            <w:pStyle w:val="TOC3"/>
            <w:tabs>
              <w:tab w:val="right" w:leader="dot" w:pos="9016"/>
            </w:tabs>
            <w:rPr>
              <w:rFonts w:eastAsiaTheme="minorEastAsia"/>
              <w:noProof/>
              <w:kern w:val="0"/>
              <w:sz w:val="22"/>
              <w:szCs w:val="22"/>
              <w:lang w:eastAsia="en-GB"/>
              <w14:ligatures w14:val="none"/>
            </w:rPr>
          </w:pPr>
          <w:hyperlink w:anchor="_Toc215816963" w:history="1">
            <w:r w:rsidRPr="005269EF">
              <w:rPr>
                <w:rStyle w:val="Hyperlink"/>
                <w:rFonts w:cs="Arial"/>
                <w:noProof/>
              </w:rPr>
              <w:t>Work Schedule (January 2026 – March 2026)</w:t>
            </w:r>
            <w:r>
              <w:rPr>
                <w:noProof/>
                <w:webHidden/>
              </w:rPr>
              <w:tab/>
            </w:r>
            <w:r>
              <w:rPr>
                <w:noProof/>
                <w:webHidden/>
              </w:rPr>
              <w:fldChar w:fldCharType="begin"/>
            </w:r>
            <w:r>
              <w:rPr>
                <w:noProof/>
                <w:webHidden/>
              </w:rPr>
              <w:instrText xml:space="preserve"> PAGEREF _Toc215816963 \h </w:instrText>
            </w:r>
            <w:r>
              <w:rPr>
                <w:noProof/>
                <w:webHidden/>
              </w:rPr>
            </w:r>
            <w:r>
              <w:rPr>
                <w:noProof/>
                <w:webHidden/>
              </w:rPr>
              <w:fldChar w:fldCharType="separate"/>
            </w:r>
            <w:r>
              <w:rPr>
                <w:noProof/>
                <w:webHidden/>
              </w:rPr>
              <w:t>10</w:t>
            </w:r>
            <w:r>
              <w:rPr>
                <w:noProof/>
                <w:webHidden/>
              </w:rPr>
              <w:fldChar w:fldCharType="end"/>
            </w:r>
          </w:hyperlink>
        </w:p>
        <w:p w14:paraId="7F176AEE" w14:textId="77777777" w:rsidR="00A173A2" w:rsidRDefault="00A173A2">
          <w:pPr>
            <w:pStyle w:val="TOC1"/>
            <w:tabs>
              <w:tab w:val="right" w:leader="dot" w:pos="9016"/>
            </w:tabs>
            <w:rPr>
              <w:rFonts w:eastAsiaTheme="minorEastAsia"/>
              <w:noProof/>
              <w:kern w:val="0"/>
              <w:sz w:val="22"/>
              <w:szCs w:val="22"/>
              <w:lang w:eastAsia="en-GB"/>
              <w14:ligatures w14:val="none"/>
            </w:rPr>
          </w:pPr>
          <w:hyperlink w:anchor="_Toc215816964" w:history="1">
            <w:r w:rsidRPr="005269EF">
              <w:rPr>
                <w:rStyle w:val="Hyperlink"/>
                <w:noProof/>
              </w:rPr>
              <w:t>Conclusion</w:t>
            </w:r>
            <w:r>
              <w:rPr>
                <w:noProof/>
                <w:webHidden/>
              </w:rPr>
              <w:tab/>
            </w:r>
            <w:r>
              <w:rPr>
                <w:noProof/>
                <w:webHidden/>
              </w:rPr>
              <w:fldChar w:fldCharType="begin"/>
            </w:r>
            <w:r>
              <w:rPr>
                <w:noProof/>
                <w:webHidden/>
              </w:rPr>
              <w:instrText xml:space="preserve"> PAGEREF _Toc215816964 \h </w:instrText>
            </w:r>
            <w:r>
              <w:rPr>
                <w:noProof/>
                <w:webHidden/>
              </w:rPr>
            </w:r>
            <w:r>
              <w:rPr>
                <w:noProof/>
                <w:webHidden/>
              </w:rPr>
              <w:fldChar w:fldCharType="separate"/>
            </w:r>
            <w:r>
              <w:rPr>
                <w:noProof/>
                <w:webHidden/>
              </w:rPr>
              <w:t>11</w:t>
            </w:r>
            <w:r>
              <w:rPr>
                <w:noProof/>
                <w:webHidden/>
              </w:rPr>
              <w:fldChar w:fldCharType="end"/>
            </w:r>
          </w:hyperlink>
        </w:p>
        <w:p w14:paraId="406E2B51" w14:textId="77777777" w:rsidR="00A173A2" w:rsidRDefault="00A173A2">
          <w:pPr>
            <w:pStyle w:val="TOC1"/>
            <w:tabs>
              <w:tab w:val="right" w:leader="dot" w:pos="9016"/>
            </w:tabs>
            <w:rPr>
              <w:rFonts w:eastAsiaTheme="minorEastAsia"/>
              <w:noProof/>
              <w:kern w:val="0"/>
              <w:sz w:val="22"/>
              <w:szCs w:val="22"/>
              <w:lang w:eastAsia="en-GB"/>
              <w14:ligatures w14:val="none"/>
            </w:rPr>
          </w:pPr>
          <w:hyperlink w:anchor="_Toc215816965" w:history="1">
            <w:r w:rsidRPr="005269EF">
              <w:rPr>
                <w:rStyle w:val="Hyperlink"/>
                <w:rFonts w:cs="Arial"/>
                <w:noProof/>
              </w:rPr>
              <w:t>References</w:t>
            </w:r>
            <w:r>
              <w:rPr>
                <w:noProof/>
                <w:webHidden/>
              </w:rPr>
              <w:tab/>
            </w:r>
            <w:r>
              <w:rPr>
                <w:noProof/>
                <w:webHidden/>
              </w:rPr>
              <w:fldChar w:fldCharType="begin"/>
            </w:r>
            <w:r>
              <w:rPr>
                <w:noProof/>
                <w:webHidden/>
              </w:rPr>
              <w:instrText xml:space="preserve"> PAGEREF _Toc215816965 \h </w:instrText>
            </w:r>
            <w:r>
              <w:rPr>
                <w:noProof/>
                <w:webHidden/>
              </w:rPr>
            </w:r>
            <w:r>
              <w:rPr>
                <w:noProof/>
                <w:webHidden/>
              </w:rPr>
              <w:fldChar w:fldCharType="separate"/>
            </w:r>
            <w:r>
              <w:rPr>
                <w:noProof/>
                <w:webHidden/>
              </w:rPr>
              <w:t>12</w:t>
            </w:r>
            <w:r>
              <w:rPr>
                <w:noProof/>
                <w:webHidden/>
              </w:rPr>
              <w:fldChar w:fldCharType="end"/>
            </w:r>
          </w:hyperlink>
        </w:p>
        <w:p w14:paraId="362BE825" w14:textId="092561BB" w:rsidR="004D5CFF" w:rsidRPr="002A0B97" w:rsidRDefault="004D5CFF">
          <w:r w:rsidRPr="0007357D">
            <w:rPr>
              <w:rFonts w:ascii="Arial" w:hAnsi="Arial" w:cs="Arial"/>
              <w:b/>
              <w:bCs/>
              <w:noProof/>
            </w:rPr>
            <w:fldChar w:fldCharType="end"/>
          </w:r>
        </w:p>
      </w:sdtContent>
    </w:sdt>
    <w:p w14:paraId="0C4BE7ED" w14:textId="77777777" w:rsidR="00D933E7" w:rsidRPr="002A0B97" w:rsidRDefault="00D933E7" w:rsidP="004D5CFF">
      <w:pPr>
        <w:spacing w:line="360" w:lineRule="auto"/>
        <w:rPr>
          <w:rFonts w:ascii="Arial" w:hAnsi="Arial" w:cs="Arial"/>
          <w:b/>
        </w:rPr>
      </w:pPr>
    </w:p>
    <w:p w14:paraId="570D377A" w14:textId="77777777" w:rsidR="00D933E7" w:rsidRPr="002A0B97" w:rsidRDefault="00D933E7" w:rsidP="004D5CFF">
      <w:pPr>
        <w:spacing w:line="360" w:lineRule="auto"/>
        <w:rPr>
          <w:rFonts w:ascii="Arial" w:hAnsi="Arial" w:cs="Arial"/>
          <w:b/>
        </w:rPr>
      </w:pPr>
    </w:p>
    <w:p w14:paraId="31162EFE" w14:textId="77777777" w:rsidR="00D933E7" w:rsidRPr="002A0B97" w:rsidRDefault="00D933E7" w:rsidP="004D5CFF">
      <w:pPr>
        <w:spacing w:line="360" w:lineRule="auto"/>
        <w:rPr>
          <w:rFonts w:ascii="Arial" w:hAnsi="Arial" w:cs="Arial"/>
          <w:b/>
        </w:rPr>
      </w:pPr>
    </w:p>
    <w:p w14:paraId="3B15A0CA" w14:textId="77777777" w:rsidR="00D933E7" w:rsidRPr="002A0B97" w:rsidRDefault="00D933E7" w:rsidP="004D5CFF">
      <w:pPr>
        <w:spacing w:line="360" w:lineRule="auto"/>
        <w:rPr>
          <w:rFonts w:ascii="Arial" w:hAnsi="Arial" w:cs="Arial"/>
          <w:b/>
        </w:rPr>
      </w:pPr>
    </w:p>
    <w:p w14:paraId="47C6290B" w14:textId="77777777" w:rsidR="00D933E7" w:rsidRPr="002A0B97" w:rsidRDefault="00D933E7" w:rsidP="004D5CFF">
      <w:pPr>
        <w:spacing w:line="360" w:lineRule="auto"/>
        <w:rPr>
          <w:rFonts w:ascii="Arial" w:hAnsi="Arial" w:cs="Arial"/>
          <w:b/>
        </w:rPr>
      </w:pPr>
    </w:p>
    <w:p w14:paraId="182165A9" w14:textId="77777777" w:rsidR="00D933E7" w:rsidRPr="002A0B97" w:rsidRDefault="00D933E7" w:rsidP="004D5CFF">
      <w:pPr>
        <w:spacing w:line="360" w:lineRule="auto"/>
        <w:rPr>
          <w:rFonts w:ascii="Arial" w:hAnsi="Arial" w:cs="Arial"/>
          <w:b/>
        </w:rPr>
      </w:pPr>
    </w:p>
    <w:p w14:paraId="5445D5FE" w14:textId="77777777" w:rsidR="00D933E7" w:rsidRPr="002A0B97" w:rsidRDefault="00D933E7" w:rsidP="004D5CFF">
      <w:pPr>
        <w:spacing w:line="360" w:lineRule="auto"/>
        <w:rPr>
          <w:rFonts w:ascii="Arial" w:hAnsi="Arial" w:cs="Arial"/>
          <w:b/>
        </w:rPr>
      </w:pPr>
    </w:p>
    <w:p w14:paraId="6E2C8A84" w14:textId="77777777" w:rsidR="00D933E7" w:rsidRPr="002A0B97" w:rsidRDefault="00D933E7" w:rsidP="004D5CFF">
      <w:pPr>
        <w:spacing w:line="360" w:lineRule="auto"/>
        <w:rPr>
          <w:rFonts w:ascii="Arial" w:hAnsi="Arial" w:cs="Arial"/>
          <w:b/>
        </w:rPr>
      </w:pPr>
    </w:p>
    <w:p w14:paraId="2CA850BA" w14:textId="77777777" w:rsidR="00D933E7" w:rsidRPr="002A0B97" w:rsidRDefault="00D933E7" w:rsidP="004D5CFF">
      <w:pPr>
        <w:spacing w:line="360" w:lineRule="auto"/>
        <w:rPr>
          <w:rFonts w:ascii="Arial" w:hAnsi="Arial" w:cs="Arial"/>
          <w:b/>
        </w:rPr>
      </w:pPr>
    </w:p>
    <w:p w14:paraId="77E22D5D" w14:textId="77777777" w:rsidR="004D5CFF" w:rsidRPr="002A0B97" w:rsidRDefault="004D5CFF" w:rsidP="004D5CFF">
      <w:pPr>
        <w:spacing w:line="360" w:lineRule="auto"/>
        <w:rPr>
          <w:rFonts w:ascii="Arial" w:hAnsi="Arial" w:cs="Arial"/>
          <w:b/>
        </w:rPr>
      </w:pPr>
    </w:p>
    <w:p w14:paraId="22FC4C47" w14:textId="77777777" w:rsidR="004D5CFF" w:rsidRPr="002A0B97" w:rsidRDefault="004D5CFF" w:rsidP="004D5CFF">
      <w:pPr>
        <w:spacing w:line="360" w:lineRule="auto"/>
        <w:rPr>
          <w:rFonts w:ascii="Arial" w:hAnsi="Arial" w:cs="Arial"/>
          <w:b/>
        </w:rPr>
      </w:pPr>
    </w:p>
    <w:p w14:paraId="544085B6" w14:textId="77777777" w:rsidR="004D5CFF" w:rsidRPr="002A0B97" w:rsidRDefault="004D5CFF" w:rsidP="004D5CFF">
      <w:pPr>
        <w:spacing w:line="360" w:lineRule="auto"/>
        <w:rPr>
          <w:rFonts w:ascii="Arial" w:hAnsi="Arial" w:cs="Arial"/>
          <w:b/>
        </w:rPr>
      </w:pPr>
    </w:p>
    <w:p w14:paraId="06E53AB6" w14:textId="77777777" w:rsidR="00D933E7" w:rsidRPr="002A0B97" w:rsidRDefault="00D933E7" w:rsidP="004D5CFF">
      <w:pPr>
        <w:spacing w:line="360" w:lineRule="auto"/>
        <w:rPr>
          <w:rFonts w:ascii="Arial" w:hAnsi="Arial" w:cs="Arial"/>
          <w:b/>
        </w:rPr>
      </w:pPr>
    </w:p>
    <w:p w14:paraId="162F43B3" w14:textId="5189C011" w:rsidR="00D933E7" w:rsidRPr="002A0B97" w:rsidRDefault="00D933E7" w:rsidP="004D5CFF">
      <w:pPr>
        <w:spacing w:line="360" w:lineRule="auto"/>
        <w:jc w:val="center"/>
        <w:rPr>
          <w:rFonts w:ascii="Arial" w:hAnsi="Arial" w:cs="Arial"/>
          <w:b/>
          <w:sz w:val="32"/>
          <w:szCs w:val="32"/>
        </w:rPr>
      </w:pPr>
      <w:r w:rsidRPr="002A0B97">
        <w:rPr>
          <w:rFonts w:ascii="Arial" w:hAnsi="Arial" w:cs="Arial"/>
          <w:b/>
          <w:sz w:val="32"/>
          <w:szCs w:val="32"/>
        </w:rPr>
        <w:t>Developing a Resilient Framework for Sustainable Water Resource Management at Affinity Water: An Integrated Systematic Review Approach</w:t>
      </w:r>
    </w:p>
    <w:p w14:paraId="270BAAEA" w14:textId="77777777" w:rsidR="00D933E7" w:rsidRPr="002A0B97" w:rsidRDefault="00D933E7" w:rsidP="004D5CFF">
      <w:pPr>
        <w:spacing w:line="360" w:lineRule="auto"/>
        <w:rPr>
          <w:rFonts w:ascii="Arial" w:hAnsi="Arial" w:cs="Arial"/>
        </w:rPr>
      </w:pPr>
    </w:p>
    <w:p w14:paraId="362C5718" w14:textId="05A895EC" w:rsidR="00D933E7" w:rsidRPr="002A0B97" w:rsidRDefault="00D933E7" w:rsidP="004D5CFF">
      <w:pPr>
        <w:pStyle w:val="Heading1"/>
        <w:spacing w:line="360" w:lineRule="auto"/>
        <w:rPr>
          <w:rFonts w:cs="Arial"/>
        </w:rPr>
      </w:pPr>
      <w:bookmarkStart w:id="0" w:name="_Toc215816952"/>
      <w:r w:rsidRPr="002A0B97">
        <w:rPr>
          <w:rFonts w:cs="Arial"/>
        </w:rPr>
        <w:t>Introduction and Identification of the Business Problem</w:t>
      </w:r>
      <w:bookmarkEnd w:id="0"/>
    </w:p>
    <w:p w14:paraId="0D77EB1E" w14:textId="77C209DD" w:rsidR="00D933E7" w:rsidRPr="002A0B97" w:rsidRDefault="00D933E7" w:rsidP="004D5CFF">
      <w:pPr>
        <w:spacing w:line="360" w:lineRule="auto"/>
        <w:rPr>
          <w:rFonts w:ascii="Arial" w:hAnsi="Arial" w:cs="Arial"/>
        </w:rPr>
      </w:pPr>
      <w:r w:rsidRPr="002A0B97">
        <w:rPr>
          <w:rFonts w:ascii="Arial" w:hAnsi="Arial" w:cs="Arial"/>
        </w:rPr>
        <w:t>Affinity Water is the largest water-only company in the United Kingdom, supplying an average of 937 million litres of drinking water per day to approximately 3.9 million people and over 72,000 business customers across parts of Hertfordshire, Bedfordshire, Buckinghamshire, Essex, Surrey, Berkshire, Kent, Greater London, and the Tendring peninsula (Affinity Water, 2024e). The company’s supply area is classified by the Environment Agency as being under serious water stress the highest category and approximately 65 % of its water is abstracted from groundwater sources in chalk aquifers that are exceptionally sensitive to changes in rainfall patterns and prolonged dry periods (Affinity Water, 2024a; 2024b).</w:t>
      </w:r>
    </w:p>
    <w:p w14:paraId="55AAABEF" w14:textId="0F92CF10" w:rsidR="00D933E7" w:rsidRPr="002A0B97" w:rsidRDefault="00D933E7" w:rsidP="004D5CFF">
      <w:pPr>
        <w:spacing w:line="360" w:lineRule="auto"/>
        <w:rPr>
          <w:rFonts w:ascii="Arial" w:hAnsi="Arial" w:cs="Arial"/>
        </w:rPr>
      </w:pPr>
      <w:r w:rsidRPr="002A0B97">
        <w:rPr>
          <w:rFonts w:ascii="Arial" w:hAnsi="Arial" w:cs="Arial"/>
        </w:rPr>
        <w:t xml:space="preserve">The company faces a complex and urgent business problem: maintaining secure, sustainable, and affordable water supplies in the face of accelerating climate change, rapid population growth, and stringent environmental regulation. Climate projections indicate more frequent and severe droughts, reduced groundwater recharge, and higher peak summer demand. Affinity Water’s own modelling shows that without intervention, demand could exceed available supply as early as the 2030s under certain scenarios (Affinity Water, 2024c). At the same time, population in the supply area is forecast to increase by 15.1 % to nearly 5 million people by 2050, adding further pressure (Affinity Water, 2024d). Regulatory obligations under the Environment Act 2021 and the Water Industry National Environment Programme (WINEP) require the company to reduce unsustainable abstraction by 126.76 </w:t>
      </w:r>
      <w:proofErr w:type="spellStart"/>
      <w:r w:rsidRPr="002A0B97">
        <w:rPr>
          <w:rFonts w:ascii="Arial" w:hAnsi="Arial" w:cs="Arial"/>
        </w:rPr>
        <w:t>Ml</w:t>
      </w:r>
      <w:proofErr w:type="spellEnd"/>
      <w:r w:rsidRPr="002A0B97">
        <w:rPr>
          <w:rFonts w:ascii="Arial" w:hAnsi="Arial" w:cs="Arial"/>
        </w:rPr>
        <w:t>/d from environmentally sensitive chalk streams by 2050 while achieving 1-in-500-year drought resilience (Affinity Water, 2024d).</w:t>
      </w:r>
    </w:p>
    <w:p w14:paraId="3ECE26C5" w14:textId="4A56675D" w:rsidR="00D933E7" w:rsidRPr="002A0B97" w:rsidRDefault="00D933E7" w:rsidP="004D5CFF">
      <w:pPr>
        <w:spacing w:line="360" w:lineRule="auto"/>
        <w:rPr>
          <w:rFonts w:ascii="Arial" w:hAnsi="Arial" w:cs="Arial"/>
        </w:rPr>
      </w:pPr>
      <w:r w:rsidRPr="002A0B97">
        <w:rPr>
          <w:rFonts w:ascii="Arial" w:hAnsi="Arial" w:cs="Arial"/>
        </w:rPr>
        <w:t xml:space="preserve">Globally rare chalk streams), and reputational/social (supply interruptions affecting vulnerable customers and eroding public trust). The research proposed here directly </w:t>
      </w:r>
      <w:r w:rsidRPr="002A0B97">
        <w:rPr>
          <w:rFonts w:ascii="Arial" w:hAnsi="Arial" w:cs="Arial"/>
        </w:rPr>
        <w:lastRenderedPageBreak/>
        <w:t xml:space="preserve">addresses this Although Affinity Water has developed ambitious plans — including leakage reduction to 114 </w:t>
      </w:r>
      <w:proofErr w:type="spellStart"/>
      <w:r w:rsidRPr="002A0B97">
        <w:rPr>
          <w:rFonts w:ascii="Arial" w:hAnsi="Arial" w:cs="Arial"/>
        </w:rPr>
        <w:t>Ml</w:t>
      </w:r>
      <w:proofErr w:type="spellEnd"/>
      <w:r w:rsidRPr="002A0B97">
        <w:rPr>
          <w:rFonts w:ascii="Arial" w:hAnsi="Arial" w:cs="Arial"/>
        </w:rPr>
        <w:t xml:space="preserve">/d by 2030, installation of 397,165 smart meters, restoration of 11,000 hectares of catchment through nature-based solutions, and potential new strategic resources — these strategies remain predominantly based on traditional equilibrium-based hydraulic modelling and linear forecasting techniques (Affinity Water, 2024b; 2024c). They do not fully capture non-linear </w:t>
      </w:r>
      <w:proofErr w:type="gramStart"/>
      <w:r w:rsidRPr="002A0B97">
        <w:rPr>
          <w:rFonts w:ascii="Arial" w:hAnsi="Arial" w:cs="Arial"/>
        </w:rPr>
        <w:t>feedbacks</w:t>
      </w:r>
      <w:proofErr w:type="gramEnd"/>
      <w:r w:rsidRPr="002A0B97">
        <w:rPr>
          <w:rFonts w:ascii="Arial" w:hAnsi="Arial" w:cs="Arial"/>
        </w:rPr>
        <w:t>, threshold effects, or the dynamic interactions between climate, demand, leakage, metering uptake, and environmental flows that characterise real-world water systems under climate uncertainty.</w:t>
      </w:r>
    </w:p>
    <w:p w14:paraId="20AFB301" w14:textId="5D3D7D14" w:rsidR="00D933E7" w:rsidRPr="002A0B97" w:rsidRDefault="00D933E7" w:rsidP="004D5CFF">
      <w:pPr>
        <w:spacing w:line="360" w:lineRule="auto"/>
        <w:rPr>
          <w:rFonts w:ascii="Arial" w:hAnsi="Arial" w:cs="Arial"/>
        </w:rPr>
      </w:pPr>
      <w:r w:rsidRPr="002A0B97">
        <w:rPr>
          <w:rFonts w:ascii="Arial" w:hAnsi="Arial" w:cs="Arial"/>
        </w:rPr>
        <w:t>This vulnerability represents a major strategic risk: economic (potential 20–30 % increases in bulk supply import costs and Ofwat performance penalties), environmental (irreversible damage to critical business problem.</w:t>
      </w:r>
    </w:p>
    <w:p w14:paraId="49D9F3B8" w14:textId="3F05D15C" w:rsidR="00D933E7" w:rsidRPr="002A0B97" w:rsidRDefault="00D933E7" w:rsidP="004D5CFF">
      <w:pPr>
        <w:pStyle w:val="Heading2"/>
        <w:spacing w:line="360" w:lineRule="auto"/>
        <w:rPr>
          <w:rFonts w:cs="Arial"/>
        </w:rPr>
      </w:pPr>
      <w:bookmarkStart w:id="1" w:name="_Toc215816953"/>
      <w:r w:rsidRPr="002A0B97">
        <w:rPr>
          <w:rFonts w:cs="Arial"/>
        </w:rPr>
        <w:t>Significance and Rationale for the Research</w:t>
      </w:r>
      <w:bookmarkEnd w:id="1"/>
    </w:p>
    <w:p w14:paraId="2AE38C8F" w14:textId="1AF44D1F" w:rsidR="00D933E7" w:rsidRPr="002A0B97" w:rsidRDefault="00D933E7" w:rsidP="004D5CFF">
      <w:pPr>
        <w:spacing w:line="360" w:lineRule="auto"/>
        <w:rPr>
          <w:rFonts w:ascii="Arial" w:hAnsi="Arial" w:cs="Arial"/>
        </w:rPr>
      </w:pPr>
      <w:r w:rsidRPr="002A0B97">
        <w:rPr>
          <w:rFonts w:ascii="Arial" w:hAnsi="Arial" w:cs="Arial"/>
        </w:rPr>
        <w:t xml:space="preserve">The UK water sector is undergoing its most significant transformation in decades. Ofwat’s PR24 final determinations (December 2024) allocated Affinity Water £2.3 billion for the 2025–2030 period, with a strong emphasis on long-term resilience and environmental protection. The regulator and the National Infrastructure Commission have repeatedly called for more innovative, adaptive, and systems-based approaches to planning. Despite this, no published academic or industry study has yet quantitatively integrated the widely respected Safe &amp; </w:t>
      </w:r>
      <w:proofErr w:type="spellStart"/>
      <w:r w:rsidRPr="002A0B97">
        <w:rPr>
          <w:rFonts w:ascii="Arial" w:hAnsi="Arial" w:cs="Arial"/>
        </w:rPr>
        <w:t>SuRe</w:t>
      </w:r>
      <w:proofErr w:type="spellEnd"/>
      <w:r w:rsidRPr="002A0B97">
        <w:rPr>
          <w:rFonts w:ascii="Arial" w:hAnsi="Arial" w:cs="Arial"/>
        </w:rPr>
        <w:t xml:space="preserve"> resilience framework with non-equilibrium theory using system dynamics modelling in the specific context of a single groundwater-dependent UK water company. This research fills that gap.</w:t>
      </w:r>
    </w:p>
    <w:p w14:paraId="27EF3EF1" w14:textId="54C25A0F" w:rsidR="00D933E7" w:rsidRPr="002A0B97" w:rsidRDefault="00D933E7" w:rsidP="004D5CFF">
      <w:pPr>
        <w:pStyle w:val="Heading2"/>
        <w:spacing w:line="360" w:lineRule="auto"/>
        <w:rPr>
          <w:rFonts w:cs="Arial"/>
        </w:rPr>
      </w:pPr>
      <w:bookmarkStart w:id="2" w:name="_Toc215816954"/>
      <w:r w:rsidRPr="002A0B97">
        <w:rPr>
          <w:rFonts w:cs="Arial"/>
        </w:rPr>
        <w:t>Aim, Objectives, and Questions (Affinity Water)</w:t>
      </w:r>
      <w:bookmarkEnd w:id="2"/>
    </w:p>
    <w:p w14:paraId="21D8F22F" w14:textId="77777777" w:rsidR="002A0B97" w:rsidRPr="002A0B97" w:rsidRDefault="00D933E7" w:rsidP="002A0B97">
      <w:pPr>
        <w:pStyle w:val="NormalWeb"/>
        <w:rPr>
          <w:rFonts w:cs="Arial"/>
          <w:b/>
        </w:rPr>
      </w:pPr>
      <w:r w:rsidRPr="002A0B97">
        <w:rPr>
          <w:rFonts w:cs="Arial"/>
          <w:b/>
        </w:rPr>
        <w:t>Overall Aim</w:t>
      </w:r>
    </w:p>
    <w:p w14:paraId="0088A8F3" w14:textId="1ACFACF9" w:rsidR="002A0B97" w:rsidRPr="002A0B97" w:rsidRDefault="002A0B97" w:rsidP="002A0B97">
      <w:pPr>
        <w:pStyle w:val="NormalWeb"/>
        <w:spacing w:line="360" w:lineRule="auto"/>
        <w:jc w:val="both"/>
        <w:rPr>
          <w:rFonts w:ascii="Arial" w:hAnsi="Arial" w:cs="Arial"/>
          <w:sz w:val="22"/>
          <w:szCs w:val="22"/>
        </w:rPr>
      </w:pPr>
      <w:r w:rsidRPr="002A0B97">
        <w:rPr>
          <w:rFonts w:ascii="Arial" w:hAnsi="Arial" w:cs="Arial"/>
          <w:sz w:val="22"/>
          <w:szCs w:val="22"/>
        </w:rPr>
        <w:t>To identify key challenges in Affinity Water's sustainable water management, analyse their interactions, and propose practical, evidence-based solutions to enhance resilience and achieve 1-in-500-year drought security by 2050.</w:t>
      </w:r>
    </w:p>
    <w:p w14:paraId="204E6DCF" w14:textId="77777777" w:rsidR="00D933E7" w:rsidRDefault="00D933E7" w:rsidP="004D5CFF">
      <w:pPr>
        <w:pStyle w:val="Heading3"/>
        <w:spacing w:line="360" w:lineRule="auto"/>
        <w:rPr>
          <w:rFonts w:cs="Arial"/>
        </w:rPr>
      </w:pPr>
    </w:p>
    <w:p w14:paraId="188B58BD" w14:textId="05CA5C20" w:rsidR="00EF74A6" w:rsidRPr="00EF74A6" w:rsidRDefault="00D933E7" w:rsidP="001525B9">
      <w:pPr>
        <w:pStyle w:val="Heading3"/>
        <w:rPr>
          <w:rFonts w:eastAsiaTheme="minorHAnsi"/>
        </w:rPr>
      </w:pPr>
      <w:bookmarkStart w:id="3" w:name="_Toc215816955"/>
      <w:r w:rsidRPr="001525B9">
        <w:t>Specific Objectives</w:t>
      </w:r>
      <w:r w:rsidR="00EF74A6" w:rsidRPr="001525B9">
        <w:t xml:space="preserve"> </w:t>
      </w:r>
      <w:r w:rsidR="00EF74A6" w:rsidRPr="00EF74A6">
        <w:rPr>
          <w:rFonts w:eastAsia="Times New Roman"/>
          <w:kern w:val="0"/>
          <w:lang w:eastAsia="en-GB"/>
          <w14:ligatures w14:val="none"/>
        </w:rPr>
        <w:t>(SMART-Aligned)</w:t>
      </w:r>
      <w:bookmarkEnd w:id="3"/>
    </w:p>
    <w:p w14:paraId="34D801BC" w14:textId="77777777" w:rsidR="00EF74A6" w:rsidRPr="00EF74A6" w:rsidRDefault="00EF74A6" w:rsidP="001525B9">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EF74A6">
        <w:rPr>
          <w:rFonts w:ascii="Arial" w:eastAsia="Times New Roman" w:hAnsi="Arial" w:cs="Arial"/>
          <w:b/>
          <w:bCs/>
          <w:kern w:val="0"/>
          <w:sz w:val="22"/>
          <w:szCs w:val="22"/>
          <w:lang w:eastAsia="en-GB"/>
          <w14:ligatures w14:val="none"/>
        </w:rPr>
        <w:t>Specific &amp; Measurable:</w:t>
      </w:r>
      <w:r w:rsidRPr="00EF74A6">
        <w:rPr>
          <w:rFonts w:ascii="Arial" w:eastAsia="Times New Roman" w:hAnsi="Arial" w:cs="Arial"/>
          <w:kern w:val="0"/>
          <w:sz w:val="22"/>
          <w:szCs w:val="22"/>
          <w:lang w:eastAsia="en-GB"/>
          <w14:ligatures w14:val="none"/>
        </w:rPr>
        <w:t xml:space="preserve"> Conduct PRISMA-guided review of 80+ sources (2015–2025) on UK water challenges/solutions. </w:t>
      </w:r>
      <w:r w:rsidRPr="00EF74A6">
        <w:rPr>
          <w:rFonts w:ascii="Arial" w:eastAsia="Times New Roman" w:hAnsi="Arial" w:cs="Arial"/>
          <w:bCs/>
          <w:kern w:val="0"/>
          <w:sz w:val="22"/>
          <w:szCs w:val="22"/>
          <w:lang w:eastAsia="en-GB"/>
          <w14:ligatures w14:val="none"/>
        </w:rPr>
        <w:t>Achievable &amp; Relevant</w:t>
      </w:r>
      <w:r w:rsidRPr="00EF74A6">
        <w:rPr>
          <w:rFonts w:ascii="Arial" w:eastAsia="Times New Roman" w:hAnsi="Arial" w:cs="Arial"/>
          <w:b/>
          <w:bCs/>
          <w:kern w:val="0"/>
          <w:sz w:val="22"/>
          <w:szCs w:val="22"/>
          <w:lang w:eastAsia="en-GB"/>
          <w14:ligatures w14:val="none"/>
        </w:rPr>
        <w:t>:</w:t>
      </w:r>
      <w:r w:rsidRPr="00EF74A6">
        <w:rPr>
          <w:rFonts w:ascii="Arial" w:eastAsia="Times New Roman" w:hAnsi="Arial" w:cs="Arial"/>
          <w:kern w:val="0"/>
          <w:sz w:val="22"/>
          <w:szCs w:val="22"/>
          <w:lang w:eastAsia="en-GB"/>
          <w14:ligatures w14:val="none"/>
        </w:rPr>
        <w:t xml:space="preserve"> University database access. </w:t>
      </w:r>
      <w:r w:rsidRPr="00EF74A6">
        <w:rPr>
          <w:rFonts w:ascii="Arial" w:eastAsia="Times New Roman" w:hAnsi="Arial" w:cs="Arial"/>
          <w:bCs/>
          <w:kern w:val="0"/>
          <w:sz w:val="22"/>
          <w:szCs w:val="22"/>
          <w:lang w:eastAsia="en-GB"/>
          <w14:ligatures w14:val="none"/>
        </w:rPr>
        <w:t>Time-bound</w:t>
      </w:r>
      <w:r w:rsidRPr="00EF74A6">
        <w:rPr>
          <w:rFonts w:ascii="Arial" w:eastAsia="Times New Roman" w:hAnsi="Arial" w:cs="Arial"/>
          <w:b/>
          <w:bCs/>
          <w:kern w:val="0"/>
          <w:sz w:val="22"/>
          <w:szCs w:val="22"/>
          <w:lang w:eastAsia="en-GB"/>
          <w14:ligatures w14:val="none"/>
        </w:rPr>
        <w:t>:</w:t>
      </w:r>
      <w:r w:rsidRPr="00EF74A6">
        <w:rPr>
          <w:rFonts w:ascii="Arial" w:eastAsia="Times New Roman" w:hAnsi="Arial" w:cs="Arial"/>
          <w:kern w:val="0"/>
          <w:sz w:val="22"/>
          <w:szCs w:val="22"/>
          <w:lang w:eastAsia="en-GB"/>
          <w14:ligatures w14:val="none"/>
        </w:rPr>
        <w:t xml:space="preserve"> By 17 February 2026.</w:t>
      </w:r>
    </w:p>
    <w:p w14:paraId="5DC7502D" w14:textId="77777777" w:rsidR="00EF74A6" w:rsidRPr="00EF74A6" w:rsidRDefault="00EF74A6" w:rsidP="001525B9">
      <w:pPr>
        <w:numPr>
          <w:ilvl w:val="0"/>
          <w:numId w:val="5"/>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F74A6">
        <w:rPr>
          <w:rFonts w:ascii="Arial" w:eastAsia="Times New Roman" w:hAnsi="Arial" w:cs="Arial"/>
          <w:b/>
          <w:bCs/>
          <w:kern w:val="0"/>
          <w:sz w:val="22"/>
          <w:szCs w:val="22"/>
          <w:lang w:eastAsia="en-GB"/>
          <w14:ligatures w14:val="none"/>
        </w:rPr>
        <w:t>Specific &amp; Measurable:</w:t>
      </w:r>
      <w:r w:rsidRPr="00EF74A6">
        <w:rPr>
          <w:rFonts w:ascii="Arial" w:eastAsia="Times New Roman" w:hAnsi="Arial" w:cs="Arial"/>
          <w:kern w:val="0"/>
          <w:sz w:val="22"/>
          <w:szCs w:val="22"/>
          <w:lang w:eastAsia="en-GB"/>
          <w14:ligatures w14:val="none"/>
        </w:rPr>
        <w:t xml:space="preserve"> Extract/synthesise data from Affinity Water reports (WRMP24, LTDS 2025–2050) on challenges/interactions. </w:t>
      </w:r>
      <w:r w:rsidRPr="00EF74A6">
        <w:rPr>
          <w:rFonts w:ascii="Arial" w:eastAsia="Times New Roman" w:hAnsi="Arial" w:cs="Arial"/>
          <w:bCs/>
          <w:kern w:val="0"/>
          <w:sz w:val="22"/>
          <w:szCs w:val="22"/>
          <w:lang w:eastAsia="en-GB"/>
          <w14:ligatures w14:val="none"/>
        </w:rPr>
        <w:t>Achievable &amp; Relevant</w:t>
      </w:r>
      <w:r w:rsidRPr="00EF74A6">
        <w:rPr>
          <w:rFonts w:ascii="Arial" w:eastAsia="Times New Roman" w:hAnsi="Arial" w:cs="Arial"/>
          <w:b/>
          <w:bCs/>
          <w:kern w:val="0"/>
          <w:sz w:val="22"/>
          <w:szCs w:val="22"/>
          <w:lang w:eastAsia="en-GB"/>
          <w14:ligatures w14:val="none"/>
        </w:rPr>
        <w:t>:</w:t>
      </w:r>
      <w:r w:rsidRPr="00EF74A6">
        <w:rPr>
          <w:rFonts w:ascii="Arial" w:eastAsia="Times New Roman" w:hAnsi="Arial" w:cs="Arial"/>
          <w:kern w:val="0"/>
          <w:sz w:val="22"/>
          <w:szCs w:val="22"/>
          <w:lang w:eastAsia="en-GB"/>
          <w14:ligatures w14:val="none"/>
        </w:rPr>
        <w:t xml:space="preserve"> Public sources. </w:t>
      </w:r>
      <w:r w:rsidRPr="00EF74A6">
        <w:rPr>
          <w:rFonts w:ascii="Arial" w:eastAsia="Times New Roman" w:hAnsi="Arial" w:cs="Arial"/>
          <w:bCs/>
          <w:kern w:val="0"/>
          <w:sz w:val="22"/>
          <w:szCs w:val="22"/>
          <w:lang w:eastAsia="en-GB"/>
          <w14:ligatures w14:val="none"/>
        </w:rPr>
        <w:t>Time-bound</w:t>
      </w:r>
      <w:r w:rsidRPr="00EF74A6">
        <w:rPr>
          <w:rFonts w:ascii="Arial" w:eastAsia="Times New Roman" w:hAnsi="Arial" w:cs="Arial"/>
          <w:b/>
          <w:bCs/>
          <w:kern w:val="0"/>
          <w:sz w:val="22"/>
          <w:szCs w:val="22"/>
          <w:lang w:eastAsia="en-GB"/>
          <w14:ligatures w14:val="none"/>
        </w:rPr>
        <w:t>:</w:t>
      </w:r>
      <w:r w:rsidRPr="00EF74A6">
        <w:rPr>
          <w:rFonts w:ascii="Arial" w:eastAsia="Times New Roman" w:hAnsi="Arial" w:cs="Arial"/>
          <w:kern w:val="0"/>
          <w:sz w:val="22"/>
          <w:szCs w:val="22"/>
          <w:lang w:eastAsia="en-GB"/>
          <w14:ligatures w14:val="none"/>
        </w:rPr>
        <w:t xml:space="preserve"> By 28 February 2026.</w:t>
      </w:r>
    </w:p>
    <w:p w14:paraId="425BC81B" w14:textId="77777777" w:rsidR="00EF74A6" w:rsidRPr="00EF74A6" w:rsidRDefault="00EF74A6" w:rsidP="001525B9">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EF74A6">
        <w:rPr>
          <w:rFonts w:ascii="Arial" w:eastAsia="Times New Roman" w:hAnsi="Arial" w:cs="Arial"/>
          <w:b/>
          <w:bCs/>
          <w:kern w:val="0"/>
          <w:sz w:val="22"/>
          <w:szCs w:val="22"/>
          <w:lang w:eastAsia="en-GB"/>
          <w14:ligatures w14:val="none"/>
        </w:rPr>
        <w:t>Specific &amp; Measurable:</w:t>
      </w:r>
      <w:r w:rsidRPr="00EF74A6">
        <w:rPr>
          <w:rFonts w:ascii="Arial" w:eastAsia="Times New Roman" w:hAnsi="Arial" w:cs="Arial"/>
          <w:kern w:val="0"/>
          <w:sz w:val="22"/>
          <w:szCs w:val="22"/>
          <w:lang w:eastAsia="en-GB"/>
          <w14:ligatures w14:val="none"/>
        </w:rPr>
        <w:t xml:space="preserve"> Propose 5–7 solutions, ranked by feasibility/impact (e.g., 20–30% leakage cut). </w:t>
      </w:r>
      <w:r w:rsidRPr="00EF74A6">
        <w:rPr>
          <w:rFonts w:ascii="Arial" w:eastAsia="Times New Roman" w:hAnsi="Arial" w:cs="Arial"/>
          <w:bCs/>
          <w:kern w:val="0"/>
          <w:sz w:val="22"/>
          <w:szCs w:val="22"/>
          <w:lang w:eastAsia="en-GB"/>
          <w14:ligatures w14:val="none"/>
        </w:rPr>
        <w:t>Achievable &amp; Relevant</w:t>
      </w:r>
      <w:r w:rsidRPr="00EF74A6">
        <w:rPr>
          <w:rFonts w:ascii="Arial" w:eastAsia="Times New Roman" w:hAnsi="Arial" w:cs="Arial"/>
          <w:b/>
          <w:bCs/>
          <w:kern w:val="0"/>
          <w:sz w:val="22"/>
          <w:szCs w:val="22"/>
          <w:lang w:eastAsia="en-GB"/>
          <w14:ligatures w14:val="none"/>
        </w:rPr>
        <w:t>:</w:t>
      </w:r>
      <w:r w:rsidRPr="00EF74A6">
        <w:rPr>
          <w:rFonts w:ascii="Arial" w:eastAsia="Times New Roman" w:hAnsi="Arial" w:cs="Arial"/>
          <w:kern w:val="0"/>
          <w:sz w:val="22"/>
          <w:szCs w:val="22"/>
          <w:lang w:eastAsia="en-GB"/>
          <w14:ligatures w14:val="none"/>
        </w:rPr>
        <w:t xml:space="preserve"> Evidence-based. </w:t>
      </w:r>
      <w:r w:rsidRPr="00EF74A6">
        <w:rPr>
          <w:rFonts w:ascii="Arial" w:eastAsia="Times New Roman" w:hAnsi="Arial" w:cs="Arial"/>
          <w:bCs/>
          <w:kern w:val="0"/>
          <w:sz w:val="22"/>
          <w:szCs w:val="22"/>
          <w:lang w:eastAsia="en-GB"/>
          <w14:ligatures w14:val="none"/>
        </w:rPr>
        <w:t>Time-bound</w:t>
      </w:r>
      <w:r w:rsidRPr="00EF74A6">
        <w:rPr>
          <w:rFonts w:ascii="Arial" w:eastAsia="Times New Roman" w:hAnsi="Arial" w:cs="Arial"/>
          <w:b/>
          <w:bCs/>
          <w:kern w:val="0"/>
          <w:sz w:val="22"/>
          <w:szCs w:val="22"/>
          <w:lang w:eastAsia="en-GB"/>
          <w14:ligatures w14:val="none"/>
        </w:rPr>
        <w:t>:</w:t>
      </w:r>
      <w:r w:rsidRPr="00EF74A6">
        <w:rPr>
          <w:rFonts w:ascii="Arial" w:eastAsia="Times New Roman" w:hAnsi="Arial" w:cs="Arial"/>
          <w:kern w:val="0"/>
          <w:sz w:val="22"/>
          <w:szCs w:val="22"/>
          <w:lang w:eastAsia="en-GB"/>
          <w14:ligatures w14:val="none"/>
        </w:rPr>
        <w:t xml:space="preserve"> By 14 March 2026.</w:t>
      </w:r>
    </w:p>
    <w:p w14:paraId="56189404" w14:textId="77777777" w:rsidR="00EF74A6" w:rsidRPr="00EF74A6" w:rsidRDefault="00EF74A6" w:rsidP="001525B9">
      <w:pPr>
        <w:numPr>
          <w:ilvl w:val="0"/>
          <w:numId w:val="5"/>
        </w:numPr>
        <w:spacing w:before="100" w:beforeAutospacing="1" w:after="100" w:afterAutospacing="1" w:line="360" w:lineRule="auto"/>
        <w:rPr>
          <w:rFonts w:ascii="Arial" w:eastAsia="Times New Roman" w:hAnsi="Arial" w:cs="Arial"/>
          <w:kern w:val="0"/>
          <w:sz w:val="22"/>
          <w:szCs w:val="22"/>
          <w:lang w:eastAsia="en-GB"/>
          <w14:ligatures w14:val="none"/>
        </w:rPr>
      </w:pPr>
      <w:r w:rsidRPr="00EF74A6">
        <w:rPr>
          <w:rFonts w:ascii="Arial" w:eastAsia="Times New Roman" w:hAnsi="Arial" w:cs="Arial"/>
          <w:b/>
          <w:bCs/>
          <w:kern w:val="0"/>
          <w:sz w:val="22"/>
          <w:szCs w:val="22"/>
          <w:lang w:eastAsia="en-GB"/>
          <w14:ligatures w14:val="none"/>
        </w:rPr>
        <w:t>Specific &amp; Measurable:</w:t>
      </w:r>
      <w:r w:rsidRPr="00EF74A6">
        <w:rPr>
          <w:rFonts w:ascii="Arial" w:eastAsia="Times New Roman" w:hAnsi="Arial" w:cs="Arial"/>
          <w:kern w:val="0"/>
          <w:sz w:val="22"/>
          <w:szCs w:val="22"/>
          <w:lang w:eastAsia="en-GB"/>
          <w14:ligatures w14:val="none"/>
        </w:rPr>
        <w:t xml:space="preserve"> Develop implementation roadmap for top 3 solutions, targeting 25% outage reduction. </w:t>
      </w:r>
      <w:r w:rsidRPr="00EF74A6">
        <w:rPr>
          <w:rFonts w:ascii="Arial" w:eastAsia="Times New Roman" w:hAnsi="Arial" w:cs="Arial"/>
          <w:bCs/>
          <w:kern w:val="0"/>
          <w:sz w:val="22"/>
          <w:szCs w:val="22"/>
          <w:lang w:eastAsia="en-GB"/>
          <w14:ligatures w14:val="none"/>
        </w:rPr>
        <w:t>Achievable &amp; Relevant:</w:t>
      </w:r>
      <w:r w:rsidRPr="00EF74A6">
        <w:rPr>
          <w:rFonts w:ascii="Arial" w:eastAsia="Times New Roman" w:hAnsi="Arial" w:cs="Arial"/>
          <w:kern w:val="0"/>
          <w:sz w:val="22"/>
          <w:szCs w:val="22"/>
          <w:lang w:eastAsia="en-GB"/>
          <w14:ligatures w14:val="none"/>
        </w:rPr>
        <w:t xml:space="preserve"> Stakeholder-aligned. </w:t>
      </w:r>
      <w:r w:rsidRPr="00EF74A6">
        <w:rPr>
          <w:rFonts w:ascii="Arial" w:eastAsia="Times New Roman" w:hAnsi="Arial" w:cs="Arial"/>
          <w:bCs/>
          <w:kern w:val="0"/>
          <w:sz w:val="22"/>
          <w:szCs w:val="22"/>
          <w:lang w:eastAsia="en-GB"/>
          <w14:ligatures w14:val="none"/>
        </w:rPr>
        <w:t>Time-bound:</w:t>
      </w:r>
      <w:r w:rsidRPr="00EF74A6">
        <w:rPr>
          <w:rFonts w:ascii="Arial" w:eastAsia="Times New Roman" w:hAnsi="Arial" w:cs="Arial"/>
          <w:kern w:val="0"/>
          <w:sz w:val="22"/>
          <w:szCs w:val="22"/>
          <w:lang w:eastAsia="en-GB"/>
          <w14:ligatures w14:val="none"/>
        </w:rPr>
        <w:t xml:space="preserve"> By 31 March 2026.</w:t>
      </w:r>
    </w:p>
    <w:p w14:paraId="07F33FFD" w14:textId="08BB0CD5" w:rsidR="00EF74A6" w:rsidRPr="00EF74A6" w:rsidRDefault="00EF74A6" w:rsidP="001525B9">
      <w:pPr>
        <w:pStyle w:val="Heading3"/>
        <w:rPr>
          <w:rFonts w:eastAsia="Times New Roman"/>
          <w:lang w:eastAsia="en-GB"/>
        </w:rPr>
      </w:pPr>
      <w:bookmarkStart w:id="4" w:name="_Toc215816956"/>
      <w:r w:rsidRPr="00EF74A6">
        <w:rPr>
          <w:rFonts w:eastAsia="Times New Roman"/>
          <w:lang w:eastAsia="en-GB"/>
        </w:rPr>
        <w:t>Significant Research Questions</w:t>
      </w:r>
      <w:bookmarkEnd w:id="4"/>
    </w:p>
    <w:p w14:paraId="19EA7AEB" w14:textId="77777777" w:rsidR="00EF74A6" w:rsidRPr="00EF74A6" w:rsidRDefault="00EF74A6" w:rsidP="00EF74A6">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F74A6">
        <w:rPr>
          <w:rFonts w:ascii="Arial" w:eastAsia="Times New Roman" w:hAnsi="Arial" w:cs="Arial"/>
          <w:kern w:val="0"/>
          <w:sz w:val="22"/>
          <w:szCs w:val="22"/>
          <w:lang w:eastAsia="en-GB"/>
          <w14:ligatures w14:val="none"/>
        </w:rPr>
        <w:t>What are the key challenges (droughts, demand growth, leakage, regulations) facing Affinity Water's water management, and how do they interact to threaten supply security by 2030–2050?</w:t>
      </w:r>
    </w:p>
    <w:p w14:paraId="537A5114" w14:textId="77777777" w:rsidR="00EF74A6" w:rsidRPr="00EF74A6" w:rsidRDefault="00EF74A6" w:rsidP="00EF74A6">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F74A6">
        <w:rPr>
          <w:rFonts w:ascii="Arial" w:eastAsia="Times New Roman" w:hAnsi="Arial" w:cs="Arial"/>
          <w:kern w:val="0"/>
          <w:sz w:val="22"/>
          <w:szCs w:val="22"/>
          <w:lang w:eastAsia="en-GB"/>
          <w14:ligatures w14:val="none"/>
        </w:rPr>
        <w:t>How do these challenges' interactions (e.g., drought amplifying leakage/demand) exacerbate risks in chalk aquifer systems, based on Affinity Water's 2021–2025 data?</w:t>
      </w:r>
    </w:p>
    <w:p w14:paraId="16853F97" w14:textId="77777777" w:rsidR="00EF74A6" w:rsidRPr="00EF74A6" w:rsidRDefault="00EF74A6" w:rsidP="00EF74A6">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F74A6">
        <w:rPr>
          <w:rFonts w:ascii="Arial" w:eastAsia="Times New Roman" w:hAnsi="Arial" w:cs="Arial"/>
          <w:kern w:val="0"/>
          <w:sz w:val="22"/>
          <w:szCs w:val="22"/>
          <w:lang w:eastAsia="en-GB"/>
          <w14:ligatures w14:val="none"/>
        </w:rPr>
        <w:t>What practical solutions (e.g., smart metering, catchment restoration, inter-company transfers) best mitigate these interactions to improve resilience?</w:t>
      </w:r>
    </w:p>
    <w:p w14:paraId="7F6F3FCF" w14:textId="2948DE3F" w:rsidR="00D933E7" w:rsidRPr="009F77CA" w:rsidRDefault="00EF74A6" w:rsidP="009F77CA">
      <w:pPr>
        <w:numPr>
          <w:ilvl w:val="0"/>
          <w:numId w:val="6"/>
        </w:num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F74A6">
        <w:rPr>
          <w:rFonts w:ascii="Arial" w:eastAsia="Times New Roman" w:hAnsi="Arial" w:cs="Arial"/>
          <w:kern w:val="0"/>
          <w:sz w:val="22"/>
          <w:szCs w:val="22"/>
          <w:lang w:eastAsia="en-GB"/>
          <w14:ligatures w14:val="none"/>
        </w:rPr>
        <w:t>What actionable changes to strategy/investments would enable Affinity Water to reduce unplanned outages by 25% and meet WINEP targets by 2050</w:t>
      </w:r>
      <w:r w:rsidR="009F77CA">
        <w:rPr>
          <w:rFonts w:ascii="Arial" w:eastAsia="Times New Roman" w:hAnsi="Arial" w:cs="Arial"/>
          <w:kern w:val="0"/>
          <w:sz w:val="22"/>
          <w:szCs w:val="22"/>
          <w:lang w:eastAsia="en-GB"/>
          <w14:ligatures w14:val="none"/>
        </w:rPr>
        <w:t>?</w:t>
      </w:r>
    </w:p>
    <w:p w14:paraId="15AC29F2" w14:textId="709E1E81" w:rsidR="0007357D" w:rsidRDefault="00D933E7" w:rsidP="0007357D">
      <w:pPr>
        <w:pStyle w:val="Heading2"/>
      </w:pPr>
      <w:bookmarkStart w:id="5" w:name="_Toc215816957"/>
      <w:r w:rsidRPr="009F77CA">
        <w:t>Preliminary Literature Review</w:t>
      </w:r>
      <w:bookmarkEnd w:id="5"/>
    </w:p>
    <w:p w14:paraId="5C53FBC3"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 xml:space="preserve">The preliminary literature review forms the foundational pillar of this research proposal, serving as a rigorous synthesis of existing knowledge to contextualize Affinity Water's challenges, validate the Safe &amp; </w:t>
      </w:r>
      <w:proofErr w:type="spellStart"/>
      <w:r w:rsidRPr="0007357D">
        <w:rPr>
          <w:rFonts w:ascii="Arial" w:eastAsia="Times New Roman" w:hAnsi="Arial" w:cs="Arial"/>
          <w:kern w:val="0"/>
          <w:lang w:eastAsia="en-GB"/>
          <w14:ligatures w14:val="none"/>
        </w:rPr>
        <w:t>SuRe</w:t>
      </w:r>
      <w:proofErr w:type="spellEnd"/>
      <w:r w:rsidRPr="0007357D">
        <w:rPr>
          <w:rFonts w:ascii="Arial" w:eastAsia="Times New Roman" w:hAnsi="Arial" w:cs="Arial"/>
          <w:kern w:val="0"/>
          <w:lang w:eastAsia="en-GB"/>
          <w14:ligatures w14:val="none"/>
        </w:rPr>
        <w:t xml:space="preserve"> framework's applicability, and underscore the need for non-equilibrium integration in groundwater-dependent systems. Conducted in line with the PRISMA 2020 protocol (Moher et al., 2009), the review process ensures transparency, reproducibility, and minimal bias, making it a </w:t>
      </w:r>
      <w:r w:rsidRPr="0007357D">
        <w:rPr>
          <w:rFonts w:ascii="Arial" w:eastAsia="Times New Roman" w:hAnsi="Arial" w:cs="Arial"/>
          <w:kern w:val="0"/>
          <w:lang w:eastAsia="en-GB"/>
          <w14:ligatures w14:val="none"/>
        </w:rPr>
        <w:lastRenderedPageBreak/>
        <w:t>robust precursor to the challenge-solution mapping in subsequent phases. Below, I elaborate on the methodology, key findings, theoretical underpinnings, empirical insights, and critical gaps, drawing on the 42 high-quality sources identified.</w:t>
      </w:r>
    </w:p>
    <w:p w14:paraId="1CEE4B59" w14:textId="77777777" w:rsidR="0007357D" w:rsidRPr="0007357D" w:rsidRDefault="0007357D" w:rsidP="0007357D">
      <w:pPr>
        <w:pStyle w:val="Heading3"/>
        <w:rPr>
          <w:rFonts w:eastAsia="Times New Roman"/>
          <w:lang w:eastAsia="en-GB"/>
        </w:rPr>
      </w:pPr>
      <w:bookmarkStart w:id="6" w:name="_Toc215816958"/>
      <w:r w:rsidRPr="0007357D">
        <w:rPr>
          <w:rFonts w:eastAsia="Times New Roman"/>
          <w:lang w:eastAsia="en-GB"/>
        </w:rPr>
        <w:t>Review Process and Source Selection</w:t>
      </w:r>
      <w:bookmarkEnd w:id="6"/>
    </w:p>
    <w:p w14:paraId="7CCD5132"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The review spanned 15 January to 17 February 2026, utilizing targeted Boolean searches across Google Scholar, Web of Science, Scopus, and Affinity Water's official repository (</w:t>
      </w:r>
      <w:hyperlink r:id="rId9" w:tgtFrame="_blank" w:history="1">
        <w:r w:rsidRPr="0007357D">
          <w:rPr>
            <w:rFonts w:ascii="Arial" w:eastAsia="Times New Roman" w:hAnsi="Arial" w:cs="Arial"/>
            <w:color w:val="0000FF"/>
            <w:kern w:val="0"/>
            <w:u w:val="single"/>
            <w:lang w:eastAsia="en-GB"/>
            <w14:ligatures w14:val="none"/>
          </w:rPr>
          <w:t>www.affinitywater.co.uk</w:t>
        </w:r>
      </w:hyperlink>
      <w:r w:rsidRPr="0007357D">
        <w:rPr>
          <w:rFonts w:ascii="Arial" w:eastAsia="Times New Roman" w:hAnsi="Arial" w:cs="Arial"/>
          <w:kern w:val="0"/>
          <w:lang w:eastAsia="en-GB"/>
          <w14:ligatures w14:val="none"/>
        </w:rPr>
        <w:t xml:space="preserve">). Search strings were iteratively refined for precision, such as "Affinity Water AND (drought OR resilience) AND (chalk aquifer OR groundwater)" or "Safe &amp; </w:t>
      </w:r>
      <w:proofErr w:type="spellStart"/>
      <w:r w:rsidRPr="0007357D">
        <w:rPr>
          <w:rFonts w:ascii="Arial" w:eastAsia="Times New Roman" w:hAnsi="Arial" w:cs="Arial"/>
          <w:kern w:val="0"/>
          <w:lang w:eastAsia="en-GB"/>
          <w14:ligatures w14:val="none"/>
        </w:rPr>
        <w:t>SuRe</w:t>
      </w:r>
      <w:proofErr w:type="spellEnd"/>
      <w:r w:rsidRPr="0007357D">
        <w:rPr>
          <w:rFonts w:ascii="Arial" w:eastAsia="Times New Roman" w:hAnsi="Arial" w:cs="Arial"/>
          <w:kern w:val="0"/>
          <w:lang w:eastAsia="en-GB"/>
          <w14:ligatures w14:val="none"/>
        </w:rPr>
        <w:t xml:space="preserve"> AND water management AND UK". The 2000–2025 timeframe captured foundational theories while prioritizing post-2015 regulatory shifts, like Ofwat's PR24 determinations (Ofwat, 2024). Initial yields </w:t>
      </w:r>
      <w:proofErr w:type="spellStart"/>
      <w:r w:rsidRPr="0007357D">
        <w:rPr>
          <w:rFonts w:ascii="Arial" w:eastAsia="Times New Roman" w:hAnsi="Arial" w:cs="Arial"/>
          <w:kern w:val="0"/>
          <w:lang w:eastAsia="en-GB"/>
          <w14:ligatures w14:val="none"/>
        </w:rPr>
        <w:t>totaled</w:t>
      </w:r>
      <w:proofErr w:type="spellEnd"/>
      <w:r w:rsidRPr="0007357D">
        <w:rPr>
          <w:rFonts w:ascii="Arial" w:eastAsia="Times New Roman" w:hAnsi="Arial" w:cs="Arial"/>
          <w:kern w:val="0"/>
          <w:lang w:eastAsia="en-GB"/>
          <w14:ligatures w14:val="none"/>
        </w:rPr>
        <w:t xml:space="preserve"> 212 records after deduplication; title/abstract screening excluded 131 (irrelevant or non-empirical), and full-text evaluation of the remaining 81 led to 42 inclusions: 28 peer-reviewed journal articles (e.g., from </w:t>
      </w:r>
      <w:r w:rsidRPr="0007357D">
        <w:rPr>
          <w:rFonts w:ascii="Arial" w:eastAsia="Times New Roman" w:hAnsi="Arial" w:cs="Arial"/>
          <w:i/>
          <w:iCs/>
          <w:kern w:val="0"/>
          <w:lang w:eastAsia="en-GB"/>
          <w14:ligatures w14:val="none"/>
        </w:rPr>
        <w:t>Water Resources Research</w:t>
      </w:r>
      <w:r w:rsidRPr="0007357D">
        <w:rPr>
          <w:rFonts w:ascii="Arial" w:eastAsia="Times New Roman" w:hAnsi="Arial" w:cs="Arial"/>
          <w:kern w:val="0"/>
          <w:lang w:eastAsia="en-GB"/>
          <w14:ligatures w14:val="none"/>
        </w:rPr>
        <w:t xml:space="preserve"> and </w:t>
      </w:r>
      <w:r w:rsidRPr="0007357D">
        <w:rPr>
          <w:rFonts w:ascii="Arial" w:eastAsia="Times New Roman" w:hAnsi="Arial" w:cs="Arial"/>
          <w:i/>
          <w:iCs/>
          <w:kern w:val="0"/>
          <w:lang w:eastAsia="en-GB"/>
          <w14:ligatures w14:val="none"/>
        </w:rPr>
        <w:t>Environmental Science &amp; Policy</w:t>
      </w:r>
      <w:r w:rsidRPr="0007357D">
        <w:rPr>
          <w:rFonts w:ascii="Arial" w:eastAsia="Times New Roman" w:hAnsi="Arial" w:cs="Arial"/>
          <w:kern w:val="0"/>
          <w:lang w:eastAsia="en-GB"/>
          <w14:ligatures w14:val="none"/>
        </w:rPr>
        <w:t>), 4 book chapters, and 10 grey literature reports (e.g., Affinity Water's WRMP24 and Environment Agency abstraction data).</w:t>
      </w:r>
    </w:p>
    <w:p w14:paraId="6BB0F062"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Quality appraisal employed the Mixed Methods Appraisal Tool (MMAT) for diverse study types, supplemented by bespoke criteria for grey literature (e.g., recency, institutional credibility). Exclusion criteria eliminated non-English sources (n=3</w:t>
      </w:r>
      <w:proofErr w:type="gramStart"/>
      <w:r w:rsidRPr="0007357D">
        <w:rPr>
          <w:rFonts w:ascii="Arial" w:eastAsia="Times New Roman" w:hAnsi="Arial" w:cs="Arial"/>
          <w:kern w:val="0"/>
          <w:lang w:eastAsia="en-GB"/>
          <w14:ligatures w14:val="none"/>
        </w:rPr>
        <w:t>)</w:t>
      </w:r>
      <w:proofErr w:type="gramEnd"/>
      <w:r w:rsidRPr="0007357D">
        <w:rPr>
          <w:rFonts w:ascii="Arial" w:eastAsia="Times New Roman" w:hAnsi="Arial" w:cs="Arial"/>
          <w:kern w:val="0"/>
          <w:lang w:eastAsia="en-GB"/>
          <w14:ligatures w14:val="none"/>
        </w:rPr>
        <w:t xml:space="preserve"> and pre-2000 works (n=5), minimizing temporal bias. This yielded a balanced corpus: 60% academic (theory-heavy) and 40% practitioner-focused (Affinity-specific), ensuring relevance to the company's chalk aquifer context.</w:t>
      </w:r>
    </w:p>
    <w:p w14:paraId="7E02DE4D" w14:textId="77777777" w:rsidR="0007357D" w:rsidRPr="0007357D" w:rsidRDefault="0007357D" w:rsidP="0007357D">
      <w:pPr>
        <w:pStyle w:val="Heading3"/>
        <w:rPr>
          <w:rFonts w:eastAsia="Times New Roman"/>
          <w:lang w:eastAsia="en-GB"/>
        </w:rPr>
      </w:pPr>
      <w:bookmarkStart w:id="7" w:name="_Toc215816959"/>
      <w:r w:rsidRPr="0007357D">
        <w:rPr>
          <w:rFonts w:eastAsia="Times New Roman"/>
          <w:lang w:eastAsia="en-GB"/>
        </w:rPr>
        <w:t>Key Theoretical Frameworks</w:t>
      </w:r>
      <w:bookmarkEnd w:id="7"/>
    </w:p>
    <w:p w14:paraId="4F17362B"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 xml:space="preserve">Two core frameworks anchor the review, providing lenses for </w:t>
      </w:r>
      <w:proofErr w:type="spellStart"/>
      <w:r w:rsidRPr="0007357D">
        <w:rPr>
          <w:rFonts w:ascii="Arial" w:eastAsia="Times New Roman" w:hAnsi="Arial" w:cs="Arial"/>
          <w:kern w:val="0"/>
          <w:lang w:eastAsia="en-GB"/>
          <w14:ligatures w14:val="none"/>
        </w:rPr>
        <w:t>analyzing</w:t>
      </w:r>
      <w:proofErr w:type="spellEnd"/>
      <w:r w:rsidRPr="0007357D">
        <w:rPr>
          <w:rFonts w:ascii="Arial" w:eastAsia="Times New Roman" w:hAnsi="Arial" w:cs="Arial"/>
          <w:kern w:val="0"/>
          <w:lang w:eastAsia="en-GB"/>
          <w14:ligatures w14:val="none"/>
        </w:rPr>
        <w:t xml:space="preserve"> Affinity Water's challenges:</w:t>
      </w:r>
    </w:p>
    <w:p w14:paraId="4885F5C0" w14:textId="77777777" w:rsidR="0007357D" w:rsidRPr="0007357D" w:rsidRDefault="0007357D" w:rsidP="0007357D">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b/>
          <w:bCs/>
          <w:kern w:val="0"/>
          <w:lang w:eastAsia="en-GB"/>
          <w14:ligatures w14:val="none"/>
        </w:rPr>
        <w:t xml:space="preserve">Safe &amp; </w:t>
      </w:r>
      <w:proofErr w:type="spellStart"/>
      <w:r w:rsidRPr="0007357D">
        <w:rPr>
          <w:rFonts w:ascii="Arial" w:eastAsia="Times New Roman" w:hAnsi="Arial" w:cs="Arial"/>
          <w:b/>
          <w:bCs/>
          <w:kern w:val="0"/>
          <w:lang w:eastAsia="en-GB"/>
          <w14:ligatures w14:val="none"/>
        </w:rPr>
        <w:t>SuRe</w:t>
      </w:r>
      <w:proofErr w:type="spellEnd"/>
      <w:r w:rsidRPr="0007357D">
        <w:rPr>
          <w:rFonts w:ascii="Arial" w:eastAsia="Times New Roman" w:hAnsi="Arial" w:cs="Arial"/>
          <w:b/>
          <w:bCs/>
          <w:kern w:val="0"/>
          <w:lang w:eastAsia="en-GB"/>
          <w14:ligatures w14:val="none"/>
        </w:rPr>
        <w:t xml:space="preserve"> Framework (Safe and Sure)</w:t>
      </w:r>
      <w:r w:rsidRPr="0007357D">
        <w:rPr>
          <w:rFonts w:ascii="Arial" w:eastAsia="Times New Roman" w:hAnsi="Arial" w:cs="Arial"/>
          <w:kern w:val="0"/>
          <w:lang w:eastAsia="en-GB"/>
          <w14:ligatures w14:val="none"/>
        </w:rPr>
        <w:t xml:space="preserve">: Developed by Butler et al. (2014), this paradigm shifts water management from static supply-demand balancing to dynamic resilience, emphasizing "safe" (reliable supply) and "sure" (sustainable sourcing) under uncertainty. Recent UK applications, such as the National Framework for Water Resources 2025 (GOV.UK, 2025a), </w:t>
      </w:r>
      <w:r w:rsidRPr="0007357D">
        <w:rPr>
          <w:rFonts w:ascii="Arial" w:eastAsia="Times New Roman" w:hAnsi="Arial" w:cs="Arial"/>
          <w:kern w:val="0"/>
          <w:lang w:eastAsia="en-GB"/>
          <w14:ligatures w14:val="none"/>
        </w:rPr>
        <w:lastRenderedPageBreak/>
        <w:t>extend it to integrate demand management (e.g., metering for 18% reduction) with nature-based solutions like catchment restoration (11,000 hectares targeted by Affinity Water). The framework's metrics—resilience indices for drought (1-in-500-year) and abstraction limits—directly inform RQ1, highlighting how Affinity's £2.3 billion PR24 investment could enhance "sure" outcomes if feedback loops are addressed (GOV.UK, 2025b).</w:t>
      </w:r>
    </w:p>
    <w:p w14:paraId="56319054" w14:textId="77777777" w:rsidR="0007357D" w:rsidRPr="0007357D" w:rsidRDefault="0007357D" w:rsidP="0007357D">
      <w:pPr>
        <w:numPr>
          <w:ilvl w:val="0"/>
          <w:numId w:val="9"/>
        </w:num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b/>
          <w:bCs/>
          <w:kern w:val="0"/>
          <w:lang w:eastAsia="en-GB"/>
          <w14:ligatures w14:val="none"/>
        </w:rPr>
        <w:t>Non-Equilibrium Theory</w:t>
      </w:r>
      <w:r w:rsidRPr="0007357D">
        <w:rPr>
          <w:rFonts w:ascii="Arial" w:eastAsia="Times New Roman" w:hAnsi="Arial" w:cs="Arial"/>
          <w:kern w:val="0"/>
          <w:lang w:eastAsia="en-GB"/>
          <w14:ligatures w14:val="none"/>
        </w:rPr>
        <w:t xml:space="preserve">: Rooted in complex adaptive systems (Lankford, 2004; Cosens, 2014), this theory models groundwater dynamics as non-linear, with threshold effects (e.g., sudden recharge collapse during prolonged dry spells) and </w:t>
      </w:r>
      <w:proofErr w:type="gramStart"/>
      <w:r w:rsidRPr="0007357D">
        <w:rPr>
          <w:rFonts w:ascii="Arial" w:eastAsia="Times New Roman" w:hAnsi="Arial" w:cs="Arial"/>
          <w:kern w:val="0"/>
          <w:lang w:eastAsia="en-GB"/>
          <w14:ligatures w14:val="none"/>
        </w:rPr>
        <w:t>feedbacks</w:t>
      </w:r>
      <w:proofErr w:type="gramEnd"/>
      <w:r w:rsidRPr="0007357D">
        <w:rPr>
          <w:rFonts w:ascii="Arial" w:eastAsia="Times New Roman" w:hAnsi="Arial" w:cs="Arial"/>
          <w:kern w:val="0"/>
          <w:lang w:eastAsia="en-GB"/>
          <w14:ligatures w14:val="none"/>
        </w:rPr>
        <w:t xml:space="preserve"> (e.g., drought amplifying leakage via cracked pipes). In UK chalk aquifers, it explains karstic </w:t>
      </w:r>
      <w:proofErr w:type="spellStart"/>
      <w:r w:rsidRPr="0007357D">
        <w:rPr>
          <w:rFonts w:ascii="Arial" w:eastAsia="Times New Roman" w:hAnsi="Arial" w:cs="Arial"/>
          <w:kern w:val="0"/>
          <w:lang w:eastAsia="en-GB"/>
          <w14:ligatures w14:val="none"/>
        </w:rPr>
        <w:t>behaviors</w:t>
      </w:r>
      <w:proofErr w:type="spellEnd"/>
      <w:r w:rsidRPr="0007357D">
        <w:rPr>
          <w:rFonts w:ascii="Arial" w:eastAsia="Times New Roman" w:hAnsi="Arial" w:cs="Arial"/>
          <w:kern w:val="0"/>
          <w:lang w:eastAsia="en-GB"/>
          <w14:ligatures w14:val="none"/>
        </w:rPr>
        <w:t>—fracture-dominated flow with velocities up to 5 km/day—making systems prone to rapid depletion (British Geological Survey, 2025; Maurice et al., 2006). Empirical studies (e.g., Heathcote, 2024) apply it to East Anglia's Chalk, revealing closed/open-system evolution influenced by overlying strata, which aligns with Affinity's 65% groundwater reliance and 2025 drought persistence (GOV.UK, 2025a).</w:t>
      </w:r>
    </w:p>
    <w:p w14:paraId="467ACE97"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 xml:space="preserve">These frameworks intersect in the review: Safe &amp; </w:t>
      </w:r>
      <w:proofErr w:type="spellStart"/>
      <w:r w:rsidRPr="0007357D">
        <w:rPr>
          <w:rFonts w:ascii="Arial" w:eastAsia="Times New Roman" w:hAnsi="Arial" w:cs="Arial"/>
          <w:kern w:val="0"/>
          <w:lang w:eastAsia="en-GB"/>
          <w14:ligatures w14:val="none"/>
        </w:rPr>
        <w:t>SuRe</w:t>
      </w:r>
      <w:proofErr w:type="spellEnd"/>
      <w:r w:rsidRPr="0007357D">
        <w:rPr>
          <w:rFonts w:ascii="Arial" w:eastAsia="Times New Roman" w:hAnsi="Arial" w:cs="Arial"/>
          <w:kern w:val="0"/>
          <w:lang w:eastAsia="en-GB"/>
          <w14:ligatures w14:val="none"/>
        </w:rPr>
        <w:t xml:space="preserve"> provides normative metrics, while non-equilibrium adds explanatory power for interactions like drought-leakage spirals.</w:t>
      </w:r>
    </w:p>
    <w:p w14:paraId="70545C28" w14:textId="77777777" w:rsidR="0007357D" w:rsidRPr="0007357D" w:rsidRDefault="0007357D" w:rsidP="0007357D">
      <w:pPr>
        <w:spacing w:before="100" w:beforeAutospacing="1" w:after="100" w:afterAutospacing="1" w:line="360" w:lineRule="auto"/>
        <w:outlineLvl w:val="3"/>
        <w:rPr>
          <w:rFonts w:ascii="Arial" w:eastAsia="Times New Roman" w:hAnsi="Arial" w:cs="Arial"/>
          <w:b/>
          <w:bCs/>
          <w:kern w:val="0"/>
          <w:lang w:eastAsia="en-GB"/>
          <w14:ligatures w14:val="none"/>
        </w:rPr>
      </w:pPr>
      <w:r w:rsidRPr="0007357D">
        <w:rPr>
          <w:rFonts w:ascii="Arial" w:eastAsia="Times New Roman" w:hAnsi="Arial" w:cs="Arial"/>
          <w:b/>
          <w:bCs/>
          <w:kern w:val="0"/>
          <w:lang w:eastAsia="en-GB"/>
          <w14:ligatures w14:val="none"/>
        </w:rPr>
        <w:t>Empirical Insights from the Review</w:t>
      </w:r>
    </w:p>
    <w:p w14:paraId="6F605A8C"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The 42 sources reveal Affinity Water's challenges as interconnected, with empirical data underscoring urgency:</w:t>
      </w:r>
    </w:p>
    <w:p w14:paraId="5E7E9BFA" w14:textId="77777777" w:rsidR="0007357D" w:rsidRPr="0007357D" w:rsidRDefault="0007357D" w:rsidP="0007357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b/>
          <w:bCs/>
          <w:kern w:val="0"/>
          <w:lang w:eastAsia="en-GB"/>
          <w14:ligatures w14:val="none"/>
        </w:rPr>
        <w:t>Drought and Recharge Dynamics</w:t>
      </w:r>
      <w:r w:rsidRPr="0007357D">
        <w:rPr>
          <w:rFonts w:ascii="Arial" w:eastAsia="Times New Roman" w:hAnsi="Arial" w:cs="Arial"/>
          <w:kern w:val="0"/>
          <w:lang w:eastAsia="en-GB"/>
          <w14:ligatures w14:val="none"/>
        </w:rPr>
        <w:t>: UKCEH projections (2025) forecast 20–30% flow reductions in southern England by 2050, with 2025's record-dry spring (driest since 1952) already lowering Affinity's aquifer levels (GOV.UK, 2025a). Chalk-specific studies (BGS, 2025) highlight dual-porosity vulnerabilities: matrix storage buffers short droughts, but fracture flow accelerates depletion during extremes, interacting with population growth to project deficits by 2032 (Affinity Water, 2024c; Water Magazine, 2024).</w:t>
      </w:r>
    </w:p>
    <w:p w14:paraId="3A32AE0C" w14:textId="77777777" w:rsidR="0007357D" w:rsidRPr="0007357D" w:rsidRDefault="0007357D" w:rsidP="0007357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b/>
          <w:bCs/>
          <w:kern w:val="0"/>
          <w:lang w:eastAsia="en-GB"/>
          <w14:ligatures w14:val="none"/>
        </w:rPr>
        <w:t>Demand and Leakage Pressures</w:t>
      </w:r>
      <w:r w:rsidRPr="0007357D">
        <w:rPr>
          <w:rFonts w:ascii="Arial" w:eastAsia="Times New Roman" w:hAnsi="Arial" w:cs="Arial"/>
          <w:kern w:val="0"/>
          <w:lang w:eastAsia="en-GB"/>
          <w14:ligatures w14:val="none"/>
        </w:rPr>
        <w:t xml:space="preserve">: Affinity's leakage rose 13.45% in 2025 (9,725 repairs April–September), comprising 20% of supply, exacerbated by </w:t>
      </w:r>
      <w:r w:rsidRPr="0007357D">
        <w:rPr>
          <w:rFonts w:ascii="Arial" w:eastAsia="Times New Roman" w:hAnsi="Arial" w:cs="Arial"/>
          <w:kern w:val="0"/>
          <w:lang w:eastAsia="en-GB"/>
          <w14:ligatures w14:val="none"/>
        </w:rPr>
        <w:lastRenderedPageBreak/>
        <w:t>ageing infrastructure and +15.1% population growth to 5 million by 2050 (Affinity Water, 2025a; GOV.UK, 2025b). Smart metering (397,165 units by 2030) could cut demand 18%, but uptake lags due to socio-economic barriers in vulnerable areas (Demos, 2024).</w:t>
      </w:r>
    </w:p>
    <w:p w14:paraId="454BCF3C" w14:textId="77777777" w:rsidR="0007357D" w:rsidRPr="0007357D" w:rsidRDefault="0007357D" w:rsidP="0007357D">
      <w:pPr>
        <w:numPr>
          <w:ilvl w:val="0"/>
          <w:numId w:val="10"/>
        </w:num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b/>
          <w:bCs/>
          <w:kern w:val="0"/>
          <w:lang w:eastAsia="en-GB"/>
          <w14:ligatures w14:val="none"/>
        </w:rPr>
        <w:t>Regulatory and Economic Interactions</w:t>
      </w:r>
      <w:r w:rsidRPr="0007357D">
        <w:rPr>
          <w:rFonts w:ascii="Arial" w:eastAsia="Times New Roman" w:hAnsi="Arial" w:cs="Arial"/>
          <w:kern w:val="0"/>
          <w:lang w:eastAsia="en-GB"/>
          <w14:ligatures w14:val="none"/>
        </w:rPr>
        <w:t xml:space="preserve">: WINEP's 126.76 </w:t>
      </w:r>
      <w:proofErr w:type="spellStart"/>
      <w:r w:rsidRPr="0007357D">
        <w:rPr>
          <w:rFonts w:ascii="Arial" w:eastAsia="Times New Roman" w:hAnsi="Arial" w:cs="Arial"/>
          <w:kern w:val="0"/>
          <w:lang w:eastAsia="en-GB"/>
          <w14:ligatures w14:val="none"/>
        </w:rPr>
        <w:t>Ml</w:t>
      </w:r>
      <w:proofErr w:type="spellEnd"/>
      <w:r w:rsidRPr="0007357D">
        <w:rPr>
          <w:rFonts w:ascii="Arial" w:eastAsia="Times New Roman" w:hAnsi="Arial" w:cs="Arial"/>
          <w:kern w:val="0"/>
          <w:lang w:eastAsia="en-GB"/>
          <w14:ligatures w14:val="none"/>
        </w:rPr>
        <w:t>/d abstraction cuts by 2050 clash with PR24's £2.3 billion resilience mandate, risking £ penalties if unmet (Ofwat, 2024). Non-equilibrium insights (Heathcote, 2024) show thresholds where economic costs (e.g., 20–30% bulk import hikes) surge, as in 2025's drought continuity (GOV.UK, 2025a).</w:t>
      </w:r>
    </w:p>
    <w:p w14:paraId="085A1894"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Grey literature from Affinity (e.g., WRMP24) complements journals, revealing company-specific gaps like under-modelled canal transfers (Grand Union Canal scheme for drought resilience) (Affinity Water, 2024b; HICL, 2025).</w:t>
      </w:r>
    </w:p>
    <w:p w14:paraId="036D88D6" w14:textId="77777777" w:rsidR="0007357D" w:rsidRPr="0007357D" w:rsidRDefault="0007357D" w:rsidP="0007357D">
      <w:pPr>
        <w:spacing w:before="100" w:beforeAutospacing="1" w:after="100" w:afterAutospacing="1" w:line="360" w:lineRule="auto"/>
        <w:outlineLvl w:val="3"/>
        <w:rPr>
          <w:rFonts w:ascii="Arial" w:eastAsia="Times New Roman" w:hAnsi="Arial" w:cs="Arial"/>
          <w:b/>
          <w:bCs/>
          <w:kern w:val="0"/>
          <w:lang w:eastAsia="en-GB"/>
          <w14:ligatures w14:val="none"/>
        </w:rPr>
      </w:pPr>
      <w:r w:rsidRPr="0007357D">
        <w:rPr>
          <w:rFonts w:ascii="Arial" w:eastAsia="Times New Roman" w:hAnsi="Arial" w:cs="Arial"/>
          <w:b/>
          <w:bCs/>
          <w:kern w:val="0"/>
          <w:lang w:eastAsia="en-GB"/>
          <w14:ligatures w14:val="none"/>
        </w:rPr>
        <w:t>Critical Gaps and Contributions</w:t>
      </w:r>
    </w:p>
    <w:p w14:paraId="1C272D85"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 xml:space="preserve">Despite robust coverage, gaps persist: No studies quantitatively link Safe &amp; </w:t>
      </w:r>
      <w:proofErr w:type="spellStart"/>
      <w:r w:rsidRPr="0007357D">
        <w:rPr>
          <w:rFonts w:ascii="Arial" w:eastAsia="Times New Roman" w:hAnsi="Arial" w:cs="Arial"/>
          <w:kern w:val="0"/>
          <w:lang w:eastAsia="en-GB"/>
          <w14:ligatures w14:val="none"/>
        </w:rPr>
        <w:t>SuRe</w:t>
      </w:r>
      <w:proofErr w:type="spellEnd"/>
      <w:r w:rsidRPr="0007357D">
        <w:rPr>
          <w:rFonts w:ascii="Arial" w:eastAsia="Times New Roman" w:hAnsi="Arial" w:cs="Arial"/>
          <w:kern w:val="0"/>
          <w:lang w:eastAsia="en-GB"/>
          <w14:ligatures w14:val="none"/>
        </w:rPr>
        <w:t xml:space="preserve"> metrics to non-equilibrium thresholds in UK chalk systems (e.g., Heathcote, 2024 focuses on chemistry, not management). Affinity-specific research is sparse, with WRMP24 (Affinity Water, 2024b) relying on linear forecasts overlooking </w:t>
      </w:r>
      <w:proofErr w:type="gramStart"/>
      <w:r w:rsidRPr="0007357D">
        <w:rPr>
          <w:rFonts w:ascii="Arial" w:eastAsia="Times New Roman" w:hAnsi="Arial" w:cs="Arial"/>
          <w:kern w:val="0"/>
          <w:lang w:eastAsia="en-GB"/>
          <w14:ligatures w14:val="none"/>
        </w:rPr>
        <w:t>feedbacks</w:t>
      </w:r>
      <w:proofErr w:type="gramEnd"/>
      <w:r w:rsidRPr="0007357D">
        <w:rPr>
          <w:rFonts w:ascii="Arial" w:eastAsia="Times New Roman" w:hAnsi="Arial" w:cs="Arial"/>
          <w:kern w:val="0"/>
          <w:lang w:eastAsia="en-GB"/>
          <w14:ligatures w14:val="none"/>
        </w:rPr>
        <w:t xml:space="preserve"> like drought-induced leakage spikes (13.45% rise in 2025). Broader UK literature (e.g., Manchanda et al., 2023) debates adaptive governance but lacks company-calibrated solutions for 2025 threats like prolonged droughts (GOV.UK, 2025a).</w:t>
      </w:r>
    </w:p>
    <w:p w14:paraId="260A0E80"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This review contributes by synthesizing 42 sources into a challenge-interaction matrix, proposing solutions like accelerated metering (18% demand cut) and catchment restoration (11,000 ha) ranked by impact (e.g., 25% outage reduction). It bridges gaps by focusing on Affinity's context, informing RQ3–4 for actionable strategies amid 2025's water stress (UKCEH, 2025).</w:t>
      </w:r>
    </w:p>
    <w:p w14:paraId="6ADB0D67" w14:textId="77777777" w:rsidR="0007357D" w:rsidRPr="0007357D" w:rsidRDefault="0007357D" w:rsidP="0007357D">
      <w:pPr>
        <w:spacing w:before="100" w:beforeAutospacing="1" w:after="100" w:afterAutospacing="1" w:line="360" w:lineRule="auto"/>
        <w:rPr>
          <w:rFonts w:ascii="Arial" w:eastAsia="Times New Roman" w:hAnsi="Arial" w:cs="Arial"/>
          <w:kern w:val="0"/>
          <w:lang w:eastAsia="en-GB"/>
          <w14:ligatures w14:val="none"/>
        </w:rPr>
      </w:pPr>
      <w:r w:rsidRPr="0007357D">
        <w:rPr>
          <w:rFonts w:ascii="Arial" w:eastAsia="Times New Roman" w:hAnsi="Arial" w:cs="Arial"/>
          <w:kern w:val="0"/>
          <w:lang w:eastAsia="en-GB"/>
          <w14:ligatures w14:val="none"/>
        </w:rPr>
        <w:t>This expanded review not only justifies the proposal but equips Phase 2 for targeted data extraction, ensuring solutions are evidence-driven and feasible within Affinity's £2.3 billion framework (Ofwat, 2024).</w:t>
      </w:r>
    </w:p>
    <w:p w14:paraId="08D1F8F1" w14:textId="77777777" w:rsidR="0007357D" w:rsidRPr="009F77CA" w:rsidRDefault="0007357D" w:rsidP="009F77CA">
      <w:pPr>
        <w:spacing w:line="360" w:lineRule="auto"/>
        <w:rPr>
          <w:rFonts w:ascii="Arial" w:hAnsi="Arial" w:cs="Arial"/>
          <w:b/>
        </w:rPr>
      </w:pPr>
    </w:p>
    <w:p w14:paraId="4BDC1527" w14:textId="77777777" w:rsidR="00D933E7" w:rsidRDefault="00D933E7" w:rsidP="001525B9">
      <w:pPr>
        <w:pStyle w:val="Heading3"/>
      </w:pPr>
      <w:bookmarkStart w:id="8" w:name="_Toc215816960"/>
      <w:r w:rsidRPr="002A0B97">
        <w:lastRenderedPageBreak/>
        <w:t>Critical gaps identified</w:t>
      </w:r>
      <w:bookmarkEnd w:id="8"/>
    </w:p>
    <w:p w14:paraId="0E9C36E7" w14:textId="69166E34" w:rsidR="005D39CA" w:rsidRPr="001525B9" w:rsidRDefault="005D39CA" w:rsidP="001525B9">
      <w:pPr>
        <w:spacing w:before="100" w:beforeAutospacing="1" w:after="100" w:afterAutospacing="1" w:line="360" w:lineRule="auto"/>
        <w:rPr>
          <w:rFonts w:ascii="Arial" w:eastAsia="Times New Roman" w:hAnsi="Arial" w:cs="Arial"/>
          <w:kern w:val="0"/>
          <w:sz w:val="22"/>
          <w:szCs w:val="22"/>
          <w:lang w:eastAsia="en-GB"/>
          <w14:ligatures w14:val="none"/>
        </w:rPr>
      </w:pPr>
      <w:r w:rsidRPr="005D39CA">
        <w:rPr>
          <w:rFonts w:ascii="Arial" w:eastAsia="Times New Roman" w:hAnsi="Arial" w:cs="Arial"/>
          <w:kern w:val="0"/>
          <w:sz w:val="22"/>
          <w:szCs w:val="22"/>
          <w:lang w:eastAsia="en-GB"/>
          <w14:ligatures w14:val="none"/>
        </w:rPr>
        <w:t>Summary and Gaps Studies highlight droughts (20–30% flow drops by 2050) interacting with growth/leakage (UKCEH, 2025; GOV.UK, 2025a). Gaps: Limited Affinity-specific interaction analysis; no integrated solutions for 2025 threats like intensified droughts (GOV.UK, 2025b). This addresses via challenge-solution mapping.</w:t>
      </w:r>
    </w:p>
    <w:p w14:paraId="55245A59" w14:textId="77777777" w:rsidR="00D933E7" w:rsidRPr="002A0B97" w:rsidRDefault="00D933E7" w:rsidP="004D5CFF">
      <w:pPr>
        <w:numPr>
          <w:ilvl w:val="1"/>
          <w:numId w:val="4"/>
        </w:numPr>
        <w:spacing w:line="360" w:lineRule="auto"/>
        <w:rPr>
          <w:rFonts w:ascii="Arial" w:hAnsi="Arial" w:cs="Arial"/>
        </w:rPr>
      </w:pPr>
      <w:r w:rsidRPr="002A0B97">
        <w:rPr>
          <w:rFonts w:ascii="Arial" w:hAnsi="Arial" w:cs="Arial"/>
        </w:rPr>
        <w:t xml:space="preserve">No quantitative integration of Safe &amp; </w:t>
      </w:r>
      <w:proofErr w:type="spellStart"/>
      <w:r w:rsidRPr="002A0B97">
        <w:rPr>
          <w:rFonts w:ascii="Arial" w:hAnsi="Arial" w:cs="Arial"/>
        </w:rPr>
        <w:t>SuRe</w:t>
      </w:r>
      <w:proofErr w:type="spellEnd"/>
      <w:r w:rsidRPr="002A0B97">
        <w:rPr>
          <w:rFonts w:ascii="Arial" w:hAnsi="Arial" w:cs="Arial"/>
        </w:rPr>
        <w:t xml:space="preserve"> metrics with non-equilibrium dynamics in a UK context.  </w:t>
      </w:r>
    </w:p>
    <w:p w14:paraId="6EAAF8B9" w14:textId="77777777" w:rsidR="00D933E7" w:rsidRPr="002A0B97" w:rsidRDefault="00D933E7" w:rsidP="004D5CFF">
      <w:pPr>
        <w:numPr>
          <w:ilvl w:val="1"/>
          <w:numId w:val="4"/>
        </w:numPr>
        <w:spacing w:line="360" w:lineRule="auto"/>
        <w:rPr>
          <w:rFonts w:ascii="Arial" w:hAnsi="Arial" w:cs="Arial"/>
        </w:rPr>
      </w:pPr>
      <w:r w:rsidRPr="002A0B97">
        <w:rPr>
          <w:rFonts w:ascii="Arial" w:hAnsi="Arial" w:cs="Arial"/>
        </w:rPr>
        <w:t xml:space="preserve">Very limited system dynamics modelling of chalk aquifer systems despite their dominance in south-east England.  </w:t>
      </w:r>
    </w:p>
    <w:p w14:paraId="26991E96" w14:textId="02A590D1" w:rsidR="00D933E7" w:rsidRPr="002A0B97" w:rsidRDefault="00D933E7" w:rsidP="004D5CFF">
      <w:pPr>
        <w:numPr>
          <w:ilvl w:val="1"/>
          <w:numId w:val="4"/>
        </w:numPr>
        <w:spacing w:line="360" w:lineRule="auto"/>
        <w:rPr>
          <w:rFonts w:ascii="Arial" w:hAnsi="Arial" w:cs="Arial"/>
        </w:rPr>
      </w:pPr>
      <w:r w:rsidRPr="002A0B97">
        <w:rPr>
          <w:rFonts w:ascii="Arial" w:hAnsi="Arial" w:cs="Arial"/>
        </w:rPr>
        <w:t>Absence of company-specific scenario testing that explicitly links climate scenarios, population growth, demand management, and environmental flow requirements in a feedback-rich environment.</w:t>
      </w:r>
    </w:p>
    <w:p w14:paraId="6FBA4C93" w14:textId="24B152A2" w:rsidR="00D933E7" w:rsidRPr="002A0B97" w:rsidRDefault="00D933E7" w:rsidP="004D5CFF">
      <w:pPr>
        <w:spacing w:line="360" w:lineRule="auto"/>
        <w:rPr>
          <w:rFonts w:ascii="Arial" w:hAnsi="Arial" w:cs="Arial"/>
        </w:rPr>
      </w:pPr>
      <w:r w:rsidRPr="002A0B97">
        <w:rPr>
          <w:rFonts w:ascii="Arial" w:hAnsi="Arial" w:cs="Arial"/>
        </w:rPr>
        <w:t>This study directly addresses these gaps by developing the first fully quantitative, company-calibrated system dynamics model that fuses these theoretical traditions.</w:t>
      </w:r>
    </w:p>
    <w:p w14:paraId="04728CA5" w14:textId="77777777" w:rsidR="005D39CA" w:rsidRPr="005D39CA" w:rsidRDefault="005D39CA" w:rsidP="001525B9">
      <w:pPr>
        <w:pStyle w:val="Heading2"/>
        <w:rPr>
          <w:rFonts w:eastAsia="Times New Roman"/>
          <w:lang w:eastAsia="en-GB"/>
        </w:rPr>
      </w:pPr>
      <w:bookmarkStart w:id="9" w:name="_Toc215816961"/>
      <w:r w:rsidRPr="005D39CA">
        <w:rPr>
          <w:rFonts w:eastAsia="Times New Roman"/>
          <w:lang w:eastAsia="en-GB"/>
        </w:rPr>
        <w:t>Research Methodology and Design</w:t>
      </w:r>
      <w:bookmarkEnd w:id="9"/>
    </w:p>
    <w:p w14:paraId="398A38DC" w14:textId="77777777" w:rsidR="005D39CA" w:rsidRPr="005D39CA" w:rsidRDefault="005D39CA" w:rsidP="001525B9">
      <w:pPr>
        <w:spacing w:before="100" w:beforeAutospacing="1" w:after="100" w:afterAutospacing="1" w:line="360" w:lineRule="auto"/>
        <w:rPr>
          <w:rFonts w:ascii="Arial" w:eastAsia="Times New Roman" w:hAnsi="Arial" w:cs="Arial"/>
          <w:kern w:val="0"/>
          <w:sz w:val="22"/>
          <w:szCs w:val="22"/>
          <w:lang w:eastAsia="en-GB"/>
          <w14:ligatures w14:val="none"/>
        </w:rPr>
      </w:pPr>
      <w:r w:rsidRPr="005D39CA">
        <w:rPr>
          <w:rFonts w:ascii="Arial" w:eastAsia="Times New Roman" w:hAnsi="Arial" w:cs="Arial"/>
          <w:kern w:val="0"/>
          <w:sz w:val="22"/>
          <w:szCs w:val="22"/>
          <w:lang w:eastAsia="en-GB"/>
          <w14:ligatures w14:val="none"/>
        </w:rPr>
        <w:t>Positivist/deductive: Operationalize theories into challenge-solution framework using secondary data/review. Quantitative focus; qualitative for interactions.</w:t>
      </w:r>
    </w:p>
    <w:p w14:paraId="06B41C21" w14:textId="77777777" w:rsidR="005D39CA" w:rsidRPr="005D39CA" w:rsidRDefault="005D39CA" w:rsidP="001525B9">
      <w:pPr>
        <w:spacing w:before="100" w:beforeAutospacing="1" w:after="100" w:afterAutospacing="1" w:line="360" w:lineRule="auto"/>
        <w:rPr>
          <w:rFonts w:ascii="Arial" w:eastAsia="Times New Roman" w:hAnsi="Arial" w:cs="Arial"/>
          <w:kern w:val="0"/>
          <w:sz w:val="22"/>
          <w:szCs w:val="22"/>
          <w:lang w:eastAsia="en-GB"/>
          <w14:ligatures w14:val="none"/>
        </w:rPr>
      </w:pPr>
      <w:r w:rsidRPr="001525B9">
        <w:rPr>
          <w:rFonts w:ascii="Arial" w:eastAsia="Times New Roman" w:hAnsi="Arial" w:cs="Arial"/>
          <w:b/>
          <w:bCs/>
          <w:kern w:val="0"/>
          <w:sz w:val="22"/>
          <w:szCs w:val="22"/>
          <w:lang w:eastAsia="en-GB"/>
          <w14:ligatures w14:val="none"/>
        </w:rPr>
        <w:t>Phase 1: PRISMA Review</w:t>
      </w:r>
      <w:r w:rsidRPr="005D39CA">
        <w:rPr>
          <w:rFonts w:ascii="Arial" w:eastAsia="Times New Roman" w:hAnsi="Arial" w:cs="Arial"/>
          <w:kern w:val="0"/>
          <w:sz w:val="22"/>
          <w:szCs w:val="22"/>
          <w:lang w:eastAsia="en-GB"/>
          <w14:ligatures w14:val="none"/>
        </w:rPr>
        <w:t xml:space="preserve"> (January 2026) Quality via MMAT; thematic synthesis for challenges/solutions.</w:t>
      </w:r>
    </w:p>
    <w:p w14:paraId="46A7C70D" w14:textId="77777777" w:rsidR="005D39CA" w:rsidRPr="005D39CA" w:rsidRDefault="005D39CA" w:rsidP="001525B9">
      <w:pPr>
        <w:spacing w:before="100" w:beforeAutospacing="1" w:after="100" w:afterAutospacing="1" w:line="360" w:lineRule="auto"/>
        <w:rPr>
          <w:rFonts w:ascii="Arial" w:eastAsia="Times New Roman" w:hAnsi="Arial" w:cs="Arial"/>
          <w:kern w:val="0"/>
          <w:sz w:val="22"/>
          <w:szCs w:val="22"/>
          <w:lang w:eastAsia="en-GB"/>
          <w14:ligatures w14:val="none"/>
        </w:rPr>
      </w:pPr>
      <w:r w:rsidRPr="001525B9">
        <w:rPr>
          <w:rFonts w:ascii="Arial" w:eastAsia="Times New Roman" w:hAnsi="Arial" w:cs="Arial"/>
          <w:b/>
          <w:bCs/>
          <w:kern w:val="0"/>
          <w:sz w:val="22"/>
          <w:szCs w:val="22"/>
          <w:lang w:eastAsia="en-GB"/>
          <w14:ligatures w14:val="none"/>
        </w:rPr>
        <w:t>Phase 2: Secondary Data Extraction</w:t>
      </w:r>
      <w:r w:rsidRPr="005D39CA">
        <w:rPr>
          <w:rFonts w:ascii="Arial" w:eastAsia="Times New Roman" w:hAnsi="Arial" w:cs="Arial"/>
          <w:kern w:val="0"/>
          <w:sz w:val="22"/>
          <w:szCs w:val="22"/>
          <w:lang w:eastAsia="en-GB"/>
          <w14:ligatures w14:val="none"/>
        </w:rPr>
        <w:t xml:space="preserve"> (February 2026) From WRMP24, LTDS, reports: Demand, leakage, abstraction trends.</w:t>
      </w:r>
    </w:p>
    <w:p w14:paraId="2D8C05E1" w14:textId="77777777" w:rsidR="005D39CA" w:rsidRPr="005D39CA" w:rsidRDefault="005D39CA" w:rsidP="001525B9">
      <w:pPr>
        <w:spacing w:before="100" w:beforeAutospacing="1" w:after="100" w:afterAutospacing="1" w:line="360" w:lineRule="auto"/>
        <w:rPr>
          <w:rFonts w:ascii="Arial" w:eastAsia="Times New Roman" w:hAnsi="Arial" w:cs="Arial"/>
          <w:kern w:val="0"/>
          <w:sz w:val="22"/>
          <w:szCs w:val="22"/>
          <w:lang w:eastAsia="en-GB"/>
          <w14:ligatures w14:val="none"/>
        </w:rPr>
      </w:pPr>
      <w:r w:rsidRPr="001525B9">
        <w:rPr>
          <w:rFonts w:ascii="Arial" w:eastAsia="Times New Roman" w:hAnsi="Arial" w:cs="Arial"/>
          <w:b/>
          <w:bCs/>
          <w:kern w:val="0"/>
          <w:sz w:val="22"/>
          <w:szCs w:val="22"/>
          <w:lang w:eastAsia="en-GB"/>
          <w14:ligatures w14:val="none"/>
        </w:rPr>
        <w:t>Phase 3: Challenge-Interaction Analysis</w:t>
      </w:r>
      <w:r w:rsidRPr="005D39CA">
        <w:rPr>
          <w:rFonts w:ascii="Arial" w:eastAsia="Times New Roman" w:hAnsi="Arial" w:cs="Arial"/>
          <w:kern w:val="0"/>
          <w:sz w:val="22"/>
          <w:szCs w:val="22"/>
          <w:lang w:eastAsia="en-GB"/>
          <w14:ligatures w14:val="none"/>
        </w:rPr>
        <w:t xml:space="preserve"> (February 2026) Map interactions (e.g., drought-leakage via causal diagrams); propose solutions (e.g., metering for 18% demand cut) ranked by impact/cost.</w:t>
      </w:r>
    </w:p>
    <w:p w14:paraId="6FCA5F81" w14:textId="77777777" w:rsidR="005D39CA" w:rsidRPr="005D39CA" w:rsidRDefault="005D39CA" w:rsidP="001525B9">
      <w:pPr>
        <w:spacing w:before="100" w:beforeAutospacing="1" w:after="100" w:afterAutospacing="1" w:line="360" w:lineRule="auto"/>
        <w:rPr>
          <w:rFonts w:ascii="Arial" w:eastAsia="Times New Roman" w:hAnsi="Arial" w:cs="Arial"/>
          <w:kern w:val="0"/>
          <w:sz w:val="22"/>
          <w:szCs w:val="22"/>
          <w:lang w:eastAsia="en-GB"/>
          <w14:ligatures w14:val="none"/>
        </w:rPr>
      </w:pPr>
      <w:r w:rsidRPr="001525B9">
        <w:rPr>
          <w:rFonts w:ascii="Arial" w:eastAsia="Times New Roman" w:hAnsi="Arial" w:cs="Arial"/>
          <w:b/>
          <w:bCs/>
          <w:kern w:val="0"/>
          <w:sz w:val="22"/>
          <w:szCs w:val="22"/>
          <w:lang w:eastAsia="en-GB"/>
          <w14:ligatures w14:val="none"/>
        </w:rPr>
        <w:t>Phase 4: Solution Roadmap</w:t>
      </w:r>
      <w:r w:rsidRPr="005D39CA">
        <w:rPr>
          <w:rFonts w:ascii="Arial" w:eastAsia="Times New Roman" w:hAnsi="Arial" w:cs="Arial"/>
          <w:kern w:val="0"/>
          <w:sz w:val="22"/>
          <w:szCs w:val="22"/>
          <w:lang w:eastAsia="en-GB"/>
          <w14:ligatures w14:val="none"/>
        </w:rPr>
        <w:t xml:space="preserve"> (March 2026) Prioritize 5–7 solutions; scenario-test qualitatively (e.g., high-growth drought).</w:t>
      </w:r>
    </w:p>
    <w:p w14:paraId="67677768" w14:textId="44111472" w:rsidR="005D39CA" w:rsidRPr="001525B9" w:rsidRDefault="005D39CA" w:rsidP="001525B9">
      <w:pPr>
        <w:spacing w:before="100" w:beforeAutospacing="1" w:after="100" w:afterAutospacing="1" w:line="360" w:lineRule="auto"/>
        <w:rPr>
          <w:rFonts w:ascii="Arial" w:eastAsia="Times New Roman" w:hAnsi="Arial" w:cs="Arial"/>
          <w:kern w:val="0"/>
          <w:sz w:val="22"/>
          <w:szCs w:val="22"/>
          <w:lang w:eastAsia="en-GB"/>
          <w14:ligatures w14:val="none"/>
        </w:rPr>
      </w:pPr>
      <w:r w:rsidRPr="001525B9">
        <w:rPr>
          <w:rFonts w:ascii="Arial" w:eastAsia="Times New Roman" w:hAnsi="Arial" w:cs="Arial"/>
          <w:b/>
          <w:bCs/>
          <w:kern w:val="0"/>
          <w:sz w:val="22"/>
          <w:szCs w:val="22"/>
          <w:lang w:eastAsia="en-GB"/>
          <w14:ligatures w14:val="none"/>
        </w:rPr>
        <w:t>Phase 5: Scenario Analysis</w:t>
      </w:r>
      <w:r w:rsidRPr="005D39CA">
        <w:rPr>
          <w:rFonts w:ascii="Arial" w:eastAsia="Times New Roman" w:hAnsi="Arial" w:cs="Arial"/>
          <w:kern w:val="0"/>
          <w:sz w:val="22"/>
          <w:szCs w:val="22"/>
          <w:lang w:eastAsia="en-GB"/>
          <w14:ligatures w14:val="none"/>
        </w:rPr>
        <w:t xml:space="preserve"> (March 2026) Six scenarios (RCP4.5/8.5 + growth/demand variants). </w:t>
      </w:r>
      <w:r w:rsidRPr="001525B9">
        <w:rPr>
          <w:rFonts w:ascii="Arial" w:eastAsia="Times New Roman" w:hAnsi="Arial" w:cs="Arial"/>
          <w:bCs/>
          <w:kern w:val="0"/>
          <w:sz w:val="22"/>
          <w:szCs w:val="22"/>
          <w:lang w:eastAsia="en-GB"/>
          <w14:ligatures w14:val="none"/>
        </w:rPr>
        <w:t>Ethical Implications</w:t>
      </w:r>
      <w:r w:rsidRPr="001525B9">
        <w:rPr>
          <w:rFonts w:ascii="Arial" w:eastAsia="Times New Roman" w:hAnsi="Arial" w:cs="Arial"/>
          <w:b/>
          <w:bCs/>
          <w:kern w:val="0"/>
          <w:sz w:val="22"/>
          <w:szCs w:val="22"/>
          <w:lang w:eastAsia="en-GB"/>
          <w14:ligatures w14:val="none"/>
        </w:rPr>
        <w:t>:</w:t>
      </w:r>
      <w:r w:rsidRPr="005D39CA">
        <w:rPr>
          <w:rFonts w:ascii="Arial" w:eastAsia="Times New Roman" w:hAnsi="Arial" w:cs="Arial"/>
          <w:kern w:val="0"/>
          <w:sz w:val="22"/>
          <w:szCs w:val="22"/>
          <w:lang w:eastAsia="en-GB"/>
          <w14:ligatures w14:val="none"/>
        </w:rPr>
        <w:t xml:space="preserve"> Scenarios must avoid alarmism to prevent public panic or </w:t>
      </w:r>
      <w:r w:rsidRPr="005D39CA">
        <w:rPr>
          <w:rFonts w:ascii="Arial" w:eastAsia="Times New Roman" w:hAnsi="Arial" w:cs="Arial"/>
          <w:kern w:val="0"/>
          <w:sz w:val="22"/>
          <w:szCs w:val="22"/>
          <w:lang w:eastAsia="en-GB"/>
          <w14:ligatures w14:val="none"/>
        </w:rPr>
        <w:lastRenderedPageBreak/>
        <w:t xml:space="preserve">policy overreach (e.g., unnecessary restrictions harming vulnerable groups); ensure equity by prioritizing low-income access in solutions (ScienceDirect, 2014). Address biases in projections (e.g., over-optimistic demand management) via sensitivity checks; promote transparency to build trust, per TCFD guidelines (TCFD Knowledge Hub, 2022). No primary data mitigates consent </w:t>
      </w:r>
      <w:proofErr w:type="gramStart"/>
      <w:r w:rsidRPr="005D39CA">
        <w:rPr>
          <w:rFonts w:ascii="Arial" w:eastAsia="Times New Roman" w:hAnsi="Arial" w:cs="Arial"/>
          <w:kern w:val="0"/>
          <w:sz w:val="22"/>
          <w:szCs w:val="22"/>
          <w:lang w:eastAsia="en-GB"/>
          <w14:ligatures w14:val="none"/>
        </w:rPr>
        <w:t>issues, but</w:t>
      </w:r>
      <w:proofErr w:type="gramEnd"/>
      <w:r w:rsidRPr="005D39CA">
        <w:rPr>
          <w:rFonts w:ascii="Arial" w:eastAsia="Times New Roman" w:hAnsi="Arial" w:cs="Arial"/>
          <w:kern w:val="0"/>
          <w:sz w:val="22"/>
          <w:szCs w:val="22"/>
          <w:lang w:eastAsia="en-GB"/>
          <w14:ligatures w14:val="none"/>
        </w:rPr>
        <w:t xml:space="preserve"> anonymize any customer data.</w:t>
      </w:r>
    </w:p>
    <w:p w14:paraId="2A2EAA6C" w14:textId="6B82E63C" w:rsidR="00D933E7" w:rsidRPr="009F77CA" w:rsidRDefault="00D933E7" w:rsidP="004D5CFF">
      <w:pPr>
        <w:spacing w:line="360" w:lineRule="auto"/>
        <w:rPr>
          <w:rFonts w:ascii="Arial" w:hAnsi="Arial" w:cs="Arial"/>
        </w:rPr>
      </w:pPr>
      <w:r w:rsidRPr="002A0B97">
        <w:rPr>
          <w:rFonts w:ascii="Arial" w:hAnsi="Arial" w:cs="Arial"/>
        </w:rPr>
        <w:t>This research adopts a quantitative, secondary-data-only methodology combining systematic literature review. No primary data collection (interviews, surveys, or mixed methods) will be undertaken.</w:t>
      </w:r>
    </w:p>
    <w:p w14:paraId="28C48FDB" w14:textId="0FFEC8A6" w:rsidR="00D933E7" w:rsidRPr="002A0B97" w:rsidRDefault="00D933E7" w:rsidP="004D5CFF">
      <w:pPr>
        <w:pStyle w:val="Heading2"/>
        <w:spacing w:line="360" w:lineRule="auto"/>
        <w:rPr>
          <w:rFonts w:cs="Arial"/>
        </w:rPr>
      </w:pPr>
      <w:bookmarkStart w:id="10" w:name="_Toc215816962"/>
      <w:r w:rsidRPr="002A0B97">
        <w:rPr>
          <w:rFonts w:cs="Arial"/>
        </w:rPr>
        <w:t>Business Relevance and Practical Implications</w:t>
      </w:r>
      <w:bookmarkEnd w:id="10"/>
    </w:p>
    <w:p w14:paraId="17CF9629" w14:textId="77777777" w:rsidR="00D933E7" w:rsidRPr="002A0B97" w:rsidRDefault="00D933E7" w:rsidP="004D5CFF">
      <w:pPr>
        <w:spacing w:line="360" w:lineRule="auto"/>
        <w:rPr>
          <w:rFonts w:ascii="Arial" w:hAnsi="Arial" w:cs="Arial"/>
          <w:sz w:val="22"/>
          <w:szCs w:val="22"/>
        </w:rPr>
      </w:pPr>
      <w:r w:rsidRPr="002A0B97">
        <w:rPr>
          <w:rFonts w:ascii="Arial" w:hAnsi="Arial" w:cs="Arial"/>
          <w:sz w:val="22"/>
          <w:szCs w:val="22"/>
        </w:rPr>
        <w:t>The outputs will have immediate operational and strategic value:</w:t>
      </w:r>
    </w:p>
    <w:p w14:paraId="11C04EF5" w14:textId="77777777" w:rsidR="00D933E7" w:rsidRPr="002A0B97" w:rsidRDefault="00D933E7" w:rsidP="004D5CFF">
      <w:pPr>
        <w:spacing w:line="360" w:lineRule="auto"/>
        <w:rPr>
          <w:rFonts w:ascii="Arial" w:hAnsi="Arial" w:cs="Arial"/>
          <w:sz w:val="22"/>
          <w:szCs w:val="22"/>
        </w:rPr>
      </w:pPr>
      <w:r w:rsidRPr="002A0B97">
        <w:rPr>
          <w:rFonts w:ascii="Arial" w:hAnsi="Arial" w:cs="Arial"/>
          <w:sz w:val="22"/>
          <w:szCs w:val="22"/>
        </w:rPr>
        <w:t>- A fully documented, transferable model that Affinity Water can use for WRMP29 and future adaptive pathways planning</w:t>
      </w:r>
    </w:p>
    <w:p w14:paraId="19A1B8FD" w14:textId="77777777" w:rsidR="00D933E7" w:rsidRPr="002A0B97" w:rsidRDefault="00D933E7" w:rsidP="004D5CFF">
      <w:pPr>
        <w:spacing w:line="360" w:lineRule="auto"/>
        <w:rPr>
          <w:rFonts w:ascii="Arial" w:hAnsi="Arial" w:cs="Arial"/>
          <w:sz w:val="22"/>
          <w:szCs w:val="22"/>
        </w:rPr>
      </w:pPr>
      <w:r w:rsidRPr="002A0B97">
        <w:rPr>
          <w:rFonts w:ascii="Arial" w:hAnsi="Arial" w:cs="Arial"/>
          <w:sz w:val="22"/>
          <w:szCs w:val="22"/>
        </w:rPr>
        <w:t>- Clear quantification of the additional resilience benefit (or cost) of accelerating smart metering, leakage reduction, or nature-based solutions</w:t>
      </w:r>
    </w:p>
    <w:p w14:paraId="6C428D49" w14:textId="77777777" w:rsidR="00D933E7" w:rsidRPr="002A0B97" w:rsidRDefault="00D933E7" w:rsidP="004D5CFF">
      <w:pPr>
        <w:spacing w:line="360" w:lineRule="auto"/>
        <w:rPr>
          <w:rFonts w:ascii="Arial" w:hAnsi="Arial" w:cs="Arial"/>
          <w:sz w:val="22"/>
          <w:szCs w:val="22"/>
        </w:rPr>
      </w:pPr>
      <w:r w:rsidRPr="002A0B97">
        <w:rPr>
          <w:rFonts w:ascii="Arial" w:hAnsi="Arial" w:cs="Arial"/>
          <w:sz w:val="22"/>
          <w:szCs w:val="22"/>
        </w:rPr>
        <w:t>- Evidence base for optimising the £2.3 billion PR24 investment programme</w:t>
      </w:r>
    </w:p>
    <w:p w14:paraId="5E4A4250" w14:textId="17C7735A" w:rsidR="001525B9" w:rsidRPr="002A0B97" w:rsidRDefault="00D933E7" w:rsidP="004D5CFF">
      <w:pPr>
        <w:spacing w:line="360" w:lineRule="auto"/>
        <w:rPr>
          <w:rFonts w:ascii="Arial" w:hAnsi="Arial" w:cs="Arial"/>
          <w:sz w:val="22"/>
          <w:szCs w:val="22"/>
        </w:rPr>
      </w:pPr>
      <w:r w:rsidRPr="002A0B97">
        <w:rPr>
          <w:rFonts w:ascii="Arial" w:hAnsi="Arial" w:cs="Arial"/>
          <w:sz w:val="22"/>
          <w:szCs w:val="22"/>
        </w:rPr>
        <w:t xml:space="preserve">- Policy recommendations on tariff structures, environmental flow requirements, and regional collaboration (e.g., Water Resources </w:t>
      </w:r>
      <w:proofErr w:type="gramStart"/>
      <w:r w:rsidRPr="002A0B97">
        <w:rPr>
          <w:rFonts w:ascii="Arial" w:hAnsi="Arial" w:cs="Arial"/>
          <w:sz w:val="22"/>
          <w:szCs w:val="22"/>
        </w:rPr>
        <w:t>South East</w:t>
      </w:r>
      <w:proofErr w:type="gramEnd"/>
      <w:r w:rsidRPr="002A0B97">
        <w:rPr>
          <w:rFonts w:ascii="Arial" w:hAnsi="Arial" w:cs="Arial"/>
          <w:sz w:val="22"/>
          <w:szCs w:val="22"/>
        </w:rPr>
        <w:t>)</w:t>
      </w:r>
    </w:p>
    <w:p w14:paraId="628C5CCC" w14:textId="290552B7" w:rsidR="004D5CFF" w:rsidRPr="002A0B97" w:rsidRDefault="00D933E7" w:rsidP="0006630F">
      <w:pPr>
        <w:pStyle w:val="Heading3"/>
        <w:spacing w:line="360" w:lineRule="auto"/>
        <w:rPr>
          <w:rFonts w:cs="Arial"/>
        </w:rPr>
      </w:pPr>
      <w:bookmarkStart w:id="11" w:name="_Toc215816963"/>
      <w:r w:rsidRPr="002A0B97">
        <w:rPr>
          <w:rFonts w:cs="Arial"/>
        </w:rPr>
        <w:t>Work Schedule (</w:t>
      </w:r>
      <w:r w:rsidR="00B21835" w:rsidRPr="002A0B97">
        <w:rPr>
          <w:rFonts w:cs="Arial"/>
        </w:rPr>
        <w:t xml:space="preserve">January </w:t>
      </w:r>
      <w:r w:rsidRPr="002A0B97">
        <w:rPr>
          <w:rFonts w:cs="Arial"/>
        </w:rPr>
        <w:t>202</w:t>
      </w:r>
      <w:r w:rsidR="00B21835" w:rsidRPr="002A0B97">
        <w:rPr>
          <w:rFonts w:cs="Arial"/>
        </w:rPr>
        <w:t>6</w:t>
      </w:r>
      <w:r w:rsidRPr="002A0B97">
        <w:rPr>
          <w:rFonts w:cs="Arial"/>
        </w:rPr>
        <w:t xml:space="preserve"> – </w:t>
      </w:r>
      <w:r w:rsidR="00B21835" w:rsidRPr="002A0B97">
        <w:rPr>
          <w:rFonts w:cs="Arial"/>
        </w:rPr>
        <w:t>March</w:t>
      </w:r>
      <w:r w:rsidRPr="002A0B97">
        <w:rPr>
          <w:rFonts w:cs="Arial"/>
        </w:rPr>
        <w:t xml:space="preserve"> 2026)</w:t>
      </w:r>
      <w:bookmarkEnd w:id="11"/>
    </w:p>
    <w:tbl>
      <w:tblPr>
        <w:tblStyle w:val="TableGrid"/>
        <w:tblW w:w="0" w:type="auto"/>
        <w:tblLook w:val="04A0" w:firstRow="1" w:lastRow="0" w:firstColumn="1" w:lastColumn="0" w:noHBand="0" w:noVBand="1"/>
      </w:tblPr>
      <w:tblGrid>
        <w:gridCol w:w="3005"/>
        <w:gridCol w:w="3005"/>
        <w:gridCol w:w="3006"/>
      </w:tblGrid>
      <w:tr w:rsidR="007D68B7" w:rsidRPr="002A0B97" w14:paraId="353C5E0E" w14:textId="77777777" w:rsidTr="007D68B7">
        <w:tc>
          <w:tcPr>
            <w:tcW w:w="3005" w:type="dxa"/>
          </w:tcPr>
          <w:p w14:paraId="07A52A1B" w14:textId="45C49D96" w:rsidR="007D68B7" w:rsidRPr="002A0B97" w:rsidRDefault="007D68B7" w:rsidP="004D5CFF">
            <w:pPr>
              <w:spacing w:line="360" w:lineRule="auto"/>
              <w:jc w:val="center"/>
              <w:rPr>
                <w:rFonts w:ascii="Arial" w:hAnsi="Arial" w:cs="Arial"/>
                <w:sz w:val="22"/>
                <w:szCs w:val="22"/>
              </w:rPr>
            </w:pPr>
            <w:r w:rsidRPr="002A0B97">
              <w:rPr>
                <w:rFonts w:ascii="Arial" w:hAnsi="Arial" w:cs="Arial"/>
                <w:sz w:val="22"/>
                <w:szCs w:val="22"/>
              </w:rPr>
              <w:t>Month</w:t>
            </w:r>
          </w:p>
        </w:tc>
        <w:tc>
          <w:tcPr>
            <w:tcW w:w="3005" w:type="dxa"/>
          </w:tcPr>
          <w:p w14:paraId="664D0999" w14:textId="2EF7BE64" w:rsidR="007D68B7" w:rsidRPr="002A0B97" w:rsidRDefault="007D68B7" w:rsidP="004D5CFF">
            <w:pPr>
              <w:spacing w:line="360" w:lineRule="auto"/>
              <w:jc w:val="center"/>
              <w:rPr>
                <w:rFonts w:ascii="Arial" w:hAnsi="Arial" w:cs="Arial"/>
                <w:sz w:val="22"/>
                <w:szCs w:val="22"/>
              </w:rPr>
            </w:pPr>
            <w:r w:rsidRPr="002A0B97">
              <w:rPr>
                <w:rFonts w:ascii="Arial" w:hAnsi="Arial" w:cs="Arial"/>
                <w:sz w:val="22"/>
                <w:szCs w:val="22"/>
              </w:rPr>
              <w:t>Week</w:t>
            </w:r>
          </w:p>
        </w:tc>
        <w:tc>
          <w:tcPr>
            <w:tcW w:w="3006" w:type="dxa"/>
          </w:tcPr>
          <w:p w14:paraId="347630D6" w14:textId="6EAB0F20" w:rsidR="007D68B7" w:rsidRPr="002A0B97" w:rsidRDefault="007D68B7" w:rsidP="004D5CFF">
            <w:pPr>
              <w:spacing w:line="360" w:lineRule="auto"/>
              <w:jc w:val="center"/>
              <w:rPr>
                <w:rFonts w:ascii="Arial" w:hAnsi="Arial" w:cs="Arial"/>
                <w:sz w:val="22"/>
                <w:szCs w:val="22"/>
              </w:rPr>
            </w:pPr>
            <w:r w:rsidRPr="002A0B97">
              <w:rPr>
                <w:rFonts w:ascii="Arial" w:hAnsi="Arial" w:cs="Arial"/>
                <w:sz w:val="22"/>
                <w:szCs w:val="22"/>
              </w:rPr>
              <w:t>Activity</w:t>
            </w:r>
          </w:p>
        </w:tc>
      </w:tr>
      <w:tr w:rsidR="0070227C" w:rsidRPr="002A0B97" w14:paraId="6F4FC984" w14:textId="77777777" w:rsidTr="007D68B7">
        <w:trPr>
          <w:trHeight w:val="126"/>
        </w:trPr>
        <w:tc>
          <w:tcPr>
            <w:tcW w:w="3005" w:type="dxa"/>
            <w:vMerge w:val="restart"/>
          </w:tcPr>
          <w:p w14:paraId="5E4594B6" w14:textId="77777777" w:rsidR="0070227C" w:rsidRPr="002A0B97" w:rsidRDefault="0070227C" w:rsidP="004D5CFF">
            <w:pPr>
              <w:spacing w:line="360" w:lineRule="auto"/>
              <w:jc w:val="center"/>
              <w:rPr>
                <w:rFonts w:ascii="Arial" w:hAnsi="Arial" w:cs="Arial"/>
                <w:sz w:val="22"/>
                <w:szCs w:val="22"/>
              </w:rPr>
            </w:pPr>
          </w:p>
          <w:p w14:paraId="4154655A" w14:textId="77777777" w:rsidR="0070227C" w:rsidRPr="002A0B97" w:rsidRDefault="0070227C" w:rsidP="004D5CFF">
            <w:pPr>
              <w:spacing w:line="360" w:lineRule="auto"/>
              <w:jc w:val="center"/>
              <w:rPr>
                <w:rFonts w:ascii="Arial" w:hAnsi="Arial" w:cs="Arial"/>
                <w:sz w:val="22"/>
                <w:szCs w:val="22"/>
              </w:rPr>
            </w:pPr>
          </w:p>
          <w:p w14:paraId="67F11088" w14:textId="29E1F46C" w:rsidR="0070227C" w:rsidRPr="002A0B97" w:rsidRDefault="00CB10EA" w:rsidP="004D5CFF">
            <w:pPr>
              <w:spacing w:line="360" w:lineRule="auto"/>
              <w:jc w:val="center"/>
              <w:rPr>
                <w:rFonts w:ascii="Arial" w:hAnsi="Arial" w:cs="Arial"/>
                <w:sz w:val="22"/>
                <w:szCs w:val="22"/>
              </w:rPr>
            </w:pPr>
            <w:r w:rsidRPr="002A0B97">
              <w:rPr>
                <w:rFonts w:ascii="Arial" w:hAnsi="Arial" w:cs="Arial"/>
                <w:sz w:val="22"/>
                <w:szCs w:val="22"/>
              </w:rPr>
              <w:t>Jan</w:t>
            </w:r>
            <w:r w:rsidR="0070227C" w:rsidRPr="002A0B97">
              <w:rPr>
                <w:rFonts w:ascii="Arial" w:hAnsi="Arial" w:cs="Arial"/>
                <w:sz w:val="22"/>
                <w:szCs w:val="22"/>
              </w:rPr>
              <w:t xml:space="preserve"> 202</w:t>
            </w:r>
            <w:r w:rsidRPr="002A0B97">
              <w:rPr>
                <w:rFonts w:ascii="Arial" w:hAnsi="Arial" w:cs="Arial"/>
                <w:sz w:val="22"/>
                <w:szCs w:val="22"/>
              </w:rPr>
              <w:t>6</w:t>
            </w:r>
            <w:r w:rsidR="0070227C" w:rsidRPr="002A0B97">
              <w:rPr>
                <w:rFonts w:ascii="Arial" w:hAnsi="Arial" w:cs="Arial"/>
                <w:sz w:val="22"/>
                <w:szCs w:val="22"/>
              </w:rPr>
              <w:t xml:space="preserve">   </w:t>
            </w:r>
          </w:p>
        </w:tc>
        <w:tc>
          <w:tcPr>
            <w:tcW w:w="3005" w:type="dxa"/>
          </w:tcPr>
          <w:p w14:paraId="4E7E9C15" w14:textId="77777777" w:rsidR="004D5CFF" w:rsidRPr="002A0B97" w:rsidRDefault="004D5CFF" w:rsidP="004D5CFF">
            <w:pPr>
              <w:spacing w:line="360" w:lineRule="auto"/>
              <w:jc w:val="center"/>
              <w:rPr>
                <w:rFonts w:ascii="Arial" w:hAnsi="Arial" w:cs="Arial"/>
                <w:sz w:val="22"/>
                <w:szCs w:val="22"/>
              </w:rPr>
            </w:pPr>
          </w:p>
          <w:p w14:paraId="26141C42" w14:textId="6A36A938" w:rsidR="0070227C" w:rsidRPr="002A0B97" w:rsidRDefault="0070227C" w:rsidP="004D5CFF">
            <w:pPr>
              <w:spacing w:line="360" w:lineRule="auto"/>
              <w:jc w:val="center"/>
              <w:rPr>
                <w:rFonts w:ascii="Arial" w:hAnsi="Arial" w:cs="Arial"/>
                <w:sz w:val="22"/>
                <w:szCs w:val="22"/>
              </w:rPr>
            </w:pPr>
            <w:r w:rsidRPr="002A0B97">
              <w:rPr>
                <w:rFonts w:ascii="Arial" w:hAnsi="Arial" w:cs="Arial"/>
                <w:sz w:val="22"/>
                <w:szCs w:val="22"/>
              </w:rPr>
              <w:t>1-2</w:t>
            </w:r>
          </w:p>
        </w:tc>
        <w:tc>
          <w:tcPr>
            <w:tcW w:w="3006" w:type="dxa"/>
          </w:tcPr>
          <w:p w14:paraId="6C8CC433" w14:textId="133B71D9" w:rsidR="0070227C" w:rsidRPr="002A0B97" w:rsidRDefault="0070227C" w:rsidP="004D5CFF">
            <w:pPr>
              <w:spacing w:line="360" w:lineRule="auto"/>
              <w:rPr>
                <w:rFonts w:ascii="Arial" w:hAnsi="Arial" w:cs="Arial"/>
                <w:sz w:val="22"/>
                <w:szCs w:val="22"/>
              </w:rPr>
            </w:pPr>
            <w:r w:rsidRPr="002A0B97">
              <w:rPr>
                <w:rFonts w:ascii="Arial" w:hAnsi="Arial" w:cs="Arial"/>
                <w:sz w:val="22"/>
                <w:szCs w:val="22"/>
              </w:rPr>
              <w:t>Finalise systematic review, complete quality appraisal, extract themes</w:t>
            </w:r>
          </w:p>
        </w:tc>
      </w:tr>
      <w:tr w:rsidR="0070227C" w:rsidRPr="002A0B97" w14:paraId="714ED563" w14:textId="77777777" w:rsidTr="007D68B7">
        <w:trPr>
          <w:trHeight w:val="126"/>
        </w:trPr>
        <w:tc>
          <w:tcPr>
            <w:tcW w:w="3005" w:type="dxa"/>
            <w:vMerge/>
          </w:tcPr>
          <w:p w14:paraId="58DC8DC8" w14:textId="77777777" w:rsidR="0070227C" w:rsidRPr="002A0B97" w:rsidRDefault="0070227C" w:rsidP="004D5CFF">
            <w:pPr>
              <w:spacing w:line="360" w:lineRule="auto"/>
              <w:jc w:val="center"/>
              <w:rPr>
                <w:rFonts w:ascii="Arial" w:hAnsi="Arial" w:cs="Arial"/>
                <w:sz w:val="22"/>
                <w:szCs w:val="22"/>
              </w:rPr>
            </w:pPr>
          </w:p>
        </w:tc>
        <w:tc>
          <w:tcPr>
            <w:tcW w:w="3005" w:type="dxa"/>
          </w:tcPr>
          <w:p w14:paraId="1E1E62B5" w14:textId="77777777" w:rsidR="004D5CFF" w:rsidRPr="002A0B97" w:rsidRDefault="004D5CFF" w:rsidP="004D5CFF">
            <w:pPr>
              <w:spacing w:line="360" w:lineRule="auto"/>
              <w:jc w:val="center"/>
              <w:rPr>
                <w:rFonts w:ascii="Arial" w:hAnsi="Arial" w:cs="Arial"/>
                <w:sz w:val="22"/>
                <w:szCs w:val="22"/>
              </w:rPr>
            </w:pPr>
          </w:p>
          <w:p w14:paraId="203815EA" w14:textId="1BF19644" w:rsidR="0070227C" w:rsidRPr="002A0B97" w:rsidRDefault="0070227C" w:rsidP="004D5CFF">
            <w:pPr>
              <w:spacing w:line="360" w:lineRule="auto"/>
              <w:jc w:val="center"/>
              <w:rPr>
                <w:rFonts w:ascii="Arial" w:hAnsi="Arial" w:cs="Arial"/>
                <w:sz w:val="22"/>
                <w:szCs w:val="22"/>
              </w:rPr>
            </w:pPr>
            <w:r w:rsidRPr="002A0B97">
              <w:rPr>
                <w:rFonts w:ascii="Arial" w:hAnsi="Arial" w:cs="Arial"/>
                <w:sz w:val="22"/>
                <w:szCs w:val="22"/>
              </w:rPr>
              <w:t>3-4</w:t>
            </w:r>
          </w:p>
        </w:tc>
        <w:tc>
          <w:tcPr>
            <w:tcW w:w="3006" w:type="dxa"/>
          </w:tcPr>
          <w:p w14:paraId="22AD66D6" w14:textId="285EA23B" w:rsidR="0070227C" w:rsidRPr="002A0B97" w:rsidRDefault="0070227C" w:rsidP="004D5CFF">
            <w:pPr>
              <w:spacing w:line="360" w:lineRule="auto"/>
              <w:rPr>
                <w:rFonts w:ascii="Arial" w:hAnsi="Arial" w:cs="Arial"/>
                <w:sz w:val="22"/>
                <w:szCs w:val="22"/>
              </w:rPr>
            </w:pPr>
            <w:r w:rsidRPr="002A0B97">
              <w:rPr>
                <w:rFonts w:ascii="Arial" w:hAnsi="Arial" w:cs="Arial"/>
                <w:sz w:val="22"/>
                <w:szCs w:val="22"/>
              </w:rPr>
              <w:t>Secondary data compilation from Affinity Water website and reports</w:t>
            </w:r>
          </w:p>
        </w:tc>
      </w:tr>
      <w:tr w:rsidR="0070227C" w:rsidRPr="002A0B97" w14:paraId="4A531E5A" w14:textId="77777777" w:rsidTr="0070227C">
        <w:trPr>
          <w:trHeight w:val="126"/>
        </w:trPr>
        <w:tc>
          <w:tcPr>
            <w:tcW w:w="3005" w:type="dxa"/>
            <w:vMerge w:val="restart"/>
          </w:tcPr>
          <w:p w14:paraId="302AEEDD" w14:textId="77777777" w:rsidR="004D5CFF" w:rsidRPr="002A0B97" w:rsidRDefault="004D5CFF" w:rsidP="004D5CFF">
            <w:pPr>
              <w:spacing w:line="360" w:lineRule="auto"/>
              <w:jc w:val="center"/>
              <w:rPr>
                <w:rFonts w:ascii="Arial" w:hAnsi="Arial" w:cs="Arial"/>
                <w:sz w:val="22"/>
                <w:szCs w:val="22"/>
              </w:rPr>
            </w:pPr>
          </w:p>
          <w:p w14:paraId="5F7EBBA5" w14:textId="77777777" w:rsidR="004D5CFF" w:rsidRPr="002A0B97" w:rsidRDefault="004D5CFF" w:rsidP="004D5CFF">
            <w:pPr>
              <w:spacing w:line="360" w:lineRule="auto"/>
              <w:jc w:val="center"/>
              <w:rPr>
                <w:rFonts w:ascii="Arial" w:hAnsi="Arial" w:cs="Arial"/>
                <w:sz w:val="22"/>
                <w:szCs w:val="22"/>
              </w:rPr>
            </w:pPr>
          </w:p>
          <w:p w14:paraId="62F2C9DB" w14:textId="3316C6B6" w:rsidR="0070227C" w:rsidRPr="002A0B97" w:rsidRDefault="00CB10EA" w:rsidP="00CB10EA">
            <w:pPr>
              <w:spacing w:line="360" w:lineRule="auto"/>
              <w:jc w:val="center"/>
              <w:rPr>
                <w:rFonts w:ascii="Arial" w:hAnsi="Arial" w:cs="Arial"/>
                <w:sz w:val="22"/>
                <w:szCs w:val="22"/>
              </w:rPr>
            </w:pPr>
            <w:r w:rsidRPr="002A0B97">
              <w:rPr>
                <w:rFonts w:ascii="Arial" w:hAnsi="Arial" w:cs="Arial"/>
                <w:sz w:val="22"/>
                <w:szCs w:val="22"/>
              </w:rPr>
              <w:t xml:space="preserve">Feb </w:t>
            </w:r>
            <w:r w:rsidR="0070227C" w:rsidRPr="002A0B97">
              <w:rPr>
                <w:rFonts w:ascii="Arial" w:hAnsi="Arial" w:cs="Arial"/>
                <w:sz w:val="22"/>
                <w:szCs w:val="22"/>
              </w:rPr>
              <w:t>202</w:t>
            </w:r>
            <w:r w:rsidRPr="002A0B97">
              <w:rPr>
                <w:rFonts w:ascii="Arial" w:hAnsi="Arial" w:cs="Arial"/>
                <w:sz w:val="22"/>
                <w:szCs w:val="22"/>
              </w:rPr>
              <w:t>6</w:t>
            </w:r>
            <w:r w:rsidR="0070227C" w:rsidRPr="002A0B97">
              <w:rPr>
                <w:rFonts w:ascii="Arial" w:hAnsi="Arial" w:cs="Arial"/>
                <w:sz w:val="22"/>
                <w:szCs w:val="22"/>
              </w:rPr>
              <w:t xml:space="preserve">    </w:t>
            </w:r>
          </w:p>
        </w:tc>
        <w:tc>
          <w:tcPr>
            <w:tcW w:w="3005" w:type="dxa"/>
          </w:tcPr>
          <w:p w14:paraId="265D25FB" w14:textId="77777777" w:rsidR="0070227C" w:rsidRPr="002A0B97" w:rsidRDefault="0070227C" w:rsidP="004D5CFF">
            <w:pPr>
              <w:spacing w:line="360" w:lineRule="auto"/>
              <w:jc w:val="center"/>
              <w:rPr>
                <w:rFonts w:ascii="Arial" w:hAnsi="Arial" w:cs="Arial"/>
                <w:sz w:val="22"/>
                <w:szCs w:val="22"/>
              </w:rPr>
            </w:pPr>
          </w:p>
          <w:p w14:paraId="1736CEF9" w14:textId="23E86AFD" w:rsidR="0070227C" w:rsidRPr="002A0B97" w:rsidRDefault="0070227C" w:rsidP="004D5CFF">
            <w:pPr>
              <w:spacing w:line="360" w:lineRule="auto"/>
              <w:jc w:val="center"/>
              <w:rPr>
                <w:rFonts w:ascii="Arial" w:hAnsi="Arial" w:cs="Arial"/>
                <w:sz w:val="22"/>
                <w:szCs w:val="22"/>
              </w:rPr>
            </w:pPr>
            <w:r w:rsidRPr="002A0B97">
              <w:rPr>
                <w:rFonts w:ascii="Arial" w:hAnsi="Arial" w:cs="Arial"/>
                <w:sz w:val="22"/>
                <w:szCs w:val="22"/>
              </w:rPr>
              <w:t>1-2</w:t>
            </w:r>
          </w:p>
        </w:tc>
        <w:tc>
          <w:tcPr>
            <w:tcW w:w="3006" w:type="dxa"/>
          </w:tcPr>
          <w:p w14:paraId="2CAED5F7" w14:textId="2CDF26C7" w:rsidR="0070227C" w:rsidRPr="002A0B97" w:rsidRDefault="0070227C" w:rsidP="004D5CFF">
            <w:pPr>
              <w:spacing w:line="360" w:lineRule="auto"/>
              <w:rPr>
                <w:rFonts w:ascii="Arial" w:hAnsi="Arial" w:cs="Arial"/>
                <w:sz w:val="22"/>
                <w:szCs w:val="22"/>
              </w:rPr>
            </w:pPr>
            <w:r w:rsidRPr="002A0B97">
              <w:rPr>
                <w:rFonts w:ascii="Arial" w:hAnsi="Arial" w:cs="Arial"/>
                <w:sz w:val="22"/>
                <w:szCs w:val="22"/>
              </w:rPr>
              <w:t>Initial model structure development, parameterisation</w:t>
            </w:r>
          </w:p>
        </w:tc>
      </w:tr>
      <w:tr w:rsidR="0070227C" w:rsidRPr="002A0B97" w14:paraId="6C374A46" w14:textId="77777777" w:rsidTr="007D68B7">
        <w:trPr>
          <w:trHeight w:val="126"/>
        </w:trPr>
        <w:tc>
          <w:tcPr>
            <w:tcW w:w="3005" w:type="dxa"/>
            <w:vMerge/>
          </w:tcPr>
          <w:p w14:paraId="383FDCBF" w14:textId="77777777" w:rsidR="0070227C" w:rsidRPr="002A0B97" w:rsidRDefault="0070227C" w:rsidP="004D5CFF">
            <w:pPr>
              <w:spacing w:line="360" w:lineRule="auto"/>
              <w:jc w:val="center"/>
              <w:rPr>
                <w:rFonts w:ascii="Arial" w:hAnsi="Arial" w:cs="Arial"/>
                <w:sz w:val="22"/>
                <w:szCs w:val="22"/>
              </w:rPr>
            </w:pPr>
          </w:p>
        </w:tc>
        <w:tc>
          <w:tcPr>
            <w:tcW w:w="3005" w:type="dxa"/>
          </w:tcPr>
          <w:p w14:paraId="050468C0" w14:textId="1DD58F29" w:rsidR="0070227C" w:rsidRPr="002A0B97" w:rsidRDefault="0070227C" w:rsidP="004D5CFF">
            <w:pPr>
              <w:spacing w:line="360" w:lineRule="auto"/>
              <w:jc w:val="center"/>
              <w:rPr>
                <w:rFonts w:ascii="Arial" w:hAnsi="Arial" w:cs="Arial"/>
                <w:sz w:val="22"/>
                <w:szCs w:val="22"/>
              </w:rPr>
            </w:pPr>
            <w:r w:rsidRPr="002A0B97">
              <w:rPr>
                <w:rFonts w:ascii="Arial" w:hAnsi="Arial" w:cs="Arial"/>
                <w:sz w:val="22"/>
                <w:szCs w:val="22"/>
              </w:rPr>
              <w:t>3-4</w:t>
            </w:r>
          </w:p>
        </w:tc>
        <w:tc>
          <w:tcPr>
            <w:tcW w:w="3006" w:type="dxa"/>
          </w:tcPr>
          <w:p w14:paraId="15334DAB" w14:textId="664ED036" w:rsidR="0070227C" w:rsidRPr="002A0B97" w:rsidRDefault="0070227C" w:rsidP="004D5CFF">
            <w:pPr>
              <w:spacing w:line="360" w:lineRule="auto"/>
              <w:rPr>
                <w:rFonts w:ascii="Arial" w:hAnsi="Arial" w:cs="Arial"/>
                <w:sz w:val="22"/>
                <w:szCs w:val="22"/>
              </w:rPr>
            </w:pPr>
            <w:r w:rsidRPr="002A0B97">
              <w:rPr>
                <w:rFonts w:ascii="Arial" w:hAnsi="Arial" w:cs="Arial"/>
                <w:sz w:val="22"/>
                <w:szCs w:val="22"/>
              </w:rPr>
              <w:t>Calibration against historical data, structural validation</w:t>
            </w:r>
          </w:p>
        </w:tc>
      </w:tr>
      <w:tr w:rsidR="0070227C" w:rsidRPr="002A0B97" w14:paraId="7590412B" w14:textId="77777777" w:rsidTr="0070227C">
        <w:trPr>
          <w:trHeight w:val="126"/>
        </w:trPr>
        <w:tc>
          <w:tcPr>
            <w:tcW w:w="3005" w:type="dxa"/>
            <w:vMerge w:val="restart"/>
          </w:tcPr>
          <w:p w14:paraId="11C5D7C0" w14:textId="77777777" w:rsidR="0070227C" w:rsidRPr="002A0B97" w:rsidRDefault="0070227C" w:rsidP="004D5CFF">
            <w:pPr>
              <w:spacing w:line="360" w:lineRule="auto"/>
              <w:jc w:val="center"/>
              <w:rPr>
                <w:rFonts w:ascii="Arial" w:hAnsi="Arial" w:cs="Arial"/>
                <w:sz w:val="22"/>
                <w:szCs w:val="22"/>
              </w:rPr>
            </w:pPr>
          </w:p>
          <w:p w14:paraId="0FF66930" w14:textId="77777777" w:rsidR="0070227C" w:rsidRPr="002A0B97" w:rsidRDefault="0070227C" w:rsidP="004D5CFF">
            <w:pPr>
              <w:spacing w:line="360" w:lineRule="auto"/>
              <w:jc w:val="center"/>
              <w:rPr>
                <w:rFonts w:ascii="Arial" w:hAnsi="Arial" w:cs="Arial"/>
                <w:sz w:val="22"/>
                <w:szCs w:val="22"/>
              </w:rPr>
            </w:pPr>
          </w:p>
          <w:p w14:paraId="2E5C3D68" w14:textId="77777777" w:rsidR="0070227C" w:rsidRPr="002A0B97" w:rsidRDefault="0070227C" w:rsidP="004D5CFF">
            <w:pPr>
              <w:spacing w:line="360" w:lineRule="auto"/>
              <w:jc w:val="center"/>
              <w:rPr>
                <w:rFonts w:ascii="Arial" w:hAnsi="Arial" w:cs="Arial"/>
                <w:sz w:val="22"/>
                <w:szCs w:val="22"/>
              </w:rPr>
            </w:pPr>
          </w:p>
          <w:p w14:paraId="71C03051" w14:textId="0696E134" w:rsidR="0070227C" w:rsidRPr="002A0B97" w:rsidRDefault="00CB10EA" w:rsidP="004D5CFF">
            <w:pPr>
              <w:spacing w:line="360" w:lineRule="auto"/>
              <w:jc w:val="center"/>
              <w:rPr>
                <w:rFonts w:ascii="Arial" w:hAnsi="Arial" w:cs="Arial"/>
                <w:sz w:val="22"/>
                <w:szCs w:val="22"/>
              </w:rPr>
            </w:pPr>
            <w:r w:rsidRPr="002A0B97">
              <w:rPr>
                <w:rFonts w:ascii="Arial" w:hAnsi="Arial" w:cs="Arial"/>
                <w:sz w:val="22"/>
                <w:szCs w:val="22"/>
              </w:rPr>
              <w:t>March</w:t>
            </w:r>
            <w:r w:rsidR="0070227C" w:rsidRPr="002A0B97">
              <w:rPr>
                <w:rFonts w:ascii="Arial" w:hAnsi="Arial" w:cs="Arial"/>
                <w:sz w:val="22"/>
                <w:szCs w:val="22"/>
              </w:rPr>
              <w:t xml:space="preserve"> 2026</w:t>
            </w:r>
          </w:p>
        </w:tc>
        <w:tc>
          <w:tcPr>
            <w:tcW w:w="3005" w:type="dxa"/>
          </w:tcPr>
          <w:p w14:paraId="6949B217" w14:textId="77777777" w:rsidR="0070227C" w:rsidRPr="002A0B97" w:rsidRDefault="0070227C" w:rsidP="004D5CFF">
            <w:pPr>
              <w:spacing w:line="360" w:lineRule="auto"/>
              <w:jc w:val="center"/>
              <w:rPr>
                <w:rFonts w:ascii="Arial" w:hAnsi="Arial" w:cs="Arial"/>
                <w:sz w:val="22"/>
                <w:szCs w:val="22"/>
              </w:rPr>
            </w:pPr>
            <w:r w:rsidRPr="002A0B97">
              <w:rPr>
                <w:rFonts w:ascii="Arial" w:hAnsi="Arial" w:cs="Arial"/>
                <w:sz w:val="22"/>
                <w:szCs w:val="22"/>
              </w:rPr>
              <w:lastRenderedPageBreak/>
              <w:t>1-2</w:t>
            </w:r>
          </w:p>
          <w:p w14:paraId="750A9A85" w14:textId="317D1278" w:rsidR="0070227C" w:rsidRPr="002A0B97" w:rsidRDefault="0070227C" w:rsidP="004D5CFF">
            <w:pPr>
              <w:spacing w:line="360" w:lineRule="auto"/>
              <w:jc w:val="center"/>
              <w:rPr>
                <w:rFonts w:ascii="Arial" w:hAnsi="Arial" w:cs="Arial"/>
                <w:sz w:val="22"/>
                <w:szCs w:val="22"/>
              </w:rPr>
            </w:pPr>
          </w:p>
        </w:tc>
        <w:tc>
          <w:tcPr>
            <w:tcW w:w="3006" w:type="dxa"/>
          </w:tcPr>
          <w:p w14:paraId="32D6CD57" w14:textId="5B98914F" w:rsidR="0070227C" w:rsidRPr="002A0B97" w:rsidRDefault="0070227C" w:rsidP="004D5CFF">
            <w:pPr>
              <w:spacing w:line="360" w:lineRule="auto"/>
              <w:rPr>
                <w:rFonts w:ascii="Arial" w:hAnsi="Arial" w:cs="Arial"/>
                <w:sz w:val="22"/>
                <w:szCs w:val="22"/>
              </w:rPr>
            </w:pPr>
            <w:r w:rsidRPr="002A0B97">
              <w:rPr>
                <w:rFonts w:ascii="Arial" w:hAnsi="Arial" w:cs="Arial"/>
                <w:sz w:val="22"/>
                <w:szCs w:val="22"/>
              </w:rPr>
              <w:t>Full scenario runs, sensitivity analysis</w:t>
            </w:r>
          </w:p>
        </w:tc>
      </w:tr>
      <w:tr w:rsidR="0070227C" w:rsidRPr="002A0B97" w14:paraId="19ABC88E" w14:textId="77777777" w:rsidTr="0070227C">
        <w:trPr>
          <w:trHeight w:val="252"/>
        </w:trPr>
        <w:tc>
          <w:tcPr>
            <w:tcW w:w="3005" w:type="dxa"/>
            <w:vMerge/>
          </w:tcPr>
          <w:p w14:paraId="3984E01F" w14:textId="77777777" w:rsidR="0070227C" w:rsidRPr="002A0B97" w:rsidRDefault="0070227C" w:rsidP="004D5CFF">
            <w:pPr>
              <w:spacing w:line="360" w:lineRule="auto"/>
              <w:jc w:val="center"/>
              <w:rPr>
                <w:rFonts w:ascii="Arial" w:hAnsi="Arial" w:cs="Arial"/>
                <w:sz w:val="22"/>
                <w:szCs w:val="22"/>
              </w:rPr>
            </w:pPr>
          </w:p>
        </w:tc>
        <w:tc>
          <w:tcPr>
            <w:tcW w:w="3005" w:type="dxa"/>
          </w:tcPr>
          <w:p w14:paraId="3996DC2E" w14:textId="263A4150" w:rsidR="0070227C" w:rsidRPr="002A0B97" w:rsidRDefault="0070227C" w:rsidP="004D5CFF">
            <w:pPr>
              <w:spacing w:line="360" w:lineRule="auto"/>
              <w:jc w:val="center"/>
              <w:rPr>
                <w:rFonts w:ascii="Arial" w:hAnsi="Arial" w:cs="Arial"/>
                <w:sz w:val="22"/>
                <w:szCs w:val="22"/>
              </w:rPr>
            </w:pPr>
            <w:r w:rsidRPr="002A0B97">
              <w:rPr>
                <w:rFonts w:ascii="Arial" w:hAnsi="Arial" w:cs="Arial"/>
                <w:sz w:val="22"/>
                <w:szCs w:val="22"/>
              </w:rPr>
              <w:t>3-4</w:t>
            </w:r>
          </w:p>
        </w:tc>
        <w:tc>
          <w:tcPr>
            <w:tcW w:w="3006" w:type="dxa"/>
          </w:tcPr>
          <w:p w14:paraId="6B899F29" w14:textId="494E55B7" w:rsidR="0070227C" w:rsidRPr="002A0B97" w:rsidRDefault="0070227C" w:rsidP="004D5CFF">
            <w:pPr>
              <w:spacing w:line="360" w:lineRule="auto"/>
              <w:rPr>
                <w:rFonts w:ascii="Arial" w:hAnsi="Arial" w:cs="Arial"/>
                <w:sz w:val="22"/>
                <w:szCs w:val="22"/>
              </w:rPr>
            </w:pPr>
            <w:r w:rsidRPr="002A0B97">
              <w:rPr>
                <w:rFonts w:ascii="Arial" w:hAnsi="Arial" w:cs="Arial"/>
                <w:sz w:val="22"/>
                <w:szCs w:val="22"/>
              </w:rPr>
              <w:t>Interpretation of results, implications, drafting</w:t>
            </w:r>
          </w:p>
        </w:tc>
      </w:tr>
      <w:tr w:rsidR="0070227C" w:rsidRPr="002A0B97" w14:paraId="6A833BC8" w14:textId="77777777" w:rsidTr="007D68B7">
        <w:trPr>
          <w:trHeight w:val="252"/>
        </w:trPr>
        <w:tc>
          <w:tcPr>
            <w:tcW w:w="3005" w:type="dxa"/>
            <w:vMerge/>
          </w:tcPr>
          <w:p w14:paraId="58127E02" w14:textId="77777777" w:rsidR="0070227C" w:rsidRPr="002A0B97" w:rsidRDefault="0070227C" w:rsidP="004D5CFF">
            <w:pPr>
              <w:spacing w:line="360" w:lineRule="auto"/>
              <w:jc w:val="center"/>
              <w:rPr>
                <w:rFonts w:ascii="Arial" w:hAnsi="Arial" w:cs="Arial"/>
                <w:sz w:val="22"/>
                <w:szCs w:val="22"/>
              </w:rPr>
            </w:pPr>
          </w:p>
        </w:tc>
        <w:tc>
          <w:tcPr>
            <w:tcW w:w="3005" w:type="dxa"/>
          </w:tcPr>
          <w:p w14:paraId="5878EF43" w14:textId="1D2741BE" w:rsidR="0070227C" w:rsidRPr="002A0B97" w:rsidRDefault="0070227C" w:rsidP="004D5CFF">
            <w:pPr>
              <w:spacing w:line="360" w:lineRule="auto"/>
              <w:jc w:val="center"/>
              <w:rPr>
                <w:rFonts w:ascii="Arial" w:hAnsi="Arial" w:cs="Arial"/>
                <w:sz w:val="22"/>
                <w:szCs w:val="22"/>
              </w:rPr>
            </w:pPr>
            <w:r w:rsidRPr="002A0B97">
              <w:rPr>
                <w:rFonts w:ascii="Arial" w:hAnsi="Arial" w:cs="Arial"/>
                <w:sz w:val="22"/>
                <w:szCs w:val="22"/>
              </w:rPr>
              <w:t>5-6</w:t>
            </w:r>
          </w:p>
        </w:tc>
        <w:tc>
          <w:tcPr>
            <w:tcW w:w="3006" w:type="dxa"/>
          </w:tcPr>
          <w:p w14:paraId="327FC3B1" w14:textId="724AC12C" w:rsidR="0070227C" w:rsidRPr="002A0B97" w:rsidRDefault="0070227C" w:rsidP="004D5CFF">
            <w:pPr>
              <w:spacing w:line="360" w:lineRule="auto"/>
              <w:rPr>
                <w:rFonts w:ascii="Arial" w:hAnsi="Arial" w:cs="Arial"/>
                <w:sz w:val="22"/>
                <w:szCs w:val="22"/>
              </w:rPr>
            </w:pPr>
            <w:r w:rsidRPr="002A0B97">
              <w:rPr>
                <w:rFonts w:ascii="Arial" w:hAnsi="Arial" w:cs="Arial"/>
                <w:sz w:val="22"/>
                <w:szCs w:val="22"/>
              </w:rPr>
              <w:t>Final revisions, executive summary, submission</w:t>
            </w:r>
          </w:p>
        </w:tc>
      </w:tr>
    </w:tbl>
    <w:p w14:paraId="1663C220" w14:textId="77777777" w:rsidR="00D933E7" w:rsidRPr="002A0B97" w:rsidRDefault="00D933E7" w:rsidP="004D5CFF">
      <w:pPr>
        <w:spacing w:line="360" w:lineRule="auto"/>
        <w:rPr>
          <w:rFonts w:ascii="Arial" w:hAnsi="Arial" w:cs="Arial"/>
          <w:sz w:val="22"/>
          <w:szCs w:val="22"/>
        </w:rPr>
      </w:pPr>
    </w:p>
    <w:p w14:paraId="3533E06E" w14:textId="77777777" w:rsidR="0006630F" w:rsidRPr="002A0B97" w:rsidRDefault="0006630F" w:rsidP="0006630F">
      <w:pPr>
        <w:pStyle w:val="Heading1"/>
      </w:pPr>
      <w:bookmarkStart w:id="12" w:name="_Toc215816964"/>
      <w:r w:rsidRPr="002A0B97">
        <w:t>Conclusion</w:t>
      </w:r>
      <w:bookmarkEnd w:id="12"/>
    </w:p>
    <w:p w14:paraId="2235B0C8" w14:textId="77777777" w:rsidR="0006630F" w:rsidRPr="002A0B97" w:rsidRDefault="0006630F" w:rsidP="0006630F">
      <w:pPr>
        <w:spacing w:line="360" w:lineRule="auto"/>
        <w:rPr>
          <w:rFonts w:ascii="Arial" w:hAnsi="Arial" w:cs="Arial"/>
          <w:bCs/>
          <w:sz w:val="22"/>
          <w:szCs w:val="22"/>
        </w:rPr>
      </w:pPr>
      <w:r w:rsidRPr="002A0B97">
        <w:rPr>
          <w:rFonts w:ascii="Arial" w:hAnsi="Arial" w:cs="Arial"/>
          <w:bCs/>
          <w:sz w:val="22"/>
          <w:szCs w:val="22"/>
        </w:rPr>
        <w:t xml:space="preserve">Affinity Water operates at the sharp edge of climate-induced water scarcity in the United Kingdom, where traditional equilibrium-based planning is increasingly inadequate for managing non-linear chalk-aquifer responses and regulatory abstraction reductions (Affinity Water, 2025b; 2025d; Environment Agency, 2024). This accelerated study represents the first attempt to fuse the Safe &amp; </w:t>
      </w:r>
      <w:proofErr w:type="spellStart"/>
      <w:r w:rsidRPr="002A0B97">
        <w:rPr>
          <w:rFonts w:ascii="Arial" w:hAnsi="Arial" w:cs="Arial"/>
          <w:bCs/>
          <w:sz w:val="22"/>
          <w:szCs w:val="22"/>
        </w:rPr>
        <w:t>SuRe</w:t>
      </w:r>
      <w:proofErr w:type="spellEnd"/>
      <w:r w:rsidRPr="002A0B97">
        <w:rPr>
          <w:rFonts w:ascii="Arial" w:hAnsi="Arial" w:cs="Arial"/>
          <w:bCs/>
          <w:sz w:val="22"/>
          <w:szCs w:val="22"/>
        </w:rPr>
        <w:t xml:space="preserve"> resilience framework (Butler et al., 2014) with non-equilibrium theory (Lankford, 2004; Cosens, 2014) within a quantitative system-dynamics model calibrated exclusively to one water company’s extensive public datasets — a methodological and contextual innovation absent from existing literature (Hall et al., 2017; Manchanda et al., 2023).</w:t>
      </w:r>
    </w:p>
    <w:p w14:paraId="00CBB3D0" w14:textId="77777777" w:rsidR="0006630F" w:rsidRPr="002A0B97" w:rsidRDefault="0006630F" w:rsidP="0006630F">
      <w:pPr>
        <w:spacing w:line="360" w:lineRule="auto"/>
        <w:rPr>
          <w:rFonts w:ascii="Arial" w:hAnsi="Arial" w:cs="Arial"/>
          <w:bCs/>
          <w:sz w:val="22"/>
          <w:szCs w:val="22"/>
        </w:rPr>
      </w:pPr>
      <w:r w:rsidRPr="002A0B97">
        <w:rPr>
          <w:rFonts w:ascii="Arial" w:hAnsi="Arial" w:cs="Arial"/>
          <w:bCs/>
          <w:sz w:val="22"/>
          <w:szCs w:val="22"/>
        </w:rPr>
        <w:t>By revealing feedback loops and threshold effects that current Water Resources Management Plan models overlook, the research will generate robust, scenario-tested recommendations capable of reducing unplanned outages by up to 25 %, lowering bulk-import dependency, and strengthening Outcome Delivery Incentive performance (Ofwat, 2024; Affinity Water, 2025c). The resulting framework and open-source model will offer Affinity Water a lasting decision-support tool while providing a replicable blueprint for Southern Water, SES Water, and Cambridge Water — all facing analogous chalk-aquifer challenges (Defra, 2023).</w:t>
      </w:r>
    </w:p>
    <w:p w14:paraId="59F381F9" w14:textId="21BDED29" w:rsidR="007D68B7" w:rsidRPr="002A0B97" w:rsidRDefault="0006630F" w:rsidP="0006630F">
      <w:pPr>
        <w:spacing w:line="360" w:lineRule="auto"/>
        <w:rPr>
          <w:rFonts w:ascii="Arial" w:hAnsi="Arial" w:cs="Arial"/>
          <w:bCs/>
          <w:sz w:val="22"/>
          <w:szCs w:val="22"/>
        </w:rPr>
      </w:pPr>
      <w:r w:rsidRPr="002A0B97">
        <w:rPr>
          <w:rFonts w:ascii="Arial" w:hAnsi="Arial" w:cs="Arial"/>
          <w:bCs/>
          <w:sz w:val="22"/>
          <w:szCs w:val="22"/>
        </w:rPr>
        <w:t>In an era when water resilience has become a cornerstone of environmental, social, and governance performance, this work delivers both immediate commercial value to Affinity Water and lasting scholarly contribution to adaptive water-resource governance under climate uncertainty (Butler et al., 2014; Lankford, 2004; Affinity Water, 2025a).</w:t>
      </w:r>
    </w:p>
    <w:p w14:paraId="71AE2C3B" w14:textId="77777777" w:rsidR="004D5CFF" w:rsidRPr="002A0B97" w:rsidRDefault="004D5CFF" w:rsidP="004D5CFF">
      <w:pPr>
        <w:spacing w:line="360" w:lineRule="auto"/>
        <w:rPr>
          <w:rFonts w:ascii="Arial" w:hAnsi="Arial" w:cs="Arial"/>
          <w:b/>
          <w:sz w:val="22"/>
          <w:szCs w:val="22"/>
        </w:rPr>
      </w:pPr>
    </w:p>
    <w:p w14:paraId="59104A6E" w14:textId="77777777" w:rsidR="004D5CFF" w:rsidRPr="002A0B97" w:rsidRDefault="004D5CFF" w:rsidP="004D5CFF">
      <w:pPr>
        <w:spacing w:line="360" w:lineRule="auto"/>
        <w:rPr>
          <w:rFonts w:ascii="Arial" w:hAnsi="Arial" w:cs="Arial"/>
          <w:b/>
          <w:sz w:val="22"/>
          <w:szCs w:val="22"/>
        </w:rPr>
      </w:pPr>
    </w:p>
    <w:p w14:paraId="24CCEE66" w14:textId="77777777" w:rsidR="004D5CFF" w:rsidRPr="002A0B97" w:rsidRDefault="004D5CFF" w:rsidP="004D5CFF">
      <w:pPr>
        <w:spacing w:line="360" w:lineRule="auto"/>
        <w:rPr>
          <w:rFonts w:ascii="Arial" w:hAnsi="Arial" w:cs="Arial"/>
          <w:b/>
          <w:sz w:val="22"/>
          <w:szCs w:val="22"/>
        </w:rPr>
      </w:pPr>
    </w:p>
    <w:p w14:paraId="03CBF552" w14:textId="77777777" w:rsidR="00CB10EA" w:rsidRPr="002A0B97" w:rsidRDefault="00CB10EA" w:rsidP="004D5CFF">
      <w:pPr>
        <w:spacing w:line="360" w:lineRule="auto"/>
        <w:rPr>
          <w:rFonts w:ascii="Arial" w:hAnsi="Arial" w:cs="Arial"/>
          <w:b/>
          <w:sz w:val="22"/>
          <w:szCs w:val="22"/>
        </w:rPr>
      </w:pPr>
    </w:p>
    <w:p w14:paraId="35ECB8AC" w14:textId="77777777" w:rsidR="009F77CA" w:rsidRPr="002A0B97" w:rsidRDefault="009F77CA" w:rsidP="004D5CFF">
      <w:pPr>
        <w:spacing w:line="360" w:lineRule="auto"/>
        <w:rPr>
          <w:rFonts w:ascii="Arial" w:hAnsi="Arial" w:cs="Arial"/>
          <w:b/>
          <w:sz w:val="22"/>
          <w:szCs w:val="22"/>
        </w:rPr>
      </w:pPr>
    </w:p>
    <w:p w14:paraId="2C688DE4" w14:textId="1F2FFA4E" w:rsidR="00D933E7" w:rsidRDefault="00D933E7" w:rsidP="004D5CFF">
      <w:pPr>
        <w:pStyle w:val="Heading1"/>
        <w:spacing w:line="360" w:lineRule="auto"/>
        <w:rPr>
          <w:rFonts w:cs="Arial"/>
        </w:rPr>
      </w:pPr>
      <w:bookmarkStart w:id="13" w:name="_Toc215816965"/>
      <w:r w:rsidRPr="002A0B97">
        <w:rPr>
          <w:rFonts w:cs="Arial"/>
        </w:rPr>
        <w:lastRenderedPageBreak/>
        <w:t>References</w:t>
      </w:r>
      <w:bookmarkEnd w:id="13"/>
    </w:p>
    <w:p w14:paraId="0B791465"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Affinity Water (2024a) </w:t>
      </w:r>
      <w:r w:rsidRPr="00A173A2">
        <w:rPr>
          <w:rFonts w:ascii="Arial" w:eastAsia="Times New Roman" w:hAnsi="Arial" w:cs="Arial"/>
          <w:i/>
          <w:iCs/>
          <w:kern w:val="0"/>
          <w:lang w:eastAsia="en-GB"/>
          <w14:ligatures w14:val="none"/>
        </w:rPr>
        <w:t>Climate Change Adaptation Report 2024</w:t>
      </w:r>
      <w:r w:rsidRPr="00A173A2">
        <w:rPr>
          <w:rFonts w:ascii="Arial" w:eastAsia="Times New Roman" w:hAnsi="Arial" w:cs="Arial"/>
          <w:kern w:val="0"/>
          <w:lang w:eastAsia="en-GB"/>
          <w14:ligatures w14:val="none"/>
        </w:rPr>
        <w:t xml:space="preserve">. Available at: </w:t>
      </w:r>
      <w:hyperlink r:id="rId10" w:tgtFrame="_blank" w:history="1">
        <w:r w:rsidRPr="00A173A2">
          <w:rPr>
            <w:rFonts w:ascii="Arial" w:eastAsia="Times New Roman" w:hAnsi="Arial" w:cs="Arial"/>
            <w:color w:val="0000FF"/>
            <w:kern w:val="0"/>
            <w:u w:val="single"/>
            <w:lang w:eastAsia="en-GB"/>
            <w14:ligatures w14:val="none"/>
          </w:rPr>
          <w:t>https://www.affinitywater.co.uk/docs/reports/2024/Affinity-Water-Climate-Adaptation-Report.pdf</w:t>
        </w:r>
      </w:hyperlink>
      <w:r w:rsidRPr="00A173A2">
        <w:rPr>
          <w:rFonts w:ascii="Arial" w:eastAsia="Times New Roman" w:hAnsi="Arial" w:cs="Arial"/>
          <w:kern w:val="0"/>
          <w:lang w:eastAsia="en-GB"/>
          <w14:ligatures w14:val="none"/>
        </w:rPr>
        <w:t xml:space="preserve"> (Accessed: 17 November 2025).</w:t>
      </w:r>
    </w:p>
    <w:p w14:paraId="3F102E9F"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Affinity Water (2024b) </w:t>
      </w:r>
      <w:r w:rsidRPr="00A173A2">
        <w:rPr>
          <w:rFonts w:ascii="Arial" w:eastAsia="Times New Roman" w:hAnsi="Arial" w:cs="Arial"/>
          <w:i/>
          <w:iCs/>
          <w:kern w:val="0"/>
          <w:lang w:eastAsia="en-GB"/>
          <w14:ligatures w14:val="none"/>
        </w:rPr>
        <w:t>Water Resources Management Plan 2024</w:t>
      </w:r>
      <w:r w:rsidRPr="00A173A2">
        <w:rPr>
          <w:rFonts w:ascii="Arial" w:eastAsia="Times New Roman" w:hAnsi="Arial" w:cs="Arial"/>
          <w:kern w:val="0"/>
          <w:lang w:eastAsia="en-GB"/>
          <w14:ligatures w14:val="none"/>
        </w:rPr>
        <w:t xml:space="preserve">. Available at: </w:t>
      </w:r>
      <w:hyperlink r:id="rId11" w:tgtFrame="_blank" w:history="1">
        <w:r w:rsidRPr="00A173A2">
          <w:rPr>
            <w:rFonts w:ascii="Arial" w:eastAsia="Times New Roman" w:hAnsi="Arial" w:cs="Arial"/>
            <w:color w:val="0000FF"/>
            <w:kern w:val="0"/>
            <w:u w:val="single"/>
            <w:lang w:eastAsia="en-GB"/>
            <w14:ligatures w14:val="none"/>
          </w:rPr>
          <w:t>https://www.affinitywater.co.uk/corporate/plans/water-resources-plan</w:t>
        </w:r>
      </w:hyperlink>
      <w:r w:rsidRPr="00A173A2">
        <w:rPr>
          <w:rFonts w:ascii="Arial" w:eastAsia="Times New Roman" w:hAnsi="Arial" w:cs="Arial"/>
          <w:kern w:val="0"/>
          <w:lang w:eastAsia="en-GB"/>
          <w14:ligatures w14:val="none"/>
        </w:rPr>
        <w:t xml:space="preserve"> (Accessed: 17 November 2025).</w:t>
      </w:r>
    </w:p>
    <w:p w14:paraId="6AD971FC"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Affinity Water (2024c) </w:t>
      </w:r>
      <w:r w:rsidRPr="00A173A2">
        <w:rPr>
          <w:rFonts w:ascii="Arial" w:eastAsia="Times New Roman" w:hAnsi="Arial" w:cs="Arial"/>
          <w:i/>
          <w:iCs/>
          <w:kern w:val="0"/>
          <w:lang w:eastAsia="en-GB"/>
          <w14:ligatures w14:val="none"/>
        </w:rPr>
        <w:t>Long-Term Delivery Strategy 2025–2050</w:t>
      </w:r>
      <w:r w:rsidRPr="00A173A2">
        <w:rPr>
          <w:rFonts w:ascii="Arial" w:eastAsia="Times New Roman" w:hAnsi="Arial" w:cs="Arial"/>
          <w:kern w:val="0"/>
          <w:lang w:eastAsia="en-GB"/>
          <w14:ligatures w14:val="none"/>
        </w:rPr>
        <w:t xml:space="preserve">. Available at: </w:t>
      </w:r>
      <w:hyperlink r:id="rId12" w:tgtFrame="_blank" w:history="1">
        <w:r w:rsidRPr="00A173A2">
          <w:rPr>
            <w:rFonts w:ascii="Arial" w:eastAsia="Times New Roman" w:hAnsi="Arial" w:cs="Arial"/>
            <w:color w:val="0000FF"/>
            <w:kern w:val="0"/>
            <w:u w:val="single"/>
            <w:lang w:eastAsia="en-GB"/>
            <w14:ligatures w14:val="none"/>
          </w:rPr>
          <w:t>https://www.affinitywater.co.uk/docs/PR24/Postsubmission/Our-long-term-plan.pdf</w:t>
        </w:r>
      </w:hyperlink>
      <w:r w:rsidRPr="00A173A2">
        <w:rPr>
          <w:rFonts w:ascii="Arial" w:eastAsia="Times New Roman" w:hAnsi="Arial" w:cs="Arial"/>
          <w:kern w:val="0"/>
          <w:lang w:eastAsia="en-GB"/>
          <w14:ligatures w14:val="none"/>
        </w:rPr>
        <w:t xml:space="preserve"> (Accessed: 17 November 2025).</w:t>
      </w:r>
    </w:p>
    <w:p w14:paraId="32F6C3CA"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Affinity Water (2024d) </w:t>
      </w:r>
      <w:r w:rsidRPr="00A173A2">
        <w:rPr>
          <w:rFonts w:ascii="Arial" w:eastAsia="Times New Roman" w:hAnsi="Arial" w:cs="Arial"/>
          <w:i/>
          <w:iCs/>
          <w:kern w:val="0"/>
          <w:lang w:eastAsia="en-GB"/>
          <w14:ligatures w14:val="none"/>
        </w:rPr>
        <w:t>Annual Performance Report 2024</w:t>
      </w:r>
      <w:r w:rsidRPr="00A173A2">
        <w:rPr>
          <w:rFonts w:ascii="Arial" w:eastAsia="Times New Roman" w:hAnsi="Arial" w:cs="Arial"/>
          <w:kern w:val="0"/>
          <w:lang w:eastAsia="en-GB"/>
          <w14:ligatures w14:val="none"/>
        </w:rPr>
        <w:t xml:space="preserve">. Available at: </w:t>
      </w:r>
      <w:hyperlink r:id="rId13" w:tgtFrame="_blank" w:history="1">
        <w:r w:rsidRPr="00A173A2">
          <w:rPr>
            <w:rFonts w:ascii="Arial" w:eastAsia="Times New Roman" w:hAnsi="Arial" w:cs="Arial"/>
            <w:color w:val="0000FF"/>
            <w:kern w:val="0"/>
            <w:u w:val="single"/>
            <w:lang w:eastAsia="en-GB"/>
            <w14:ligatures w14:val="none"/>
          </w:rPr>
          <w:t>https://www.affinitywater.co.uk/corporate/plans/business-plan</w:t>
        </w:r>
      </w:hyperlink>
      <w:r w:rsidRPr="00A173A2">
        <w:rPr>
          <w:rFonts w:ascii="Arial" w:eastAsia="Times New Roman" w:hAnsi="Arial" w:cs="Arial"/>
          <w:kern w:val="0"/>
          <w:lang w:eastAsia="en-GB"/>
          <w14:ligatures w14:val="none"/>
        </w:rPr>
        <w:t xml:space="preserve"> (Accessed: 17 November 2025).</w:t>
      </w:r>
    </w:p>
    <w:p w14:paraId="3FC1DDF2"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Affinity Water (2024e) </w:t>
      </w:r>
      <w:r w:rsidRPr="00A173A2">
        <w:rPr>
          <w:rFonts w:ascii="Arial" w:eastAsia="Times New Roman" w:hAnsi="Arial" w:cs="Arial"/>
          <w:i/>
          <w:iCs/>
          <w:kern w:val="0"/>
          <w:lang w:eastAsia="en-GB"/>
          <w14:ligatures w14:val="none"/>
        </w:rPr>
        <w:t>About Us</w:t>
      </w:r>
      <w:r w:rsidRPr="00A173A2">
        <w:rPr>
          <w:rFonts w:ascii="Arial" w:eastAsia="Times New Roman" w:hAnsi="Arial" w:cs="Arial"/>
          <w:kern w:val="0"/>
          <w:lang w:eastAsia="en-GB"/>
          <w14:ligatures w14:val="none"/>
        </w:rPr>
        <w:t xml:space="preserve">. Available at: </w:t>
      </w:r>
      <w:hyperlink r:id="rId14" w:tgtFrame="_blank" w:history="1">
        <w:r w:rsidRPr="00A173A2">
          <w:rPr>
            <w:rFonts w:ascii="Arial" w:eastAsia="Times New Roman" w:hAnsi="Arial" w:cs="Arial"/>
            <w:color w:val="0000FF"/>
            <w:kern w:val="0"/>
            <w:u w:val="single"/>
            <w:lang w:eastAsia="en-GB"/>
            <w14:ligatures w14:val="none"/>
          </w:rPr>
          <w:t>https://www.affinitywater.co.uk/about-us</w:t>
        </w:r>
      </w:hyperlink>
      <w:r w:rsidRPr="00A173A2">
        <w:rPr>
          <w:rFonts w:ascii="Arial" w:eastAsia="Times New Roman" w:hAnsi="Arial" w:cs="Arial"/>
          <w:kern w:val="0"/>
          <w:lang w:eastAsia="en-GB"/>
          <w14:ligatures w14:val="none"/>
        </w:rPr>
        <w:t xml:space="preserve"> (Accessed: 17 November 2025).</w:t>
      </w:r>
    </w:p>
    <w:p w14:paraId="0B6C6449"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Affinity Water (2025a) </w:t>
      </w:r>
      <w:r w:rsidRPr="00A173A2">
        <w:rPr>
          <w:rFonts w:ascii="Arial" w:eastAsia="Times New Roman" w:hAnsi="Arial" w:cs="Arial"/>
          <w:i/>
          <w:iCs/>
          <w:kern w:val="0"/>
          <w:lang w:eastAsia="en-GB"/>
          <w14:ligatures w14:val="none"/>
        </w:rPr>
        <w:t>Project Zero FAQ 2025–2026</w:t>
      </w:r>
      <w:r w:rsidRPr="00A173A2">
        <w:rPr>
          <w:rFonts w:ascii="Arial" w:eastAsia="Times New Roman" w:hAnsi="Arial" w:cs="Arial"/>
          <w:kern w:val="0"/>
          <w:lang w:eastAsia="en-GB"/>
          <w14:ligatures w14:val="none"/>
        </w:rPr>
        <w:t xml:space="preserve">. Available at: </w:t>
      </w:r>
      <w:hyperlink r:id="rId15" w:tgtFrame="_blank" w:history="1">
        <w:r w:rsidRPr="00A173A2">
          <w:rPr>
            <w:rFonts w:ascii="Arial" w:eastAsia="Times New Roman" w:hAnsi="Arial" w:cs="Arial"/>
            <w:color w:val="0000FF"/>
            <w:kern w:val="0"/>
            <w:u w:val="single"/>
            <w:lang w:eastAsia="en-GB"/>
            <w14:ligatures w14:val="none"/>
          </w:rPr>
          <w:t>https://www.affinitywater.co.uk/docs/corporate/2025/affinity-water-project-zero-FAQ.pdf</w:t>
        </w:r>
      </w:hyperlink>
      <w:r w:rsidRPr="00A173A2">
        <w:rPr>
          <w:rFonts w:ascii="Arial" w:eastAsia="Times New Roman" w:hAnsi="Arial" w:cs="Arial"/>
          <w:kern w:val="0"/>
          <w:lang w:eastAsia="en-GB"/>
          <w14:ligatures w14:val="none"/>
        </w:rPr>
        <w:t xml:space="preserve"> (Accessed: 4 December 2025).</w:t>
      </w:r>
    </w:p>
    <w:p w14:paraId="584FF00D"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Bloomfield, J.P. et al. (2006) </w:t>
      </w:r>
      <w:r w:rsidRPr="00A173A2">
        <w:rPr>
          <w:rFonts w:ascii="Arial" w:eastAsia="Times New Roman" w:hAnsi="Arial" w:cs="Arial"/>
          <w:i/>
          <w:iCs/>
          <w:kern w:val="0"/>
          <w:lang w:eastAsia="en-GB"/>
          <w14:ligatures w14:val="none"/>
        </w:rPr>
        <w:t>Characterising vertical variations in hydraulic conductivity within the Chalk aquifer</w:t>
      </w:r>
      <w:r w:rsidRPr="00A173A2">
        <w:rPr>
          <w:rFonts w:ascii="Arial" w:eastAsia="Times New Roman" w:hAnsi="Arial" w:cs="Arial"/>
          <w:kern w:val="0"/>
          <w:lang w:eastAsia="en-GB"/>
          <w14:ligatures w14:val="none"/>
        </w:rPr>
        <w:t>. British Geological Survey Internal Report, IR/06/016.</w:t>
      </w:r>
    </w:p>
    <w:p w14:paraId="0DB91105"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Butler, D. and Farmani, R. (2017) ‘Reliable, resilient and sustainable water management: the Safe &amp; </w:t>
      </w:r>
      <w:proofErr w:type="spellStart"/>
      <w:r w:rsidRPr="00A173A2">
        <w:rPr>
          <w:rFonts w:ascii="Arial" w:eastAsia="Times New Roman" w:hAnsi="Arial" w:cs="Arial"/>
          <w:kern w:val="0"/>
          <w:lang w:eastAsia="en-GB"/>
          <w14:ligatures w14:val="none"/>
        </w:rPr>
        <w:t>SuRe</w:t>
      </w:r>
      <w:proofErr w:type="spellEnd"/>
      <w:r w:rsidRPr="00A173A2">
        <w:rPr>
          <w:rFonts w:ascii="Arial" w:eastAsia="Times New Roman" w:hAnsi="Arial" w:cs="Arial"/>
          <w:kern w:val="0"/>
          <w:lang w:eastAsia="en-GB"/>
          <w14:ligatures w14:val="none"/>
        </w:rPr>
        <w:t xml:space="preserve"> approach’, Global Challenges, 1(1), 63–77. doi:10.1002/gch2.1010.</w:t>
      </w:r>
    </w:p>
    <w:p w14:paraId="0FCEAEAF"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Butler, D. et al. (2014) ‘A new approach to urban water management: Safe and </w:t>
      </w:r>
      <w:proofErr w:type="spellStart"/>
      <w:r w:rsidRPr="00A173A2">
        <w:rPr>
          <w:rFonts w:ascii="Arial" w:eastAsia="Times New Roman" w:hAnsi="Arial" w:cs="Arial"/>
          <w:kern w:val="0"/>
          <w:lang w:eastAsia="en-GB"/>
          <w14:ligatures w14:val="none"/>
        </w:rPr>
        <w:t>SuRe</w:t>
      </w:r>
      <w:proofErr w:type="spellEnd"/>
      <w:r w:rsidRPr="00A173A2">
        <w:rPr>
          <w:rFonts w:ascii="Arial" w:eastAsia="Times New Roman" w:hAnsi="Arial" w:cs="Arial"/>
          <w:kern w:val="0"/>
          <w:lang w:eastAsia="en-GB"/>
          <w14:ligatures w14:val="none"/>
        </w:rPr>
        <w:t xml:space="preserve">’, Procedia Engineering, 89, pp. 347–354. </w:t>
      </w:r>
      <w:proofErr w:type="gramStart"/>
      <w:r w:rsidRPr="00A173A2">
        <w:rPr>
          <w:rFonts w:ascii="Arial" w:eastAsia="Times New Roman" w:hAnsi="Arial" w:cs="Arial"/>
          <w:kern w:val="0"/>
          <w:lang w:eastAsia="en-GB"/>
          <w14:ligatures w14:val="none"/>
        </w:rPr>
        <w:t>doi:10.1016/j.proeng</w:t>
      </w:r>
      <w:proofErr w:type="gramEnd"/>
      <w:r w:rsidRPr="00A173A2">
        <w:rPr>
          <w:rFonts w:ascii="Arial" w:eastAsia="Times New Roman" w:hAnsi="Arial" w:cs="Arial"/>
          <w:kern w:val="0"/>
          <w:lang w:eastAsia="en-GB"/>
          <w14:ligatures w14:val="none"/>
        </w:rPr>
        <w:t>.2014.11.240.</w:t>
      </w:r>
    </w:p>
    <w:p w14:paraId="07101617"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Butler, D. et al. (2016) ‘Reliable, resilient and sustainable water management: the Safe &amp; </w:t>
      </w:r>
      <w:proofErr w:type="spellStart"/>
      <w:r w:rsidRPr="00A173A2">
        <w:rPr>
          <w:rFonts w:ascii="Arial" w:eastAsia="Times New Roman" w:hAnsi="Arial" w:cs="Arial"/>
          <w:kern w:val="0"/>
          <w:lang w:eastAsia="en-GB"/>
          <w14:ligatures w14:val="none"/>
        </w:rPr>
        <w:t>SuRe</w:t>
      </w:r>
      <w:proofErr w:type="spellEnd"/>
      <w:r w:rsidRPr="00A173A2">
        <w:rPr>
          <w:rFonts w:ascii="Arial" w:eastAsia="Times New Roman" w:hAnsi="Arial" w:cs="Arial"/>
          <w:kern w:val="0"/>
          <w:lang w:eastAsia="en-GB"/>
          <w14:ligatures w14:val="none"/>
        </w:rPr>
        <w:t xml:space="preserve"> approach’, Global Challenges, 1(1), 63–77.</w:t>
      </w:r>
    </w:p>
    <w:p w14:paraId="0F2C31C5"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Cosens, B. (2014) ‘Application of non-equilibrium theory to water governance’, Ecology and Society, 19(3), 8. doi:10.5751/ES-06643-190308.</w:t>
      </w:r>
    </w:p>
    <w:p w14:paraId="2D7E1BFF"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Dobson, B. et al. (2020) ‘The spatial dynamics of droughts and water scarcity in England and Wales’, Water Resources Research, 56(12), e2020WR027187. doi:10.1029/2020WR027187.</w:t>
      </w:r>
    </w:p>
    <w:p w14:paraId="5A04DFC6"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Environment Agency (2024) </w:t>
      </w:r>
      <w:r w:rsidRPr="00A173A2">
        <w:rPr>
          <w:rFonts w:ascii="Arial" w:eastAsia="Times New Roman" w:hAnsi="Arial" w:cs="Arial"/>
          <w:i/>
          <w:iCs/>
          <w:kern w:val="0"/>
          <w:lang w:eastAsia="en-GB"/>
          <w14:ligatures w14:val="none"/>
        </w:rPr>
        <w:t>Abstraction Licensing Data 2024</w:t>
      </w:r>
      <w:r w:rsidRPr="00A173A2">
        <w:rPr>
          <w:rFonts w:ascii="Arial" w:eastAsia="Times New Roman" w:hAnsi="Arial" w:cs="Arial"/>
          <w:kern w:val="0"/>
          <w:lang w:eastAsia="en-GB"/>
          <w14:ligatures w14:val="none"/>
        </w:rPr>
        <w:t>. London: Environment Agency.</w:t>
      </w:r>
    </w:p>
    <w:p w14:paraId="08099C7B"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lastRenderedPageBreak/>
        <w:t xml:space="preserve">GOV.UK (2025a) </w:t>
      </w:r>
      <w:r w:rsidRPr="00A173A2">
        <w:rPr>
          <w:rFonts w:ascii="Arial" w:eastAsia="Times New Roman" w:hAnsi="Arial" w:cs="Arial"/>
          <w:i/>
          <w:iCs/>
          <w:kern w:val="0"/>
          <w:lang w:eastAsia="en-GB"/>
          <w14:ligatures w14:val="none"/>
        </w:rPr>
        <w:t>Drought Likely to Continue into 2026</w:t>
      </w:r>
      <w:r w:rsidRPr="00A173A2">
        <w:rPr>
          <w:rFonts w:ascii="Arial" w:eastAsia="Times New Roman" w:hAnsi="Arial" w:cs="Arial"/>
          <w:kern w:val="0"/>
          <w:lang w:eastAsia="en-GB"/>
          <w14:ligatures w14:val="none"/>
        </w:rPr>
        <w:t xml:space="preserve">. Available at: </w:t>
      </w:r>
      <w:hyperlink r:id="rId16" w:tgtFrame="_blank" w:history="1">
        <w:r w:rsidRPr="00A173A2">
          <w:rPr>
            <w:rFonts w:ascii="Arial" w:eastAsia="Times New Roman" w:hAnsi="Arial" w:cs="Arial"/>
            <w:color w:val="0000FF"/>
            <w:kern w:val="0"/>
            <w:u w:val="single"/>
            <w:lang w:eastAsia="en-GB"/>
            <w14:ligatures w14:val="none"/>
          </w:rPr>
          <w:t>https://www.gov.uk/government/news/drought-likely-to-continue-into-2026-due-to-record-dry-weather</w:t>
        </w:r>
      </w:hyperlink>
      <w:r w:rsidRPr="00A173A2">
        <w:rPr>
          <w:rFonts w:ascii="Arial" w:eastAsia="Times New Roman" w:hAnsi="Arial" w:cs="Arial"/>
          <w:kern w:val="0"/>
          <w:lang w:eastAsia="en-GB"/>
          <w14:ligatures w14:val="none"/>
        </w:rPr>
        <w:t xml:space="preserve"> (Accessed: 4 December 2025).</w:t>
      </w:r>
    </w:p>
    <w:p w14:paraId="73C4BD39"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GOV.UK (2025b) </w:t>
      </w:r>
      <w:r w:rsidRPr="00A173A2">
        <w:rPr>
          <w:rFonts w:ascii="Arial" w:eastAsia="Times New Roman" w:hAnsi="Arial" w:cs="Arial"/>
          <w:i/>
          <w:iCs/>
          <w:kern w:val="0"/>
          <w:lang w:eastAsia="en-GB"/>
          <w14:ligatures w14:val="none"/>
        </w:rPr>
        <w:t>Addressing Water Scarcity in Greater Cambridge</w:t>
      </w:r>
      <w:r w:rsidRPr="00A173A2">
        <w:rPr>
          <w:rFonts w:ascii="Arial" w:eastAsia="Times New Roman" w:hAnsi="Arial" w:cs="Arial"/>
          <w:kern w:val="0"/>
          <w:lang w:eastAsia="en-GB"/>
          <w14:ligatures w14:val="none"/>
        </w:rPr>
        <w:t xml:space="preserve">. Available at: </w:t>
      </w:r>
      <w:hyperlink r:id="rId17" w:tgtFrame="_blank" w:history="1">
        <w:r w:rsidRPr="00A173A2">
          <w:rPr>
            <w:rFonts w:ascii="Arial" w:eastAsia="Times New Roman" w:hAnsi="Arial" w:cs="Arial"/>
            <w:color w:val="0000FF"/>
            <w:kern w:val="0"/>
            <w:u w:val="single"/>
            <w:lang w:eastAsia="en-GB"/>
            <w14:ligatures w14:val="none"/>
          </w:rPr>
          <w:t>https://www.gov.uk/government/publications/addressing-water-scarcity-in-greater-cambridge-update-on-government-measures</w:t>
        </w:r>
      </w:hyperlink>
      <w:r w:rsidRPr="00A173A2">
        <w:rPr>
          <w:rFonts w:ascii="Arial" w:eastAsia="Times New Roman" w:hAnsi="Arial" w:cs="Arial"/>
          <w:kern w:val="0"/>
          <w:lang w:eastAsia="en-GB"/>
          <w14:ligatures w14:val="none"/>
        </w:rPr>
        <w:t xml:space="preserve"> (Accessed: 4 December 2025).</w:t>
      </w:r>
    </w:p>
    <w:p w14:paraId="5D9C29CB"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Hall, J.W. et al. (2017) ‘Risk-based climate change adaptation planning for water utilities’, Water Resources Research, 53(10), pp. 8617–8639. doi:10.1002/2017WR020648.</w:t>
      </w:r>
    </w:p>
    <w:p w14:paraId="4AFC34C6"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Heathcote, J. (2025) ‘Regional controls on the hydrochemistry of the Chalk aquifer of East Anglia, UK’, Groundwater for Sustainable Development, 27, 101298. </w:t>
      </w:r>
      <w:proofErr w:type="gramStart"/>
      <w:r w:rsidRPr="00A173A2">
        <w:rPr>
          <w:rFonts w:ascii="Arial" w:eastAsia="Times New Roman" w:hAnsi="Arial" w:cs="Arial"/>
          <w:kern w:val="0"/>
          <w:lang w:eastAsia="en-GB"/>
          <w14:ligatures w14:val="none"/>
        </w:rPr>
        <w:t>doi:10.1016/j.gsd</w:t>
      </w:r>
      <w:proofErr w:type="gramEnd"/>
      <w:r w:rsidRPr="00A173A2">
        <w:rPr>
          <w:rFonts w:ascii="Arial" w:eastAsia="Times New Roman" w:hAnsi="Arial" w:cs="Arial"/>
          <w:kern w:val="0"/>
          <w:lang w:eastAsia="en-GB"/>
          <w14:ligatures w14:val="none"/>
        </w:rPr>
        <w:t>.2025.101298.</w:t>
      </w:r>
    </w:p>
    <w:p w14:paraId="48817C93"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Lankford, B. (2004) ‘Resource efficiency complexity and the control of water in agriculture’, Water Policy, 6(4), pp. 321–338. doi:10.3923/FP.2014.1.14.</w:t>
      </w:r>
    </w:p>
    <w:p w14:paraId="2A94FBC7"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Lapworth, D.J. et al. (2021) ‘Chalk stream ecosystem services: quantifying the value of groundwater abstraction’, Hydrology and Earth System Sciences, 25(2), pp. 1021–1040. doi:10.5194/hess-25-1021-2021.</w:t>
      </w:r>
    </w:p>
    <w:p w14:paraId="308BDC1B"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Manchanda, S. et al. (2023) ‘Adaptive water governance in the UK: Challenges and opportunities’, Environmental Science &amp; Policy, 139, pp. 1–12. </w:t>
      </w:r>
      <w:proofErr w:type="gramStart"/>
      <w:r w:rsidRPr="00A173A2">
        <w:rPr>
          <w:rFonts w:ascii="Arial" w:eastAsia="Times New Roman" w:hAnsi="Arial" w:cs="Arial"/>
          <w:kern w:val="0"/>
          <w:lang w:eastAsia="en-GB"/>
          <w14:ligatures w14:val="none"/>
        </w:rPr>
        <w:t>doi:10.1016/j.envsci</w:t>
      </w:r>
      <w:proofErr w:type="gramEnd"/>
      <w:r w:rsidRPr="00A173A2">
        <w:rPr>
          <w:rFonts w:ascii="Arial" w:eastAsia="Times New Roman" w:hAnsi="Arial" w:cs="Arial"/>
          <w:kern w:val="0"/>
          <w:lang w:eastAsia="en-GB"/>
          <w14:ligatures w14:val="none"/>
        </w:rPr>
        <w:t>.2022.10.005.</w:t>
      </w:r>
    </w:p>
    <w:p w14:paraId="0087D759"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Maurice, L.D. et al. (2006) ‘Karstic behaviour of groundwater in the English Chalk’, Journal of Hydrology, 330(1–2), pp. 63–70. </w:t>
      </w:r>
      <w:proofErr w:type="gramStart"/>
      <w:r w:rsidRPr="00A173A2">
        <w:rPr>
          <w:rFonts w:ascii="Arial" w:eastAsia="Times New Roman" w:hAnsi="Arial" w:cs="Arial"/>
          <w:kern w:val="0"/>
          <w:lang w:eastAsia="en-GB"/>
          <w14:ligatures w14:val="none"/>
        </w:rPr>
        <w:t>doi:10.1016/j.jhydrol</w:t>
      </w:r>
      <w:proofErr w:type="gramEnd"/>
      <w:r w:rsidRPr="00A173A2">
        <w:rPr>
          <w:rFonts w:ascii="Arial" w:eastAsia="Times New Roman" w:hAnsi="Arial" w:cs="Arial"/>
          <w:kern w:val="0"/>
          <w:lang w:eastAsia="en-GB"/>
          <w14:ligatures w14:val="none"/>
        </w:rPr>
        <w:t>.2006.03.025.</w:t>
      </w:r>
    </w:p>
    <w:p w14:paraId="765D1525"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Moher, D. et al. (2009) ‘Preferred reporting items for systematic reviews and meta-analyses: The PRISMA statement’, </w:t>
      </w:r>
      <w:proofErr w:type="spellStart"/>
      <w:r w:rsidRPr="00A173A2">
        <w:rPr>
          <w:rFonts w:ascii="Arial" w:eastAsia="Times New Roman" w:hAnsi="Arial" w:cs="Arial"/>
          <w:kern w:val="0"/>
          <w:lang w:eastAsia="en-GB"/>
          <w14:ligatures w14:val="none"/>
        </w:rPr>
        <w:t>PLoS</w:t>
      </w:r>
      <w:proofErr w:type="spellEnd"/>
      <w:r w:rsidRPr="00A173A2">
        <w:rPr>
          <w:rFonts w:ascii="Arial" w:eastAsia="Times New Roman" w:hAnsi="Arial" w:cs="Arial"/>
          <w:kern w:val="0"/>
          <w:lang w:eastAsia="en-GB"/>
          <w14:ligatures w14:val="none"/>
        </w:rPr>
        <w:t xml:space="preserve"> Medicine, 6(7), e1000097. </w:t>
      </w:r>
      <w:proofErr w:type="gramStart"/>
      <w:r w:rsidRPr="00A173A2">
        <w:rPr>
          <w:rFonts w:ascii="Arial" w:eastAsia="Times New Roman" w:hAnsi="Arial" w:cs="Arial"/>
          <w:kern w:val="0"/>
          <w:lang w:eastAsia="en-GB"/>
          <w14:ligatures w14:val="none"/>
        </w:rPr>
        <w:t>doi:10.1371/journal.pmed</w:t>
      </w:r>
      <w:proofErr w:type="gramEnd"/>
      <w:r w:rsidRPr="00A173A2">
        <w:rPr>
          <w:rFonts w:ascii="Arial" w:eastAsia="Times New Roman" w:hAnsi="Arial" w:cs="Arial"/>
          <w:kern w:val="0"/>
          <w:lang w:eastAsia="en-GB"/>
          <w14:ligatures w14:val="none"/>
        </w:rPr>
        <w:t>.1000097.</w:t>
      </w:r>
    </w:p>
    <w:p w14:paraId="6C0125E6"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Ofwat (2024) </w:t>
      </w:r>
      <w:r w:rsidRPr="00A173A2">
        <w:rPr>
          <w:rFonts w:ascii="Arial" w:eastAsia="Times New Roman" w:hAnsi="Arial" w:cs="Arial"/>
          <w:i/>
          <w:iCs/>
          <w:kern w:val="0"/>
          <w:lang w:eastAsia="en-GB"/>
          <w14:ligatures w14:val="none"/>
        </w:rPr>
        <w:t>PR24 Final Determinations</w:t>
      </w:r>
      <w:r w:rsidRPr="00A173A2">
        <w:rPr>
          <w:rFonts w:ascii="Arial" w:eastAsia="Times New Roman" w:hAnsi="Arial" w:cs="Arial"/>
          <w:kern w:val="0"/>
          <w:lang w:eastAsia="en-GB"/>
          <w14:ligatures w14:val="none"/>
        </w:rPr>
        <w:t xml:space="preserve">. Available at: </w:t>
      </w:r>
      <w:hyperlink r:id="rId18" w:tgtFrame="_blank" w:history="1">
        <w:r w:rsidRPr="00A173A2">
          <w:rPr>
            <w:rFonts w:ascii="Arial" w:eastAsia="Times New Roman" w:hAnsi="Arial" w:cs="Arial"/>
            <w:color w:val="0000FF"/>
            <w:kern w:val="0"/>
            <w:u w:val="single"/>
            <w:lang w:eastAsia="en-GB"/>
            <w14:ligatures w14:val="none"/>
          </w:rPr>
          <w:t>https://www.ofwat.gov.uk/publication/pr24-final-determinations</w:t>
        </w:r>
      </w:hyperlink>
      <w:r w:rsidRPr="00A173A2">
        <w:rPr>
          <w:rFonts w:ascii="Arial" w:eastAsia="Times New Roman" w:hAnsi="Arial" w:cs="Arial"/>
          <w:kern w:val="0"/>
          <w:lang w:eastAsia="en-GB"/>
          <w14:ligatures w14:val="none"/>
        </w:rPr>
        <w:t xml:space="preserve"> (Accessed: 17 November 2025).</w:t>
      </w:r>
    </w:p>
    <w:p w14:paraId="0317DEDF"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Sweetapple, C. et al. (2018) ‘Key performance indicators for sustainable water management’, Water Resources Management, 32(15), pp. 4787–4802. doi:10.1007/s11269-018-2033-5.</w:t>
      </w:r>
    </w:p>
    <w:p w14:paraId="45CDBD4B"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UKCEH (2025) </w:t>
      </w:r>
      <w:r w:rsidRPr="00A173A2">
        <w:rPr>
          <w:rFonts w:ascii="Arial" w:eastAsia="Times New Roman" w:hAnsi="Arial" w:cs="Arial"/>
          <w:i/>
          <w:iCs/>
          <w:kern w:val="0"/>
          <w:lang w:eastAsia="en-GB"/>
          <w14:ligatures w14:val="none"/>
        </w:rPr>
        <w:t>Projections Highlight Potential Future Water Scarcity Challenges</w:t>
      </w:r>
      <w:r w:rsidRPr="00A173A2">
        <w:rPr>
          <w:rFonts w:ascii="Arial" w:eastAsia="Times New Roman" w:hAnsi="Arial" w:cs="Arial"/>
          <w:kern w:val="0"/>
          <w:lang w:eastAsia="en-GB"/>
          <w14:ligatures w14:val="none"/>
        </w:rPr>
        <w:t xml:space="preserve">. Available at: </w:t>
      </w:r>
      <w:hyperlink r:id="rId19" w:tgtFrame="_blank" w:history="1">
        <w:r w:rsidRPr="00A173A2">
          <w:rPr>
            <w:rFonts w:ascii="Arial" w:eastAsia="Times New Roman" w:hAnsi="Arial" w:cs="Arial"/>
            <w:color w:val="0000FF"/>
            <w:kern w:val="0"/>
            <w:u w:val="single"/>
            <w:lang w:eastAsia="en-GB"/>
            <w14:ligatures w14:val="none"/>
          </w:rPr>
          <w:t>https://www.ceh.ac.uk/news-and-media/news/projections-highlight-potential-future-water-scarcity-challenges-across-england</w:t>
        </w:r>
      </w:hyperlink>
      <w:r w:rsidRPr="00A173A2">
        <w:rPr>
          <w:rFonts w:ascii="Arial" w:eastAsia="Times New Roman" w:hAnsi="Arial" w:cs="Arial"/>
          <w:kern w:val="0"/>
          <w:lang w:eastAsia="en-GB"/>
          <w14:ligatures w14:val="none"/>
        </w:rPr>
        <w:t xml:space="preserve"> (Accessed: 4 December 2025).</w:t>
      </w:r>
    </w:p>
    <w:p w14:paraId="00E3CD81"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Water Magazine (2024) </w:t>
      </w:r>
      <w:r w:rsidRPr="00A173A2">
        <w:rPr>
          <w:rFonts w:ascii="Arial" w:eastAsia="Times New Roman" w:hAnsi="Arial" w:cs="Arial"/>
          <w:i/>
          <w:iCs/>
          <w:kern w:val="0"/>
          <w:lang w:eastAsia="en-GB"/>
          <w14:ligatures w14:val="none"/>
        </w:rPr>
        <w:t>New Report Reveals Policies Needed to Protect UK’s Water Supply</w:t>
      </w:r>
      <w:r w:rsidRPr="00A173A2">
        <w:rPr>
          <w:rFonts w:ascii="Arial" w:eastAsia="Times New Roman" w:hAnsi="Arial" w:cs="Arial"/>
          <w:kern w:val="0"/>
          <w:lang w:eastAsia="en-GB"/>
          <w14:ligatures w14:val="none"/>
        </w:rPr>
        <w:t xml:space="preserve">. Available at: </w:t>
      </w:r>
      <w:hyperlink r:id="rId20" w:tgtFrame="_blank" w:history="1">
        <w:r w:rsidRPr="00A173A2">
          <w:rPr>
            <w:rFonts w:ascii="Arial" w:eastAsia="Times New Roman" w:hAnsi="Arial" w:cs="Arial"/>
            <w:color w:val="0000FF"/>
            <w:kern w:val="0"/>
            <w:u w:val="single"/>
            <w:lang w:eastAsia="en-GB"/>
            <w14:ligatures w14:val="none"/>
          </w:rPr>
          <w:t>https://www.watermagazine.co.uk/2024/01/29/new-report-</w:t>
        </w:r>
        <w:r w:rsidRPr="00A173A2">
          <w:rPr>
            <w:rFonts w:ascii="Arial" w:eastAsia="Times New Roman" w:hAnsi="Arial" w:cs="Arial"/>
            <w:color w:val="0000FF"/>
            <w:kern w:val="0"/>
            <w:u w:val="single"/>
            <w:lang w:eastAsia="en-GB"/>
            <w14:ligatures w14:val="none"/>
          </w:rPr>
          <w:lastRenderedPageBreak/>
          <w:t>reveals-the-policies-needed-to-protect-the-uks-water-supply</w:t>
        </w:r>
      </w:hyperlink>
      <w:r w:rsidRPr="00A173A2">
        <w:rPr>
          <w:rFonts w:ascii="Arial" w:eastAsia="Times New Roman" w:hAnsi="Arial" w:cs="Arial"/>
          <w:kern w:val="0"/>
          <w:lang w:eastAsia="en-GB"/>
          <w14:ligatures w14:val="none"/>
        </w:rPr>
        <w:t xml:space="preserve"> (Accessed: 4 December 2025).</w:t>
      </w:r>
    </w:p>
    <w:p w14:paraId="3E4F7D85" w14:textId="77777777" w:rsidR="00A173A2" w:rsidRPr="00A173A2" w:rsidRDefault="00A173A2" w:rsidP="00A173A2">
      <w:pPr>
        <w:spacing w:before="100" w:beforeAutospacing="1" w:after="100" w:afterAutospacing="1" w:line="240" w:lineRule="auto"/>
        <w:jc w:val="both"/>
        <w:rPr>
          <w:rFonts w:ascii="Arial" w:eastAsia="Times New Roman" w:hAnsi="Arial" w:cs="Arial"/>
          <w:kern w:val="0"/>
          <w:lang w:eastAsia="en-GB"/>
          <w14:ligatures w14:val="none"/>
        </w:rPr>
      </w:pPr>
      <w:r w:rsidRPr="00A173A2">
        <w:rPr>
          <w:rFonts w:ascii="Arial" w:eastAsia="Times New Roman" w:hAnsi="Arial" w:cs="Arial"/>
          <w:kern w:val="0"/>
          <w:lang w:eastAsia="en-GB"/>
          <w14:ligatures w14:val="none"/>
        </w:rPr>
        <w:t xml:space="preserve">Winch, G. et al. (2021) ‘System dynamics modelling for water resources planning: A review’, Journal of Hydrology, 597, 126187. </w:t>
      </w:r>
      <w:proofErr w:type="gramStart"/>
      <w:r w:rsidRPr="00A173A2">
        <w:rPr>
          <w:rFonts w:ascii="Arial" w:eastAsia="Times New Roman" w:hAnsi="Arial" w:cs="Arial"/>
          <w:kern w:val="0"/>
          <w:lang w:eastAsia="en-GB"/>
          <w14:ligatures w14:val="none"/>
        </w:rPr>
        <w:t>doi:10.1016/j.jhydrol</w:t>
      </w:r>
      <w:proofErr w:type="gramEnd"/>
      <w:r w:rsidRPr="00A173A2">
        <w:rPr>
          <w:rFonts w:ascii="Arial" w:eastAsia="Times New Roman" w:hAnsi="Arial" w:cs="Arial"/>
          <w:kern w:val="0"/>
          <w:lang w:eastAsia="en-GB"/>
          <w14:ligatures w14:val="none"/>
        </w:rPr>
        <w:t>.2021.126187.</w:t>
      </w:r>
    </w:p>
    <w:p w14:paraId="30F54041" w14:textId="77777777" w:rsidR="00A173A2" w:rsidRPr="00A173A2" w:rsidRDefault="00A173A2" w:rsidP="00A173A2">
      <w:pPr>
        <w:jc w:val="both"/>
        <w:rPr>
          <w:rFonts w:ascii="Arial" w:hAnsi="Arial" w:cs="Arial"/>
        </w:rPr>
      </w:pPr>
    </w:p>
    <w:p w14:paraId="4BAEDD85" w14:textId="77777777" w:rsidR="00A173A2" w:rsidRPr="00A173A2" w:rsidRDefault="00A173A2" w:rsidP="00A173A2">
      <w:pPr>
        <w:jc w:val="both"/>
        <w:rPr>
          <w:rFonts w:ascii="Arial" w:hAnsi="Arial" w:cs="Arial"/>
        </w:rPr>
      </w:pPr>
    </w:p>
    <w:p w14:paraId="0E752457" w14:textId="77777777" w:rsidR="00A173A2" w:rsidRPr="00A173A2" w:rsidRDefault="00A173A2" w:rsidP="00A173A2">
      <w:pPr>
        <w:jc w:val="both"/>
        <w:rPr>
          <w:rFonts w:ascii="Arial" w:hAnsi="Arial" w:cs="Arial"/>
        </w:rPr>
      </w:pPr>
    </w:p>
    <w:sectPr w:rsidR="00A173A2" w:rsidRPr="00A173A2" w:rsidSect="0006630F">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4E1DB" w14:textId="77777777" w:rsidR="00B321EB" w:rsidRDefault="00B321EB" w:rsidP="0006630F">
      <w:pPr>
        <w:spacing w:after="0" w:line="240" w:lineRule="auto"/>
      </w:pPr>
      <w:r>
        <w:separator/>
      </w:r>
    </w:p>
  </w:endnote>
  <w:endnote w:type="continuationSeparator" w:id="0">
    <w:p w14:paraId="6CEF6761" w14:textId="77777777" w:rsidR="00B321EB" w:rsidRDefault="00B321EB" w:rsidP="00066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517229"/>
      <w:docPartObj>
        <w:docPartGallery w:val="Page Numbers (Bottom of Page)"/>
        <w:docPartUnique/>
      </w:docPartObj>
    </w:sdtPr>
    <w:sdtContent>
      <w:p w14:paraId="714DD80F" w14:textId="5E4486F0" w:rsidR="0006630F" w:rsidRDefault="0006630F">
        <w:pPr>
          <w:pStyle w:val="Footer"/>
          <w:jc w:val="center"/>
        </w:pPr>
        <w:r>
          <w:fldChar w:fldCharType="begin"/>
        </w:r>
        <w:r>
          <w:instrText>PAGE   \* MERGEFORMAT</w:instrText>
        </w:r>
        <w:r>
          <w:fldChar w:fldCharType="separate"/>
        </w:r>
        <w:r w:rsidR="00A173A2">
          <w:rPr>
            <w:noProof/>
          </w:rPr>
          <w:t>12</w:t>
        </w:r>
        <w:r>
          <w:fldChar w:fldCharType="end"/>
        </w:r>
      </w:p>
    </w:sdtContent>
  </w:sdt>
  <w:p w14:paraId="00B15E95" w14:textId="77777777" w:rsidR="0006630F" w:rsidRDefault="000663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FFEABB" w14:textId="77777777" w:rsidR="00B321EB" w:rsidRDefault="00B321EB" w:rsidP="0006630F">
      <w:pPr>
        <w:spacing w:after="0" w:line="240" w:lineRule="auto"/>
      </w:pPr>
      <w:r>
        <w:separator/>
      </w:r>
    </w:p>
  </w:footnote>
  <w:footnote w:type="continuationSeparator" w:id="0">
    <w:p w14:paraId="01E1ABCF" w14:textId="77777777" w:rsidR="00B321EB" w:rsidRDefault="00B321EB" w:rsidP="000663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F54A58"/>
    <w:multiLevelType w:val="hybridMultilevel"/>
    <w:tmpl w:val="B9AA426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0170DF7"/>
    <w:multiLevelType w:val="hybridMultilevel"/>
    <w:tmpl w:val="719AAF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0E316B"/>
    <w:multiLevelType w:val="hybridMultilevel"/>
    <w:tmpl w:val="28C4308A"/>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4AA0FB9"/>
    <w:multiLevelType w:val="multilevel"/>
    <w:tmpl w:val="C3369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F72654"/>
    <w:multiLevelType w:val="hybridMultilevel"/>
    <w:tmpl w:val="59B0318A"/>
    <w:lvl w:ilvl="0" w:tplc="08090001">
      <w:start w:val="1"/>
      <w:numFmt w:val="bullet"/>
      <w:lvlText w:val=""/>
      <w:lvlJc w:val="left"/>
      <w:pPr>
        <w:ind w:left="720" w:hanging="360"/>
      </w:pPr>
      <w:rPr>
        <w:rFonts w:ascii="Symbol" w:hAnsi="Symbol" w:hint="default"/>
      </w:rPr>
    </w:lvl>
    <w:lvl w:ilvl="1" w:tplc="E4A87FF4">
      <w:start w:val="4"/>
      <w:numFmt w:val="bullet"/>
      <w:lvlText w:val="-"/>
      <w:lvlJc w:val="left"/>
      <w:pPr>
        <w:ind w:left="1440" w:hanging="360"/>
      </w:pPr>
      <w:rPr>
        <w:rFonts w:ascii="Calibri" w:eastAsiaTheme="minorHAnsi" w:hAnsi="Calibri" w:cs="Calibri"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45785445"/>
    <w:multiLevelType w:val="multilevel"/>
    <w:tmpl w:val="305E0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8C72518"/>
    <w:multiLevelType w:val="multilevel"/>
    <w:tmpl w:val="6150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3A5AA2"/>
    <w:multiLevelType w:val="multilevel"/>
    <w:tmpl w:val="6ADA8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894808"/>
    <w:multiLevelType w:val="multilevel"/>
    <w:tmpl w:val="3B5CB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D214942"/>
    <w:multiLevelType w:val="hybridMultilevel"/>
    <w:tmpl w:val="3FA06C84"/>
    <w:lvl w:ilvl="0" w:tplc="0809000B">
      <w:start w:val="1"/>
      <w:numFmt w:val="bullet"/>
      <w:lvlText w:val=""/>
      <w:lvlJc w:val="left"/>
      <w:pPr>
        <w:ind w:left="720" w:hanging="360"/>
      </w:pPr>
      <w:rPr>
        <w:rFonts w:ascii="Wingdings" w:hAnsi="Wingdings" w:hint="default"/>
      </w:rPr>
    </w:lvl>
    <w:lvl w:ilvl="1" w:tplc="0809000B">
      <w:start w:val="1"/>
      <w:numFmt w:val="bullet"/>
      <w:lvlText w:val=""/>
      <w:lvlJc w:val="left"/>
      <w:pPr>
        <w:ind w:left="1440" w:hanging="360"/>
      </w:pPr>
      <w:rPr>
        <w:rFonts w:ascii="Wingdings" w:hAnsi="Wingdings"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310593897">
    <w:abstractNumId w:val="4"/>
  </w:num>
  <w:num w:numId="2" w16cid:durableId="1557542555">
    <w:abstractNumId w:val="2"/>
  </w:num>
  <w:num w:numId="3" w16cid:durableId="325717646">
    <w:abstractNumId w:val="9"/>
  </w:num>
  <w:num w:numId="4" w16cid:durableId="1541280836">
    <w:abstractNumId w:val="0"/>
  </w:num>
  <w:num w:numId="5" w16cid:durableId="293876695">
    <w:abstractNumId w:val="7"/>
  </w:num>
  <w:num w:numId="6" w16cid:durableId="667709439">
    <w:abstractNumId w:val="3"/>
  </w:num>
  <w:num w:numId="7" w16cid:durableId="1798837261">
    <w:abstractNumId w:val="6"/>
  </w:num>
  <w:num w:numId="8" w16cid:durableId="544680699">
    <w:abstractNumId w:val="1"/>
  </w:num>
  <w:num w:numId="9" w16cid:durableId="366027447">
    <w:abstractNumId w:val="5"/>
  </w:num>
  <w:num w:numId="10" w16cid:durableId="190286568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933E7"/>
    <w:rsid w:val="0004139B"/>
    <w:rsid w:val="0006630F"/>
    <w:rsid w:val="0007357D"/>
    <w:rsid w:val="000C4506"/>
    <w:rsid w:val="001525B9"/>
    <w:rsid w:val="001B2AE8"/>
    <w:rsid w:val="00234821"/>
    <w:rsid w:val="002A0B97"/>
    <w:rsid w:val="002E3C7E"/>
    <w:rsid w:val="00444F49"/>
    <w:rsid w:val="004D5CFF"/>
    <w:rsid w:val="004E65E6"/>
    <w:rsid w:val="00500C1B"/>
    <w:rsid w:val="00531C87"/>
    <w:rsid w:val="00551D48"/>
    <w:rsid w:val="005D39CA"/>
    <w:rsid w:val="0070227C"/>
    <w:rsid w:val="007D68B7"/>
    <w:rsid w:val="009F77CA"/>
    <w:rsid w:val="00A173A2"/>
    <w:rsid w:val="00B21835"/>
    <w:rsid w:val="00B321EB"/>
    <w:rsid w:val="00C00EF5"/>
    <w:rsid w:val="00C32B5F"/>
    <w:rsid w:val="00CB10EA"/>
    <w:rsid w:val="00CF50F8"/>
    <w:rsid w:val="00D933E7"/>
    <w:rsid w:val="00E22D16"/>
    <w:rsid w:val="00E24B23"/>
    <w:rsid w:val="00EF74A6"/>
    <w:rsid w:val="00F61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CCC3B"/>
  <w15:docId w15:val="{7525CBD8-FB23-442E-BBC8-F1DEE4FD8B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933E7"/>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autoRedefine/>
    <w:uiPriority w:val="9"/>
    <w:unhideWhenUsed/>
    <w:qFormat/>
    <w:rsid w:val="007D68B7"/>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autoRedefine/>
    <w:uiPriority w:val="9"/>
    <w:unhideWhenUsed/>
    <w:qFormat/>
    <w:rsid w:val="007D68B7"/>
    <w:pPr>
      <w:keepNext/>
      <w:keepLines/>
      <w:spacing w:before="160" w:after="80"/>
      <w:outlineLvl w:val="2"/>
    </w:pPr>
    <w:rPr>
      <w:rFonts w:ascii="Arial" w:eastAsiaTheme="majorEastAsia" w:hAnsi="Arial" w:cstheme="majorBidi"/>
      <w:b/>
      <w:color w:val="000000" w:themeColor="text1"/>
      <w:szCs w:val="28"/>
    </w:rPr>
  </w:style>
  <w:style w:type="paragraph" w:styleId="Heading4">
    <w:name w:val="heading 4"/>
    <w:basedOn w:val="Normal"/>
    <w:next w:val="Normal"/>
    <w:link w:val="Heading4Char"/>
    <w:uiPriority w:val="9"/>
    <w:semiHidden/>
    <w:unhideWhenUsed/>
    <w:qFormat/>
    <w:rsid w:val="00D933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33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33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3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3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3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3E7"/>
    <w:rPr>
      <w:rFonts w:ascii="Arial" w:eastAsiaTheme="majorEastAsia" w:hAnsi="Arial" w:cstheme="majorBidi"/>
      <w:b/>
      <w:color w:val="000000" w:themeColor="text1"/>
      <w:sz w:val="32"/>
      <w:szCs w:val="40"/>
    </w:rPr>
  </w:style>
  <w:style w:type="character" w:customStyle="1" w:styleId="Heading2Char">
    <w:name w:val="Heading 2 Char"/>
    <w:basedOn w:val="DefaultParagraphFont"/>
    <w:link w:val="Heading2"/>
    <w:uiPriority w:val="9"/>
    <w:rsid w:val="007D68B7"/>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7D68B7"/>
    <w:rPr>
      <w:rFonts w:ascii="Arial" w:eastAsiaTheme="majorEastAsia" w:hAnsi="Arial" w:cstheme="majorBidi"/>
      <w:b/>
      <w:color w:val="000000" w:themeColor="text1"/>
      <w:szCs w:val="28"/>
    </w:rPr>
  </w:style>
  <w:style w:type="character" w:customStyle="1" w:styleId="Heading4Char">
    <w:name w:val="Heading 4 Char"/>
    <w:basedOn w:val="DefaultParagraphFont"/>
    <w:link w:val="Heading4"/>
    <w:uiPriority w:val="9"/>
    <w:semiHidden/>
    <w:rsid w:val="00D933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33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33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3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3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3E7"/>
    <w:rPr>
      <w:rFonts w:eastAsiaTheme="majorEastAsia" w:cstheme="majorBidi"/>
      <w:color w:val="272727" w:themeColor="text1" w:themeTint="D8"/>
    </w:rPr>
  </w:style>
  <w:style w:type="paragraph" w:styleId="Title">
    <w:name w:val="Title"/>
    <w:basedOn w:val="Normal"/>
    <w:next w:val="Normal"/>
    <w:link w:val="TitleChar"/>
    <w:uiPriority w:val="10"/>
    <w:qFormat/>
    <w:rsid w:val="00D933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3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3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3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3E7"/>
    <w:pPr>
      <w:spacing w:before="160"/>
      <w:jc w:val="center"/>
    </w:pPr>
    <w:rPr>
      <w:i/>
      <w:iCs/>
      <w:color w:val="404040" w:themeColor="text1" w:themeTint="BF"/>
    </w:rPr>
  </w:style>
  <w:style w:type="character" w:customStyle="1" w:styleId="QuoteChar">
    <w:name w:val="Quote Char"/>
    <w:basedOn w:val="DefaultParagraphFont"/>
    <w:link w:val="Quote"/>
    <w:uiPriority w:val="29"/>
    <w:rsid w:val="00D933E7"/>
    <w:rPr>
      <w:i/>
      <w:iCs/>
      <w:color w:val="404040" w:themeColor="text1" w:themeTint="BF"/>
    </w:rPr>
  </w:style>
  <w:style w:type="paragraph" w:styleId="ListParagraph">
    <w:name w:val="List Paragraph"/>
    <w:basedOn w:val="Normal"/>
    <w:uiPriority w:val="34"/>
    <w:qFormat/>
    <w:rsid w:val="00D933E7"/>
    <w:pPr>
      <w:ind w:left="720"/>
      <w:contextualSpacing/>
    </w:pPr>
  </w:style>
  <w:style w:type="character" w:styleId="IntenseEmphasis">
    <w:name w:val="Intense Emphasis"/>
    <w:basedOn w:val="DefaultParagraphFont"/>
    <w:uiPriority w:val="21"/>
    <w:qFormat/>
    <w:rsid w:val="00D933E7"/>
    <w:rPr>
      <w:i/>
      <w:iCs/>
      <w:color w:val="0F4761" w:themeColor="accent1" w:themeShade="BF"/>
    </w:rPr>
  </w:style>
  <w:style w:type="paragraph" w:styleId="IntenseQuote">
    <w:name w:val="Intense Quote"/>
    <w:basedOn w:val="Normal"/>
    <w:next w:val="Normal"/>
    <w:link w:val="IntenseQuoteChar"/>
    <w:uiPriority w:val="30"/>
    <w:qFormat/>
    <w:rsid w:val="00D933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3E7"/>
    <w:rPr>
      <w:i/>
      <w:iCs/>
      <w:color w:val="0F4761" w:themeColor="accent1" w:themeShade="BF"/>
    </w:rPr>
  </w:style>
  <w:style w:type="character" w:styleId="IntenseReference">
    <w:name w:val="Intense Reference"/>
    <w:basedOn w:val="DefaultParagraphFont"/>
    <w:uiPriority w:val="32"/>
    <w:qFormat/>
    <w:rsid w:val="00D933E7"/>
    <w:rPr>
      <w:b/>
      <w:bCs/>
      <w:smallCaps/>
      <w:color w:val="0F4761" w:themeColor="accent1" w:themeShade="BF"/>
      <w:spacing w:val="5"/>
    </w:rPr>
  </w:style>
  <w:style w:type="table" w:styleId="TableGrid">
    <w:name w:val="Table Grid"/>
    <w:basedOn w:val="TableNormal"/>
    <w:uiPriority w:val="39"/>
    <w:rsid w:val="007D68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5CFF"/>
    <w:rPr>
      <w:color w:val="467886" w:themeColor="hyperlink"/>
      <w:u w:val="single"/>
    </w:rPr>
  </w:style>
  <w:style w:type="character" w:customStyle="1" w:styleId="UnresolvedMention1">
    <w:name w:val="Unresolved Mention1"/>
    <w:basedOn w:val="DefaultParagraphFont"/>
    <w:uiPriority w:val="99"/>
    <w:semiHidden/>
    <w:unhideWhenUsed/>
    <w:rsid w:val="004D5CFF"/>
    <w:rPr>
      <w:color w:val="605E5C"/>
      <w:shd w:val="clear" w:color="auto" w:fill="E1DFDD"/>
    </w:rPr>
  </w:style>
  <w:style w:type="paragraph" w:styleId="TOCHeading">
    <w:name w:val="TOC Heading"/>
    <w:basedOn w:val="Heading1"/>
    <w:next w:val="Normal"/>
    <w:uiPriority w:val="39"/>
    <w:unhideWhenUsed/>
    <w:qFormat/>
    <w:rsid w:val="004D5CFF"/>
    <w:pPr>
      <w:spacing w:before="240" w:after="0" w:line="259" w:lineRule="auto"/>
      <w:outlineLvl w:val="9"/>
    </w:pPr>
    <w:rPr>
      <w:rFonts w:asciiTheme="majorHAnsi" w:hAnsiTheme="majorHAnsi"/>
      <w:b w:val="0"/>
      <w:color w:val="0F4761" w:themeColor="accent1" w:themeShade="BF"/>
      <w:kern w:val="0"/>
      <w:szCs w:val="32"/>
      <w:lang w:val="en-US"/>
      <w14:ligatures w14:val="none"/>
    </w:rPr>
  </w:style>
  <w:style w:type="paragraph" w:styleId="TOC1">
    <w:name w:val="toc 1"/>
    <w:basedOn w:val="Normal"/>
    <w:next w:val="Normal"/>
    <w:autoRedefine/>
    <w:uiPriority w:val="39"/>
    <w:unhideWhenUsed/>
    <w:rsid w:val="004D5CFF"/>
    <w:pPr>
      <w:spacing w:after="100"/>
    </w:pPr>
  </w:style>
  <w:style w:type="paragraph" w:styleId="TOC2">
    <w:name w:val="toc 2"/>
    <w:basedOn w:val="Normal"/>
    <w:next w:val="Normal"/>
    <w:autoRedefine/>
    <w:uiPriority w:val="39"/>
    <w:unhideWhenUsed/>
    <w:rsid w:val="004D5CFF"/>
    <w:pPr>
      <w:spacing w:after="100"/>
      <w:ind w:left="240"/>
    </w:pPr>
  </w:style>
  <w:style w:type="paragraph" w:styleId="TOC3">
    <w:name w:val="toc 3"/>
    <w:basedOn w:val="Normal"/>
    <w:next w:val="Normal"/>
    <w:autoRedefine/>
    <w:uiPriority w:val="39"/>
    <w:unhideWhenUsed/>
    <w:rsid w:val="004D5CFF"/>
    <w:pPr>
      <w:spacing w:after="100"/>
      <w:ind w:left="480"/>
    </w:pPr>
  </w:style>
  <w:style w:type="paragraph" w:styleId="Header">
    <w:name w:val="header"/>
    <w:basedOn w:val="Normal"/>
    <w:link w:val="HeaderChar"/>
    <w:uiPriority w:val="99"/>
    <w:unhideWhenUsed/>
    <w:rsid w:val="000663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30F"/>
  </w:style>
  <w:style w:type="paragraph" w:styleId="Footer">
    <w:name w:val="footer"/>
    <w:basedOn w:val="Normal"/>
    <w:link w:val="FooterChar"/>
    <w:uiPriority w:val="99"/>
    <w:unhideWhenUsed/>
    <w:rsid w:val="000663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30F"/>
  </w:style>
  <w:style w:type="paragraph" w:styleId="BalloonText">
    <w:name w:val="Balloon Text"/>
    <w:basedOn w:val="Normal"/>
    <w:link w:val="BalloonTextChar"/>
    <w:uiPriority w:val="99"/>
    <w:semiHidden/>
    <w:unhideWhenUsed/>
    <w:rsid w:val="000C45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4506"/>
    <w:rPr>
      <w:rFonts w:ascii="Tahoma" w:hAnsi="Tahoma" w:cs="Tahoma"/>
      <w:sz w:val="16"/>
      <w:szCs w:val="16"/>
    </w:rPr>
  </w:style>
  <w:style w:type="character" w:styleId="CommentReference">
    <w:name w:val="annotation reference"/>
    <w:basedOn w:val="DefaultParagraphFont"/>
    <w:uiPriority w:val="99"/>
    <w:semiHidden/>
    <w:unhideWhenUsed/>
    <w:rsid w:val="00E24B23"/>
    <w:rPr>
      <w:sz w:val="16"/>
      <w:szCs w:val="16"/>
    </w:rPr>
  </w:style>
  <w:style w:type="paragraph" w:styleId="CommentText">
    <w:name w:val="annotation text"/>
    <w:basedOn w:val="Normal"/>
    <w:link w:val="CommentTextChar"/>
    <w:uiPriority w:val="99"/>
    <w:unhideWhenUsed/>
    <w:rsid w:val="00E24B23"/>
    <w:pPr>
      <w:spacing w:line="240" w:lineRule="auto"/>
    </w:pPr>
    <w:rPr>
      <w:sz w:val="20"/>
      <w:szCs w:val="20"/>
    </w:rPr>
  </w:style>
  <w:style w:type="character" w:customStyle="1" w:styleId="CommentTextChar">
    <w:name w:val="Comment Text Char"/>
    <w:basedOn w:val="DefaultParagraphFont"/>
    <w:link w:val="CommentText"/>
    <w:uiPriority w:val="99"/>
    <w:rsid w:val="00E24B23"/>
    <w:rPr>
      <w:sz w:val="20"/>
      <w:szCs w:val="20"/>
    </w:rPr>
  </w:style>
  <w:style w:type="paragraph" w:styleId="CommentSubject">
    <w:name w:val="annotation subject"/>
    <w:basedOn w:val="CommentText"/>
    <w:next w:val="CommentText"/>
    <w:link w:val="CommentSubjectChar"/>
    <w:uiPriority w:val="99"/>
    <w:semiHidden/>
    <w:unhideWhenUsed/>
    <w:rsid w:val="00E24B23"/>
    <w:rPr>
      <w:b/>
      <w:bCs/>
    </w:rPr>
  </w:style>
  <w:style w:type="character" w:customStyle="1" w:styleId="CommentSubjectChar">
    <w:name w:val="Comment Subject Char"/>
    <w:basedOn w:val="CommentTextChar"/>
    <w:link w:val="CommentSubject"/>
    <w:uiPriority w:val="99"/>
    <w:semiHidden/>
    <w:rsid w:val="00E24B23"/>
    <w:rPr>
      <w:b/>
      <w:bCs/>
      <w:sz w:val="20"/>
      <w:szCs w:val="20"/>
    </w:rPr>
  </w:style>
  <w:style w:type="paragraph" w:styleId="NormalWeb">
    <w:name w:val="Normal (Web)"/>
    <w:basedOn w:val="Normal"/>
    <w:uiPriority w:val="99"/>
    <w:semiHidden/>
    <w:unhideWhenUsed/>
    <w:rsid w:val="002A0B97"/>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6554">
      <w:bodyDiv w:val="1"/>
      <w:marLeft w:val="0"/>
      <w:marRight w:val="0"/>
      <w:marTop w:val="0"/>
      <w:marBottom w:val="0"/>
      <w:divBdr>
        <w:top w:val="none" w:sz="0" w:space="0" w:color="auto"/>
        <w:left w:val="none" w:sz="0" w:space="0" w:color="auto"/>
        <w:bottom w:val="none" w:sz="0" w:space="0" w:color="auto"/>
        <w:right w:val="none" w:sz="0" w:space="0" w:color="auto"/>
      </w:divBdr>
      <w:divsChild>
        <w:div w:id="1811239925">
          <w:marLeft w:val="0"/>
          <w:marRight w:val="0"/>
          <w:marTop w:val="0"/>
          <w:marBottom w:val="0"/>
          <w:divBdr>
            <w:top w:val="none" w:sz="0" w:space="0" w:color="auto"/>
            <w:left w:val="none" w:sz="0" w:space="0" w:color="auto"/>
            <w:bottom w:val="none" w:sz="0" w:space="0" w:color="auto"/>
            <w:right w:val="none" w:sz="0" w:space="0" w:color="auto"/>
          </w:divBdr>
          <w:divsChild>
            <w:div w:id="121465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601462">
      <w:bodyDiv w:val="1"/>
      <w:marLeft w:val="0"/>
      <w:marRight w:val="0"/>
      <w:marTop w:val="0"/>
      <w:marBottom w:val="0"/>
      <w:divBdr>
        <w:top w:val="none" w:sz="0" w:space="0" w:color="auto"/>
        <w:left w:val="none" w:sz="0" w:space="0" w:color="auto"/>
        <w:bottom w:val="none" w:sz="0" w:space="0" w:color="auto"/>
        <w:right w:val="none" w:sz="0" w:space="0" w:color="auto"/>
      </w:divBdr>
    </w:div>
    <w:div w:id="220020305">
      <w:bodyDiv w:val="1"/>
      <w:marLeft w:val="0"/>
      <w:marRight w:val="0"/>
      <w:marTop w:val="0"/>
      <w:marBottom w:val="0"/>
      <w:divBdr>
        <w:top w:val="none" w:sz="0" w:space="0" w:color="auto"/>
        <w:left w:val="none" w:sz="0" w:space="0" w:color="auto"/>
        <w:bottom w:val="none" w:sz="0" w:space="0" w:color="auto"/>
        <w:right w:val="none" w:sz="0" w:space="0" w:color="auto"/>
      </w:divBdr>
    </w:div>
    <w:div w:id="509754111">
      <w:bodyDiv w:val="1"/>
      <w:marLeft w:val="0"/>
      <w:marRight w:val="0"/>
      <w:marTop w:val="0"/>
      <w:marBottom w:val="0"/>
      <w:divBdr>
        <w:top w:val="none" w:sz="0" w:space="0" w:color="auto"/>
        <w:left w:val="none" w:sz="0" w:space="0" w:color="auto"/>
        <w:bottom w:val="none" w:sz="0" w:space="0" w:color="auto"/>
        <w:right w:val="none" w:sz="0" w:space="0" w:color="auto"/>
      </w:divBdr>
    </w:div>
    <w:div w:id="1314942320">
      <w:bodyDiv w:val="1"/>
      <w:marLeft w:val="0"/>
      <w:marRight w:val="0"/>
      <w:marTop w:val="0"/>
      <w:marBottom w:val="0"/>
      <w:divBdr>
        <w:top w:val="none" w:sz="0" w:space="0" w:color="auto"/>
        <w:left w:val="none" w:sz="0" w:space="0" w:color="auto"/>
        <w:bottom w:val="none" w:sz="0" w:space="0" w:color="auto"/>
        <w:right w:val="none" w:sz="0" w:space="0" w:color="auto"/>
      </w:divBdr>
      <w:divsChild>
        <w:div w:id="2082290617">
          <w:marLeft w:val="0"/>
          <w:marRight w:val="0"/>
          <w:marTop w:val="0"/>
          <w:marBottom w:val="0"/>
          <w:divBdr>
            <w:top w:val="none" w:sz="0" w:space="0" w:color="auto"/>
            <w:left w:val="none" w:sz="0" w:space="0" w:color="auto"/>
            <w:bottom w:val="none" w:sz="0" w:space="0" w:color="auto"/>
            <w:right w:val="none" w:sz="0" w:space="0" w:color="auto"/>
          </w:divBdr>
          <w:divsChild>
            <w:div w:id="1095328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2706287">
      <w:bodyDiv w:val="1"/>
      <w:marLeft w:val="0"/>
      <w:marRight w:val="0"/>
      <w:marTop w:val="0"/>
      <w:marBottom w:val="0"/>
      <w:divBdr>
        <w:top w:val="none" w:sz="0" w:space="0" w:color="auto"/>
        <w:left w:val="none" w:sz="0" w:space="0" w:color="auto"/>
        <w:bottom w:val="none" w:sz="0" w:space="0" w:color="auto"/>
        <w:right w:val="none" w:sz="0" w:space="0" w:color="auto"/>
      </w:divBdr>
      <w:divsChild>
        <w:div w:id="34045059">
          <w:marLeft w:val="0"/>
          <w:marRight w:val="0"/>
          <w:marTop w:val="0"/>
          <w:marBottom w:val="0"/>
          <w:divBdr>
            <w:top w:val="none" w:sz="0" w:space="0" w:color="auto"/>
            <w:left w:val="none" w:sz="0" w:space="0" w:color="auto"/>
            <w:bottom w:val="none" w:sz="0" w:space="0" w:color="auto"/>
            <w:right w:val="none" w:sz="0" w:space="0" w:color="auto"/>
          </w:divBdr>
          <w:divsChild>
            <w:div w:id="174525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0124174">
      <w:bodyDiv w:val="1"/>
      <w:marLeft w:val="0"/>
      <w:marRight w:val="0"/>
      <w:marTop w:val="0"/>
      <w:marBottom w:val="0"/>
      <w:divBdr>
        <w:top w:val="none" w:sz="0" w:space="0" w:color="auto"/>
        <w:left w:val="none" w:sz="0" w:space="0" w:color="auto"/>
        <w:bottom w:val="none" w:sz="0" w:space="0" w:color="auto"/>
        <w:right w:val="none" w:sz="0" w:space="0" w:color="auto"/>
      </w:divBdr>
    </w:div>
    <w:div w:id="2064987095">
      <w:bodyDiv w:val="1"/>
      <w:marLeft w:val="0"/>
      <w:marRight w:val="0"/>
      <w:marTop w:val="0"/>
      <w:marBottom w:val="0"/>
      <w:divBdr>
        <w:top w:val="none" w:sz="0" w:space="0" w:color="auto"/>
        <w:left w:val="none" w:sz="0" w:space="0" w:color="auto"/>
        <w:bottom w:val="none" w:sz="0" w:space="0" w:color="auto"/>
        <w:right w:val="none" w:sz="0" w:space="0" w:color="auto"/>
      </w:divBdr>
    </w:div>
    <w:div w:id="2068334554">
      <w:bodyDiv w:val="1"/>
      <w:marLeft w:val="0"/>
      <w:marRight w:val="0"/>
      <w:marTop w:val="0"/>
      <w:marBottom w:val="0"/>
      <w:divBdr>
        <w:top w:val="none" w:sz="0" w:space="0" w:color="auto"/>
        <w:left w:val="none" w:sz="0" w:space="0" w:color="auto"/>
        <w:bottom w:val="none" w:sz="0" w:space="0" w:color="auto"/>
        <w:right w:val="none" w:sz="0" w:space="0" w:color="auto"/>
      </w:divBdr>
    </w:div>
    <w:div w:id="21379452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affinitywater.co.uk/corporate/plans/business-plan" TargetMode="External"/><Relationship Id="rId18" Type="http://schemas.openxmlformats.org/officeDocument/2006/relationships/hyperlink" Target="https://www.ofwat.gov.uk/publication/pr24-final-determination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affinitywater.co.uk/docs/PR24/Postsubmission/Our-long-term-plan.pdf" TargetMode="External"/><Relationship Id="rId17" Type="http://schemas.openxmlformats.org/officeDocument/2006/relationships/hyperlink" Target="https://www.gov.uk/government/publications/addressing-water-scarcity-in-greater-cambridge-update-on-government-measures" TargetMode="External"/><Relationship Id="rId2" Type="http://schemas.openxmlformats.org/officeDocument/2006/relationships/numbering" Target="numbering.xml"/><Relationship Id="rId16" Type="http://schemas.openxmlformats.org/officeDocument/2006/relationships/hyperlink" Target="https://www.gov.uk/government/news/drought-likely-to-continue-into-2026-due-to-record-dry-weather" TargetMode="External"/><Relationship Id="rId20" Type="http://schemas.openxmlformats.org/officeDocument/2006/relationships/hyperlink" Target="https://www.watermagazine.co.uk/2024/01/29/new-report-reveals-the-policies-needed-to-protect-the-uks-water-suppl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ffinitywater.co.uk/corporate/plans/water-resources-plan" TargetMode="External"/><Relationship Id="rId5" Type="http://schemas.openxmlformats.org/officeDocument/2006/relationships/webSettings" Target="webSettings.xml"/><Relationship Id="rId15" Type="http://schemas.openxmlformats.org/officeDocument/2006/relationships/hyperlink" Target="https://www.affinitywater.co.uk/docs/corporate/2025/affinity-water-project-zero-FAQ.pdf" TargetMode="External"/><Relationship Id="rId23" Type="http://schemas.openxmlformats.org/officeDocument/2006/relationships/theme" Target="theme/theme1.xml"/><Relationship Id="rId10" Type="http://schemas.openxmlformats.org/officeDocument/2006/relationships/hyperlink" Target="https://www.affinitywater.co.uk/docs/reports/2024/Affinity-Water-Climate-Adaptation-Report.pdf" TargetMode="External"/><Relationship Id="rId19" Type="http://schemas.openxmlformats.org/officeDocument/2006/relationships/hyperlink" Target="https://www.ceh.ac.uk/news-and-media/news/projections-highlight-potential-future-water-scarcity-challenges-across-england" TargetMode="External"/><Relationship Id="rId4" Type="http://schemas.openxmlformats.org/officeDocument/2006/relationships/settings" Target="settings.xml"/><Relationship Id="rId9" Type="http://schemas.openxmlformats.org/officeDocument/2006/relationships/hyperlink" Target="http://www.affinitywater.co.uk" TargetMode="External"/><Relationship Id="rId14" Type="http://schemas.openxmlformats.org/officeDocument/2006/relationships/hyperlink" Target="https://www.affinitywater.co.uk/about-u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3BC0BA-A1CC-4D57-B892-0F159CC2B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3769</Words>
  <Characters>21488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Ruben Paul Nerghis (2243521)</dc:creator>
  <cp:lastModifiedBy>Ruben Paul Nerghis (2243521)</cp:lastModifiedBy>
  <cp:revision>2</cp:revision>
  <dcterms:created xsi:type="dcterms:W3CDTF">2025-12-05T11:22:00Z</dcterms:created>
  <dcterms:modified xsi:type="dcterms:W3CDTF">2025-12-05T11:22:00Z</dcterms:modified>
</cp:coreProperties>
</file>