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2AECDE" w14:textId="4823A0CD" w:rsidR="00064880" w:rsidRPr="007C2BE2" w:rsidRDefault="00064880">
      <w:pPr>
        <w:rPr>
          <w:b/>
          <w:bCs/>
          <w:sz w:val="28"/>
          <w:szCs w:val="28"/>
          <w:u w:val="single"/>
        </w:rPr>
      </w:pPr>
      <w:r w:rsidRPr="007C2BE2">
        <w:rPr>
          <w:b/>
          <w:bCs/>
          <w:sz w:val="28"/>
          <w:szCs w:val="28"/>
          <w:u w:val="single"/>
        </w:rPr>
        <w:t>“Critically reflect on two key issues in contemporary education, drawing on placement experience and recent relevant literature”.</w:t>
      </w:r>
    </w:p>
    <w:p w14:paraId="473B12C6" w14:textId="565761BB" w:rsidR="000A547C" w:rsidRPr="007C2BE2" w:rsidRDefault="00DC74A3">
      <w:pPr>
        <w:rPr>
          <w:sz w:val="24"/>
          <w:szCs w:val="24"/>
        </w:rPr>
      </w:pPr>
      <w:r w:rsidRPr="007C2BE2">
        <w:rPr>
          <w:sz w:val="24"/>
          <w:szCs w:val="24"/>
        </w:rPr>
        <w:t xml:space="preserve">This essay will </w:t>
      </w:r>
      <w:r w:rsidR="00D74514" w:rsidRPr="007C2BE2">
        <w:rPr>
          <w:sz w:val="24"/>
          <w:szCs w:val="24"/>
        </w:rPr>
        <w:t xml:space="preserve">critically reflect upon the </w:t>
      </w:r>
      <w:r w:rsidR="009072F1" w:rsidRPr="007C2BE2">
        <w:rPr>
          <w:sz w:val="24"/>
          <w:szCs w:val="24"/>
        </w:rPr>
        <w:t>n</w:t>
      </w:r>
      <w:r w:rsidR="00D74514" w:rsidRPr="007C2BE2">
        <w:rPr>
          <w:sz w:val="24"/>
          <w:szCs w:val="24"/>
        </w:rPr>
        <w:t xml:space="preserve">ew curriculum and equality and diversity in </w:t>
      </w:r>
      <w:r w:rsidR="00A57F62">
        <w:rPr>
          <w:sz w:val="24"/>
          <w:szCs w:val="24"/>
        </w:rPr>
        <w:t xml:space="preserve">contemporary </w:t>
      </w:r>
      <w:r w:rsidR="00D74514" w:rsidRPr="007C2BE2">
        <w:rPr>
          <w:sz w:val="24"/>
          <w:szCs w:val="24"/>
        </w:rPr>
        <w:t>education. This will be done using a text-based approach, using relevant scholarly work to support this essay. Along side academic literature, this essay will draw upon placement experience carried out, to reflect upon</w:t>
      </w:r>
      <w:r w:rsidR="003B6F12" w:rsidRPr="007C2BE2">
        <w:rPr>
          <w:sz w:val="24"/>
          <w:szCs w:val="24"/>
        </w:rPr>
        <w:t xml:space="preserve"> </w:t>
      </w:r>
      <w:r w:rsidR="00D74514" w:rsidRPr="007C2BE2">
        <w:rPr>
          <w:sz w:val="24"/>
          <w:szCs w:val="24"/>
        </w:rPr>
        <w:t xml:space="preserve">real life evidence of the issues surrounding the </w:t>
      </w:r>
      <w:r w:rsidR="004F7577" w:rsidRPr="007C2BE2">
        <w:rPr>
          <w:sz w:val="24"/>
          <w:szCs w:val="24"/>
        </w:rPr>
        <w:t>n</w:t>
      </w:r>
      <w:r w:rsidR="00D74514" w:rsidRPr="007C2BE2">
        <w:rPr>
          <w:sz w:val="24"/>
          <w:szCs w:val="24"/>
        </w:rPr>
        <w:t xml:space="preserve">ew </w:t>
      </w:r>
      <w:r w:rsidR="004F7577" w:rsidRPr="007C2BE2">
        <w:rPr>
          <w:sz w:val="24"/>
          <w:szCs w:val="24"/>
        </w:rPr>
        <w:t>c</w:t>
      </w:r>
      <w:r w:rsidR="00D74514" w:rsidRPr="007C2BE2">
        <w:rPr>
          <w:sz w:val="24"/>
          <w:szCs w:val="24"/>
        </w:rPr>
        <w:t>urriculum and equality and diversity in education today</w:t>
      </w:r>
      <w:r w:rsidR="007E0E26" w:rsidRPr="007C2BE2">
        <w:rPr>
          <w:sz w:val="24"/>
          <w:szCs w:val="24"/>
        </w:rPr>
        <w:t>, which was carried out in the method of observation</w:t>
      </w:r>
      <w:r w:rsidR="00D74514" w:rsidRPr="007C2BE2">
        <w:rPr>
          <w:sz w:val="24"/>
          <w:szCs w:val="24"/>
        </w:rPr>
        <w:t>.</w:t>
      </w:r>
      <w:r w:rsidR="007E0E26" w:rsidRPr="007C2BE2">
        <w:rPr>
          <w:sz w:val="24"/>
          <w:szCs w:val="24"/>
        </w:rPr>
        <w:t xml:space="preserve"> Specifically, this essay will focus on education in Wales, referring to Welsh government policies and framework, using wider UK legislation where appropriate.</w:t>
      </w:r>
    </w:p>
    <w:p w14:paraId="4FF103B9" w14:textId="028414CA" w:rsidR="004D361A" w:rsidRPr="007C2BE2" w:rsidRDefault="00496EF3">
      <w:pPr>
        <w:rPr>
          <w:sz w:val="24"/>
          <w:szCs w:val="24"/>
        </w:rPr>
      </w:pPr>
      <w:r w:rsidRPr="007C2BE2">
        <w:rPr>
          <w:sz w:val="24"/>
          <w:szCs w:val="24"/>
        </w:rPr>
        <w:t xml:space="preserve">The new Welsh </w:t>
      </w:r>
      <w:r w:rsidR="009072F1" w:rsidRPr="007C2BE2">
        <w:rPr>
          <w:sz w:val="24"/>
          <w:szCs w:val="24"/>
        </w:rPr>
        <w:t>c</w:t>
      </w:r>
      <w:r w:rsidRPr="007C2BE2">
        <w:rPr>
          <w:sz w:val="24"/>
          <w:szCs w:val="24"/>
        </w:rPr>
        <w:t xml:space="preserve">urriculum is beginning to be implemented </w:t>
      </w:r>
      <w:r w:rsidR="00A923C1" w:rsidRPr="007C2BE2">
        <w:rPr>
          <w:sz w:val="24"/>
          <w:szCs w:val="24"/>
        </w:rPr>
        <w:t>in</w:t>
      </w:r>
      <w:r w:rsidRPr="007C2BE2">
        <w:rPr>
          <w:sz w:val="24"/>
          <w:szCs w:val="24"/>
        </w:rPr>
        <w:t xml:space="preserve"> education services across Wales in preparation for the required roll-out of the curriculum being in place from September 2022. This will apply to all learner</w:t>
      </w:r>
      <w:r w:rsidR="008322A7" w:rsidRPr="007C2BE2">
        <w:rPr>
          <w:sz w:val="24"/>
          <w:szCs w:val="24"/>
        </w:rPr>
        <w:t>’</w:t>
      </w:r>
      <w:r w:rsidRPr="007C2BE2">
        <w:rPr>
          <w:sz w:val="24"/>
          <w:szCs w:val="24"/>
        </w:rPr>
        <w:t xml:space="preserve">s year 7 and below. The new </w:t>
      </w:r>
      <w:r w:rsidR="009072F1" w:rsidRPr="007C2BE2">
        <w:rPr>
          <w:sz w:val="24"/>
          <w:szCs w:val="24"/>
        </w:rPr>
        <w:t>c</w:t>
      </w:r>
      <w:r w:rsidRPr="007C2BE2">
        <w:rPr>
          <w:sz w:val="24"/>
          <w:szCs w:val="24"/>
        </w:rPr>
        <w:t xml:space="preserve">urriculum will then be implemented in </w:t>
      </w:r>
      <w:r w:rsidR="009072F1" w:rsidRPr="007C2BE2">
        <w:rPr>
          <w:sz w:val="24"/>
          <w:szCs w:val="24"/>
        </w:rPr>
        <w:t>s</w:t>
      </w:r>
      <w:r w:rsidRPr="007C2BE2">
        <w:rPr>
          <w:sz w:val="24"/>
          <w:szCs w:val="24"/>
        </w:rPr>
        <w:t>econdary schools, starting with year 8 in September 2023, followed through to Year 11 in September 2026.</w:t>
      </w:r>
      <w:r w:rsidRPr="007C2BE2">
        <w:rPr>
          <w:rStyle w:val="FootnoteReference"/>
          <w:sz w:val="24"/>
          <w:szCs w:val="24"/>
        </w:rPr>
        <w:footnoteReference w:id="1"/>
      </w:r>
      <w:r w:rsidR="00852934" w:rsidRPr="007C2BE2">
        <w:rPr>
          <w:sz w:val="24"/>
          <w:szCs w:val="24"/>
        </w:rPr>
        <w:t xml:space="preserve"> The </w:t>
      </w:r>
      <w:r w:rsidR="009072F1" w:rsidRPr="007C2BE2">
        <w:rPr>
          <w:sz w:val="24"/>
          <w:szCs w:val="24"/>
        </w:rPr>
        <w:t>c</w:t>
      </w:r>
      <w:r w:rsidR="00852934" w:rsidRPr="007C2BE2">
        <w:rPr>
          <w:sz w:val="24"/>
          <w:szCs w:val="24"/>
        </w:rPr>
        <w:t>urriculum is designed to take an integrated approach to education, taking a cross-</w:t>
      </w:r>
      <w:r w:rsidR="0080395B" w:rsidRPr="007C2BE2">
        <w:rPr>
          <w:sz w:val="24"/>
          <w:szCs w:val="24"/>
        </w:rPr>
        <w:t>curricular</w:t>
      </w:r>
      <w:r w:rsidR="00852934" w:rsidRPr="007C2BE2">
        <w:rPr>
          <w:sz w:val="24"/>
          <w:szCs w:val="24"/>
        </w:rPr>
        <w:t xml:space="preserve"> approach to encourage strong links for learners across different disciplines.</w:t>
      </w:r>
      <w:r w:rsidR="0080395B" w:rsidRPr="007C2BE2">
        <w:rPr>
          <w:rStyle w:val="FootnoteReference"/>
          <w:sz w:val="24"/>
          <w:szCs w:val="24"/>
        </w:rPr>
        <w:footnoteReference w:id="2"/>
      </w:r>
      <w:r w:rsidR="00852934" w:rsidRPr="007C2BE2">
        <w:rPr>
          <w:sz w:val="24"/>
          <w:szCs w:val="24"/>
        </w:rPr>
        <w:t xml:space="preserve"> </w:t>
      </w:r>
      <w:r w:rsidR="002A0CB4" w:rsidRPr="007C2BE2">
        <w:rPr>
          <w:sz w:val="24"/>
          <w:szCs w:val="24"/>
        </w:rPr>
        <w:t xml:space="preserve">Numeracy, literacy and digital competence are the mandatory cross-curricular skills in the new </w:t>
      </w:r>
      <w:r w:rsidR="009072F1" w:rsidRPr="007C2BE2">
        <w:rPr>
          <w:sz w:val="24"/>
          <w:szCs w:val="24"/>
        </w:rPr>
        <w:t>c</w:t>
      </w:r>
      <w:r w:rsidR="002A0CB4" w:rsidRPr="007C2BE2">
        <w:rPr>
          <w:sz w:val="24"/>
          <w:szCs w:val="24"/>
        </w:rPr>
        <w:t xml:space="preserve">urriculum, which are argued to be essential to learning and will enable learners to transfer these skills to the world of work. </w:t>
      </w:r>
      <w:r w:rsidR="000752B4" w:rsidRPr="007C2BE2">
        <w:rPr>
          <w:sz w:val="24"/>
          <w:szCs w:val="24"/>
        </w:rPr>
        <w:t xml:space="preserve">For </w:t>
      </w:r>
      <w:r w:rsidR="00AB0079" w:rsidRPr="007C2BE2">
        <w:rPr>
          <w:sz w:val="24"/>
          <w:szCs w:val="24"/>
        </w:rPr>
        <w:t>example,</w:t>
      </w:r>
      <w:r w:rsidR="000752B4" w:rsidRPr="007C2BE2">
        <w:rPr>
          <w:sz w:val="24"/>
          <w:szCs w:val="24"/>
        </w:rPr>
        <w:t xml:space="preserve"> in the placement experience the application of the cross-curricular skills was observed during a Religious Education lesson</w:t>
      </w:r>
      <w:r w:rsidR="00BB1854">
        <w:rPr>
          <w:sz w:val="24"/>
          <w:szCs w:val="24"/>
        </w:rPr>
        <w:t xml:space="preserve"> in the secondary phase</w:t>
      </w:r>
      <w:r w:rsidR="000752B4" w:rsidRPr="007C2BE2">
        <w:rPr>
          <w:sz w:val="24"/>
          <w:szCs w:val="24"/>
        </w:rPr>
        <w:t xml:space="preserve">, where the learners were asked to </w:t>
      </w:r>
      <w:r w:rsidR="009072F1" w:rsidRPr="007C2BE2">
        <w:rPr>
          <w:sz w:val="24"/>
          <w:szCs w:val="24"/>
        </w:rPr>
        <w:t xml:space="preserve">carry out a </w:t>
      </w:r>
      <w:r w:rsidR="000752B4" w:rsidRPr="007C2BE2">
        <w:rPr>
          <w:sz w:val="24"/>
          <w:szCs w:val="24"/>
        </w:rPr>
        <w:t>research task on Martin Luther King. This exercise enabled the learners to use and practice their digital skills by using Ipad’s to gather their information. The learners then had to apply literacy skills whilst using the information the</w:t>
      </w:r>
      <w:r w:rsidR="00AB0079" w:rsidRPr="007C2BE2">
        <w:rPr>
          <w:sz w:val="24"/>
          <w:szCs w:val="24"/>
        </w:rPr>
        <w:t>y</w:t>
      </w:r>
      <w:r w:rsidR="000752B4" w:rsidRPr="007C2BE2">
        <w:rPr>
          <w:sz w:val="24"/>
          <w:szCs w:val="24"/>
        </w:rPr>
        <w:t xml:space="preserve"> found on Martin Luther King to draw and write a mind map containing the research they had found. Whist carrying out the task the learners were able to exercise their numeracy skills whilst learning key dates and discussing a timeline of key event</w:t>
      </w:r>
      <w:r w:rsidR="00AB0079" w:rsidRPr="007C2BE2">
        <w:rPr>
          <w:sz w:val="24"/>
          <w:szCs w:val="24"/>
        </w:rPr>
        <w:t>s</w:t>
      </w:r>
      <w:r w:rsidR="000752B4" w:rsidRPr="007C2BE2">
        <w:rPr>
          <w:sz w:val="24"/>
          <w:szCs w:val="24"/>
        </w:rPr>
        <w:t xml:space="preserve"> associated with Martin Luther King. </w:t>
      </w:r>
      <w:r w:rsidR="00AB0079" w:rsidRPr="007C2BE2">
        <w:rPr>
          <w:sz w:val="24"/>
          <w:szCs w:val="24"/>
        </w:rPr>
        <w:t xml:space="preserve">This is an encouraging start to the implementation of the </w:t>
      </w:r>
      <w:r w:rsidR="009072F1" w:rsidRPr="007C2BE2">
        <w:rPr>
          <w:sz w:val="24"/>
          <w:szCs w:val="24"/>
        </w:rPr>
        <w:t>n</w:t>
      </w:r>
      <w:r w:rsidR="00AB0079" w:rsidRPr="007C2BE2">
        <w:rPr>
          <w:sz w:val="24"/>
          <w:szCs w:val="24"/>
        </w:rPr>
        <w:t xml:space="preserve">ew </w:t>
      </w:r>
      <w:r w:rsidR="009072F1" w:rsidRPr="007C2BE2">
        <w:rPr>
          <w:sz w:val="24"/>
          <w:szCs w:val="24"/>
        </w:rPr>
        <w:t>c</w:t>
      </w:r>
      <w:r w:rsidR="009D59DF" w:rsidRPr="007C2BE2">
        <w:rPr>
          <w:sz w:val="24"/>
          <w:szCs w:val="24"/>
        </w:rPr>
        <w:t>urriculum</w:t>
      </w:r>
      <w:r w:rsidR="009072F1" w:rsidRPr="007C2BE2">
        <w:rPr>
          <w:sz w:val="24"/>
          <w:szCs w:val="24"/>
        </w:rPr>
        <w:t>.</w:t>
      </w:r>
      <w:r w:rsidR="00AB0079" w:rsidRPr="007C2BE2">
        <w:rPr>
          <w:sz w:val="24"/>
          <w:szCs w:val="24"/>
        </w:rPr>
        <w:t xml:space="preserve"> </w:t>
      </w:r>
      <w:r w:rsidR="009072F1" w:rsidRPr="007C2BE2">
        <w:rPr>
          <w:sz w:val="24"/>
          <w:szCs w:val="24"/>
        </w:rPr>
        <w:t>I</w:t>
      </w:r>
      <w:r w:rsidR="00AB0079" w:rsidRPr="007C2BE2">
        <w:rPr>
          <w:sz w:val="24"/>
          <w:szCs w:val="24"/>
        </w:rPr>
        <w:t xml:space="preserve">t was observed that the learners worked well in this </w:t>
      </w:r>
      <w:r w:rsidR="007E0E26" w:rsidRPr="007C2BE2">
        <w:rPr>
          <w:sz w:val="24"/>
          <w:szCs w:val="24"/>
        </w:rPr>
        <w:t>lesson</w:t>
      </w:r>
      <w:r w:rsidR="00AB0079" w:rsidRPr="007C2BE2">
        <w:rPr>
          <w:sz w:val="24"/>
          <w:szCs w:val="24"/>
        </w:rPr>
        <w:t xml:space="preserve"> structure and enjoyed the opportunity and responsibility of using the Ipad’s provided.</w:t>
      </w:r>
      <w:r w:rsidR="004D361A" w:rsidRPr="007C2BE2">
        <w:rPr>
          <w:sz w:val="24"/>
          <w:szCs w:val="24"/>
        </w:rPr>
        <w:t xml:space="preserve"> </w:t>
      </w:r>
      <w:r w:rsidR="002A0CB4" w:rsidRPr="007C2BE2">
        <w:rPr>
          <w:sz w:val="24"/>
          <w:szCs w:val="24"/>
        </w:rPr>
        <w:t>The cross-curricular approach to teaching these skills is suggested to prepare leaners to adapt and cope with new real life experiences.</w:t>
      </w:r>
      <w:r w:rsidR="002A0CB4" w:rsidRPr="007C2BE2">
        <w:rPr>
          <w:rStyle w:val="FootnoteReference"/>
          <w:sz w:val="24"/>
          <w:szCs w:val="24"/>
        </w:rPr>
        <w:footnoteReference w:id="3"/>
      </w:r>
      <w:r w:rsidR="002A0CB4" w:rsidRPr="007C2BE2">
        <w:rPr>
          <w:sz w:val="24"/>
          <w:szCs w:val="24"/>
        </w:rPr>
        <w:t xml:space="preserve"> </w:t>
      </w:r>
      <w:r w:rsidR="004D361A" w:rsidRPr="007C2BE2">
        <w:rPr>
          <w:sz w:val="24"/>
          <w:szCs w:val="24"/>
        </w:rPr>
        <w:t xml:space="preserve">In the placement setting, whilst learners were given the opportunity to use the mandatory cross-curricular skills it was clear to see the positive preparation of the learner’s ability to apply these skills to real life situations. However, this approach to teaching was only implemented in </w:t>
      </w:r>
      <w:r w:rsidR="00130904" w:rsidRPr="007C2BE2">
        <w:rPr>
          <w:sz w:val="24"/>
          <w:szCs w:val="24"/>
        </w:rPr>
        <w:t xml:space="preserve">a minority of lessons observed. Therefore, it is uncertain </w:t>
      </w:r>
      <w:r w:rsidR="00130904" w:rsidRPr="007C2BE2">
        <w:rPr>
          <w:sz w:val="24"/>
          <w:szCs w:val="24"/>
        </w:rPr>
        <w:lastRenderedPageBreak/>
        <w:t xml:space="preserve">whether the cross-curricular approach will prepare learners to adapt and cope with new </w:t>
      </w:r>
      <w:r w:rsidR="009D59DF" w:rsidRPr="007C2BE2">
        <w:rPr>
          <w:sz w:val="24"/>
          <w:szCs w:val="24"/>
        </w:rPr>
        <w:t>real-life</w:t>
      </w:r>
      <w:r w:rsidR="00130904" w:rsidRPr="007C2BE2">
        <w:rPr>
          <w:sz w:val="24"/>
          <w:szCs w:val="24"/>
        </w:rPr>
        <w:t xml:space="preserve"> experiences. </w:t>
      </w:r>
    </w:p>
    <w:p w14:paraId="4636B803" w14:textId="7AEE6084" w:rsidR="00383B9B" w:rsidRPr="007C2BE2" w:rsidRDefault="00065EEF" w:rsidP="001F6979">
      <w:pPr>
        <w:rPr>
          <w:sz w:val="24"/>
          <w:szCs w:val="24"/>
        </w:rPr>
      </w:pPr>
      <w:r w:rsidRPr="007C2BE2">
        <w:rPr>
          <w:sz w:val="24"/>
          <w:szCs w:val="24"/>
        </w:rPr>
        <w:t xml:space="preserve">The </w:t>
      </w:r>
      <w:r w:rsidR="009072F1" w:rsidRPr="007C2BE2">
        <w:rPr>
          <w:sz w:val="24"/>
          <w:szCs w:val="24"/>
        </w:rPr>
        <w:t>n</w:t>
      </w:r>
      <w:r w:rsidRPr="007C2BE2">
        <w:rPr>
          <w:sz w:val="24"/>
          <w:szCs w:val="24"/>
        </w:rPr>
        <w:t xml:space="preserve">ew </w:t>
      </w:r>
      <w:r w:rsidR="009072F1" w:rsidRPr="007C2BE2">
        <w:rPr>
          <w:sz w:val="24"/>
          <w:szCs w:val="24"/>
        </w:rPr>
        <w:t>c</w:t>
      </w:r>
      <w:r w:rsidRPr="007C2BE2">
        <w:rPr>
          <w:sz w:val="24"/>
          <w:szCs w:val="24"/>
        </w:rPr>
        <w:t xml:space="preserve">urriculum allows schools to design their own curriculum to suit the needs of the learners, however, requires that the </w:t>
      </w:r>
      <w:r w:rsidR="009072F1" w:rsidRPr="007C2BE2">
        <w:rPr>
          <w:sz w:val="24"/>
          <w:szCs w:val="24"/>
        </w:rPr>
        <w:t>c</w:t>
      </w:r>
      <w:r w:rsidRPr="007C2BE2">
        <w:rPr>
          <w:sz w:val="24"/>
          <w:szCs w:val="24"/>
        </w:rPr>
        <w:t xml:space="preserve">urriculum coincides with the Welsh Governments new curriculum policies and framework. One of the policies that education settings must follow </w:t>
      </w:r>
      <w:r w:rsidR="009072F1" w:rsidRPr="007C2BE2">
        <w:rPr>
          <w:sz w:val="24"/>
          <w:szCs w:val="24"/>
        </w:rPr>
        <w:t>are</w:t>
      </w:r>
      <w:r w:rsidRPr="007C2BE2">
        <w:rPr>
          <w:sz w:val="24"/>
          <w:szCs w:val="24"/>
        </w:rPr>
        <w:t xml:space="preserve"> the 27 statements of what matters. These statements are in place to allow consistency throughout education settings and schools. The aim of following these statements is to encourage learners to understand how their learning can be applied in </w:t>
      </w:r>
      <w:r w:rsidR="00944835" w:rsidRPr="007C2BE2">
        <w:rPr>
          <w:sz w:val="24"/>
          <w:szCs w:val="24"/>
        </w:rPr>
        <w:t>comparison</w:t>
      </w:r>
      <w:r w:rsidRPr="007C2BE2">
        <w:rPr>
          <w:sz w:val="24"/>
          <w:szCs w:val="24"/>
        </w:rPr>
        <w:t xml:space="preserve"> to a traditional </w:t>
      </w:r>
      <w:r w:rsidR="00944835" w:rsidRPr="007C2BE2">
        <w:rPr>
          <w:sz w:val="24"/>
          <w:szCs w:val="24"/>
        </w:rPr>
        <w:t>strategy</w:t>
      </w:r>
      <w:r w:rsidRPr="007C2BE2">
        <w:rPr>
          <w:sz w:val="24"/>
          <w:szCs w:val="24"/>
        </w:rPr>
        <w:t xml:space="preserve"> of learning facts without understanding the context behind them.</w:t>
      </w:r>
      <w:r w:rsidR="00CE4746" w:rsidRPr="007C2BE2">
        <w:rPr>
          <w:rStyle w:val="FootnoteReference"/>
          <w:sz w:val="24"/>
          <w:szCs w:val="24"/>
        </w:rPr>
        <w:footnoteReference w:id="4"/>
      </w:r>
      <w:r w:rsidRPr="007C2BE2">
        <w:rPr>
          <w:sz w:val="24"/>
          <w:szCs w:val="24"/>
        </w:rPr>
        <w:t xml:space="preserve"> </w:t>
      </w:r>
      <w:r w:rsidR="00944835" w:rsidRPr="007C2BE2">
        <w:rPr>
          <w:sz w:val="24"/>
          <w:szCs w:val="24"/>
        </w:rPr>
        <w:t>Along side the 27 statements of what matters are the four purposes, which are in place to</w:t>
      </w:r>
      <w:r w:rsidR="000139A2" w:rsidRPr="007C2BE2">
        <w:rPr>
          <w:sz w:val="24"/>
          <w:szCs w:val="24"/>
        </w:rPr>
        <w:t xml:space="preserve"> allows schools to design a curriculum that will produce the four purposes in the learners.</w:t>
      </w:r>
      <w:r w:rsidR="001F6979" w:rsidRPr="007C2BE2">
        <w:rPr>
          <w:sz w:val="24"/>
          <w:szCs w:val="24"/>
        </w:rPr>
        <w:t xml:space="preserve"> According to the ‘Developing A Vision </w:t>
      </w:r>
      <w:r w:rsidR="007E0E26" w:rsidRPr="007C2BE2">
        <w:rPr>
          <w:sz w:val="24"/>
          <w:szCs w:val="24"/>
        </w:rPr>
        <w:t>f</w:t>
      </w:r>
      <w:r w:rsidR="001F6979" w:rsidRPr="007C2BE2">
        <w:rPr>
          <w:sz w:val="24"/>
          <w:szCs w:val="24"/>
        </w:rPr>
        <w:t>or Curriculum Design – Hwb’ document</w:t>
      </w:r>
      <w:r w:rsidR="00CF4815" w:rsidRPr="007C2BE2">
        <w:rPr>
          <w:sz w:val="24"/>
          <w:szCs w:val="24"/>
        </w:rPr>
        <w:t>,</w:t>
      </w:r>
      <w:r w:rsidR="00944835" w:rsidRPr="007C2BE2">
        <w:rPr>
          <w:rStyle w:val="FootnoteReference"/>
          <w:sz w:val="24"/>
          <w:szCs w:val="24"/>
        </w:rPr>
        <w:footnoteReference w:id="5"/>
      </w:r>
      <w:r w:rsidR="00944835" w:rsidRPr="007C2BE2">
        <w:rPr>
          <w:sz w:val="24"/>
          <w:szCs w:val="24"/>
        </w:rPr>
        <w:t xml:space="preserve"> </w:t>
      </w:r>
      <w:r w:rsidR="009072F1" w:rsidRPr="007C2BE2">
        <w:rPr>
          <w:sz w:val="24"/>
          <w:szCs w:val="24"/>
        </w:rPr>
        <w:t>t</w:t>
      </w:r>
      <w:r w:rsidR="00CF4815" w:rsidRPr="007C2BE2">
        <w:rPr>
          <w:sz w:val="24"/>
          <w:szCs w:val="24"/>
        </w:rPr>
        <w:t xml:space="preserve">he four purposes will enable learners to become, ambitious, enterprising, ethical individuals who will become healthy, </w:t>
      </w:r>
      <w:r w:rsidR="009B6E04" w:rsidRPr="007C2BE2">
        <w:rPr>
          <w:sz w:val="24"/>
          <w:szCs w:val="24"/>
        </w:rPr>
        <w:t>valued,</w:t>
      </w:r>
      <w:r w:rsidR="00CF4815" w:rsidRPr="007C2BE2">
        <w:rPr>
          <w:sz w:val="24"/>
          <w:szCs w:val="24"/>
        </w:rPr>
        <w:t xml:space="preserve"> and confident members of society.</w:t>
      </w:r>
    </w:p>
    <w:p w14:paraId="7D41BC1D" w14:textId="64DA2B09" w:rsidR="00A64F84" w:rsidRPr="007C2BE2" w:rsidRDefault="009D2DF3" w:rsidP="008B7A62">
      <w:pPr>
        <w:rPr>
          <w:sz w:val="24"/>
          <w:szCs w:val="24"/>
        </w:rPr>
      </w:pPr>
      <w:r w:rsidRPr="007C2BE2">
        <w:rPr>
          <w:sz w:val="24"/>
          <w:szCs w:val="24"/>
        </w:rPr>
        <w:t>Having a vision of what the curriculum should look like will then act as a guide for school</w:t>
      </w:r>
      <w:r w:rsidR="008322A7" w:rsidRPr="007C2BE2">
        <w:rPr>
          <w:sz w:val="24"/>
          <w:szCs w:val="24"/>
        </w:rPr>
        <w:t>’</w:t>
      </w:r>
      <w:r w:rsidRPr="007C2BE2">
        <w:rPr>
          <w:sz w:val="24"/>
          <w:szCs w:val="24"/>
        </w:rPr>
        <w:t xml:space="preserve">s curriculum design. </w:t>
      </w:r>
      <w:r w:rsidR="00A64F84" w:rsidRPr="007C2BE2">
        <w:rPr>
          <w:sz w:val="24"/>
          <w:szCs w:val="24"/>
        </w:rPr>
        <w:t>As previously mentioned, there is legislation set out in polices and curriculum framework that schools must abide by in the designing of the curriculum. These can be found on the Welsh Governments website. Some of which include</w:t>
      </w:r>
      <w:r w:rsidR="008B7A62" w:rsidRPr="007C2BE2">
        <w:rPr>
          <w:sz w:val="24"/>
          <w:szCs w:val="24"/>
        </w:rPr>
        <w:t xml:space="preserve"> the four purposes, suitability to learners of different ages and abilities, covering all statements of what matters, providing learners with a choice of what they study for ages 14-16 and including mandatory curriculum components of Welsh, English, religion, relationships and sexuality education, values and ethics.</w:t>
      </w:r>
      <w:r w:rsidR="005A073B" w:rsidRPr="007C2BE2">
        <w:rPr>
          <w:rStyle w:val="FootnoteReference"/>
          <w:sz w:val="24"/>
          <w:szCs w:val="24"/>
        </w:rPr>
        <w:footnoteReference w:id="6"/>
      </w:r>
      <w:r w:rsidR="00A64F84" w:rsidRPr="007C2BE2">
        <w:rPr>
          <w:sz w:val="24"/>
          <w:szCs w:val="24"/>
        </w:rPr>
        <w:t xml:space="preserve"> </w:t>
      </w:r>
      <w:r w:rsidR="000D3E82" w:rsidRPr="007C2BE2">
        <w:rPr>
          <w:sz w:val="24"/>
          <w:szCs w:val="24"/>
        </w:rPr>
        <w:t>In the placement setting, some teachers had already began to provide learners with a choice of subject to study</w:t>
      </w:r>
      <w:r w:rsidR="007162BC">
        <w:rPr>
          <w:sz w:val="24"/>
          <w:szCs w:val="24"/>
        </w:rPr>
        <w:t>.</w:t>
      </w:r>
      <w:r w:rsidR="000D3E82" w:rsidRPr="007C2BE2">
        <w:rPr>
          <w:sz w:val="24"/>
          <w:szCs w:val="24"/>
        </w:rPr>
        <w:t xml:space="preserve"> </w:t>
      </w:r>
      <w:r w:rsidR="007162BC">
        <w:rPr>
          <w:sz w:val="24"/>
          <w:szCs w:val="24"/>
        </w:rPr>
        <w:t>I</w:t>
      </w:r>
      <w:r w:rsidR="000D3E82" w:rsidRPr="007C2BE2">
        <w:rPr>
          <w:sz w:val="24"/>
          <w:szCs w:val="24"/>
        </w:rPr>
        <w:t>n the secondary phase</w:t>
      </w:r>
      <w:r w:rsidR="007162BC">
        <w:rPr>
          <w:sz w:val="24"/>
          <w:szCs w:val="24"/>
        </w:rPr>
        <w:t>,</w:t>
      </w:r>
      <w:r w:rsidR="000D3E82" w:rsidRPr="007C2BE2">
        <w:rPr>
          <w:sz w:val="24"/>
          <w:szCs w:val="24"/>
        </w:rPr>
        <w:t xml:space="preserve"> </w:t>
      </w:r>
      <w:r w:rsidR="007162BC">
        <w:rPr>
          <w:sz w:val="24"/>
          <w:szCs w:val="24"/>
        </w:rPr>
        <w:t>d</w:t>
      </w:r>
      <w:r w:rsidR="000D3E82" w:rsidRPr="007C2BE2">
        <w:rPr>
          <w:sz w:val="24"/>
          <w:szCs w:val="24"/>
        </w:rPr>
        <w:t>uring a history lesson observed, the teacher had asked the class what they would like to study for their next topic. The teacher chose the subject choice by making sure it was a suitable subject to enable learning and went with the majority, which was to study the Celts. The teacher explained that the subject of Celts was fitting</w:t>
      </w:r>
      <w:r w:rsidR="00BF3013" w:rsidRPr="007C2BE2">
        <w:rPr>
          <w:sz w:val="24"/>
          <w:szCs w:val="24"/>
        </w:rPr>
        <w:t xml:space="preserve"> to the new curriculum</w:t>
      </w:r>
      <w:r w:rsidR="000D3E82" w:rsidRPr="007C2BE2">
        <w:rPr>
          <w:sz w:val="24"/>
          <w:szCs w:val="24"/>
        </w:rPr>
        <w:t xml:space="preserve"> as the </w:t>
      </w:r>
      <w:r w:rsidR="0075471A" w:rsidRPr="007C2BE2">
        <w:rPr>
          <w:sz w:val="24"/>
          <w:szCs w:val="24"/>
        </w:rPr>
        <w:t>students</w:t>
      </w:r>
      <w:r w:rsidR="000D3E82" w:rsidRPr="007C2BE2">
        <w:rPr>
          <w:sz w:val="24"/>
          <w:szCs w:val="24"/>
        </w:rPr>
        <w:t xml:space="preserve"> had suggested it</w:t>
      </w:r>
      <w:r w:rsidR="00BF3013" w:rsidRPr="007C2BE2">
        <w:rPr>
          <w:sz w:val="24"/>
          <w:szCs w:val="24"/>
        </w:rPr>
        <w:t xml:space="preserve"> and </w:t>
      </w:r>
      <w:r w:rsidR="000D3E82" w:rsidRPr="007C2BE2">
        <w:rPr>
          <w:sz w:val="24"/>
          <w:szCs w:val="24"/>
        </w:rPr>
        <w:t xml:space="preserve">it is associated with the local area, </w:t>
      </w:r>
      <w:r w:rsidR="007E0E26" w:rsidRPr="007C2BE2">
        <w:rPr>
          <w:sz w:val="24"/>
          <w:szCs w:val="24"/>
        </w:rPr>
        <w:t>Wales,</w:t>
      </w:r>
      <w:r w:rsidR="000D3E82" w:rsidRPr="007C2BE2">
        <w:rPr>
          <w:sz w:val="24"/>
          <w:szCs w:val="24"/>
        </w:rPr>
        <w:t xml:space="preserve"> and Europe. </w:t>
      </w:r>
    </w:p>
    <w:p w14:paraId="0EC9E624" w14:textId="75DC6892" w:rsidR="00123D33" w:rsidRPr="007C2BE2" w:rsidRDefault="006323FC" w:rsidP="00123D33">
      <w:pPr>
        <w:rPr>
          <w:sz w:val="24"/>
          <w:szCs w:val="24"/>
        </w:rPr>
      </w:pPr>
      <w:r w:rsidRPr="007C2BE2">
        <w:rPr>
          <w:sz w:val="24"/>
          <w:szCs w:val="24"/>
        </w:rPr>
        <w:t xml:space="preserve">The Welsh Government produced a report on responses to the great debate, which included parent, </w:t>
      </w:r>
      <w:r w:rsidR="0045599C" w:rsidRPr="007C2BE2">
        <w:rPr>
          <w:sz w:val="24"/>
          <w:szCs w:val="24"/>
        </w:rPr>
        <w:t>teacher,</w:t>
      </w:r>
      <w:r w:rsidRPr="007C2BE2">
        <w:rPr>
          <w:sz w:val="24"/>
          <w:szCs w:val="24"/>
        </w:rPr>
        <w:t xml:space="preserve"> and organisation responses to the four purposes outlined in the criteria for the curriculum. The r</w:t>
      </w:r>
      <w:r w:rsidR="007F6EC5">
        <w:rPr>
          <w:sz w:val="24"/>
          <w:szCs w:val="24"/>
        </w:rPr>
        <w:t>eport</w:t>
      </w:r>
      <w:r w:rsidRPr="007C2BE2">
        <w:rPr>
          <w:sz w:val="24"/>
          <w:szCs w:val="24"/>
        </w:rPr>
        <w:t xml:space="preserve"> show</w:t>
      </w:r>
      <w:r w:rsidR="007F6EC5">
        <w:rPr>
          <w:sz w:val="24"/>
          <w:szCs w:val="24"/>
        </w:rPr>
        <w:t>s</w:t>
      </w:r>
      <w:r w:rsidRPr="007C2BE2">
        <w:rPr>
          <w:sz w:val="24"/>
          <w:szCs w:val="24"/>
        </w:rPr>
        <w:t xml:space="preserve"> that </w:t>
      </w:r>
      <w:r w:rsidR="00D95AA6" w:rsidRPr="007C2BE2">
        <w:rPr>
          <w:sz w:val="24"/>
          <w:szCs w:val="24"/>
        </w:rPr>
        <w:t>most</w:t>
      </w:r>
      <w:r w:rsidRPr="007C2BE2">
        <w:rPr>
          <w:sz w:val="24"/>
          <w:szCs w:val="24"/>
        </w:rPr>
        <w:t xml:space="preserve"> respondents were in favour of the holistic approach that the four purposes will provide.</w:t>
      </w:r>
      <w:r w:rsidR="00D43626" w:rsidRPr="007C2BE2">
        <w:rPr>
          <w:rStyle w:val="FootnoteReference"/>
          <w:sz w:val="24"/>
          <w:szCs w:val="24"/>
        </w:rPr>
        <w:footnoteReference w:id="7"/>
      </w:r>
      <w:r w:rsidRPr="007C2BE2">
        <w:rPr>
          <w:sz w:val="24"/>
          <w:szCs w:val="24"/>
        </w:rPr>
        <w:t xml:space="preserve"> </w:t>
      </w:r>
      <w:r w:rsidR="002A611D" w:rsidRPr="007C2BE2">
        <w:rPr>
          <w:sz w:val="24"/>
          <w:szCs w:val="24"/>
        </w:rPr>
        <w:t xml:space="preserve">On the other hand, there were concerns raised regarding </w:t>
      </w:r>
      <w:r w:rsidR="0003069E" w:rsidRPr="007C2BE2">
        <w:rPr>
          <w:sz w:val="24"/>
          <w:szCs w:val="24"/>
        </w:rPr>
        <w:t xml:space="preserve">how the purposes will be followed through into practice. </w:t>
      </w:r>
      <w:r w:rsidR="0045599C" w:rsidRPr="007C2BE2">
        <w:rPr>
          <w:sz w:val="24"/>
          <w:szCs w:val="24"/>
        </w:rPr>
        <w:t xml:space="preserve">One teacher responded “‘At first glance </w:t>
      </w:r>
      <w:r w:rsidR="00FA52D8" w:rsidRPr="007C2BE2">
        <w:rPr>
          <w:sz w:val="24"/>
          <w:szCs w:val="24"/>
        </w:rPr>
        <w:t>this sounds</w:t>
      </w:r>
      <w:r w:rsidR="0045599C" w:rsidRPr="007C2BE2">
        <w:rPr>
          <w:sz w:val="24"/>
          <w:szCs w:val="24"/>
        </w:rPr>
        <w:t xml:space="preserve"> interesting however pressure for children to attain </w:t>
      </w:r>
      <w:r w:rsidR="0045599C" w:rsidRPr="007C2BE2">
        <w:rPr>
          <w:sz w:val="24"/>
          <w:szCs w:val="24"/>
        </w:rPr>
        <w:lastRenderedPageBreak/>
        <w:t>conflicts with healthy, confident individuals as it is becoming evident that anxiety of pupils is increasing.’ Teacher, Response 385864943</w:t>
      </w:r>
      <w:r w:rsidR="00E0504F" w:rsidRPr="007C2BE2">
        <w:rPr>
          <w:sz w:val="24"/>
          <w:szCs w:val="24"/>
        </w:rPr>
        <w:t>”</w:t>
      </w:r>
      <w:r w:rsidR="0045599C" w:rsidRPr="007C2BE2">
        <w:rPr>
          <w:sz w:val="24"/>
          <w:szCs w:val="24"/>
        </w:rPr>
        <w:t>.</w:t>
      </w:r>
      <w:r w:rsidR="00E0504F" w:rsidRPr="007C2BE2">
        <w:rPr>
          <w:rStyle w:val="FootnoteReference"/>
          <w:sz w:val="24"/>
          <w:szCs w:val="24"/>
        </w:rPr>
        <w:footnoteReference w:id="8"/>
      </w:r>
      <w:r w:rsidR="0045599C" w:rsidRPr="007C2BE2">
        <w:rPr>
          <w:sz w:val="24"/>
          <w:szCs w:val="24"/>
        </w:rPr>
        <w:t xml:space="preserve"> An Education Advisor</w:t>
      </w:r>
      <w:r w:rsidR="008409AA" w:rsidRPr="007C2BE2">
        <w:rPr>
          <w:sz w:val="24"/>
          <w:szCs w:val="24"/>
        </w:rPr>
        <w:t xml:space="preserve"> respondent</w:t>
      </w:r>
      <w:r w:rsidR="0045599C" w:rsidRPr="007C2BE2">
        <w:rPr>
          <w:sz w:val="24"/>
          <w:szCs w:val="24"/>
        </w:rPr>
        <w:t xml:space="preserve"> further raised a concern regarding the generality of the statements allowing them to be open to differing interpretations in how to be practiced, which has the potential to be a positive however</w:t>
      </w:r>
      <w:r w:rsidR="00D95AA6" w:rsidRPr="007C2BE2">
        <w:rPr>
          <w:sz w:val="24"/>
          <w:szCs w:val="24"/>
        </w:rPr>
        <w:t>,</w:t>
      </w:r>
      <w:r w:rsidR="0045599C" w:rsidRPr="007C2BE2">
        <w:rPr>
          <w:sz w:val="24"/>
          <w:szCs w:val="24"/>
        </w:rPr>
        <w:t xml:space="preserve"> could cause issues in situations when the learners needs are not being met as a result.</w:t>
      </w:r>
      <w:r w:rsidR="00C96293" w:rsidRPr="007C2BE2">
        <w:rPr>
          <w:rStyle w:val="FootnoteReference"/>
          <w:sz w:val="24"/>
          <w:szCs w:val="24"/>
        </w:rPr>
        <w:footnoteReference w:id="9"/>
      </w:r>
      <w:r w:rsidR="007F6EC5">
        <w:rPr>
          <w:sz w:val="24"/>
          <w:szCs w:val="24"/>
        </w:rPr>
        <w:t xml:space="preserve"> </w:t>
      </w:r>
    </w:p>
    <w:p w14:paraId="42F88773" w14:textId="70E289E0" w:rsidR="00D00261" w:rsidRPr="007C2BE2" w:rsidRDefault="00406DE9" w:rsidP="00123D33">
      <w:pPr>
        <w:rPr>
          <w:sz w:val="24"/>
          <w:szCs w:val="24"/>
        </w:rPr>
      </w:pPr>
      <w:r w:rsidRPr="007C2BE2">
        <w:rPr>
          <w:sz w:val="24"/>
          <w:szCs w:val="24"/>
        </w:rPr>
        <w:t xml:space="preserve">This essay will now reflect upon equality and diversity in education. </w:t>
      </w:r>
      <w:r w:rsidR="00545364" w:rsidRPr="007C2BE2">
        <w:rPr>
          <w:sz w:val="24"/>
          <w:szCs w:val="24"/>
        </w:rPr>
        <w:t xml:space="preserve">It is of upmost importance that </w:t>
      </w:r>
      <w:r w:rsidRPr="007C2BE2">
        <w:rPr>
          <w:sz w:val="24"/>
          <w:szCs w:val="24"/>
        </w:rPr>
        <w:t>e</w:t>
      </w:r>
      <w:r w:rsidR="00545364" w:rsidRPr="007C2BE2">
        <w:rPr>
          <w:sz w:val="24"/>
          <w:szCs w:val="24"/>
        </w:rPr>
        <w:t xml:space="preserve">quality and </w:t>
      </w:r>
      <w:r w:rsidRPr="007C2BE2">
        <w:rPr>
          <w:sz w:val="24"/>
          <w:szCs w:val="24"/>
        </w:rPr>
        <w:t>d</w:t>
      </w:r>
      <w:r w:rsidR="00545364" w:rsidRPr="007C2BE2">
        <w:rPr>
          <w:sz w:val="24"/>
          <w:szCs w:val="24"/>
        </w:rPr>
        <w:t xml:space="preserve">iversity legislation is followed within educational settings to ensure that all learners have equality of opportunity to reach their potential. </w:t>
      </w:r>
      <w:r w:rsidR="0036765F" w:rsidRPr="007C2BE2">
        <w:rPr>
          <w:sz w:val="24"/>
          <w:szCs w:val="24"/>
        </w:rPr>
        <w:t>The importance here is that ‘being equal’ is not the same as equality of opportunity. Equality of opportunity ensures each learner is provided with opportunities that are equal to allow them a fair chance at life and to not be restricted by barriers they may be faced with.</w:t>
      </w:r>
      <w:r w:rsidR="009E0516" w:rsidRPr="007C2BE2">
        <w:rPr>
          <w:rStyle w:val="FootnoteReference"/>
          <w:sz w:val="24"/>
          <w:szCs w:val="24"/>
        </w:rPr>
        <w:footnoteReference w:id="10"/>
      </w:r>
      <w:r w:rsidR="0036765F" w:rsidRPr="007C2BE2">
        <w:rPr>
          <w:sz w:val="24"/>
          <w:szCs w:val="24"/>
        </w:rPr>
        <w:t xml:space="preserve"> </w:t>
      </w:r>
      <w:r w:rsidR="009E0516" w:rsidRPr="007C2BE2">
        <w:rPr>
          <w:sz w:val="24"/>
          <w:szCs w:val="24"/>
        </w:rPr>
        <w:t>These opportunities may differ for each learner depending on their needs but supports learner</w:t>
      </w:r>
      <w:r w:rsidRPr="007C2BE2">
        <w:rPr>
          <w:sz w:val="24"/>
          <w:szCs w:val="24"/>
        </w:rPr>
        <w:t>’</w:t>
      </w:r>
      <w:r w:rsidR="009E0516" w:rsidRPr="007C2BE2">
        <w:rPr>
          <w:sz w:val="24"/>
          <w:szCs w:val="24"/>
        </w:rPr>
        <w:t>s to have the same chance to succeed</w:t>
      </w:r>
      <w:r w:rsidR="00410D6E" w:rsidRPr="007C2BE2">
        <w:rPr>
          <w:sz w:val="24"/>
          <w:szCs w:val="24"/>
        </w:rPr>
        <w:t>, providing equity</w:t>
      </w:r>
      <w:r w:rsidR="009E0516" w:rsidRPr="007C2BE2">
        <w:rPr>
          <w:sz w:val="24"/>
          <w:szCs w:val="24"/>
        </w:rPr>
        <w:t xml:space="preserve">. </w:t>
      </w:r>
      <w:r w:rsidR="00D00261" w:rsidRPr="007C2BE2">
        <w:rPr>
          <w:sz w:val="24"/>
          <w:szCs w:val="24"/>
        </w:rPr>
        <w:t>In the UK and more specifically, Wales, there is legislation and policies in place to ensure discrimination does not take place. The Education Workforce Council (EWC) is a public body in Wales who work towards inclusivity and equality in the education sector. The EWC follow the Equality Act 2010</w:t>
      </w:r>
      <w:r w:rsidR="001E30B3" w:rsidRPr="007C2BE2">
        <w:rPr>
          <w:rStyle w:val="FootnoteReference"/>
          <w:sz w:val="24"/>
          <w:szCs w:val="24"/>
        </w:rPr>
        <w:footnoteReference w:id="11"/>
      </w:r>
      <w:r w:rsidR="00D00261" w:rsidRPr="007C2BE2">
        <w:rPr>
          <w:sz w:val="24"/>
          <w:szCs w:val="24"/>
        </w:rPr>
        <w:t xml:space="preserve"> to produce equality plans, </w:t>
      </w:r>
      <w:r w:rsidR="00E428C5" w:rsidRPr="007C2BE2">
        <w:rPr>
          <w:sz w:val="24"/>
          <w:szCs w:val="24"/>
        </w:rPr>
        <w:t>objectives,</w:t>
      </w:r>
      <w:r w:rsidR="00D00261" w:rsidRPr="007C2BE2">
        <w:rPr>
          <w:sz w:val="24"/>
          <w:szCs w:val="24"/>
        </w:rPr>
        <w:t xml:space="preserve"> and reports in the aim of achieving equality of opportunity. To do this the EWC holds a duty of protecting characteristics such </w:t>
      </w:r>
      <w:r w:rsidR="00E428C5" w:rsidRPr="007C2BE2">
        <w:rPr>
          <w:sz w:val="24"/>
          <w:szCs w:val="24"/>
        </w:rPr>
        <w:t>as</w:t>
      </w:r>
      <w:r w:rsidR="00D00261" w:rsidRPr="007C2BE2">
        <w:rPr>
          <w:sz w:val="24"/>
          <w:szCs w:val="24"/>
        </w:rPr>
        <w:t xml:space="preserve"> age, sex, race, disability, religion or belief and many more from discrimination.</w:t>
      </w:r>
      <w:r w:rsidR="00DE3256" w:rsidRPr="007C2BE2">
        <w:rPr>
          <w:rStyle w:val="FootnoteReference"/>
          <w:sz w:val="24"/>
          <w:szCs w:val="24"/>
        </w:rPr>
        <w:footnoteReference w:id="12"/>
      </w:r>
      <w:r w:rsidR="00E428C5" w:rsidRPr="007C2BE2">
        <w:rPr>
          <w:sz w:val="24"/>
          <w:szCs w:val="24"/>
        </w:rPr>
        <w:t xml:space="preserve"> An important piece of legislation is </w:t>
      </w:r>
      <w:r w:rsidR="00E428C5" w:rsidRPr="007C2BE2">
        <w:rPr>
          <w:sz w:val="24"/>
          <w:szCs w:val="24"/>
        </w:rPr>
        <w:t xml:space="preserve">The United Nations Convention on the Rights of the Child (UNCRC), </w:t>
      </w:r>
      <w:r w:rsidR="00E428C5" w:rsidRPr="007C2BE2">
        <w:rPr>
          <w:sz w:val="24"/>
          <w:szCs w:val="24"/>
        </w:rPr>
        <w:t xml:space="preserve">which </w:t>
      </w:r>
      <w:r w:rsidR="00E428C5" w:rsidRPr="007C2BE2">
        <w:rPr>
          <w:sz w:val="24"/>
          <w:szCs w:val="24"/>
        </w:rPr>
        <w:t>states clearly the rights of a child, some of which are relevant to equality and diversity.</w:t>
      </w:r>
      <w:r w:rsidR="00E428C5" w:rsidRPr="007C2BE2">
        <w:rPr>
          <w:rStyle w:val="FootnoteReference"/>
          <w:sz w:val="24"/>
          <w:szCs w:val="24"/>
        </w:rPr>
        <w:footnoteReference w:id="13"/>
      </w:r>
    </w:p>
    <w:p w14:paraId="6FC01A90" w14:textId="7E1F2E27" w:rsidR="008409AA" w:rsidRPr="007C2BE2" w:rsidRDefault="00822214" w:rsidP="00123D33">
      <w:pPr>
        <w:rPr>
          <w:sz w:val="24"/>
          <w:szCs w:val="24"/>
        </w:rPr>
      </w:pPr>
      <w:r w:rsidRPr="007C2BE2">
        <w:rPr>
          <w:sz w:val="24"/>
          <w:szCs w:val="24"/>
        </w:rPr>
        <w:t>A term closely associated with equality and diversity is inclusion. In educational settings inclusion refers to the effort in achieving maximum participation</w:t>
      </w:r>
      <w:r w:rsidR="00D93B96" w:rsidRPr="007C2BE2">
        <w:rPr>
          <w:sz w:val="24"/>
          <w:szCs w:val="24"/>
        </w:rPr>
        <w:t>, minimising exclusion of learners.</w:t>
      </w:r>
      <w:r w:rsidR="00D93B96" w:rsidRPr="007C2BE2">
        <w:rPr>
          <w:rStyle w:val="FootnoteReference"/>
          <w:sz w:val="24"/>
          <w:szCs w:val="24"/>
        </w:rPr>
        <w:footnoteReference w:id="14"/>
      </w:r>
      <w:r w:rsidR="00D93B96" w:rsidRPr="007C2BE2">
        <w:rPr>
          <w:sz w:val="24"/>
          <w:szCs w:val="24"/>
        </w:rPr>
        <w:t xml:space="preserve"> </w:t>
      </w:r>
      <w:r w:rsidR="00EF29D4" w:rsidRPr="007C2BE2">
        <w:rPr>
          <w:sz w:val="24"/>
          <w:szCs w:val="24"/>
        </w:rPr>
        <w:t>Although inclusion is a priority in educational settings Waldron and McLesky (1998) highlight that for children with learning disabilities, inclusion does not always work. They argue that successful inclusion depends upon many factors, such as, teachers, communities, setti</w:t>
      </w:r>
      <w:r w:rsidR="00A83379" w:rsidRPr="007C2BE2">
        <w:rPr>
          <w:sz w:val="24"/>
          <w:szCs w:val="24"/>
        </w:rPr>
        <w:t>n</w:t>
      </w:r>
      <w:r w:rsidR="00EF29D4" w:rsidRPr="007C2BE2">
        <w:rPr>
          <w:sz w:val="24"/>
          <w:szCs w:val="24"/>
        </w:rPr>
        <w:t>g and environments. Waldron and McLesky do point out that although</w:t>
      </w:r>
      <w:r w:rsidR="00B16C3D" w:rsidRPr="007C2BE2">
        <w:rPr>
          <w:sz w:val="24"/>
          <w:szCs w:val="24"/>
        </w:rPr>
        <w:t xml:space="preserve"> </w:t>
      </w:r>
      <w:r w:rsidR="00EF29D4" w:rsidRPr="007C2BE2">
        <w:rPr>
          <w:sz w:val="24"/>
          <w:szCs w:val="24"/>
        </w:rPr>
        <w:t xml:space="preserve">educational settings </w:t>
      </w:r>
      <w:r w:rsidR="00B16C3D" w:rsidRPr="007C2BE2">
        <w:rPr>
          <w:sz w:val="24"/>
          <w:szCs w:val="24"/>
        </w:rPr>
        <w:t xml:space="preserve">may fail </w:t>
      </w:r>
      <w:r w:rsidR="00EF29D4" w:rsidRPr="007C2BE2">
        <w:rPr>
          <w:sz w:val="24"/>
          <w:szCs w:val="24"/>
        </w:rPr>
        <w:t>to be inclusive to children with learning disabilities</w:t>
      </w:r>
      <w:r w:rsidR="00B16C3D" w:rsidRPr="007C2BE2">
        <w:rPr>
          <w:sz w:val="24"/>
          <w:szCs w:val="24"/>
        </w:rPr>
        <w:t xml:space="preserve"> all of the time, this is not to say that special education settings are inclusive of all of its learners all of </w:t>
      </w:r>
      <w:r w:rsidR="00B16C3D" w:rsidRPr="007C2BE2">
        <w:rPr>
          <w:sz w:val="24"/>
          <w:szCs w:val="24"/>
        </w:rPr>
        <w:lastRenderedPageBreak/>
        <w:t>the time either.</w:t>
      </w:r>
      <w:r w:rsidR="00B16C3D" w:rsidRPr="007C2BE2">
        <w:rPr>
          <w:rStyle w:val="FootnoteReference"/>
          <w:sz w:val="24"/>
          <w:szCs w:val="24"/>
        </w:rPr>
        <w:footnoteReference w:id="15"/>
      </w:r>
      <w:r w:rsidR="00B16C3D" w:rsidRPr="007C2BE2">
        <w:rPr>
          <w:sz w:val="24"/>
          <w:szCs w:val="24"/>
        </w:rPr>
        <w:t xml:space="preserve"> </w:t>
      </w:r>
      <w:r w:rsidR="008409AA" w:rsidRPr="007C2BE2">
        <w:rPr>
          <w:sz w:val="24"/>
          <w:szCs w:val="24"/>
        </w:rPr>
        <w:t>In the placement setting, it was observed that in the primary phase, all learner’s with additional learning needs ha</w:t>
      </w:r>
      <w:r w:rsidR="00406DE9" w:rsidRPr="007C2BE2">
        <w:rPr>
          <w:sz w:val="24"/>
          <w:szCs w:val="24"/>
        </w:rPr>
        <w:t>d</w:t>
      </w:r>
      <w:r w:rsidR="008409AA" w:rsidRPr="007C2BE2">
        <w:rPr>
          <w:sz w:val="24"/>
          <w:szCs w:val="24"/>
        </w:rPr>
        <w:t xml:space="preserve"> a Learning Support Assistant (LSA) allocated to them. It was clear that these students benefitted from the support of an LSA, for example a student with additional learning needs </w:t>
      </w:r>
      <w:r w:rsidR="00B47AD4" w:rsidRPr="007C2BE2">
        <w:rPr>
          <w:sz w:val="24"/>
          <w:szCs w:val="24"/>
        </w:rPr>
        <w:t xml:space="preserve">required support to cut our worksheets and draw tables/graphs. Here the LSA was able to assist in doing this. It is recognised that the work of </w:t>
      </w:r>
      <w:r w:rsidR="00406DE9" w:rsidRPr="007C2BE2">
        <w:rPr>
          <w:sz w:val="24"/>
          <w:szCs w:val="24"/>
        </w:rPr>
        <w:t xml:space="preserve">an </w:t>
      </w:r>
      <w:r w:rsidR="00B47AD4" w:rsidRPr="007C2BE2">
        <w:rPr>
          <w:sz w:val="24"/>
          <w:szCs w:val="24"/>
        </w:rPr>
        <w:t>LSA</w:t>
      </w:r>
      <w:r w:rsidR="00406DE9" w:rsidRPr="007C2BE2">
        <w:rPr>
          <w:sz w:val="24"/>
          <w:szCs w:val="24"/>
        </w:rPr>
        <w:t xml:space="preserve"> </w:t>
      </w:r>
      <w:r w:rsidR="00B47AD4" w:rsidRPr="007C2BE2">
        <w:rPr>
          <w:sz w:val="24"/>
          <w:szCs w:val="24"/>
        </w:rPr>
        <w:t>is essential to support children with additional learning needs and also the running of the class, as with their support the teacher is able to focus on the lesson plan for the whole class allowing maximum participation. However, there was some exclusion to these learners, as they had their LSA sitting with them for most of the school day, it restricted the learner’s interaction with other students. It was observed that they were less likely compared to those without an LSA to engage in conversation with other learners unless encouraged to do so by the teacher for the purpose of an activity.</w:t>
      </w:r>
    </w:p>
    <w:p w14:paraId="209B0A30" w14:textId="4D70B3F6" w:rsidR="0036765F" w:rsidRPr="007C2BE2" w:rsidRDefault="00A83379" w:rsidP="00D2237E">
      <w:pPr>
        <w:rPr>
          <w:sz w:val="24"/>
          <w:szCs w:val="24"/>
        </w:rPr>
      </w:pPr>
      <w:r w:rsidRPr="007C2BE2">
        <w:rPr>
          <w:sz w:val="24"/>
          <w:szCs w:val="24"/>
        </w:rPr>
        <w:t>There are many areas in education where learners experience exclusion, another being those learners</w:t>
      </w:r>
      <w:r w:rsidR="00BD6A99" w:rsidRPr="007C2BE2">
        <w:rPr>
          <w:sz w:val="24"/>
          <w:szCs w:val="24"/>
        </w:rPr>
        <w:t xml:space="preserve"> attending an education setting in the UK</w:t>
      </w:r>
      <w:r w:rsidRPr="007C2BE2">
        <w:rPr>
          <w:sz w:val="24"/>
          <w:szCs w:val="24"/>
        </w:rPr>
        <w:t xml:space="preserve"> who do not speak English as their first language. These learners can experience exclusion from their own language and culture and as a result, are ‘devalued and marginalized’.</w:t>
      </w:r>
      <w:r w:rsidRPr="007C2BE2">
        <w:rPr>
          <w:rStyle w:val="FootnoteReference"/>
          <w:sz w:val="24"/>
          <w:szCs w:val="24"/>
        </w:rPr>
        <w:footnoteReference w:id="16"/>
      </w:r>
      <w:r w:rsidR="00440994" w:rsidRPr="007C2BE2">
        <w:rPr>
          <w:sz w:val="24"/>
          <w:szCs w:val="24"/>
        </w:rPr>
        <w:t xml:space="preserve"> An example of how this happens in education is when learners are excluded from the rest of the class and their activities so that they have extra help with their ‘language’. </w:t>
      </w:r>
      <w:r w:rsidR="00534843" w:rsidRPr="007C2BE2">
        <w:rPr>
          <w:sz w:val="24"/>
          <w:szCs w:val="24"/>
        </w:rPr>
        <w:t>Exclusion</w:t>
      </w:r>
      <w:r w:rsidR="00440994" w:rsidRPr="007C2BE2">
        <w:rPr>
          <w:sz w:val="24"/>
          <w:szCs w:val="24"/>
        </w:rPr>
        <w:t xml:space="preserve"> in relation to language also occurs </w:t>
      </w:r>
      <w:r w:rsidR="00534843" w:rsidRPr="007C2BE2">
        <w:rPr>
          <w:sz w:val="24"/>
          <w:szCs w:val="24"/>
        </w:rPr>
        <w:t>because of</w:t>
      </w:r>
      <w:r w:rsidR="00440994" w:rsidRPr="007C2BE2">
        <w:rPr>
          <w:sz w:val="24"/>
          <w:szCs w:val="24"/>
        </w:rPr>
        <w:t xml:space="preserve"> learners being placed into lowers sets </w:t>
      </w:r>
      <w:r w:rsidR="00943650" w:rsidRPr="007C2BE2">
        <w:rPr>
          <w:sz w:val="24"/>
          <w:szCs w:val="24"/>
        </w:rPr>
        <w:t>because of</w:t>
      </w:r>
      <w:r w:rsidR="00440994" w:rsidRPr="007C2BE2">
        <w:rPr>
          <w:sz w:val="24"/>
          <w:szCs w:val="24"/>
        </w:rPr>
        <w:t xml:space="preserve"> inadequate language. This often results in the learner</w:t>
      </w:r>
      <w:r w:rsidR="00406DE9" w:rsidRPr="007C2BE2">
        <w:rPr>
          <w:sz w:val="24"/>
          <w:szCs w:val="24"/>
        </w:rPr>
        <w:t>’</w:t>
      </w:r>
      <w:r w:rsidR="00440994" w:rsidRPr="007C2BE2">
        <w:rPr>
          <w:sz w:val="24"/>
          <w:szCs w:val="24"/>
        </w:rPr>
        <w:t xml:space="preserve">s remaining </w:t>
      </w:r>
      <w:r w:rsidR="00E53750" w:rsidRPr="007C2BE2">
        <w:rPr>
          <w:sz w:val="24"/>
          <w:szCs w:val="24"/>
        </w:rPr>
        <w:t>i</w:t>
      </w:r>
      <w:r w:rsidR="00440994" w:rsidRPr="007C2BE2">
        <w:rPr>
          <w:sz w:val="24"/>
          <w:szCs w:val="24"/>
        </w:rPr>
        <w:t>n the low sets.</w:t>
      </w:r>
      <w:r w:rsidR="00440994" w:rsidRPr="007C2BE2">
        <w:rPr>
          <w:rStyle w:val="FootnoteReference"/>
          <w:sz w:val="24"/>
          <w:szCs w:val="24"/>
        </w:rPr>
        <w:footnoteReference w:id="17"/>
      </w:r>
      <w:r w:rsidR="001E79ED" w:rsidRPr="007C2BE2">
        <w:rPr>
          <w:sz w:val="24"/>
          <w:szCs w:val="24"/>
        </w:rPr>
        <w:t xml:space="preserve"> </w:t>
      </w:r>
      <w:r w:rsidR="00534843" w:rsidRPr="007C2BE2">
        <w:rPr>
          <w:sz w:val="24"/>
          <w:szCs w:val="24"/>
        </w:rPr>
        <w:t xml:space="preserve">Exclusion </w:t>
      </w:r>
      <w:r w:rsidR="00DC2015" w:rsidRPr="007C2BE2">
        <w:rPr>
          <w:sz w:val="24"/>
          <w:szCs w:val="24"/>
        </w:rPr>
        <w:t>because of</w:t>
      </w:r>
      <w:r w:rsidR="00534843" w:rsidRPr="007C2BE2">
        <w:rPr>
          <w:sz w:val="24"/>
          <w:szCs w:val="24"/>
        </w:rPr>
        <w:t xml:space="preserve"> language was an issue during the placement setting. On observing a Year 6 class there were </w:t>
      </w:r>
      <w:r w:rsidR="001B6DBD" w:rsidRPr="007C2BE2">
        <w:rPr>
          <w:sz w:val="24"/>
          <w:szCs w:val="24"/>
        </w:rPr>
        <w:t>5 children whose first language was not English. These children are referred to as EAL meaning English as an additional language. These learners spent the morning as a small group to have extra support with their language. This meant that</w:t>
      </w:r>
      <w:r w:rsidR="00123D33" w:rsidRPr="007C2BE2">
        <w:rPr>
          <w:sz w:val="24"/>
          <w:szCs w:val="24"/>
        </w:rPr>
        <w:t xml:space="preserve"> </w:t>
      </w:r>
      <w:r w:rsidR="001B6DBD" w:rsidRPr="007C2BE2">
        <w:rPr>
          <w:sz w:val="24"/>
          <w:szCs w:val="24"/>
        </w:rPr>
        <w:t>they missed out on writing a book review of their choice with the rest of the class, which could</w:t>
      </w:r>
      <w:r w:rsidR="00123D33" w:rsidRPr="007C2BE2">
        <w:rPr>
          <w:sz w:val="24"/>
          <w:szCs w:val="24"/>
        </w:rPr>
        <w:t xml:space="preserve"> </w:t>
      </w:r>
      <w:r w:rsidR="001B6DBD" w:rsidRPr="007C2BE2">
        <w:rPr>
          <w:sz w:val="24"/>
          <w:szCs w:val="24"/>
        </w:rPr>
        <w:t>have been done in their first language had they had the choice. The learners re-joined the class after lunch and were told by the teacher to get their sketch books out while the rest of the class continued to do their book review. The learners were not provided with a task to complete in their sketch books but were left to do as the</w:t>
      </w:r>
      <w:r w:rsidR="00406DE9" w:rsidRPr="007C2BE2">
        <w:rPr>
          <w:sz w:val="24"/>
          <w:szCs w:val="24"/>
        </w:rPr>
        <w:t>y</w:t>
      </w:r>
      <w:r w:rsidR="001B6DBD" w:rsidRPr="007C2BE2">
        <w:rPr>
          <w:sz w:val="24"/>
          <w:szCs w:val="24"/>
        </w:rPr>
        <w:t xml:space="preserve"> wanted. The teacher admitted that it is difficult to include them in class activities as they do not understand English. However, the teacher </w:t>
      </w:r>
      <w:r w:rsidR="00A41BA5" w:rsidRPr="007C2BE2">
        <w:rPr>
          <w:sz w:val="24"/>
          <w:szCs w:val="24"/>
        </w:rPr>
        <w:t>explained that they have tried to work the timetable to suit the EAL learners, by allocating subjects such as maths and art to the afternoon to be inclusive to them. This was not observed during the placement.</w:t>
      </w:r>
      <w:r w:rsidR="00DC2015" w:rsidRPr="007C2BE2">
        <w:rPr>
          <w:sz w:val="24"/>
          <w:szCs w:val="24"/>
        </w:rPr>
        <w:t xml:space="preserve"> </w:t>
      </w:r>
      <w:r w:rsidR="00DC2015" w:rsidRPr="007C2BE2">
        <w:rPr>
          <w:sz w:val="24"/>
          <w:szCs w:val="24"/>
        </w:rPr>
        <w:t xml:space="preserve">Article 2 </w:t>
      </w:r>
      <w:r w:rsidR="00DC2015" w:rsidRPr="007C2BE2">
        <w:rPr>
          <w:sz w:val="24"/>
          <w:szCs w:val="24"/>
        </w:rPr>
        <w:t xml:space="preserve">in the UNCRC </w:t>
      </w:r>
      <w:r w:rsidR="00DC2015" w:rsidRPr="007C2BE2">
        <w:rPr>
          <w:sz w:val="24"/>
          <w:szCs w:val="24"/>
        </w:rPr>
        <w:t>includes a child’s right to not be discriminated against in any</w:t>
      </w:r>
      <w:r w:rsidR="003E656E" w:rsidRPr="007C2BE2">
        <w:rPr>
          <w:sz w:val="24"/>
          <w:szCs w:val="24"/>
        </w:rPr>
        <w:t xml:space="preserve"> </w:t>
      </w:r>
      <w:r w:rsidR="00DC2015" w:rsidRPr="007C2BE2">
        <w:rPr>
          <w:sz w:val="24"/>
          <w:szCs w:val="24"/>
        </w:rPr>
        <w:t>way and state parties shall protect each child from all forms of discrimination</w:t>
      </w:r>
      <w:r w:rsidR="003E656E" w:rsidRPr="007C2BE2">
        <w:rPr>
          <w:sz w:val="24"/>
          <w:szCs w:val="24"/>
        </w:rPr>
        <w:t>.</w:t>
      </w:r>
      <w:r w:rsidR="00DC2015" w:rsidRPr="007C2BE2">
        <w:rPr>
          <w:rStyle w:val="FootnoteReference"/>
          <w:sz w:val="24"/>
          <w:szCs w:val="24"/>
        </w:rPr>
        <w:footnoteReference w:id="18"/>
      </w:r>
      <w:r w:rsidR="00DC2015" w:rsidRPr="007C2BE2">
        <w:rPr>
          <w:sz w:val="24"/>
          <w:szCs w:val="24"/>
        </w:rPr>
        <w:t xml:space="preserve"> </w:t>
      </w:r>
      <w:r w:rsidR="003E656E" w:rsidRPr="007C2BE2">
        <w:rPr>
          <w:sz w:val="24"/>
          <w:szCs w:val="24"/>
        </w:rPr>
        <w:t>T</w:t>
      </w:r>
      <w:r w:rsidR="00DC2015" w:rsidRPr="007C2BE2">
        <w:rPr>
          <w:sz w:val="24"/>
          <w:szCs w:val="24"/>
        </w:rPr>
        <w:t xml:space="preserve">herefore children learning English as a second language should not be treated unfairly as a result. It was observed that not only were the EAL children excluded from participating in </w:t>
      </w:r>
      <w:r w:rsidR="00DC2015" w:rsidRPr="007C2BE2">
        <w:rPr>
          <w:sz w:val="24"/>
          <w:szCs w:val="24"/>
        </w:rPr>
        <w:lastRenderedPageBreak/>
        <w:t xml:space="preserve">the </w:t>
      </w:r>
      <w:r w:rsidR="00D9649A" w:rsidRPr="007C2BE2">
        <w:rPr>
          <w:sz w:val="24"/>
          <w:szCs w:val="24"/>
        </w:rPr>
        <w:t>class,</w:t>
      </w:r>
      <w:r w:rsidR="00DC2015" w:rsidRPr="007C2BE2">
        <w:rPr>
          <w:sz w:val="24"/>
          <w:szCs w:val="24"/>
        </w:rPr>
        <w:t xml:space="preserve"> but this also impacted their social interaction with the rest of the class</w:t>
      </w:r>
      <w:r w:rsidR="00B96D2C" w:rsidRPr="007C2BE2">
        <w:rPr>
          <w:sz w:val="24"/>
          <w:szCs w:val="24"/>
        </w:rPr>
        <w:t>, which should not be the case</w:t>
      </w:r>
      <w:r w:rsidR="00DC2015" w:rsidRPr="007C2BE2">
        <w:rPr>
          <w:sz w:val="24"/>
          <w:szCs w:val="24"/>
        </w:rPr>
        <w:t>.</w:t>
      </w:r>
    </w:p>
    <w:p w14:paraId="3D2031F9" w14:textId="108BDD3F" w:rsidR="00BD6A99" w:rsidRPr="007C2BE2" w:rsidRDefault="009576CD" w:rsidP="00D2237E">
      <w:pPr>
        <w:rPr>
          <w:sz w:val="24"/>
          <w:szCs w:val="24"/>
        </w:rPr>
      </w:pPr>
      <w:r w:rsidRPr="007C2BE2">
        <w:rPr>
          <w:sz w:val="24"/>
          <w:szCs w:val="24"/>
        </w:rPr>
        <w:t xml:space="preserve">As discussed, equality and diversity </w:t>
      </w:r>
      <w:r w:rsidR="00A41BA5" w:rsidRPr="007C2BE2">
        <w:rPr>
          <w:sz w:val="24"/>
          <w:szCs w:val="24"/>
        </w:rPr>
        <w:t>persist</w:t>
      </w:r>
      <w:r w:rsidRPr="007C2BE2">
        <w:rPr>
          <w:sz w:val="24"/>
          <w:szCs w:val="24"/>
        </w:rPr>
        <w:t xml:space="preserve"> to be an unsolved issue within educational settings today. There </w:t>
      </w:r>
      <w:r w:rsidR="002F5346" w:rsidRPr="007C2BE2">
        <w:rPr>
          <w:sz w:val="24"/>
          <w:szCs w:val="24"/>
        </w:rPr>
        <w:t>are</w:t>
      </w:r>
      <w:r w:rsidRPr="007C2BE2">
        <w:rPr>
          <w:sz w:val="24"/>
          <w:szCs w:val="24"/>
        </w:rPr>
        <w:t xml:space="preserve"> legislation and policies in place to encourage equality and to celebrate diversity, however, in practice this does not always happen. For example, children who grow up in poverty are less likely to do well in school compared to those who are ‘better-off’. In response to this, prevention is arguably the most effective solution</w:t>
      </w:r>
      <w:r w:rsidR="00B96D2C" w:rsidRPr="007C2BE2">
        <w:rPr>
          <w:sz w:val="24"/>
          <w:szCs w:val="24"/>
        </w:rPr>
        <w:t>;</w:t>
      </w:r>
      <w:r w:rsidRPr="007C2BE2">
        <w:rPr>
          <w:sz w:val="24"/>
          <w:szCs w:val="24"/>
        </w:rPr>
        <w:t xml:space="preserve"> </w:t>
      </w:r>
      <w:r w:rsidR="00B96D2C" w:rsidRPr="007C2BE2">
        <w:rPr>
          <w:sz w:val="24"/>
          <w:szCs w:val="24"/>
        </w:rPr>
        <w:t>t</w:t>
      </w:r>
      <w:r w:rsidRPr="007C2BE2">
        <w:rPr>
          <w:sz w:val="24"/>
          <w:szCs w:val="24"/>
        </w:rPr>
        <w:t xml:space="preserve">o support the children and parents to access </w:t>
      </w:r>
      <w:r w:rsidR="00E2050B" w:rsidRPr="007C2BE2">
        <w:rPr>
          <w:sz w:val="24"/>
          <w:szCs w:val="24"/>
        </w:rPr>
        <w:t>financial support, quality education, health, housing, free school meals, this list is not exhaustive</w:t>
      </w:r>
      <w:r w:rsidR="00B96D2C" w:rsidRPr="007C2BE2">
        <w:rPr>
          <w:sz w:val="24"/>
          <w:szCs w:val="24"/>
        </w:rPr>
        <w:t>,</w:t>
      </w:r>
      <w:r w:rsidR="00E2050B" w:rsidRPr="007C2BE2">
        <w:rPr>
          <w:sz w:val="24"/>
          <w:szCs w:val="24"/>
        </w:rPr>
        <w:t xml:space="preserve"> </w:t>
      </w:r>
      <w:r w:rsidR="00B96D2C" w:rsidRPr="007C2BE2">
        <w:rPr>
          <w:sz w:val="24"/>
          <w:szCs w:val="24"/>
        </w:rPr>
        <w:t>i</w:t>
      </w:r>
      <w:r w:rsidR="00E2050B" w:rsidRPr="007C2BE2">
        <w:rPr>
          <w:sz w:val="24"/>
          <w:szCs w:val="24"/>
        </w:rPr>
        <w:t xml:space="preserve">n conjunction with opportunities </w:t>
      </w:r>
      <w:r w:rsidR="00DC2015" w:rsidRPr="007C2BE2">
        <w:rPr>
          <w:sz w:val="24"/>
          <w:szCs w:val="24"/>
        </w:rPr>
        <w:t xml:space="preserve">to </w:t>
      </w:r>
      <w:r w:rsidR="00E2050B" w:rsidRPr="007C2BE2">
        <w:rPr>
          <w:sz w:val="24"/>
          <w:szCs w:val="24"/>
        </w:rPr>
        <w:t>use their rights.</w:t>
      </w:r>
      <w:r w:rsidR="00E2050B" w:rsidRPr="007C2BE2">
        <w:rPr>
          <w:rStyle w:val="FootnoteReference"/>
          <w:sz w:val="24"/>
          <w:szCs w:val="24"/>
        </w:rPr>
        <w:footnoteReference w:id="19"/>
      </w:r>
      <w:r w:rsidR="00E2050B" w:rsidRPr="007C2BE2">
        <w:rPr>
          <w:sz w:val="24"/>
          <w:szCs w:val="24"/>
        </w:rPr>
        <w:t xml:space="preserve"> </w:t>
      </w:r>
      <w:r w:rsidR="002F5346" w:rsidRPr="007C2BE2">
        <w:rPr>
          <w:sz w:val="24"/>
          <w:szCs w:val="24"/>
        </w:rPr>
        <w:t>Article 27</w:t>
      </w:r>
      <w:r w:rsidR="00C23FEB" w:rsidRPr="007C2BE2">
        <w:rPr>
          <w:sz w:val="24"/>
          <w:szCs w:val="24"/>
        </w:rPr>
        <w:t xml:space="preserve"> of the UN</w:t>
      </w:r>
      <w:r w:rsidR="00E428C5" w:rsidRPr="007C2BE2">
        <w:rPr>
          <w:sz w:val="24"/>
          <w:szCs w:val="24"/>
        </w:rPr>
        <w:t>CRC</w:t>
      </w:r>
      <w:r w:rsidR="002F5346" w:rsidRPr="007C2BE2">
        <w:rPr>
          <w:sz w:val="24"/>
          <w:szCs w:val="24"/>
        </w:rPr>
        <w:t xml:space="preserve"> states the responsibility of not only the parents but states parties to ensuring a child has an adequate standard of living for their physical, mental, spiritual moral and social development.</w:t>
      </w:r>
      <w:r w:rsidR="00726863" w:rsidRPr="007C2BE2">
        <w:rPr>
          <w:rStyle w:val="FootnoteReference"/>
          <w:sz w:val="24"/>
          <w:szCs w:val="24"/>
        </w:rPr>
        <w:footnoteReference w:id="20"/>
      </w:r>
      <w:r w:rsidR="002F5346" w:rsidRPr="007C2BE2">
        <w:rPr>
          <w:sz w:val="24"/>
          <w:szCs w:val="24"/>
        </w:rPr>
        <w:t xml:space="preserve"> </w:t>
      </w:r>
    </w:p>
    <w:p w14:paraId="05DA0405" w14:textId="4A242C12" w:rsidR="00F377E7" w:rsidRPr="007C2BE2" w:rsidRDefault="00F377E7" w:rsidP="00D2237E">
      <w:pPr>
        <w:rPr>
          <w:sz w:val="24"/>
          <w:szCs w:val="24"/>
        </w:rPr>
      </w:pPr>
      <w:r w:rsidRPr="007C2BE2">
        <w:rPr>
          <w:sz w:val="24"/>
          <w:szCs w:val="24"/>
        </w:rPr>
        <w:t xml:space="preserve">In conclusion, both the </w:t>
      </w:r>
      <w:r w:rsidR="00B96D2C" w:rsidRPr="007C2BE2">
        <w:rPr>
          <w:sz w:val="24"/>
          <w:szCs w:val="24"/>
        </w:rPr>
        <w:t>n</w:t>
      </w:r>
      <w:r w:rsidRPr="007C2BE2">
        <w:rPr>
          <w:sz w:val="24"/>
          <w:szCs w:val="24"/>
        </w:rPr>
        <w:t xml:space="preserve">ew Curriculum and </w:t>
      </w:r>
      <w:r w:rsidR="00B96D2C" w:rsidRPr="007C2BE2">
        <w:rPr>
          <w:sz w:val="24"/>
          <w:szCs w:val="24"/>
        </w:rPr>
        <w:t>e</w:t>
      </w:r>
      <w:r w:rsidRPr="007C2BE2">
        <w:rPr>
          <w:sz w:val="24"/>
          <w:szCs w:val="24"/>
        </w:rPr>
        <w:t xml:space="preserve">quality and </w:t>
      </w:r>
      <w:r w:rsidR="00B96D2C" w:rsidRPr="007C2BE2">
        <w:rPr>
          <w:sz w:val="24"/>
          <w:szCs w:val="24"/>
        </w:rPr>
        <w:t>d</w:t>
      </w:r>
      <w:r w:rsidRPr="007C2BE2">
        <w:rPr>
          <w:sz w:val="24"/>
          <w:szCs w:val="24"/>
        </w:rPr>
        <w:t xml:space="preserve">iversity legislation set out to make positive change in the education system we have today. The </w:t>
      </w:r>
      <w:r w:rsidR="00B96D2C" w:rsidRPr="007C2BE2">
        <w:rPr>
          <w:sz w:val="24"/>
          <w:szCs w:val="24"/>
        </w:rPr>
        <w:t>n</w:t>
      </w:r>
      <w:r w:rsidRPr="007C2BE2">
        <w:rPr>
          <w:sz w:val="24"/>
          <w:szCs w:val="24"/>
        </w:rPr>
        <w:t xml:space="preserve">ew </w:t>
      </w:r>
      <w:r w:rsidR="00B96D2C" w:rsidRPr="007C2BE2">
        <w:rPr>
          <w:sz w:val="24"/>
          <w:szCs w:val="24"/>
        </w:rPr>
        <w:t>c</w:t>
      </w:r>
      <w:r w:rsidRPr="007C2BE2">
        <w:rPr>
          <w:sz w:val="24"/>
          <w:szCs w:val="24"/>
        </w:rPr>
        <w:t xml:space="preserve">urriculum has good intentions and aspirations of preparing learners for real-life experiences by applying a cross-curricular approach to teaching and placing emphasis on choice and subject relevance in teaching. The new curriculum intends to produce the four purposes within its learners, creating happy, healthy, confident, ambitious learners and preparing them for real-life situations. However, there are and will be issues with this approach to learning. Placement experience provided insight to some of these issues, such as, the difficulty in planning lessons that will cover digital competence, </w:t>
      </w:r>
      <w:r w:rsidR="009B6E04" w:rsidRPr="007C2BE2">
        <w:rPr>
          <w:sz w:val="24"/>
          <w:szCs w:val="24"/>
        </w:rPr>
        <w:t>numeracy,</w:t>
      </w:r>
      <w:r w:rsidRPr="007C2BE2">
        <w:rPr>
          <w:sz w:val="24"/>
          <w:szCs w:val="24"/>
        </w:rPr>
        <w:t xml:space="preserve"> and literacy in one. Allowing students to have choice in there subject matter is a positive contribution to the curriculum, however, problems may arise when the learners do not choose an appropriate subject matter that fits in accordance with the curriculum guidance, and how teachers will approach this decision making in an appropriate manner in order to continue to give the student</w:t>
      </w:r>
      <w:r w:rsidR="00B96D2C" w:rsidRPr="007C2BE2">
        <w:rPr>
          <w:sz w:val="24"/>
          <w:szCs w:val="24"/>
        </w:rPr>
        <w:t>s</w:t>
      </w:r>
      <w:r w:rsidRPr="007C2BE2">
        <w:rPr>
          <w:sz w:val="24"/>
          <w:szCs w:val="24"/>
        </w:rPr>
        <w:t xml:space="preserve"> a choice in what they study. There are also concerns mentioned in this essay regarding how the new </w:t>
      </w:r>
      <w:r w:rsidR="00A36769" w:rsidRPr="007C2BE2">
        <w:rPr>
          <w:sz w:val="24"/>
          <w:szCs w:val="24"/>
        </w:rPr>
        <w:t xml:space="preserve">curriculum will be followed through with in practice. The policies and framework have positive feedback and is encouraging positive change within </w:t>
      </w:r>
      <w:r w:rsidR="00ED5AE3" w:rsidRPr="007C2BE2">
        <w:rPr>
          <w:sz w:val="24"/>
          <w:szCs w:val="24"/>
        </w:rPr>
        <w:t>education;</w:t>
      </w:r>
      <w:r w:rsidR="00A36769" w:rsidRPr="007C2BE2">
        <w:rPr>
          <w:sz w:val="24"/>
          <w:szCs w:val="24"/>
        </w:rPr>
        <w:t xml:space="preserve"> however, it is not yet clear how it will be carried out. Secondly, this essay reflected upon equality and diversity in education. As discussed, legislation in Wales regarding equality and diversity has seen improvement over recent years. However, this legislation is only a starting point, it is what and how it is practised within educational settings that matters. As reflected from placement experience, it is evident that discrimination and exclusion, still very much takes place in education today</w:t>
      </w:r>
      <w:r w:rsidR="009B6E04" w:rsidRPr="007C2BE2">
        <w:rPr>
          <w:sz w:val="24"/>
          <w:szCs w:val="24"/>
        </w:rPr>
        <w:t xml:space="preserve"> and needs further change in practice</w:t>
      </w:r>
      <w:r w:rsidR="00A36769" w:rsidRPr="007C2BE2">
        <w:rPr>
          <w:sz w:val="24"/>
          <w:szCs w:val="24"/>
        </w:rPr>
        <w:t xml:space="preserve">. </w:t>
      </w:r>
      <w:r w:rsidR="00B96D2C" w:rsidRPr="007C2BE2">
        <w:rPr>
          <w:sz w:val="24"/>
          <w:szCs w:val="24"/>
        </w:rPr>
        <w:t xml:space="preserve">The new curriculum and equality and diversity in education today are pressing matters and need continuous review and improvement to prevent the issues that arise in relation to them. </w:t>
      </w:r>
    </w:p>
    <w:p w14:paraId="2AF57296" w14:textId="3DB1C134" w:rsidR="00631A5A" w:rsidRDefault="00631A5A">
      <w:pPr>
        <w:rPr>
          <w:sz w:val="24"/>
          <w:szCs w:val="24"/>
        </w:rPr>
      </w:pPr>
    </w:p>
    <w:p w14:paraId="674DCFBD" w14:textId="77777777" w:rsidR="00512BC7" w:rsidRDefault="00512BC7">
      <w:pPr>
        <w:rPr>
          <w:b/>
          <w:bCs/>
          <w:sz w:val="28"/>
          <w:szCs w:val="28"/>
          <w:u w:val="single"/>
        </w:rPr>
      </w:pPr>
    </w:p>
    <w:p w14:paraId="26B412F3" w14:textId="33F7228E" w:rsidR="00496EF3" w:rsidRPr="007C2BE2" w:rsidRDefault="00496EF3">
      <w:pPr>
        <w:rPr>
          <w:b/>
          <w:bCs/>
          <w:sz w:val="28"/>
          <w:szCs w:val="28"/>
          <w:u w:val="single"/>
        </w:rPr>
      </w:pPr>
      <w:r w:rsidRPr="007C2BE2">
        <w:rPr>
          <w:b/>
          <w:bCs/>
          <w:sz w:val="28"/>
          <w:szCs w:val="28"/>
          <w:u w:val="single"/>
        </w:rPr>
        <w:lastRenderedPageBreak/>
        <w:t>Bibliography</w:t>
      </w:r>
    </w:p>
    <w:p w14:paraId="56594581" w14:textId="7E6FF16A" w:rsidR="008322A7" w:rsidRPr="007C2BE2" w:rsidRDefault="00496EF3">
      <w:pPr>
        <w:rPr>
          <w:sz w:val="24"/>
          <w:szCs w:val="24"/>
        </w:rPr>
      </w:pPr>
      <w:r w:rsidRPr="007C2BE2">
        <w:rPr>
          <w:sz w:val="24"/>
          <w:szCs w:val="24"/>
        </w:rPr>
        <w:t xml:space="preserve">"Curriculum </w:t>
      </w:r>
      <w:r w:rsidR="00323F67" w:rsidRPr="007C2BE2">
        <w:rPr>
          <w:sz w:val="24"/>
          <w:szCs w:val="24"/>
        </w:rPr>
        <w:t>for</w:t>
      </w:r>
      <w:r w:rsidRPr="007C2BE2">
        <w:rPr>
          <w:sz w:val="24"/>
          <w:szCs w:val="24"/>
        </w:rPr>
        <w:t xml:space="preserve"> Wales: Overview | GOV.WALES", </w:t>
      </w:r>
      <w:r w:rsidRPr="007C2BE2">
        <w:rPr>
          <w:i/>
          <w:iCs/>
          <w:sz w:val="24"/>
          <w:szCs w:val="24"/>
        </w:rPr>
        <w:t>GOV.WALES</w:t>
      </w:r>
      <w:r w:rsidRPr="007C2BE2">
        <w:rPr>
          <w:sz w:val="24"/>
          <w:szCs w:val="24"/>
        </w:rPr>
        <w:t>, 2017 &lt;https://gov.wales/curriculum-wales-overview&gt; [Accessed 28 May 2020]</w:t>
      </w:r>
    </w:p>
    <w:p w14:paraId="3807E8C6" w14:textId="4907DC94" w:rsidR="00DB1C11" w:rsidRPr="007C2BE2" w:rsidRDefault="00DB1C11">
      <w:pPr>
        <w:rPr>
          <w:sz w:val="24"/>
          <w:szCs w:val="24"/>
        </w:rPr>
      </w:pPr>
      <w:r w:rsidRPr="007C2BE2">
        <w:rPr>
          <w:sz w:val="24"/>
          <w:szCs w:val="24"/>
        </w:rPr>
        <w:t xml:space="preserve">"Developing A Vision </w:t>
      </w:r>
      <w:r w:rsidR="002F3159" w:rsidRPr="007C2BE2">
        <w:rPr>
          <w:sz w:val="24"/>
          <w:szCs w:val="24"/>
        </w:rPr>
        <w:t>for</w:t>
      </w:r>
      <w:r w:rsidRPr="007C2BE2">
        <w:rPr>
          <w:sz w:val="24"/>
          <w:szCs w:val="24"/>
        </w:rPr>
        <w:t xml:space="preserve"> Curriculum Design - Hwb</w:t>
      </w:r>
      <w:r w:rsidRPr="007C2BE2">
        <w:rPr>
          <w:i/>
          <w:iCs/>
          <w:sz w:val="24"/>
          <w:szCs w:val="24"/>
        </w:rPr>
        <w:t xml:space="preserve">", </w:t>
      </w:r>
      <w:proofErr w:type="gramStart"/>
      <w:r w:rsidRPr="007C2BE2">
        <w:rPr>
          <w:i/>
          <w:iCs/>
          <w:sz w:val="24"/>
          <w:szCs w:val="24"/>
        </w:rPr>
        <w:t>Hwb.Gov.Wales</w:t>
      </w:r>
      <w:proofErr w:type="gramEnd"/>
      <w:r w:rsidRPr="007C2BE2">
        <w:rPr>
          <w:sz w:val="24"/>
          <w:szCs w:val="24"/>
        </w:rPr>
        <w:t>, 2020 &lt;https://hwb.gov.wales/curriculum-for-wales/designing-your-curriculum/developing-a-vision-for-curriculum-design/#curriculum-design-and-the-four-purposes&gt; [Accessed 28 May 2020]</w:t>
      </w:r>
    </w:p>
    <w:p w14:paraId="1590EAE3" w14:textId="19A8E83E" w:rsidR="00DE3256" w:rsidRPr="007C2BE2" w:rsidRDefault="00DE3256">
      <w:pPr>
        <w:rPr>
          <w:sz w:val="24"/>
          <w:szCs w:val="24"/>
        </w:rPr>
      </w:pPr>
      <w:r w:rsidRPr="007C2BE2">
        <w:rPr>
          <w:i/>
          <w:iCs/>
          <w:sz w:val="24"/>
          <w:szCs w:val="24"/>
        </w:rPr>
        <w:t>EDUCATION WORKFORCE COUNCIL STRATEGIC EQUALITY PLAN 2020-24</w:t>
      </w:r>
      <w:r w:rsidRPr="007C2BE2">
        <w:rPr>
          <w:sz w:val="24"/>
          <w:szCs w:val="24"/>
        </w:rPr>
        <w:t xml:space="preserve"> (Cardiff: Education Workforce Council, 2020), &lt;http://www.ewc.wales/site/index.php/en/about/ewc-news/item/23-education-workforce-statistics.html&gt; [Accessed 3 June 2020]</w:t>
      </w:r>
    </w:p>
    <w:p w14:paraId="7CDB6CED" w14:textId="721AB781" w:rsidR="009E0516" w:rsidRPr="007C2BE2" w:rsidRDefault="009E0516">
      <w:pPr>
        <w:rPr>
          <w:sz w:val="24"/>
          <w:szCs w:val="24"/>
        </w:rPr>
      </w:pPr>
      <w:r w:rsidRPr="007C2BE2">
        <w:rPr>
          <w:sz w:val="24"/>
          <w:szCs w:val="24"/>
        </w:rPr>
        <w:t xml:space="preserve">Griffin, Sue, </w:t>
      </w:r>
      <w:r w:rsidRPr="007C2BE2">
        <w:rPr>
          <w:i/>
          <w:iCs/>
          <w:sz w:val="24"/>
          <w:szCs w:val="24"/>
        </w:rPr>
        <w:t xml:space="preserve">Inclusion, Equality &amp; Diversity </w:t>
      </w:r>
      <w:r w:rsidR="002F3159" w:rsidRPr="007C2BE2">
        <w:rPr>
          <w:i/>
          <w:iCs/>
          <w:sz w:val="24"/>
          <w:szCs w:val="24"/>
        </w:rPr>
        <w:t>in</w:t>
      </w:r>
      <w:r w:rsidRPr="007C2BE2">
        <w:rPr>
          <w:i/>
          <w:iCs/>
          <w:sz w:val="24"/>
          <w:szCs w:val="24"/>
        </w:rPr>
        <w:t xml:space="preserve"> Working </w:t>
      </w:r>
      <w:r w:rsidR="002F3159" w:rsidRPr="007C2BE2">
        <w:rPr>
          <w:i/>
          <w:iCs/>
          <w:sz w:val="24"/>
          <w:szCs w:val="24"/>
        </w:rPr>
        <w:t>with</w:t>
      </w:r>
      <w:r w:rsidRPr="007C2BE2">
        <w:rPr>
          <w:i/>
          <w:iCs/>
          <w:sz w:val="24"/>
          <w:szCs w:val="24"/>
        </w:rPr>
        <w:t xml:space="preserve"> Children</w:t>
      </w:r>
      <w:r w:rsidRPr="007C2BE2">
        <w:rPr>
          <w:sz w:val="24"/>
          <w:szCs w:val="24"/>
        </w:rPr>
        <w:t xml:space="preserve"> (Essex: Pearson Education Limited, 2008)</w:t>
      </w:r>
    </w:p>
    <w:p w14:paraId="3573BC1F" w14:textId="684F69ED" w:rsidR="0080395B" w:rsidRPr="007C2BE2" w:rsidRDefault="0080395B">
      <w:pPr>
        <w:rPr>
          <w:sz w:val="24"/>
          <w:szCs w:val="24"/>
        </w:rPr>
      </w:pPr>
      <w:r w:rsidRPr="007C2BE2">
        <w:rPr>
          <w:sz w:val="24"/>
          <w:szCs w:val="24"/>
        </w:rPr>
        <w:t xml:space="preserve">"Introduction - Hwb", </w:t>
      </w:r>
      <w:proofErr w:type="gramStart"/>
      <w:r w:rsidRPr="007C2BE2">
        <w:rPr>
          <w:i/>
          <w:iCs/>
          <w:sz w:val="24"/>
          <w:szCs w:val="24"/>
        </w:rPr>
        <w:t>Hwb.Gov.Wales</w:t>
      </w:r>
      <w:proofErr w:type="gramEnd"/>
      <w:r w:rsidRPr="007C2BE2">
        <w:rPr>
          <w:sz w:val="24"/>
          <w:szCs w:val="24"/>
        </w:rPr>
        <w:t>, 2020 &lt;https://hwb.gov.wales/curriculum-for-wales/introduction/&gt; [Accessed 28 May 2020]</w:t>
      </w:r>
    </w:p>
    <w:p w14:paraId="499F9C1D" w14:textId="1A0E1EAF" w:rsidR="00B16C3D" w:rsidRPr="007C2BE2" w:rsidRDefault="00B16C3D">
      <w:pPr>
        <w:rPr>
          <w:sz w:val="24"/>
          <w:szCs w:val="24"/>
        </w:rPr>
      </w:pPr>
      <w:r w:rsidRPr="007C2BE2">
        <w:rPr>
          <w:sz w:val="24"/>
          <w:szCs w:val="24"/>
        </w:rPr>
        <w:t xml:space="preserve">Nutbrown, Cathy, and Peter Clough, </w:t>
      </w:r>
      <w:r w:rsidRPr="007C2BE2">
        <w:rPr>
          <w:i/>
          <w:iCs/>
          <w:sz w:val="24"/>
          <w:szCs w:val="24"/>
        </w:rPr>
        <w:t xml:space="preserve">Inclusion </w:t>
      </w:r>
      <w:r w:rsidR="002F3159" w:rsidRPr="007C2BE2">
        <w:rPr>
          <w:i/>
          <w:iCs/>
          <w:sz w:val="24"/>
          <w:szCs w:val="24"/>
        </w:rPr>
        <w:t>in</w:t>
      </w:r>
      <w:r w:rsidRPr="007C2BE2">
        <w:rPr>
          <w:i/>
          <w:iCs/>
          <w:sz w:val="24"/>
          <w:szCs w:val="24"/>
        </w:rPr>
        <w:t xml:space="preserve"> The Early Years: Critical Analyses </w:t>
      </w:r>
      <w:r w:rsidR="002F3159" w:rsidRPr="007C2BE2">
        <w:rPr>
          <w:i/>
          <w:iCs/>
          <w:sz w:val="24"/>
          <w:szCs w:val="24"/>
        </w:rPr>
        <w:t>and</w:t>
      </w:r>
      <w:r w:rsidRPr="007C2BE2">
        <w:rPr>
          <w:i/>
          <w:iCs/>
          <w:sz w:val="24"/>
          <w:szCs w:val="24"/>
        </w:rPr>
        <w:t xml:space="preserve"> Enabling Narratives</w:t>
      </w:r>
      <w:r w:rsidRPr="007C2BE2">
        <w:rPr>
          <w:sz w:val="24"/>
          <w:szCs w:val="24"/>
        </w:rPr>
        <w:t xml:space="preserve"> (London: SAGE Publications, 2006)</w:t>
      </w:r>
    </w:p>
    <w:p w14:paraId="1848993C" w14:textId="1B69D4BA" w:rsidR="00E0504F" w:rsidRPr="007C2BE2" w:rsidRDefault="00E0504F">
      <w:pPr>
        <w:rPr>
          <w:sz w:val="24"/>
          <w:szCs w:val="24"/>
        </w:rPr>
      </w:pPr>
      <w:r w:rsidRPr="007C2BE2">
        <w:rPr>
          <w:sz w:val="24"/>
          <w:szCs w:val="24"/>
        </w:rPr>
        <w:t xml:space="preserve">O'Prey, Llorenc, Yasmin Jennings, Polly Sills-Jones, Paula Gallagher, and Isabella Boorman, </w:t>
      </w:r>
      <w:r w:rsidRPr="007C2BE2">
        <w:rPr>
          <w:i/>
          <w:iCs/>
          <w:sz w:val="24"/>
          <w:szCs w:val="24"/>
        </w:rPr>
        <w:t xml:space="preserve">Successful Futures: Independent Review Of Curriculum And Assessment Arrangements In Wales A Report On Responses To The Great Debate </w:t>
      </w:r>
      <w:r w:rsidRPr="007C2BE2">
        <w:rPr>
          <w:sz w:val="24"/>
          <w:szCs w:val="24"/>
        </w:rPr>
        <w:t>(Aberaeron: Wavehill Ltd, 2015), &lt;https://gov.wales/sites/default/files/publications/2018-03/a-report-on-responses-to-the-great-debate.pdf&gt; [Accessed 29 May 2020]</w:t>
      </w:r>
    </w:p>
    <w:p w14:paraId="0CFA6B02" w14:textId="03CFFD90" w:rsidR="00A83379" w:rsidRPr="007C2BE2" w:rsidRDefault="00A83379">
      <w:pPr>
        <w:rPr>
          <w:sz w:val="24"/>
          <w:szCs w:val="24"/>
        </w:rPr>
      </w:pPr>
      <w:r w:rsidRPr="007C2BE2">
        <w:rPr>
          <w:sz w:val="24"/>
          <w:szCs w:val="24"/>
        </w:rPr>
        <w:t xml:space="preserve">Potts, Patricia, Felicity Armstrong, and Mary Masterton, </w:t>
      </w:r>
      <w:r w:rsidRPr="007C2BE2">
        <w:rPr>
          <w:i/>
          <w:iCs/>
          <w:sz w:val="24"/>
          <w:szCs w:val="24"/>
        </w:rPr>
        <w:t xml:space="preserve">Equality </w:t>
      </w:r>
      <w:r w:rsidR="002F3159" w:rsidRPr="007C2BE2">
        <w:rPr>
          <w:i/>
          <w:iCs/>
          <w:sz w:val="24"/>
          <w:szCs w:val="24"/>
        </w:rPr>
        <w:t>and</w:t>
      </w:r>
      <w:r w:rsidRPr="007C2BE2">
        <w:rPr>
          <w:i/>
          <w:iCs/>
          <w:sz w:val="24"/>
          <w:szCs w:val="24"/>
        </w:rPr>
        <w:t xml:space="preserve"> Diversity </w:t>
      </w:r>
      <w:r w:rsidR="002F3159" w:rsidRPr="007C2BE2">
        <w:rPr>
          <w:i/>
          <w:iCs/>
          <w:sz w:val="24"/>
          <w:szCs w:val="24"/>
        </w:rPr>
        <w:t>in</w:t>
      </w:r>
      <w:r w:rsidRPr="007C2BE2">
        <w:rPr>
          <w:i/>
          <w:iCs/>
          <w:sz w:val="24"/>
          <w:szCs w:val="24"/>
        </w:rPr>
        <w:t xml:space="preserve"> Education 1</w:t>
      </w:r>
      <w:r w:rsidRPr="007C2BE2">
        <w:rPr>
          <w:sz w:val="24"/>
          <w:szCs w:val="24"/>
        </w:rPr>
        <w:t xml:space="preserve"> (London: Routledge, 1995)</w:t>
      </w:r>
    </w:p>
    <w:p w14:paraId="2ED48325" w14:textId="5957088D" w:rsidR="008322A7" w:rsidRPr="007C2BE2" w:rsidRDefault="008322A7">
      <w:pPr>
        <w:rPr>
          <w:sz w:val="24"/>
          <w:szCs w:val="24"/>
        </w:rPr>
      </w:pPr>
      <w:r w:rsidRPr="007C2BE2">
        <w:rPr>
          <w:sz w:val="24"/>
          <w:szCs w:val="24"/>
        </w:rPr>
        <w:t xml:space="preserve">"Principles </w:t>
      </w:r>
      <w:r w:rsidR="002F3159" w:rsidRPr="007C2BE2">
        <w:rPr>
          <w:sz w:val="24"/>
          <w:szCs w:val="24"/>
        </w:rPr>
        <w:t>for</w:t>
      </w:r>
      <w:r w:rsidRPr="007C2BE2">
        <w:rPr>
          <w:sz w:val="24"/>
          <w:szCs w:val="24"/>
        </w:rPr>
        <w:t xml:space="preserve"> Designing Your Curriculum - Hwb", </w:t>
      </w:r>
      <w:proofErr w:type="gramStart"/>
      <w:r w:rsidRPr="007C2BE2">
        <w:rPr>
          <w:i/>
          <w:iCs/>
          <w:sz w:val="24"/>
          <w:szCs w:val="24"/>
        </w:rPr>
        <w:t>Hwb.Gov.Wales</w:t>
      </w:r>
      <w:proofErr w:type="gramEnd"/>
      <w:r w:rsidRPr="007C2BE2">
        <w:rPr>
          <w:sz w:val="24"/>
          <w:szCs w:val="24"/>
        </w:rPr>
        <w:t>, 2020 &lt;https://hwb.gov.wales/curriculum-for-wales/designing-your-curriculum/principles-for-designing-your-curriculum/#statements-of-what-matters&gt; [Accessed 29 May 2020]</w:t>
      </w:r>
    </w:p>
    <w:p w14:paraId="0DC332F9" w14:textId="5ECFDB07" w:rsidR="00E2050B" w:rsidRPr="007C2BE2" w:rsidRDefault="00E2050B" w:rsidP="00E2050B">
      <w:pPr>
        <w:rPr>
          <w:sz w:val="24"/>
          <w:szCs w:val="24"/>
        </w:rPr>
      </w:pPr>
      <w:r w:rsidRPr="007C2BE2">
        <w:rPr>
          <w:sz w:val="24"/>
          <w:szCs w:val="24"/>
        </w:rPr>
        <w:t xml:space="preserve">Smith, Emma, </w:t>
      </w:r>
      <w:r w:rsidRPr="007C2BE2">
        <w:rPr>
          <w:i/>
          <w:iCs/>
          <w:sz w:val="24"/>
          <w:szCs w:val="24"/>
        </w:rPr>
        <w:t xml:space="preserve">Key Issues </w:t>
      </w:r>
      <w:r w:rsidR="002F3159" w:rsidRPr="007C2BE2">
        <w:rPr>
          <w:i/>
          <w:iCs/>
          <w:sz w:val="24"/>
          <w:szCs w:val="24"/>
        </w:rPr>
        <w:t>in</w:t>
      </w:r>
      <w:r w:rsidRPr="007C2BE2">
        <w:rPr>
          <w:i/>
          <w:iCs/>
          <w:sz w:val="24"/>
          <w:szCs w:val="24"/>
        </w:rPr>
        <w:t xml:space="preserve"> Education </w:t>
      </w:r>
      <w:r w:rsidR="002F3159" w:rsidRPr="007C2BE2">
        <w:rPr>
          <w:i/>
          <w:iCs/>
          <w:sz w:val="24"/>
          <w:szCs w:val="24"/>
        </w:rPr>
        <w:t>and</w:t>
      </w:r>
      <w:r w:rsidRPr="007C2BE2">
        <w:rPr>
          <w:i/>
          <w:iCs/>
          <w:sz w:val="24"/>
          <w:szCs w:val="24"/>
        </w:rPr>
        <w:t xml:space="preserve"> Social Justice</w:t>
      </w:r>
      <w:r w:rsidRPr="007C2BE2">
        <w:rPr>
          <w:sz w:val="24"/>
          <w:szCs w:val="24"/>
        </w:rPr>
        <w:t>, 2nd edn (London: SAGE Publications Ltd, 2018)</w:t>
      </w:r>
    </w:p>
    <w:p w14:paraId="01497B66" w14:textId="4C89A71D" w:rsidR="00726863" w:rsidRPr="007C2BE2" w:rsidRDefault="00726863" w:rsidP="00E2050B">
      <w:pPr>
        <w:rPr>
          <w:sz w:val="24"/>
          <w:szCs w:val="24"/>
        </w:rPr>
      </w:pPr>
      <w:r w:rsidRPr="007C2BE2">
        <w:rPr>
          <w:i/>
          <w:iCs/>
          <w:sz w:val="24"/>
          <w:szCs w:val="24"/>
        </w:rPr>
        <w:t xml:space="preserve">The United Nations Convention </w:t>
      </w:r>
      <w:r w:rsidR="002F3159" w:rsidRPr="007C2BE2">
        <w:rPr>
          <w:i/>
          <w:iCs/>
          <w:sz w:val="24"/>
          <w:szCs w:val="24"/>
        </w:rPr>
        <w:t>on</w:t>
      </w:r>
      <w:r w:rsidRPr="007C2BE2">
        <w:rPr>
          <w:i/>
          <w:iCs/>
          <w:sz w:val="24"/>
          <w:szCs w:val="24"/>
        </w:rPr>
        <w:t xml:space="preserve"> The Rights </w:t>
      </w:r>
      <w:r w:rsidR="002F3159" w:rsidRPr="007C2BE2">
        <w:rPr>
          <w:i/>
          <w:iCs/>
          <w:sz w:val="24"/>
          <w:szCs w:val="24"/>
        </w:rPr>
        <w:t>of</w:t>
      </w:r>
      <w:r w:rsidRPr="007C2BE2">
        <w:rPr>
          <w:i/>
          <w:iCs/>
          <w:sz w:val="24"/>
          <w:szCs w:val="24"/>
        </w:rPr>
        <w:t xml:space="preserve"> The Child</w:t>
      </w:r>
      <w:r w:rsidRPr="007C2BE2">
        <w:rPr>
          <w:sz w:val="24"/>
          <w:szCs w:val="24"/>
        </w:rPr>
        <w:t xml:space="preserve"> (London: Unicef, 1992), p. 9 &lt;https://downloads.unicef.org.uk/wp-content/uploads/2016/08/unicef-convention-rights-child-uncrc.pdf?_ga=2.204771289.818978628.1591094236-270623496.1559818839&gt; [Accessed 3 June 2020]</w:t>
      </w:r>
    </w:p>
    <w:p w14:paraId="4D082A60" w14:textId="77777777" w:rsidR="00E2050B" w:rsidRPr="007C2BE2" w:rsidRDefault="00E2050B">
      <w:pPr>
        <w:rPr>
          <w:sz w:val="24"/>
          <w:szCs w:val="24"/>
        </w:rPr>
      </w:pPr>
    </w:p>
    <w:p w14:paraId="35DDBB91" w14:textId="77777777" w:rsidR="00E0504F" w:rsidRPr="007C2BE2" w:rsidRDefault="00E0504F">
      <w:pPr>
        <w:rPr>
          <w:sz w:val="24"/>
          <w:szCs w:val="24"/>
        </w:rPr>
      </w:pPr>
    </w:p>
    <w:p w14:paraId="77854EAE" w14:textId="77777777" w:rsidR="00DB1C11" w:rsidRPr="007C2BE2" w:rsidRDefault="00DB1C11">
      <w:pPr>
        <w:rPr>
          <w:sz w:val="24"/>
          <w:szCs w:val="24"/>
        </w:rPr>
      </w:pPr>
    </w:p>
    <w:sectPr w:rsidR="00DB1C11" w:rsidRPr="007C2BE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76A774" w14:textId="77777777" w:rsidR="006A0227" w:rsidRDefault="006A0227" w:rsidP="00496EF3">
      <w:pPr>
        <w:spacing w:after="0" w:line="240" w:lineRule="auto"/>
      </w:pPr>
      <w:r>
        <w:separator/>
      </w:r>
    </w:p>
  </w:endnote>
  <w:endnote w:type="continuationSeparator" w:id="0">
    <w:p w14:paraId="0B5C36CC" w14:textId="77777777" w:rsidR="006A0227" w:rsidRDefault="006A0227" w:rsidP="00496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2478401"/>
      <w:docPartObj>
        <w:docPartGallery w:val="Page Numbers (Bottom of Page)"/>
        <w:docPartUnique/>
      </w:docPartObj>
    </w:sdtPr>
    <w:sdtContent>
      <w:p w14:paraId="5BA17A01" w14:textId="0BAE264F" w:rsidR="009D59DF" w:rsidRDefault="009D59D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54D904D" w14:textId="77777777" w:rsidR="009D59DF" w:rsidRDefault="009D59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99EB25" w14:textId="77777777" w:rsidR="006A0227" w:rsidRDefault="006A0227" w:rsidP="00496EF3">
      <w:pPr>
        <w:spacing w:after="0" w:line="240" w:lineRule="auto"/>
      </w:pPr>
      <w:r>
        <w:separator/>
      </w:r>
    </w:p>
  </w:footnote>
  <w:footnote w:type="continuationSeparator" w:id="0">
    <w:p w14:paraId="4B3617A0" w14:textId="77777777" w:rsidR="006A0227" w:rsidRDefault="006A0227" w:rsidP="00496EF3">
      <w:pPr>
        <w:spacing w:after="0" w:line="240" w:lineRule="auto"/>
      </w:pPr>
      <w:r>
        <w:continuationSeparator/>
      </w:r>
    </w:p>
  </w:footnote>
  <w:footnote w:id="1">
    <w:p w14:paraId="71058739" w14:textId="4E14FB99" w:rsidR="009D59DF" w:rsidRDefault="009D59DF">
      <w:pPr>
        <w:pStyle w:val="FootnoteText"/>
      </w:pPr>
      <w:r>
        <w:rPr>
          <w:rStyle w:val="FootnoteReference"/>
        </w:rPr>
        <w:footnoteRef/>
      </w:r>
      <w:r>
        <w:t xml:space="preserve"> </w:t>
      </w:r>
      <w:r w:rsidRPr="002A0CB4">
        <w:t xml:space="preserve">"Curriculum </w:t>
      </w:r>
      <w:r w:rsidR="002F3159">
        <w:t>f</w:t>
      </w:r>
      <w:r w:rsidRPr="002A0CB4">
        <w:t>or Wales: Overview | GOV.WALES"</w:t>
      </w:r>
      <w:r w:rsidRPr="00496EF3">
        <w:rPr>
          <w:i/>
          <w:iCs/>
        </w:rPr>
        <w:t>,</w:t>
      </w:r>
      <w:r w:rsidRPr="00496EF3">
        <w:t xml:space="preserve"> </w:t>
      </w:r>
      <w:r w:rsidRPr="002A0CB4">
        <w:rPr>
          <w:i/>
          <w:iCs/>
        </w:rPr>
        <w:t>GOV.WALES</w:t>
      </w:r>
      <w:r w:rsidRPr="00496EF3">
        <w:t>, 2017 &lt;https://gov.wales/curriculum-wales-overview&gt; [Accessed 28 May 2020].</w:t>
      </w:r>
    </w:p>
  </w:footnote>
  <w:footnote w:id="2">
    <w:p w14:paraId="58217508" w14:textId="48B1B40D" w:rsidR="009D59DF" w:rsidRDefault="009D59DF">
      <w:pPr>
        <w:pStyle w:val="FootnoteText"/>
      </w:pPr>
      <w:r>
        <w:rPr>
          <w:rStyle w:val="FootnoteReference"/>
        </w:rPr>
        <w:footnoteRef/>
      </w:r>
      <w:r>
        <w:t xml:space="preserve"> </w:t>
      </w:r>
      <w:r w:rsidRPr="0080395B">
        <w:rPr>
          <w:i/>
          <w:iCs/>
        </w:rPr>
        <w:t>"</w:t>
      </w:r>
      <w:r w:rsidRPr="002A0CB4">
        <w:t>Introduction - Hwb"</w:t>
      </w:r>
      <w:r w:rsidRPr="0080395B">
        <w:rPr>
          <w:i/>
          <w:iCs/>
        </w:rPr>
        <w:t>,</w:t>
      </w:r>
      <w:r w:rsidRPr="0080395B">
        <w:t xml:space="preserve"> </w:t>
      </w:r>
      <w:proofErr w:type="gramStart"/>
      <w:r w:rsidRPr="002A0CB4">
        <w:rPr>
          <w:i/>
          <w:iCs/>
        </w:rPr>
        <w:t>Hwb.Gov.Wales</w:t>
      </w:r>
      <w:proofErr w:type="gramEnd"/>
      <w:r w:rsidRPr="0080395B">
        <w:t>, 2020 &lt;https://hwb.gov.wales/curriculum-for-wales/introduction/&gt; [Accessed 28 May 2020].</w:t>
      </w:r>
    </w:p>
  </w:footnote>
  <w:footnote w:id="3">
    <w:p w14:paraId="1B0E7C76" w14:textId="5D84C183" w:rsidR="009D59DF" w:rsidRDefault="009D59DF">
      <w:pPr>
        <w:pStyle w:val="FootnoteText"/>
      </w:pPr>
      <w:r>
        <w:rPr>
          <w:rStyle w:val="FootnoteReference"/>
        </w:rPr>
        <w:footnoteRef/>
      </w:r>
      <w:r>
        <w:t xml:space="preserve"> </w:t>
      </w:r>
      <w:r w:rsidRPr="002A0CB4">
        <w:t xml:space="preserve"> "Developing A Vision For Curriculum Design - Hwb", </w:t>
      </w:r>
      <w:proofErr w:type="gramStart"/>
      <w:r w:rsidRPr="002A0CB4">
        <w:rPr>
          <w:i/>
          <w:iCs/>
        </w:rPr>
        <w:t>Hwb.Gov.Wales</w:t>
      </w:r>
      <w:proofErr w:type="gramEnd"/>
      <w:r w:rsidRPr="002A0CB4">
        <w:t>, 2020 &lt;https://hwb.gov.wales/curriculum-for-wales/designing-your-curriculum/developing-a-vision-for-curriculum-design/#curriculum-design-and-the-four-purposes&gt; [Accessed 28 May 2020].</w:t>
      </w:r>
    </w:p>
  </w:footnote>
  <w:footnote w:id="4">
    <w:p w14:paraId="17BA125C" w14:textId="357B10E7" w:rsidR="009D59DF" w:rsidRDefault="009D59DF">
      <w:pPr>
        <w:pStyle w:val="FootnoteText"/>
      </w:pPr>
      <w:r>
        <w:rPr>
          <w:rStyle w:val="FootnoteReference"/>
        </w:rPr>
        <w:footnoteRef/>
      </w:r>
      <w:r w:rsidRPr="00CE4746">
        <w:t xml:space="preserve"> </w:t>
      </w:r>
      <w:proofErr w:type="gramStart"/>
      <w:r w:rsidRPr="00CE4746">
        <w:rPr>
          <w:i/>
          <w:iCs/>
        </w:rPr>
        <w:t>Hwb.Gov.Wales</w:t>
      </w:r>
      <w:proofErr w:type="gramEnd"/>
      <w:r w:rsidRPr="00CE4746">
        <w:t>, 2020</w:t>
      </w:r>
      <w:r w:rsidR="000D7105">
        <w:t>.</w:t>
      </w:r>
      <w:r w:rsidRPr="00CE4746">
        <w:t xml:space="preserve"> </w:t>
      </w:r>
    </w:p>
  </w:footnote>
  <w:footnote w:id="5">
    <w:p w14:paraId="39CEB3DE" w14:textId="38C69626" w:rsidR="009D59DF" w:rsidRDefault="009D59DF">
      <w:pPr>
        <w:pStyle w:val="FootnoteText"/>
      </w:pPr>
      <w:r>
        <w:rPr>
          <w:rStyle w:val="FootnoteReference"/>
        </w:rPr>
        <w:footnoteRef/>
      </w:r>
      <w:r w:rsidRPr="00944835">
        <w:rPr>
          <w:i/>
          <w:iCs/>
        </w:rPr>
        <w:t xml:space="preserve"> </w:t>
      </w:r>
      <w:proofErr w:type="gramStart"/>
      <w:r w:rsidRPr="00944835">
        <w:rPr>
          <w:i/>
          <w:iCs/>
        </w:rPr>
        <w:t>Hwb.Gov.Wales</w:t>
      </w:r>
      <w:proofErr w:type="gramEnd"/>
      <w:r w:rsidRPr="00944835">
        <w:t>, 2020</w:t>
      </w:r>
      <w:r w:rsidR="000D7105">
        <w:t>.</w:t>
      </w:r>
    </w:p>
  </w:footnote>
  <w:footnote w:id="6">
    <w:p w14:paraId="37667A32" w14:textId="6F3D444C" w:rsidR="009D59DF" w:rsidRDefault="009D59DF">
      <w:pPr>
        <w:pStyle w:val="FootnoteText"/>
      </w:pPr>
      <w:r>
        <w:rPr>
          <w:rStyle w:val="FootnoteReference"/>
        </w:rPr>
        <w:footnoteRef/>
      </w:r>
      <w:r>
        <w:t xml:space="preserve"> </w:t>
      </w:r>
      <w:r w:rsidRPr="005A073B">
        <w:t xml:space="preserve">"Principles For Designing Your Curriculum - Hwb", </w:t>
      </w:r>
      <w:proofErr w:type="gramStart"/>
      <w:r w:rsidRPr="005A073B">
        <w:rPr>
          <w:i/>
          <w:iCs/>
        </w:rPr>
        <w:t>Hwb.Gov.Wales</w:t>
      </w:r>
      <w:proofErr w:type="gramEnd"/>
      <w:r w:rsidRPr="005A073B">
        <w:t>, 2020 &lt;https://hwb.gov.wales/curriculum-for-wales/designing-your-curriculum/principles-for-designing-your-curriculum/#statements-of-what-matters&gt; [Accessed 29 May 2020].</w:t>
      </w:r>
    </w:p>
  </w:footnote>
  <w:footnote w:id="7">
    <w:p w14:paraId="0E03B768" w14:textId="7BB6487A" w:rsidR="009D59DF" w:rsidRDefault="009D59DF">
      <w:pPr>
        <w:pStyle w:val="FootnoteText"/>
      </w:pPr>
      <w:r>
        <w:rPr>
          <w:rStyle w:val="FootnoteReference"/>
        </w:rPr>
        <w:footnoteRef/>
      </w:r>
      <w:r>
        <w:t xml:space="preserve"> </w:t>
      </w:r>
      <w:r w:rsidRPr="00D43626">
        <w:t xml:space="preserve">Llorenc O'Prey and others, </w:t>
      </w:r>
      <w:r w:rsidRPr="00D43626">
        <w:rPr>
          <w:i/>
          <w:iCs/>
        </w:rPr>
        <w:t xml:space="preserve">Successful Futures: Independent Review </w:t>
      </w:r>
      <w:r w:rsidR="002F3159">
        <w:rPr>
          <w:i/>
          <w:iCs/>
        </w:rPr>
        <w:t>o</w:t>
      </w:r>
      <w:r w:rsidRPr="00D43626">
        <w:rPr>
          <w:i/>
          <w:iCs/>
        </w:rPr>
        <w:t xml:space="preserve">f Curriculum </w:t>
      </w:r>
      <w:r w:rsidR="002F3159">
        <w:rPr>
          <w:i/>
          <w:iCs/>
        </w:rPr>
        <w:t>a</w:t>
      </w:r>
      <w:r w:rsidRPr="00D43626">
        <w:rPr>
          <w:i/>
          <w:iCs/>
        </w:rPr>
        <w:t xml:space="preserve">nd Assessment Arrangements </w:t>
      </w:r>
      <w:r w:rsidR="002F3159">
        <w:rPr>
          <w:i/>
          <w:iCs/>
        </w:rPr>
        <w:t>i</w:t>
      </w:r>
      <w:r w:rsidRPr="00D43626">
        <w:rPr>
          <w:i/>
          <w:iCs/>
        </w:rPr>
        <w:t xml:space="preserve">n Wales A Report </w:t>
      </w:r>
      <w:r w:rsidR="00756358">
        <w:rPr>
          <w:i/>
          <w:iCs/>
        </w:rPr>
        <w:t>o</w:t>
      </w:r>
      <w:r w:rsidRPr="00D43626">
        <w:rPr>
          <w:i/>
          <w:iCs/>
        </w:rPr>
        <w:t xml:space="preserve">n Responses </w:t>
      </w:r>
      <w:r w:rsidR="00756358">
        <w:rPr>
          <w:i/>
          <w:iCs/>
        </w:rPr>
        <w:t>t</w:t>
      </w:r>
      <w:r w:rsidRPr="00D43626">
        <w:rPr>
          <w:i/>
          <w:iCs/>
        </w:rPr>
        <w:t>o The Great Debate</w:t>
      </w:r>
      <w:r w:rsidRPr="00D43626">
        <w:t xml:space="preserve"> (Aberaeron: Wavehill Ltd, 2015), p. 6 &lt;https://gov.wales/sites/default/files/publications/2018-03/a-report-on-responses-to-the-great-debate.pdf&gt; [Accessed 29 May 2020].</w:t>
      </w:r>
    </w:p>
  </w:footnote>
  <w:footnote w:id="8">
    <w:p w14:paraId="3EB0C99B" w14:textId="4D44480E" w:rsidR="009D59DF" w:rsidRDefault="009D59DF">
      <w:pPr>
        <w:pStyle w:val="FootnoteText"/>
      </w:pPr>
      <w:r>
        <w:rPr>
          <w:rStyle w:val="FootnoteReference"/>
        </w:rPr>
        <w:footnoteRef/>
      </w:r>
      <w:r>
        <w:t xml:space="preserve"> </w:t>
      </w:r>
      <w:r w:rsidRPr="00E0504F">
        <w:t xml:space="preserve">O'Prey and others, </w:t>
      </w:r>
      <w:r w:rsidRPr="00E0504F">
        <w:rPr>
          <w:i/>
          <w:iCs/>
        </w:rPr>
        <w:t>Successful Futures</w:t>
      </w:r>
      <w:r w:rsidRPr="00E0504F">
        <w:t>, p. 6.</w:t>
      </w:r>
    </w:p>
  </w:footnote>
  <w:footnote w:id="9">
    <w:p w14:paraId="6AAE61C6" w14:textId="4F8D2EA1" w:rsidR="009D59DF" w:rsidRDefault="009D59DF">
      <w:pPr>
        <w:pStyle w:val="FootnoteText"/>
      </w:pPr>
      <w:r>
        <w:rPr>
          <w:rStyle w:val="FootnoteReference"/>
        </w:rPr>
        <w:footnoteRef/>
      </w:r>
      <w:r>
        <w:t xml:space="preserve"> </w:t>
      </w:r>
      <w:r w:rsidR="00974E94" w:rsidRPr="00974E94">
        <w:t xml:space="preserve">O'Prey and others, </w:t>
      </w:r>
      <w:r w:rsidR="00974E94" w:rsidRPr="00974E94">
        <w:rPr>
          <w:i/>
          <w:iCs/>
        </w:rPr>
        <w:t>Successful Futures</w:t>
      </w:r>
      <w:r w:rsidR="00974E94" w:rsidRPr="00974E94">
        <w:t>, p. 6.</w:t>
      </w:r>
    </w:p>
  </w:footnote>
  <w:footnote w:id="10">
    <w:p w14:paraId="5DBD93FB" w14:textId="44066FF2" w:rsidR="009D59DF" w:rsidRDefault="009D59DF">
      <w:pPr>
        <w:pStyle w:val="FootnoteText"/>
      </w:pPr>
      <w:r>
        <w:rPr>
          <w:rStyle w:val="FootnoteReference"/>
        </w:rPr>
        <w:footnoteRef/>
      </w:r>
      <w:r>
        <w:t xml:space="preserve"> </w:t>
      </w:r>
      <w:r w:rsidRPr="009E0516">
        <w:t xml:space="preserve">Sue Griffin, </w:t>
      </w:r>
      <w:r w:rsidRPr="009E0516">
        <w:rPr>
          <w:i/>
          <w:iCs/>
        </w:rPr>
        <w:t xml:space="preserve">Inclusion, Equality &amp; Diversity </w:t>
      </w:r>
      <w:r w:rsidR="005E3256">
        <w:rPr>
          <w:i/>
          <w:iCs/>
        </w:rPr>
        <w:t>i</w:t>
      </w:r>
      <w:r w:rsidRPr="009E0516">
        <w:rPr>
          <w:i/>
          <w:iCs/>
        </w:rPr>
        <w:t xml:space="preserve">n Working </w:t>
      </w:r>
      <w:r w:rsidR="00D96CBD">
        <w:rPr>
          <w:i/>
          <w:iCs/>
        </w:rPr>
        <w:t>w</w:t>
      </w:r>
      <w:r w:rsidRPr="009E0516">
        <w:rPr>
          <w:i/>
          <w:iCs/>
        </w:rPr>
        <w:t>ith Children</w:t>
      </w:r>
      <w:r w:rsidRPr="009E0516">
        <w:t xml:space="preserve"> (Essex: Pearson Education Limited, 2008), pp. 12-13.</w:t>
      </w:r>
    </w:p>
  </w:footnote>
  <w:footnote w:id="11">
    <w:p w14:paraId="48757496" w14:textId="45E38E78" w:rsidR="001E30B3" w:rsidRDefault="001E30B3">
      <w:pPr>
        <w:pStyle w:val="FootnoteText"/>
      </w:pPr>
      <w:r>
        <w:rPr>
          <w:rStyle w:val="FootnoteReference"/>
        </w:rPr>
        <w:footnoteRef/>
      </w:r>
      <w:r>
        <w:t xml:space="preserve"> </w:t>
      </w:r>
      <w:r w:rsidRPr="001E30B3">
        <w:t xml:space="preserve">"Equality Act 2010: Guidance", </w:t>
      </w:r>
      <w:r w:rsidRPr="008B3DA4">
        <w:rPr>
          <w:i/>
          <w:iCs/>
        </w:rPr>
        <w:t>GOV.UK</w:t>
      </w:r>
      <w:r w:rsidRPr="001E30B3">
        <w:t>, 2013 &lt;https://www.gov.uk/guidance/equality-act-2010-guidance&gt; [Accessed 3 June 2020].</w:t>
      </w:r>
    </w:p>
  </w:footnote>
  <w:footnote w:id="12">
    <w:p w14:paraId="26DA626D" w14:textId="6AF444BA" w:rsidR="00DE3256" w:rsidRDefault="00DE3256">
      <w:pPr>
        <w:pStyle w:val="FootnoteText"/>
      </w:pPr>
      <w:r>
        <w:rPr>
          <w:rStyle w:val="FootnoteReference"/>
        </w:rPr>
        <w:footnoteRef/>
      </w:r>
      <w:r>
        <w:t xml:space="preserve"> </w:t>
      </w:r>
      <w:r w:rsidRPr="008B3DA4">
        <w:rPr>
          <w:i/>
          <w:iCs/>
        </w:rPr>
        <w:t>EDUCATION WORKFORCE COUNCIL STRATEGIC EQUALITY PLAN 2020-24</w:t>
      </w:r>
      <w:r w:rsidRPr="008B3DA4">
        <w:t xml:space="preserve"> </w:t>
      </w:r>
      <w:r w:rsidRPr="00DE3256">
        <w:t>(Cardiff: Education Workforce Council, 2020), pp. 3-4 &lt;http://www.ewc.wales/site/index.php/en/about/ewc-news/item/23-education-workforce-statistics.html&gt; [Accessed 3 June 2020].</w:t>
      </w:r>
    </w:p>
  </w:footnote>
  <w:footnote w:id="13">
    <w:p w14:paraId="0E8E6E49" w14:textId="519DE118" w:rsidR="00E428C5" w:rsidRDefault="00E428C5">
      <w:pPr>
        <w:pStyle w:val="FootnoteText"/>
      </w:pPr>
      <w:r>
        <w:rPr>
          <w:rStyle w:val="FootnoteReference"/>
        </w:rPr>
        <w:footnoteRef/>
      </w:r>
      <w:r>
        <w:t xml:space="preserve"> </w:t>
      </w:r>
      <w:r w:rsidRPr="008B3DA4">
        <w:rPr>
          <w:i/>
          <w:iCs/>
        </w:rPr>
        <w:t xml:space="preserve">The United Nations Convention </w:t>
      </w:r>
      <w:r w:rsidR="002F3159" w:rsidRPr="008B3DA4">
        <w:rPr>
          <w:i/>
          <w:iCs/>
        </w:rPr>
        <w:t>on</w:t>
      </w:r>
      <w:r w:rsidRPr="008B3DA4">
        <w:rPr>
          <w:i/>
          <w:iCs/>
        </w:rPr>
        <w:t xml:space="preserve"> The Rights </w:t>
      </w:r>
      <w:r w:rsidR="002F3159" w:rsidRPr="008B3DA4">
        <w:rPr>
          <w:i/>
          <w:iCs/>
        </w:rPr>
        <w:t>of</w:t>
      </w:r>
      <w:r w:rsidRPr="008B3DA4">
        <w:rPr>
          <w:i/>
          <w:iCs/>
        </w:rPr>
        <w:t xml:space="preserve"> The Child</w:t>
      </w:r>
      <w:r w:rsidRPr="00E428C5">
        <w:t xml:space="preserve"> (London: Unicef, 1992), &lt;https://downloads.unicef.org.uk/wp-content/uploads/2016/08/unicef-convention-rights-child-uncrc.pdf?_ga=2.204771289.818978628.1591094236-270623496.1559818839&gt; [Accessed 3 June 2020].</w:t>
      </w:r>
    </w:p>
  </w:footnote>
  <w:footnote w:id="14">
    <w:p w14:paraId="5B44C2F0" w14:textId="74788D67" w:rsidR="009D59DF" w:rsidRDefault="009D59DF">
      <w:pPr>
        <w:pStyle w:val="FootnoteText"/>
      </w:pPr>
      <w:r>
        <w:rPr>
          <w:rStyle w:val="FootnoteReference"/>
        </w:rPr>
        <w:footnoteRef/>
      </w:r>
      <w:r>
        <w:t xml:space="preserve"> </w:t>
      </w:r>
      <w:r w:rsidRPr="00D93B96">
        <w:t xml:space="preserve">Griffin, </w:t>
      </w:r>
      <w:r w:rsidRPr="00D93B96">
        <w:rPr>
          <w:i/>
          <w:iCs/>
        </w:rPr>
        <w:t>Inclusion, Equality &amp; Diversity</w:t>
      </w:r>
      <w:r w:rsidRPr="00D93B96">
        <w:t>, p</w:t>
      </w:r>
      <w:r>
        <w:t xml:space="preserve">. </w:t>
      </w:r>
      <w:r w:rsidRPr="00D93B96">
        <w:t>3.</w:t>
      </w:r>
    </w:p>
  </w:footnote>
  <w:footnote w:id="15">
    <w:p w14:paraId="0A43C2FB" w14:textId="3EA3210E" w:rsidR="009D59DF" w:rsidRDefault="009D59DF">
      <w:pPr>
        <w:pStyle w:val="FootnoteText"/>
      </w:pPr>
      <w:r>
        <w:rPr>
          <w:rStyle w:val="FootnoteReference"/>
        </w:rPr>
        <w:footnoteRef/>
      </w:r>
      <w:r>
        <w:t xml:space="preserve"> </w:t>
      </w:r>
      <w:r w:rsidRPr="00B16C3D">
        <w:t xml:space="preserve">Cathy Nutbrown and Peter Clough, </w:t>
      </w:r>
      <w:r w:rsidRPr="00B16C3D">
        <w:rPr>
          <w:i/>
          <w:iCs/>
        </w:rPr>
        <w:t xml:space="preserve">Inclusion </w:t>
      </w:r>
      <w:r w:rsidR="005E3256">
        <w:rPr>
          <w:i/>
          <w:iCs/>
        </w:rPr>
        <w:t>i</w:t>
      </w:r>
      <w:r w:rsidRPr="00B16C3D">
        <w:rPr>
          <w:i/>
          <w:iCs/>
        </w:rPr>
        <w:t xml:space="preserve">n The Early Years: Critical Analyses </w:t>
      </w:r>
      <w:r w:rsidR="00D96CBD">
        <w:rPr>
          <w:i/>
          <w:iCs/>
        </w:rPr>
        <w:t>a</w:t>
      </w:r>
      <w:r w:rsidRPr="00B16C3D">
        <w:rPr>
          <w:i/>
          <w:iCs/>
        </w:rPr>
        <w:t>nd Enabling Narratives</w:t>
      </w:r>
      <w:r w:rsidRPr="00B16C3D">
        <w:t xml:space="preserve"> (London: SAGE Publications, 2006), p. 31.</w:t>
      </w:r>
    </w:p>
  </w:footnote>
  <w:footnote w:id="16">
    <w:p w14:paraId="302805DF" w14:textId="0324529A" w:rsidR="009D59DF" w:rsidRDefault="009D59DF">
      <w:pPr>
        <w:pStyle w:val="FootnoteText"/>
      </w:pPr>
      <w:r>
        <w:rPr>
          <w:rStyle w:val="FootnoteReference"/>
        </w:rPr>
        <w:footnoteRef/>
      </w:r>
      <w:r>
        <w:t xml:space="preserve"> </w:t>
      </w:r>
      <w:r w:rsidRPr="00A83379">
        <w:t xml:space="preserve">Patricia Potts, Felicity Armstrong and Mary Masterton, </w:t>
      </w:r>
      <w:r w:rsidRPr="00A83379">
        <w:rPr>
          <w:i/>
          <w:iCs/>
        </w:rPr>
        <w:t xml:space="preserve">Equality </w:t>
      </w:r>
      <w:r w:rsidR="00756358">
        <w:rPr>
          <w:i/>
          <w:iCs/>
        </w:rPr>
        <w:t>a</w:t>
      </w:r>
      <w:r w:rsidRPr="00A83379">
        <w:rPr>
          <w:i/>
          <w:iCs/>
        </w:rPr>
        <w:t xml:space="preserve">nd Diversity </w:t>
      </w:r>
      <w:r w:rsidR="00756358">
        <w:rPr>
          <w:i/>
          <w:iCs/>
        </w:rPr>
        <w:t>i</w:t>
      </w:r>
      <w:r w:rsidRPr="00A83379">
        <w:rPr>
          <w:i/>
          <w:iCs/>
        </w:rPr>
        <w:t>n Education 1</w:t>
      </w:r>
      <w:r w:rsidRPr="00A83379">
        <w:t xml:space="preserve"> (London: Routledge, 1995), p. 136.</w:t>
      </w:r>
    </w:p>
  </w:footnote>
  <w:footnote w:id="17">
    <w:p w14:paraId="33593D6D" w14:textId="708C4853" w:rsidR="009D59DF" w:rsidRDefault="009D59DF">
      <w:pPr>
        <w:pStyle w:val="FootnoteText"/>
      </w:pPr>
      <w:r>
        <w:rPr>
          <w:rStyle w:val="FootnoteReference"/>
        </w:rPr>
        <w:footnoteRef/>
      </w:r>
      <w:r>
        <w:t xml:space="preserve"> </w:t>
      </w:r>
      <w:r w:rsidRPr="00440994">
        <w:t>Potts, Armstrong an</w:t>
      </w:r>
      <w:r w:rsidR="002045ED">
        <w:t>d</w:t>
      </w:r>
      <w:r w:rsidRPr="00440994">
        <w:t xml:space="preserve"> Masterton, </w:t>
      </w:r>
      <w:r w:rsidRPr="004362FA">
        <w:rPr>
          <w:i/>
          <w:iCs/>
        </w:rPr>
        <w:t xml:space="preserve">Equality </w:t>
      </w:r>
      <w:r w:rsidR="00756358">
        <w:rPr>
          <w:i/>
          <w:iCs/>
        </w:rPr>
        <w:t>a</w:t>
      </w:r>
      <w:r w:rsidRPr="004362FA">
        <w:rPr>
          <w:i/>
          <w:iCs/>
        </w:rPr>
        <w:t xml:space="preserve">nd Diversity </w:t>
      </w:r>
      <w:r w:rsidR="00756358">
        <w:rPr>
          <w:i/>
          <w:iCs/>
        </w:rPr>
        <w:t>i</w:t>
      </w:r>
      <w:r w:rsidRPr="004362FA">
        <w:rPr>
          <w:i/>
          <w:iCs/>
        </w:rPr>
        <w:t>n Education 1</w:t>
      </w:r>
      <w:r w:rsidRPr="00440994">
        <w:t>, p</w:t>
      </w:r>
      <w:r>
        <w:t>p</w:t>
      </w:r>
      <w:r w:rsidRPr="00440994">
        <w:t>. 136</w:t>
      </w:r>
      <w:r>
        <w:t>-137</w:t>
      </w:r>
      <w:r w:rsidRPr="00440994">
        <w:t>.</w:t>
      </w:r>
    </w:p>
  </w:footnote>
  <w:footnote w:id="18">
    <w:p w14:paraId="7002FE22" w14:textId="2169A1A4" w:rsidR="00DC2015" w:rsidRDefault="00DC2015">
      <w:pPr>
        <w:pStyle w:val="FootnoteText"/>
      </w:pPr>
      <w:r>
        <w:rPr>
          <w:rStyle w:val="FootnoteReference"/>
        </w:rPr>
        <w:footnoteRef/>
      </w:r>
      <w:r>
        <w:t xml:space="preserve"> </w:t>
      </w:r>
      <w:r w:rsidRPr="008B3DA4">
        <w:rPr>
          <w:i/>
          <w:iCs/>
        </w:rPr>
        <w:t xml:space="preserve">The United Nations Convention </w:t>
      </w:r>
      <w:r w:rsidR="002F3159" w:rsidRPr="008B3DA4">
        <w:rPr>
          <w:i/>
          <w:iCs/>
        </w:rPr>
        <w:t>on</w:t>
      </w:r>
      <w:r w:rsidRPr="008B3DA4">
        <w:rPr>
          <w:i/>
          <w:iCs/>
        </w:rPr>
        <w:t xml:space="preserve"> The Rights </w:t>
      </w:r>
      <w:r w:rsidR="002F3159" w:rsidRPr="008B3DA4">
        <w:rPr>
          <w:i/>
          <w:iCs/>
        </w:rPr>
        <w:t>of</w:t>
      </w:r>
      <w:r w:rsidRPr="008B3DA4">
        <w:rPr>
          <w:i/>
          <w:iCs/>
        </w:rPr>
        <w:t xml:space="preserve"> The Child</w:t>
      </w:r>
      <w:r w:rsidRPr="00DC2015">
        <w:t xml:space="preserve"> (London: Unicef, 1992), p. </w:t>
      </w:r>
      <w:r>
        <w:t>4</w:t>
      </w:r>
      <w:r w:rsidR="000D7105">
        <w:t>.</w:t>
      </w:r>
      <w:r w:rsidRPr="00DC2015">
        <w:t xml:space="preserve"> </w:t>
      </w:r>
    </w:p>
  </w:footnote>
  <w:footnote w:id="19">
    <w:p w14:paraId="15CB67B0" w14:textId="48D79170" w:rsidR="009D59DF" w:rsidRDefault="009D59DF">
      <w:pPr>
        <w:pStyle w:val="FootnoteText"/>
      </w:pPr>
      <w:r>
        <w:rPr>
          <w:rStyle w:val="FootnoteReference"/>
        </w:rPr>
        <w:footnoteRef/>
      </w:r>
      <w:r>
        <w:t xml:space="preserve"> </w:t>
      </w:r>
      <w:r w:rsidRPr="00E2050B">
        <w:t xml:space="preserve">Emma Smith, </w:t>
      </w:r>
      <w:r w:rsidRPr="00E2050B">
        <w:rPr>
          <w:i/>
          <w:iCs/>
        </w:rPr>
        <w:t xml:space="preserve">Key Issues </w:t>
      </w:r>
      <w:r w:rsidR="002F3159" w:rsidRPr="00E2050B">
        <w:rPr>
          <w:i/>
          <w:iCs/>
        </w:rPr>
        <w:t>in</w:t>
      </w:r>
      <w:r w:rsidRPr="00E2050B">
        <w:rPr>
          <w:i/>
          <w:iCs/>
        </w:rPr>
        <w:t xml:space="preserve"> Education </w:t>
      </w:r>
      <w:r w:rsidR="002F3159" w:rsidRPr="00E2050B">
        <w:rPr>
          <w:i/>
          <w:iCs/>
        </w:rPr>
        <w:t>and</w:t>
      </w:r>
      <w:r w:rsidRPr="00E2050B">
        <w:rPr>
          <w:i/>
          <w:iCs/>
        </w:rPr>
        <w:t xml:space="preserve"> Social Justice</w:t>
      </w:r>
      <w:r w:rsidRPr="00E2050B">
        <w:t>, 2nd edn (London: SAGE Publications Ltd, 2018), pp. 44-45.</w:t>
      </w:r>
    </w:p>
  </w:footnote>
  <w:footnote w:id="20">
    <w:p w14:paraId="3C67C001" w14:textId="11E88CAE" w:rsidR="00726863" w:rsidRDefault="00726863">
      <w:pPr>
        <w:pStyle w:val="FootnoteText"/>
      </w:pPr>
      <w:r>
        <w:rPr>
          <w:rStyle w:val="FootnoteReference"/>
        </w:rPr>
        <w:footnoteRef/>
      </w:r>
      <w:r>
        <w:t xml:space="preserve"> </w:t>
      </w:r>
      <w:r w:rsidRPr="008B3DA4">
        <w:rPr>
          <w:i/>
          <w:iCs/>
        </w:rPr>
        <w:t xml:space="preserve">The United Nations Convention </w:t>
      </w:r>
      <w:r w:rsidR="002F3159" w:rsidRPr="008B3DA4">
        <w:rPr>
          <w:i/>
          <w:iCs/>
        </w:rPr>
        <w:t>on</w:t>
      </w:r>
      <w:r w:rsidRPr="008B3DA4">
        <w:rPr>
          <w:i/>
          <w:iCs/>
        </w:rPr>
        <w:t xml:space="preserve"> The Rights </w:t>
      </w:r>
      <w:r w:rsidR="002F3159" w:rsidRPr="008B3DA4">
        <w:rPr>
          <w:i/>
          <w:iCs/>
        </w:rPr>
        <w:t>of</w:t>
      </w:r>
      <w:r w:rsidRPr="008B3DA4">
        <w:rPr>
          <w:i/>
          <w:iCs/>
        </w:rPr>
        <w:t xml:space="preserve"> The Child</w:t>
      </w:r>
      <w:r w:rsidRPr="00726863">
        <w:t xml:space="preserve"> (London: Unicef, 1992), p. 9</w:t>
      </w:r>
      <w:r w:rsidR="000D7105">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E4945"/>
    <w:multiLevelType w:val="hybridMultilevel"/>
    <w:tmpl w:val="57328A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FD27F4"/>
    <w:multiLevelType w:val="hybridMultilevel"/>
    <w:tmpl w:val="E1F4E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880"/>
    <w:rsid w:val="000139A2"/>
    <w:rsid w:val="0003069E"/>
    <w:rsid w:val="00064880"/>
    <w:rsid w:val="00065EEF"/>
    <w:rsid w:val="00072E60"/>
    <w:rsid w:val="000752B4"/>
    <w:rsid w:val="0009794C"/>
    <w:rsid w:val="000A547C"/>
    <w:rsid w:val="000D3E82"/>
    <w:rsid w:val="000D7105"/>
    <w:rsid w:val="000E6E70"/>
    <w:rsid w:val="0010554B"/>
    <w:rsid w:val="00123D33"/>
    <w:rsid w:val="00130904"/>
    <w:rsid w:val="00164992"/>
    <w:rsid w:val="00165FDF"/>
    <w:rsid w:val="001B6DBD"/>
    <w:rsid w:val="001E30B3"/>
    <w:rsid w:val="001E79ED"/>
    <w:rsid w:val="001F6979"/>
    <w:rsid w:val="002045ED"/>
    <w:rsid w:val="002928A2"/>
    <w:rsid w:val="002A0CB4"/>
    <w:rsid w:val="002A611D"/>
    <w:rsid w:val="002B1984"/>
    <w:rsid w:val="002F3159"/>
    <w:rsid w:val="002F5346"/>
    <w:rsid w:val="00323F67"/>
    <w:rsid w:val="0036765F"/>
    <w:rsid w:val="00383B9B"/>
    <w:rsid w:val="003B6F12"/>
    <w:rsid w:val="003E017A"/>
    <w:rsid w:val="003E2633"/>
    <w:rsid w:val="003E656E"/>
    <w:rsid w:val="00406DE9"/>
    <w:rsid w:val="00410D6E"/>
    <w:rsid w:val="004362FA"/>
    <w:rsid w:val="00440994"/>
    <w:rsid w:val="0045599C"/>
    <w:rsid w:val="00496EF3"/>
    <w:rsid w:val="004D361A"/>
    <w:rsid w:val="004F7577"/>
    <w:rsid w:val="00512BC7"/>
    <w:rsid w:val="00534843"/>
    <w:rsid w:val="00545364"/>
    <w:rsid w:val="005A073B"/>
    <w:rsid w:val="005C1754"/>
    <w:rsid w:val="005E3256"/>
    <w:rsid w:val="00631A5A"/>
    <w:rsid w:val="006323FC"/>
    <w:rsid w:val="006A0227"/>
    <w:rsid w:val="007162BC"/>
    <w:rsid w:val="00726863"/>
    <w:rsid w:val="0075471A"/>
    <w:rsid w:val="00756358"/>
    <w:rsid w:val="007A0FB8"/>
    <w:rsid w:val="007A1AC8"/>
    <w:rsid w:val="007C2BE2"/>
    <w:rsid w:val="007E0E26"/>
    <w:rsid w:val="007F6EC5"/>
    <w:rsid w:val="0080395B"/>
    <w:rsid w:val="00822214"/>
    <w:rsid w:val="008322A7"/>
    <w:rsid w:val="008409AA"/>
    <w:rsid w:val="00852934"/>
    <w:rsid w:val="008B3DA4"/>
    <w:rsid w:val="008B7A62"/>
    <w:rsid w:val="008C3BF8"/>
    <w:rsid w:val="008E7505"/>
    <w:rsid w:val="009072F1"/>
    <w:rsid w:val="00943650"/>
    <w:rsid w:val="00944835"/>
    <w:rsid w:val="009576CD"/>
    <w:rsid w:val="00974E94"/>
    <w:rsid w:val="009B4ED8"/>
    <w:rsid w:val="009B6E04"/>
    <w:rsid w:val="009D2DF3"/>
    <w:rsid w:val="009D59DF"/>
    <w:rsid w:val="009E0516"/>
    <w:rsid w:val="00A36769"/>
    <w:rsid w:val="00A41BA5"/>
    <w:rsid w:val="00A57F62"/>
    <w:rsid w:val="00A64F84"/>
    <w:rsid w:val="00A83379"/>
    <w:rsid w:val="00A923C1"/>
    <w:rsid w:val="00AB0079"/>
    <w:rsid w:val="00B16C3D"/>
    <w:rsid w:val="00B47AD4"/>
    <w:rsid w:val="00B66D4D"/>
    <w:rsid w:val="00B86D2A"/>
    <w:rsid w:val="00B96D2C"/>
    <w:rsid w:val="00BB1854"/>
    <w:rsid w:val="00BD6A99"/>
    <w:rsid w:val="00BF3013"/>
    <w:rsid w:val="00C23FEB"/>
    <w:rsid w:val="00C96293"/>
    <w:rsid w:val="00CE4746"/>
    <w:rsid w:val="00CF4815"/>
    <w:rsid w:val="00D00261"/>
    <w:rsid w:val="00D22146"/>
    <w:rsid w:val="00D2237E"/>
    <w:rsid w:val="00D365C6"/>
    <w:rsid w:val="00D43626"/>
    <w:rsid w:val="00D74514"/>
    <w:rsid w:val="00D93B96"/>
    <w:rsid w:val="00D95AA6"/>
    <w:rsid w:val="00D9649A"/>
    <w:rsid w:val="00D96CBD"/>
    <w:rsid w:val="00DB1C11"/>
    <w:rsid w:val="00DC2015"/>
    <w:rsid w:val="00DC74A3"/>
    <w:rsid w:val="00DE3256"/>
    <w:rsid w:val="00E0504F"/>
    <w:rsid w:val="00E2050B"/>
    <w:rsid w:val="00E428C5"/>
    <w:rsid w:val="00E53750"/>
    <w:rsid w:val="00ED5AE3"/>
    <w:rsid w:val="00EE7022"/>
    <w:rsid w:val="00EF29D4"/>
    <w:rsid w:val="00F377E7"/>
    <w:rsid w:val="00FA5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AE37B"/>
  <w15:chartTrackingRefBased/>
  <w15:docId w15:val="{43732650-9D3C-4660-BD12-F4E816E0D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96E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6EF3"/>
    <w:rPr>
      <w:sz w:val="20"/>
      <w:szCs w:val="20"/>
    </w:rPr>
  </w:style>
  <w:style w:type="character" w:styleId="FootnoteReference">
    <w:name w:val="footnote reference"/>
    <w:basedOn w:val="DefaultParagraphFont"/>
    <w:uiPriority w:val="99"/>
    <w:semiHidden/>
    <w:unhideWhenUsed/>
    <w:rsid w:val="00496EF3"/>
    <w:rPr>
      <w:vertAlign w:val="superscript"/>
    </w:rPr>
  </w:style>
  <w:style w:type="paragraph" w:styleId="ListParagraph">
    <w:name w:val="List Paragraph"/>
    <w:basedOn w:val="Normal"/>
    <w:uiPriority w:val="34"/>
    <w:qFormat/>
    <w:rsid w:val="00944835"/>
    <w:pPr>
      <w:ind w:left="720"/>
      <w:contextualSpacing/>
    </w:pPr>
  </w:style>
  <w:style w:type="paragraph" w:styleId="EndnoteText">
    <w:name w:val="endnote text"/>
    <w:basedOn w:val="Normal"/>
    <w:link w:val="EndnoteTextChar"/>
    <w:uiPriority w:val="99"/>
    <w:semiHidden/>
    <w:unhideWhenUsed/>
    <w:rsid w:val="009E051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E0516"/>
    <w:rPr>
      <w:sz w:val="20"/>
      <w:szCs w:val="20"/>
    </w:rPr>
  </w:style>
  <w:style w:type="character" w:styleId="EndnoteReference">
    <w:name w:val="endnote reference"/>
    <w:basedOn w:val="DefaultParagraphFont"/>
    <w:uiPriority w:val="99"/>
    <w:semiHidden/>
    <w:unhideWhenUsed/>
    <w:rsid w:val="009E0516"/>
    <w:rPr>
      <w:vertAlign w:val="superscript"/>
    </w:rPr>
  </w:style>
  <w:style w:type="paragraph" w:styleId="Header">
    <w:name w:val="header"/>
    <w:basedOn w:val="Normal"/>
    <w:link w:val="HeaderChar"/>
    <w:uiPriority w:val="99"/>
    <w:unhideWhenUsed/>
    <w:rsid w:val="001055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54B"/>
  </w:style>
  <w:style w:type="paragraph" w:styleId="Footer">
    <w:name w:val="footer"/>
    <w:basedOn w:val="Normal"/>
    <w:link w:val="FooterChar"/>
    <w:uiPriority w:val="99"/>
    <w:unhideWhenUsed/>
    <w:rsid w:val="001055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5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B9FAE-2F63-4D5D-A5E8-880FE1AB0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2542</Words>
  <Characters>14496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langshaw</dc:creator>
  <cp:keywords/>
  <dc:description/>
  <cp:lastModifiedBy>lizzie langshaw</cp:lastModifiedBy>
  <cp:revision>17</cp:revision>
  <dcterms:created xsi:type="dcterms:W3CDTF">2020-06-04T14:32:00Z</dcterms:created>
  <dcterms:modified xsi:type="dcterms:W3CDTF">2020-06-04T14:56:00Z</dcterms:modified>
</cp:coreProperties>
</file>