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712C5838">
      <w:r w:rsidRPr="35DF3D67" w:rsidR="2CBBDDA7">
        <w:rPr>
          <w:sz w:val="40"/>
          <w:szCs w:val="40"/>
        </w:rPr>
        <w:t>Name:-</w:t>
      </w:r>
      <w:r w:rsidRPr="35DF3D67" w:rsidR="2CBBDDA7">
        <w:rPr>
          <w:sz w:val="40"/>
          <w:szCs w:val="40"/>
        </w:rPr>
        <w:t>Hawzeen omar</w:t>
      </w:r>
    </w:p>
    <w:p w:rsidR="2CBBDDA7" w:rsidRDefault="2CBBDDA7" w14:paraId="0BA46548" w14:textId="5FA75A11">
      <w:r w:rsidRPr="35DF3D67" w:rsidR="2CBBDDA7">
        <w:rPr>
          <w:sz w:val="40"/>
          <w:szCs w:val="40"/>
        </w:rPr>
        <w:t xml:space="preserve">Student </w:t>
      </w:r>
      <w:r w:rsidRPr="35DF3D67" w:rsidR="2CBBDDA7">
        <w:rPr>
          <w:sz w:val="40"/>
          <w:szCs w:val="40"/>
        </w:rPr>
        <w:t>Number:-</w:t>
      </w:r>
      <w:r w:rsidRPr="35DF3D67" w:rsidR="2CBBDDA7">
        <w:rPr>
          <w:sz w:val="40"/>
          <w:szCs w:val="40"/>
        </w:rPr>
        <w:t>2519617</w:t>
      </w:r>
    </w:p>
    <w:p w:rsidR="2CBBDDA7" w:rsidP="6B6407E7" w:rsidRDefault="2CBBDDA7" w14:paraId="674D820F" w14:textId="22B5D384">
      <w:pPr>
        <w:rPr>
          <w:sz w:val="22"/>
          <w:szCs w:val="22"/>
        </w:rPr>
      </w:pPr>
      <w:r w:rsidRPr="6B6407E7" w:rsidR="5F4B14BA">
        <w:rPr>
          <w:sz w:val="40"/>
          <w:szCs w:val="40"/>
        </w:rPr>
        <w:t xml:space="preserve">Module </w:t>
      </w:r>
      <w:r w:rsidRPr="6B6407E7" w:rsidR="5F4B14BA">
        <w:rPr>
          <w:sz w:val="40"/>
          <w:szCs w:val="40"/>
        </w:rPr>
        <w:t>code:-</w:t>
      </w:r>
      <w:r w:rsidRPr="6B6407E7" w:rsidR="5F4B14BA">
        <w:rPr>
          <w:sz w:val="40"/>
          <w:szCs w:val="40"/>
        </w:rPr>
        <w:t>LCHS4008</w:t>
      </w:r>
    </w:p>
    <w:p w:rsidR="2CBBDDA7" w:rsidRDefault="2CBBDDA7" w14:paraId="6B9B02D7" w14:textId="16906B39">
      <w:r w:rsidRPr="1E368ED8" w:rsidR="45E28D77">
        <w:rPr>
          <w:sz w:val="40"/>
          <w:szCs w:val="40"/>
        </w:rPr>
        <w:t>Lecture :</w:t>
      </w:r>
      <w:r w:rsidRPr="1E368ED8" w:rsidR="45E28D77">
        <w:rPr>
          <w:sz w:val="40"/>
          <w:szCs w:val="40"/>
        </w:rPr>
        <w:t>-</w:t>
      </w:r>
      <w:r w:rsidRPr="1E368ED8" w:rsidR="3F159062">
        <w:rPr>
          <w:sz w:val="40"/>
          <w:szCs w:val="40"/>
        </w:rPr>
        <w:t>Aish</w:t>
      </w:r>
      <w:r w:rsidRPr="1E368ED8" w:rsidR="0464ABF9">
        <w:rPr>
          <w:sz w:val="40"/>
          <w:szCs w:val="40"/>
        </w:rPr>
        <w:t>at Bakre</w:t>
      </w:r>
    </w:p>
    <w:p w:rsidR="35DF3D67" w:rsidP="1E368ED8" w:rsidRDefault="35DF3D67" w14:paraId="2CF3271E" w14:textId="37B35730">
      <w:pPr>
        <w:spacing w:before="240" w:beforeAutospacing="off" w:after="240" w:afterAutospacing="off" w:line="216" w:lineRule="auto"/>
        <w:jc w:val="both"/>
      </w:pPr>
      <w:r w:rsidRPr="1E368ED8" w:rsidR="2A5DCEE1">
        <w:rPr>
          <w:rFonts w:ascii="Times New Roman" w:hAnsi="Times New Roman" w:eastAsia="Times New Roman" w:cs="Times New Roman"/>
          <w:b w:val="1"/>
          <w:bCs w:val="1"/>
          <w:noProof w:val="0"/>
          <w:color w:val="000000" w:themeColor="text1" w:themeTint="FF" w:themeShade="FF"/>
          <w:sz w:val="40"/>
          <w:szCs w:val="40"/>
          <w:lang w:val="en-GB"/>
        </w:rPr>
        <w:t>Introduction</w:t>
      </w:r>
    </w:p>
    <w:p w:rsidR="35DF3D67" w:rsidP="1E368ED8" w:rsidRDefault="35DF3D67" w14:paraId="69F159D0" w14:textId="7B7B1EF1">
      <w:pPr>
        <w:spacing w:before="240" w:beforeAutospacing="off" w:after="240" w:afterAutospacing="off" w:line="216" w:lineRule="auto"/>
        <w:ind w:firstLine="540"/>
        <w:jc w:val="both"/>
      </w:pPr>
      <w:r w:rsidRPr="1E368ED8" w:rsidR="2A5DCEE1">
        <w:rPr>
          <w:rFonts w:ascii="Times New Roman" w:hAnsi="Times New Roman" w:eastAsia="Times New Roman" w:cs="Times New Roman"/>
          <w:noProof w:val="0"/>
          <w:color w:val="000000" w:themeColor="text1" w:themeTint="FF" w:themeShade="FF"/>
          <w:sz w:val="40"/>
          <w:szCs w:val="40"/>
          <w:lang w:val="en-GB"/>
        </w:rPr>
        <w:t xml:space="preserve">T1D is a chronic autoimmune disease where the immune system attacks the beta cells of the pancreas producing insulin, and the body cannot process blood glucose without exogenous insulin (National Institute for Health and Care Excellence, 2022). In 2024, it was estimated that 9.5 million people globally were living with T1D, an increase of 13% since 2021, and some 1.8 </w:t>
      </w:r>
      <w:r w:rsidRPr="1E368ED8" w:rsidR="2A5DCEE1">
        <w:rPr>
          <w:rFonts w:ascii="Times New Roman" w:hAnsi="Times New Roman" w:eastAsia="Times New Roman" w:cs="Times New Roman"/>
          <w:noProof w:val="0"/>
          <w:color w:val="000000" w:themeColor="text1" w:themeTint="FF" w:themeShade="FF"/>
          <w:sz w:val="40"/>
          <w:szCs w:val="40"/>
          <w:lang w:val="en-GB"/>
        </w:rPr>
        <w:t>millions</w:t>
      </w:r>
      <w:r w:rsidRPr="1E368ED8" w:rsidR="2A5DCEE1">
        <w:rPr>
          <w:rFonts w:ascii="Times New Roman" w:hAnsi="Times New Roman" w:eastAsia="Times New Roman" w:cs="Times New Roman"/>
          <w:noProof w:val="0"/>
          <w:color w:val="000000" w:themeColor="text1" w:themeTint="FF" w:themeShade="FF"/>
          <w:sz w:val="40"/>
          <w:szCs w:val="40"/>
          <w:lang w:val="en-GB"/>
        </w:rPr>
        <w:t xml:space="preserve"> of these are under age 20 (Gregory et al., 2025). In the UK, an approximate of 277,000 individuals have been diagnosed with T1D, or about 8 percent of all diabetes diagnoses (Diabetes UK, 2024). The incidence rates of paediatric cases in the UK are </w:t>
      </w:r>
      <w:r w:rsidRPr="1E368ED8" w:rsidR="2A5DCEE1">
        <w:rPr>
          <w:rFonts w:ascii="Times New Roman" w:hAnsi="Times New Roman" w:eastAsia="Times New Roman" w:cs="Times New Roman"/>
          <w:noProof w:val="0"/>
          <w:color w:val="000000" w:themeColor="text1" w:themeTint="FF" w:themeShade="FF"/>
          <w:sz w:val="40"/>
          <w:szCs w:val="40"/>
          <w:lang w:val="en-GB"/>
        </w:rPr>
        <w:t>very high</w:t>
      </w:r>
      <w:r w:rsidRPr="1E368ED8" w:rsidR="2A5DCEE1">
        <w:rPr>
          <w:rFonts w:ascii="Times New Roman" w:hAnsi="Times New Roman" w:eastAsia="Times New Roman" w:cs="Times New Roman"/>
          <w:noProof w:val="0"/>
          <w:color w:val="000000" w:themeColor="text1" w:themeTint="FF" w:themeShade="FF"/>
          <w:sz w:val="40"/>
          <w:szCs w:val="40"/>
          <w:lang w:val="en-GB"/>
        </w:rPr>
        <w:t xml:space="preserve"> in Europe (International Diabetes Federation, 2025). This report will look at the measurement and management of T1D, the implications of the T1D condition on the individual, the </w:t>
      </w:r>
      <w:r w:rsidRPr="1E368ED8" w:rsidR="2A5DCEE1">
        <w:rPr>
          <w:rFonts w:ascii="Times New Roman" w:hAnsi="Times New Roman" w:eastAsia="Times New Roman" w:cs="Times New Roman"/>
          <w:noProof w:val="0"/>
          <w:color w:val="000000" w:themeColor="text1" w:themeTint="FF" w:themeShade="FF"/>
          <w:sz w:val="40"/>
          <w:szCs w:val="40"/>
          <w:lang w:val="en-GB"/>
        </w:rPr>
        <w:t>community</w:t>
      </w:r>
      <w:r w:rsidRPr="1E368ED8" w:rsidR="2A5DCEE1">
        <w:rPr>
          <w:rFonts w:ascii="Times New Roman" w:hAnsi="Times New Roman" w:eastAsia="Times New Roman" w:cs="Times New Roman"/>
          <w:noProof w:val="0"/>
          <w:color w:val="000000" w:themeColor="text1" w:themeTint="FF" w:themeShade="FF"/>
          <w:sz w:val="40"/>
          <w:szCs w:val="40"/>
          <w:lang w:val="en-GB"/>
        </w:rPr>
        <w:t xml:space="preserve"> and the NHS, how the condition is managed, and the health and social care support of those living with the condition.</w:t>
      </w:r>
    </w:p>
    <w:p w:rsidR="35DF3D67" w:rsidP="1E368ED8" w:rsidRDefault="35DF3D67" w14:paraId="24381250" w14:textId="24523659">
      <w:pPr>
        <w:spacing w:before="240" w:beforeAutospacing="off" w:after="240" w:afterAutospacing="off" w:line="216" w:lineRule="auto"/>
        <w:jc w:val="both"/>
      </w:pPr>
      <w:r w:rsidRPr="1E368ED8" w:rsidR="198A0077">
        <w:rPr>
          <w:rFonts w:ascii="Times New Roman" w:hAnsi="Times New Roman" w:eastAsia="Times New Roman" w:cs="Times New Roman"/>
          <w:b w:val="1"/>
          <w:bCs w:val="1"/>
          <w:noProof w:val="0"/>
          <w:color w:val="000000" w:themeColor="text1" w:themeTint="FF" w:themeShade="FF"/>
          <w:sz w:val="40"/>
          <w:szCs w:val="40"/>
          <w:lang w:val="en-GB"/>
        </w:rPr>
        <w:t>Measuring and Monitoring Type 1 Diabetes</w:t>
      </w:r>
    </w:p>
    <w:p w:rsidR="35DF3D67" w:rsidP="1E368ED8" w:rsidRDefault="35DF3D67" w14:paraId="0C5B8691" w14:textId="0AE0FD8F">
      <w:pPr>
        <w:spacing w:before="240" w:beforeAutospacing="off" w:after="240" w:afterAutospacing="off" w:line="216" w:lineRule="auto"/>
        <w:ind w:firstLine="540"/>
        <w:jc w:val="both"/>
      </w:pPr>
      <w:r w:rsidRPr="1E368ED8" w:rsidR="198A0077">
        <w:rPr>
          <w:rFonts w:ascii="Times New Roman" w:hAnsi="Times New Roman" w:eastAsia="Times New Roman" w:cs="Times New Roman"/>
          <w:noProof w:val="0"/>
          <w:color w:val="000000" w:themeColor="text1" w:themeTint="FF" w:themeShade="FF"/>
          <w:sz w:val="40"/>
          <w:szCs w:val="40"/>
          <w:lang w:val="en-GB"/>
        </w:rPr>
        <w:t>The National Diabetes Audit (NDA) managed by NHS Digital stands as the main surveillance instrument in the UK which captures GP and hospital diagnoses, care processes and treatment outcomes of people with T1D in England and Wales (GOV.UK, 2025). The NDA is tracking nine annual care processes such as blood pressure, cholesterol monitoring and foot and eye screening, HbA1c tests, making it possible to compare the regions and identify inequalities in care across the regions (GOV.UK, 2025). HbA1c levels, an indicator of average blood glucose regulation over two to three months, and hospital admission rates of DKA and severe hypoglycaemia are most often used as a measure of burden of disease (</w:t>
      </w:r>
      <w:r w:rsidRPr="1E368ED8" w:rsidR="198A0077">
        <w:rPr>
          <w:rFonts w:ascii="Times New Roman" w:hAnsi="Times New Roman" w:eastAsia="Times New Roman" w:cs="Times New Roman"/>
          <w:noProof w:val="0"/>
          <w:color w:val="222222"/>
          <w:sz w:val="40"/>
          <w:szCs w:val="40"/>
          <w:lang w:val="en-GB"/>
        </w:rPr>
        <w:t>EythET AL., 2025</w:t>
      </w:r>
      <w:r w:rsidRPr="1E368ED8" w:rsidR="198A0077">
        <w:rPr>
          <w:rFonts w:ascii="Times New Roman" w:hAnsi="Times New Roman" w:eastAsia="Times New Roman" w:cs="Times New Roman"/>
          <w:noProof w:val="0"/>
          <w:color w:val="000000" w:themeColor="text1" w:themeTint="FF" w:themeShade="FF"/>
          <w:sz w:val="40"/>
          <w:szCs w:val="40"/>
          <w:lang w:val="en-GB"/>
        </w:rPr>
        <w:t>).</w:t>
      </w:r>
    </w:p>
    <w:p w:rsidR="35DF3D67" w:rsidP="1E368ED8" w:rsidRDefault="35DF3D67" w14:paraId="060A096F" w14:textId="6B74E115">
      <w:pPr>
        <w:spacing w:before="240" w:beforeAutospacing="off" w:after="240" w:afterAutospacing="off" w:line="216" w:lineRule="auto"/>
        <w:ind w:firstLine="540"/>
        <w:jc w:val="both"/>
      </w:pPr>
      <w:r w:rsidRPr="1E368ED8" w:rsidR="198A0077">
        <w:rPr>
          <w:rFonts w:ascii="Times New Roman" w:hAnsi="Times New Roman" w:eastAsia="Times New Roman" w:cs="Times New Roman"/>
          <w:noProof w:val="0"/>
          <w:color w:val="000000" w:themeColor="text1" w:themeTint="FF" w:themeShade="FF"/>
          <w:sz w:val="40"/>
          <w:szCs w:val="40"/>
          <w:lang w:val="en-GB"/>
        </w:rPr>
        <w:t>The most used surveillance tool internationally is the International Diabetes Federation (IDF) Diabetes Atlas, which is now complemented by the T1D Index, which is a joint project consisting of incidence, prevalence and mortality modelling of all ages and countries (Gregory et al., 2025). It compares with previous atlases, in which the prevalence of T1D in adults was mostly neglected, by reflecting the large share of adults with T1D in the world population, where surveillance can no longer target paediatric populations exclusively (International Diabetes Federation, 2025). Another study, National Diabetes Audit, was also identified in a recent audit research conducted in the United Kingdom to compare T1D and Type 2 diabetes registrations by age, deprivation and ethnicity which helped to better target screening and resource allocation (PMC, 2025).</w:t>
      </w:r>
    </w:p>
    <w:p w:rsidR="35DF3D67" w:rsidP="1E368ED8" w:rsidRDefault="35DF3D67" w14:paraId="0E312FDE" w14:textId="4C3A6864">
      <w:pPr>
        <w:spacing w:before="240" w:beforeAutospacing="off" w:after="240" w:afterAutospacing="off" w:line="216" w:lineRule="auto"/>
        <w:ind w:firstLine="540"/>
        <w:jc w:val="both"/>
      </w:pPr>
      <w:r w:rsidRPr="1E368ED8" w:rsidR="198A0077">
        <w:rPr>
          <w:rFonts w:ascii="Times New Roman" w:hAnsi="Times New Roman" w:eastAsia="Times New Roman" w:cs="Times New Roman"/>
          <w:noProof w:val="0"/>
          <w:color w:val="000000" w:themeColor="text1" w:themeTint="FF" w:themeShade="FF"/>
          <w:sz w:val="40"/>
          <w:szCs w:val="40"/>
          <w:lang w:val="en-GB"/>
        </w:rPr>
        <w:t>Individual-level monitoring depends on HbA1c testing every three to six months, and on-cgm-established time in range data, which indicates what percentage of the time a person is inside a safe range. Combination of these measures is recommended in NICE guidelines due to the ability of HbA1c to conceal the harmful changes between hyperglycaemia and hypoglycaemia (National Institute for Health and Care Excellence, 2022). On a population scale, by correlating NDA data with CGM/pump use, NHS England and Integrated Care Boards can determine who is lagging behind in the use of monitoring technology to understand where to put more investment and measure populations (NHS England, 2024).</w:t>
      </w:r>
    </w:p>
    <w:p w:rsidR="35DF3D67" w:rsidP="1E368ED8" w:rsidRDefault="35DF3D67" w14:paraId="16168750" w14:textId="1B3B575B">
      <w:pPr>
        <w:spacing w:before="240" w:beforeAutospacing="off" w:after="240" w:afterAutospacing="off" w:line="216" w:lineRule="auto"/>
        <w:jc w:val="both"/>
      </w:pPr>
      <w:r w:rsidRPr="1E368ED8" w:rsidR="198A0077">
        <w:rPr>
          <w:rFonts w:ascii="Times New Roman" w:hAnsi="Times New Roman" w:eastAsia="Times New Roman" w:cs="Times New Roman"/>
          <w:b w:val="1"/>
          <w:bCs w:val="1"/>
          <w:noProof w:val="0"/>
          <w:color w:val="000000" w:themeColor="text1" w:themeTint="FF" w:themeShade="FF"/>
          <w:sz w:val="40"/>
          <w:szCs w:val="40"/>
          <w:lang w:val="en-GB"/>
        </w:rPr>
        <w:t>Consequences for the Community and the NHS</w:t>
      </w:r>
    </w:p>
    <w:p w:rsidR="35DF3D67" w:rsidP="1E368ED8" w:rsidRDefault="35DF3D67" w14:paraId="18BD163C" w14:textId="7257007B">
      <w:pPr>
        <w:spacing w:before="240" w:beforeAutospacing="off" w:after="240" w:afterAutospacing="off" w:line="216" w:lineRule="auto"/>
        <w:ind w:firstLine="540"/>
        <w:jc w:val="both"/>
      </w:pPr>
      <w:r w:rsidRPr="1E368ED8" w:rsidR="198A0077">
        <w:rPr>
          <w:rFonts w:ascii="Times New Roman" w:hAnsi="Times New Roman" w:eastAsia="Times New Roman" w:cs="Times New Roman"/>
          <w:noProof w:val="0"/>
          <w:color w:val="000000" w:themeColor="text1" w:themeTint="FF" w:themeShade="FF"/>
          <w:sz w:val="40"/>
          <w:szCs w:val="40"/>
          <w:lang w:val="en-GB"/>
        </w:rPr>
        <w:t>T1D has significant personal, social and economic ramifications. Patients need long-term insulin treatment, regular glucose checks and regular clinical assessment, and monitoring of long-term complications like retinopathy, nephropathy, neuropathy, and cardiovascular disease (National Institute for Health and Care Excellence, 2022). The entire issue of diabetes alone causes 184 amputations, more than 1,010 strokes and 700 heart attacks in the UK each week and individuals with T1D experience psychological impacts such as diabetes distress, stress and disordered eating due to insulin management (Diabetes UK, 2024).</w:t>
      </w:r>
    </w:p>
    <w:p w:rsidR="35DF3D67" w:rsidP="1E368ED8" w:rsidRDefault="35DF3D67" w14:paraId="4A14BC93" w14:textId="78317053">
      <w:pPr>
        <w:spacing w:before="240" w:beforeAutospacing="off" w:after="240" w:afterAutospacing="off" w:line="216" w:lineRule="auto"/>
        <w:ind w:firstLine="540"/>
        <w:jc w:val="both"/>
      </w:pPr>
      <w:r w:rsidRPr="1E368ED8" w:rsidR="198A0077">
        <w:rPr>
          <w:rFonts w:ascii="Times New Roman" w:hAnsi="Times New Roman" w:eastAsia="Times New Roman" w:cs="Times New Roman"/>
          <w:noProof w:val="0"/>
          <w:color w:val="000000" w:themeColor="text1" w:themeTint="FF" w:themeShade="FF"/>
          <w:sz w:val="40"/>
          <w:szCs w:val="40"/>
          <w:lang w:val="en-GB"/>
        </w:rPr>
        <w:t>In the case of the NHS, the expenses on diabetes amount to an estimated 10.7 billion per year, 60% of which is not on regular care, but on complications, and this figure is expected to grow to approximately 18 billion by 2035 unless the state of diabetes prevalence changes (Diabetes UK, 2024). There is also ongoing inequality in care experienced by people with T1D, with just 42.2% of people with T1D receiving all nine recommended annual care processes compared to 54.3% of people with Type 2 diabetes, meaning that T1D services are still under-resourced in comparison with the need (GOV.UK, 2025). This disparity has grown as opposed to decreasing, implying that the resources and specialist staffing have not kept up with the increasingly complicated, technology-intensive requirements of T1D population (GOV.UK, 2025).</w:t>
      </w:r>
    </w:p>
    <w:p w:rsidR="35DF3D67" w:rsidP="1E368ED8" w:rsidRDefault="35DF3D67" w14:paraId="040E4466" w14:textId="6DB089E7">
      <w:pPr>
        <w:spacing w:before="240" w:beforeAutospacing="off" w:after="240" w:afterAutospacing="off" w:line="216" w:lineRule="auto"/>
        <w:jc w:val="both"/>
      </w:pPr>
      <w:r w:rsidRPr="1E368ED8" w:rsidR="198A0077">
        <w:rPr>
          <w:rFonts w:ascii="Times New Roman" w:hAnsi="Times New Roman" w:eastAsia="Times New Roman" w:cs="Times New Roman"/>
          <w:b w:val="1"/>
          <w:bCs w:val="1"/>
          <w:noProof w:val="0"/>
          <w:color w:val="000000" w:themeColor="text1" w:themeTint="FF" w:themeShade="FF"/>
          <w:sz w:val="40"/>
          <w:szCs w:val="40"/>
          <w:lang w:val="en-GB"/>
        </w:rPr>
        <w:t>How Type 1 Diabetes Is Controlled</w:t>
      </w:r>
    </w:p>
    <w:p w:rsidR="35DF3D67" w:rsidP="1E368ED8" w:rsidRDefault="35DF3D67" w14:paraId="4BA0928F" w14:textId="083D5EB3">
      <w:pPr>
        <w:spacing w:before="240" w:beforeAutospacing="off" w:after="240" w:afterAutospacing="off" w:line="216" w:lineRule="auto"/>
        <w:ind w:firstLine="540"/>
        <w:jc w:val="both"/>
      </w:pPr>
      <w:r w:rsidRPr="1E368ED8" w:rsidR="198A0077">
        <w:rPr>
          <w:rFonts w:ascii="Times New Roman" w:hAnsi="Times New Roman" w:eastAsia="Times New Roman" w:cs="Times New Roman"/>
          <w:noProof w:val="0"/>
          <w:color w:val="000000" w:themeColor="text1" w:themeTint="FF" w:themeShade="FF"/>
          <w:sz w:val="40"/>
          <w:szCs w:val="40"/>
          <w:lang w:val="en-GB"/>
        </w:rPr>
        <w:t>Since T1D is caused by an absolute lack of insulin, there is no cure or preventive treatment as yet; the control aims at replacing insulin and reducing the complications. The standard management involves using several injections of insulin daily or constant subcutaneous insulin infusion (insulin pump therapy) and frequent blood glucose or continuous glucose monitoring (CGM) (National Institute for Health and Care Excellence, 2022). Huge progress has recently been made with the hybrid closed-loop (HCL) technology sometimes referred to as artificial pancreas linking a CGM sensor to an insulin pump via an algorithm that automatically modifies the amount of insulin delivered. In December 2023, NICE advised the adoption of HCL systems to around 152,000 individuals with T1D in England and Wales eligible to access them, and NHS England released a five-year system phased implementation plan in January 2024 to turn around 60,000 people to closed-loop systems by that time (NICE, 2023; NHS England, 2024).</w:t>
      </w:r>
    </w:p>
    <w:p w:rsidR="35DF3D67" w:rsidP="1E368ED8" w:rsidRDefault="35DF3D67" w14:paraId="63585C18" w14:textId="730FD6CD">
      <w:pPr>
        <w:spacing w:before="240" w:beforeAutospacing="off" w:after="240" w:afterAutospacing="off" w:line="216" w:lineRule="auto"/>
        <w:ind w:firstLine="540"/>
        <w:jc w:val="both"/>
      </w:pPr>
      <w:r w:rsidRPr="1E368ED8" w:rsidR="198A0077">
        <w:rPr>
          <w:rFonts w:ascii="Times New Roman" w:hAnsi="Times New Roman" w:eastAsia="Times New Roman" w:cs="Times New Roman"/>
          <w:noProof w:val="0"/>
          <w:color w:val="000000" w:themeColor="text1" w:themeTint="FF" w:themeShade="FF"/>
          <w:sz w:val="40"/>
          <w:szCs w:val="40"/>
          <w:lang w:val="en-GB"/>
        </w:rPr>
        <w:t>The control and its significance lie with structured self-management education. Programmes like Dose Adjustment For Normal Eating (DAFNE) educate adult individuals on the matching of insulin dose to the food intake and activity and a specific online course, DAFNE Closed Loop Essentials, has been designed to equip patients with the transition to the use of HCL technology, where funding may be provided up to 10,000 individuals receiving care in non-DAFNE services (DAFNE, 2024). Advice recommends the implementation of hybrid closed-loop systems with the assistance of a trained multidisciplinary team skilled in the application of pump therapy and CGM as well as formal education or the same skills in insulin dose regulation (NICE, 2023).</w:t>
      </w:r>
    </w:p>
    <w:p w:rsidR="35DF3D67" w:rsidP="1E368ED8" w:rsidRDefault="35DF3D67" w14:paraId="3D702A94" w14:textId="620A4A3E">
      <w:pPr>
        <w:spacing w:before="240" w:beforeAutospacing="off" w:after="240" w:afterAutospacing="off" w:line="216" w:lineRule="auto"/>
        <w:ind w:firstLine="540"/>
        <w:jc w:val="both"/>
      </w:pPr>
      <w:r w:rsidRPr="1E368ED8" w:rsidR="198A0077">
        <w:rPr>
          <w:rFonts w:ascii="Times New Roman" w:hAnsi="Times New Roman" w:eastAsia="Times New Roman" w:cs="Times New Roman"/>
          <w:noProof w:val="0"/>
          <w:color w:val="000000" w:themeColor="text1" w:themeTint="FF" w:themeShade="FF"/>
          <w:sz w:val="40"/>
          <w:szCs w:val="40"/>
          <w:lang w:val="en-GB"/>
        </w:rPr>
        <w:t>The NHS England implementation strategy estimates a high-adoption situation where a population of approximately 60,000 individuals would be transferred to closed-loop systems within a five-year period, or approximately 10,000 adults/year and which would require Integrated Care Boards to make at least 25% contribution with ring-fenced fundsnationally (NHS England, 2024).</w:t>
      </w:r>
    </w:p>
    <w:p w:rsidR="35DF3D67" w:rsidP="1E368ED8" w:rsidRDefault="35DF3D67" w14:paraId="55C9DBF1" w14:textId="2F5C7FAF">
      <w:pPr>
        <w:spacing w:before="240" w:beforeAutospacing="off" w:after="240" w:afterAutospacing="off" w:line="216" w:lineRule="auto"/>
        <w:jc w:val="both"/>
      </w:pPr>
      <w:r w:rsidRPr="1E368ED8" w:rsidR="198A0077">
        <w:rPr>
          <w:rFonts w:ascii="Times New Roman" w:hAnsi="Times New Roman" w:eastAsia="Times New Roman" w:cs="Times New Roman"/>
          <w:b w:val="1"/>
          <w:bCs w:val="1"/>
          <w:noProof w:val="0"/>
          <w:color w:val="000000" w:themeColor="text1" w:themeTint="FF" w:themeShade="FF"/>
          <w:sz w:val="40"/>
          <w:szCs w:val="40"/>
          <w:lang w:val="en-GB"/>
        </w:rPr>
        <w:t>Health and Social Care Support Services</w:t>
      </w:r>
    </w:p>
    <w:p w:rsidR="35DF3D67" w:rsidP="1E368ED8" w:rsidRDefault="35DF3D67" w14:paraId="6F5076FD" w14:textId="503DDAFA">
      <w:pPr>
        <w:spacing w:before="240" w:beforeAutospacing="off" w:after="240" w:afterAutospacing="off" w:line="216" w:lineRule="auto"/>
        <w:ind w:firstLine="540"/>
        <w:jc w:val="both"/>
      </w:pPr>
      <w:r w:rsidRPr="1E368ED8" w:rsidR="198A0077">
        <w:rPr>
          <w:rFonts w:ascii="Times New Roman" w:hAnsi="Times New Roman" w:eastAsia="Times New Roman" w:cs="Times New Roman"/>
          <w:noProof w:val="0"/>
          <w:color w:val="000000" w:themeColor="text1" w:themeTint="FF" w:themeShade="FF"/>
          <w:sz w:val="40"/>
          <w:szCs w:val="40"/>
          <w:lang w:val="en-GB"/>
        </w:rPr>
        <w:t>Those with T1D need multidisciplinary, coordinated care to address their needs. Specialist diabetes units, consisting of consultants, diabetes specialist nurses, dietitians and psychologists, offer continuous clinical review, titration and use of technology (e.g., CGM and insulin pumps) (National Institute for Health and Care Excellence, 2022). The implementation plan of hybrid closed-loop technology by NHS England also demands that the Integrated Care Boards must fund the training process, roll it out by need, and track the uptake and outcomes by the use of the National Diabetes Audit to lessen disparities in access (NHS England, 2024).</w:t>
      </w:r>
    </w:p>
    <w:p w:rsidR="35DF3D67" w:rsidP="1E368ED8" w:rsidRDefault="35DF3D67" w14:paraId="4B163897" w14:textId="523BB2D3">
      <w:pPr>
        <w:spacing w:before="240" w:beforeAutospacing="off" w:after="240" w:afterAutospacing="off" w:line="216" w:lineRule="auto"/>
        <w:ind w:firstLine="540"/>
        <w:jc w:val="both"/>
      </w:pPr>
      <w:r w:rsidRPr="1E368ED8" w:rsidR="198A0077">
        <w:rPr>
          <w:rFonts w:ascii="Times New Roman" w:hAnsi="Times New Roman" w:eastAsia="Times New Roman" w:cs="Times New Roman"/>
          <w:noProof w:val="0"/>
          <w:color w:val="000000" w:themeColor="text1" w:themeTint="FF" w:themeShade="FF"/>
          <w:sz w:val="40"/>
          <w:szCs w:val="40"/>
          <w:lang w:val="en-GB"/>
        </w:rPr>
        <w:t>In addition to clinical care social support should be at the schools and workplaces to permit safe insulin intake, treatment of hypoglycaemia and where appropriate reasonable adjustments according to equality laws. It is hoped that through schools especially have personal plans in mind to cover pupils with T1D as well as staff trained to identify and respond to hypoglycaemia in order to relieve parents and carers of the responsibility of managing it during the school day (</w:t>
      </w:r>
      <w:r w:rsidRPr="1E368ED8" w:rsidR="198A0077">
        <w:rPr>
          <w:rFonts w:ascii="Times New Roman" w:hAnsi="Times New Roman" w:eastAsia="Times New Roman" w:cs="Times New Roman"/>
          <w:noProof w:val="0"/>
          <w:color w:val="222222"/>
          <w:sz w:val="40"/>
          <w:szCs w:val="40"/>
          <w:lang w:val="en-GB"/>
        </w:rPr>
        <w:t>Beresford, 2022</w:t>
      </w:r>
      <w:r w:rsidRPr="1E368ED8" w:rsidR="198A0077">
        <w:rPr>
          <w:rFonts w:ascii="Times New Roman" w:hAnsi="Times New Roman" w:eastAsia="Times New Roman" w:cs="Times New Roman"/>
          <w:noProof w:val="0"/>
          <w:color w:val="000000" w:themeColor="text1" w:themeTint="FF" w:themeShade="FF"/>
          <w:sz w:val="40"/>
          <w:szCs w:val="40"/>
          <w:lang w:val="en-GB"/>
        </w:rPr>
        <w:t>). Services in psychological support are becoming part of the list of necessities as the prevalence of both diabetes-related distress and mental health problems among individuals with T1D has been higher than previously, and the NICE guidelines suggest incorporating psychological support into regular diabetes care instead of providing it during emergency situations (Diabetes UK, 2024; National Institute of Health and Care Excellence, 2022).</w:t>
      </w:r>
    </w:p>
    <w:p w:rsidR="35DF3D67" w:rsidP="1E368ED8" w:rsidRDefault="35DF3D67" w14:paraId="0F06527F" w14:textId="084B5CA5">
      <w:pPr>
        <w:spacing w:before="240" w:beforeAutospacing="off" w:after="240" w:afterAutospacing="off" w:line="216" w:lineRule="auto"/>
        <w:ind w:firstLine="540"/>
        <w:jc w:val="both"/>
      </w:pPr>
      <w:r w:rsidRPr="1E368ED8" w:rsidR="198A0077">
        <w:rPr>
          <w:rFonts w:ascii="Times New Roman" w:hAnsi="Times New Roman" w:eastAsia="Times New Roman" w:cs="Times New Roman"/>
          <w:noProof w:val="0"/>
          <w:color w:val="000000" w:themeColor="text1" w:themeTint="FF" w:themeShade="FF"/>
          <w:sz w:val="40"/>
          <w:szCs w:val="40"/>
          <w:lang w:val="en-GB"/>
        </w:rPr>
        <w:t>Peer-support networks, charity-sponsored helplines and structured education initiatives like DAFNE also assist individuals and families in developing self-confidence in their day-to-day self-management and community pharmacy and primary care creates points of contact where an individual can receive help to renew prescription and regular monitoring and early detection of signs of complications (</w:t>
      </w:r>
      <w:r w:rsidRPr="1E368ED8" w:rsidR="198A0077">
        <w:rPr>
          <w:rFonts w:ascii="Times New Roman" w:hAnsi="Times New Roman" w:eastAsia="Times New Roman" w:cs="Times New Roman"/>
          <w:noProof w:val="0"/>
          <w:color w:val="222222"/>
          <w:sz w:val="40"/>
          <w:szCs w:val="40"/>
          <w:lang w:val="en-GB"/>
        </w:rPr>
        <w:t>Pichchenda et al., 2025</w:t>
      </w:r>
      <w:r w:rsidRPr="1E368ED8" w:rsidR="198A0077">
        <w:rPr>
          <w:rFonts w:ascii="Times New Roman" w:hAnsi="Times New Roman" w:eastAsia="Times New Roman" w:cs="Times New Roman"/>
          <w:noProof w:val="0"/>
          <w:color w:val="000000" w:themeColor="text1" w:themeTint="FF" w:themeShade="FF"/>
          <w:sz w:val="40"/>
          <w:szCs w:val="40"/>
          <w:lang w:val="en-GB"/>
        </w:rPr>
        <w:t xml:space="preserve">). Recipients of the newly transitioned hybrid closed-loop systems need extra short-term assistance on the digital side of the system as the diabetic technology teams to troubleshoot the alarm, sensor issues, pump failures, as that additional confidence in the technology and its safe usage can be compromised by unrealistic hope that it will always work perfectly (DAFNE, 2024). </w:t>
      </w:r>
    </w:p>
    <w:p w:rsidR="35DF3D67" w:rsidP="1E368ED8" w:rsidRDefault="35DF3D67" w14:paraId="36E3A894" w14:textId="2A851A88">
      <w:pPr>
        <w:spacing w:before="240" w:beforeAutospacing="off" w:after="240" w:afterAutospacing="off" w:line="216" w:lineRule="auto"/>
        <w:jc w:val="both"/>
      </w:pPr>
      <w:r w:rsidRPr="1E368ED8" w:rsidR="198A0077">
        <w:rPr>
          <w:rFonts w:ascii="Times New Roman" w:hAnsi="Times New Roman" w:eastAsia="Times New Roman" w:cs="Times New Roman"/>
          <w:b w:val="1"/>
          <w:bCs w:val="1"/>
          <w:noProof w:val="0"/>
          <w:color w:val="000000" w:themeColor="text1" w:themeTint="FF" w:themeShade="FF"/>
          <w:sz w:val="40"/>
          <w:szCs w:val="40"/>
          <w:lang w:val="en-GB"/>
        </w:rPr>
        <w:t>Conclusion</w:t>
      </w:r>
    </w:p>
    <w:p w:rsidR="35DF3D67" w:rsidP="1E368ED8" w:rsidRDefault="35DF3D67" w14:paraId="4E67B82A" w14:textId="61E4B784">
      <w:pPr>
        <w:spacing w:before="240" w:beforeAutospacing="off" w:after="240" w:afterAutospacing="off" w:line="216" w:lineRule="auto"/>
        <w:ind w:firstLine="540"/>
        <w:jc w:val="both"/>
      </w:pPr>
      <w:r w:rsidRPr="1E368ED8" w:rsidR="198A0077">
        <w:rPr>
          <w:rFonts w:ascii="Times New Roman" w:hAnsi="Times New Roman" w:eastAsia="Times New Roman" w:cs="Times New Roman"/>
          <w:noProof w:val="0"/>
          <w:color w:val="000000" w:themeColor="text1" w:themeTint="FF" w:themeShade="FF"/>
          <w:sz w:val="40"/>
          <w:szCs w:val="40"/>
          <w:lang w:val="en-GB"/>
        </w:rPr>
        <w:t xml:space="preserve">Type 1 diabetes is a life long autoimmune disease that although it may not impact a larger portion of humans with diabetes compared to Type 2, disproportionately consumes people, communities and the NHS. National surveillance systems like the National Diabetes Audit and the IDF Diabetes Atlas/T1D Index have the evidence base required to track national and global incidence, quality and outcomes of care. It has such grave long-term health effects and a high financial cost, and the fact that there continues to be disparities in access to the nine annual processes of care provides evidence of why it is necessary to continue investing in it. Innovations in the delivery of insulin, especially hybrid closed-loop, and formalised education initiatives such as DAFNE are changing daily control, albeit with an overwhelming reliance on well-resourced interdisciplinary teams and equal accessibility. </w:t>
      </w:r>
    </w:p>
    <w:p w:rsidR="35DF3D67" w:rsidP="1E368ED8" w:rsidRDefault="35DF3D67" w14:paraId="6AADE1D8" w14:textId="0DDDCE64">
      <w:pPr>
        <w:spacing w:before="240" w:beforeAutospacing="off" w:after="240" w:afterAutospacing="off" w:line="216" w:lineRule="auto"/>
        <w:jc w:val="both"/>
      </w:pPr>
      <w:r w:rsidRPr="1E368ED8" w:rsidR="198A0077">
        <w:rPr>
          <w:rFonts w:ascii="Times New Roman" w:hAnsi="Times New Roman" w:eastAsia="Times New Roman" w:cs="Times New Roman"/>
          <w:b w:val="1"/>
          <w:bCs w:val="1"/>
          <w:noProof w:val="0"/>
          <w:color w:val="000000" w:themeColor="text1" w:themeTint="FF" w:themeShade="FF"/>
          <w:sz w:val="40"/>
          <w:szCs w:val="40"/>
          <w:lang w:val="en-GB"/>
        </w:rPr>
        <w:t>References</w:t>
      </w:r>
    </w:p>
    <w:p w:rsidR="35DF3D67" w:rsidP="1E368ED8" w:rsidRDefault="35DF3D67" w14:paraId="220705B9" w14:textId="75ED5CB6">
      <w:pPr>
        <w:spacing w:before="300" w:beforeAutospacing="off" w:after="300" w:afterAutospacing="off" w:line="360" w:lineRule="auto"/>
        <w:ind w:left="540" w:right="0" w:hanging="540"/>
        <w:jc w:val="both"/>
      </w:pPr>
      <w:r w:rsidRPr="1E368ED8" w:rsidR="198A0077">
        <w:rPr>
          <w:rFonts w:ascii="Times New Roman" w:hAnsi="Times New Roman" w:eastAsia="Times New Roman" w:cs="Times New Roman"/>
          <w:noProof w:val="0"/>
          <w:color w:val="222222"/>
          <w:sz w:val="30"/>
          <w:szCs w:val="30"/>
          <w:lang w:val="en-GB"/>
        </w:rPr>
        <w:t xml:space="preserve">Beresford, C.J., 2022. Supporting people with learning disabilities to manage their diabetes with insulin. </w:t>
      </w:r>
      <w:r w:rsidRPr="1E368ED8" w:rsidR="198A0077">
        <w:rPr>
          <w:rFonts w:ascii="Times New Roman" w:hAnsi="Times New Roman" w:eastAsia="Times New Roman" w:cs="Times New Roman"/>
          <w:i w:val="1"/>
          <w:iCs w:val="1"/>
          <w:noProof w:val="0"/>
          <w:color w:val="222222"/>
          <w:sz w:val="30"/>
          <w:szCs w:val="30"/>
          <w:lang w:val="en-GB"/>
        </w:rPr>
        <w:t>Journal of Diabetes Nursing</w:t>
      </w:r>
      <w:r w:rsidRPr="1E368ED8" w:rsidR="198A0077">
        <w:rPr>
          <w:rFonts w:ascii="Times New Roman" w:hAnsi="Times New Roman" w:eastAsia="Times New Roman" w:cs="Times New Roman"/>
          <w:noProof w:val="0"/>
          <w:color w:val="222222"/>
          <w:sz w:val="30"/>
          <w:szCs w:val="30"/>
          <w:lang w:val="en-GB"/>
        </w:rPr>
        <w:t xml:space="preserve">, </w:t>
      </w:r>
      <w:r w:rsidRPr="1E368ED8" w:rsidR="198A0077">
        <w:rPr>
          <w:rFonts w:ascii="Times New Roman" w:hAnsi="Times New Roman" w:eastAsia="Times New Roman" w:cs="Times New Roman"/>
          <w:i w:val="1"/>
          <w:iCs w:val="1"/>
          <w:noProof w:val="0"/>
          <w:color w:val="222222"/>
          <w:sz w:val="30"/>
          <w:szCs w:val="30"/>
          <w:lang w:val="en-GB"/>
        </w:rPr>
        <w:t>26</w:t>
      </w:r>
      <w:r w:rsidRPr="1E368ED8" w:rsidR="198A0077">
        <w:rPr>
          <w:rFonts w:ascii="Times New Roman" w:hAnsi="Times New Roman" w:eastAsia="Times New Roman" w:cs="Times New Roman"/>
          <w:noProof w:val="0"/>
          <w:color w:val="222222"/>
          <w:sz w:val="30"/>
          <w:szCs w:val="30"/>
          <w:lang w:val="en-GB"/>
        </w:rPr>
        <w:t>(3).</w:t>
      </w:r>
    </w:p>
    <w:p w:rsidR="35DF3D67" w:rsidP="1E368ED8" w:rsidRDefault="35DF3D67" w14:paraId="53CA864B" w14:textId="29BD296D">
      <w:pPr>
        <w:spacing w:before="240" w:beforeAutospacing="off" w:after="240" w:afterAutospacing="off" w:line="216" w:lineRule="auto"/>
        <w:ind w:left="540" w:right="0" w:hanging="540"/>
        <w:jc w:val="both"/>
      </w:pPr>
      <w:r w:rsidRPr="1E368ED8" w:rsidR="198A0077">
        <w:rPr>
          <w:rFonts w:ascii="Times New Roman" w:hAnsi="Times New Roman" w:eastAsia="Times New Roman" w:cs="Times New Roman"/>
          <w:noProof w:val="0"/>
          <w:color w:val="000000" w:themeColor="text1" w:themeTint="FF" w:themeShade="FF"/>
          <w:sz w:val="40"/>
          <w:szCs w:val="40"/>
          <w:lang w:val="en-GB"/>
        </w:rPr>
        <w:t xml:space="preserve">DAFNE (2024) DAFNE Closed Loop Essentials. Available at: </w:t>
      </w:r>
      <w:hyperlink r:id="R5a5468bb62924232">
        <w:r w:rsidRPr="1E368ED8" w:rsidR="198A0077">
          <w:rPr>
            <w:rStyle w:val="Hyperlink"/>
            <w:noProof w:val="0"/>
            <w:lang w:val="en-GB"/>
          </w:rPr>
          <w:t>https://dafne.nhs.uk/dafne-closed-loop-essentials</w:t>
        </w:r>
      </w:hyperlink>
      <w:r w:rsidRPr="1E368ED8" w:rsidR="198A0077">
        <w:rPr>
          <w:rFonts w:ascii="Times New Roman" w:hAnsi="Times New Roman" w:eastAsia="Times New Roman" w:cs="Times New Roman"/>
          <w:noProof w:val="0"/>
          <w:color w:val="000000" w:themeColor="text1" w:themeTint="FF" w:themeShade="FF"/>
          <w:sz w:val="40"/>
          <w:szCs w:val="40"/>
          <w:lang w:val="en-GB"/>
        </w:rPr>
        <w:t xml:space="preserve"> (Accessed: 5 July 2026).</w:t>
      </w:r>
    </w:p>
    <w:p w:rsidR="35DF3D67" w:rsidP="1E368ED8" w:rsidRDefault="35DF3D67" w14:paraId="4628B64D" w14:textId="6FAC1DBD">
      <w:pPr>
        <w:spacing w:before="240" w:beforeAutospacing="off" w:after="240" w:afterAutospacing="off" w:line="216" w:lineRule="auto"/>
        <w:ind w:left="540" w:right="0" w:hanging="540"/>
        <w:jc w:val="both"/>
      </w:pPr>
      <w:r w:rsidRPr="1E368ED8" w:rsidR="198A0077">
        <w:rPr>
          <w:rFonts w:ascii="Times New Roman" w:hAnsi="Times New Roman" w:eastAsia="Times New Roman" w:cs="Times New Roman"/>
          <w:noProof w:val="0"/>
          <w:color w:val="000000" w:themeColor="text1" w:themeTint="FF" w:themeShade="FF"/>
          <w:sz w:val="40"/>
          <w:szCs w:val="40"/>
          <w:lang w:val="en-GB"/>
        </w:rPr>
        <w:t xml:space="preserve">Diabetes UK (2024) How many people in the UK have diabetes? Available at: </w:t>
      </w:r>
      <w:hyperlink r:id="R0b1b9293cf504003">
        <w:r w:rsidRPr="1E368ED8" w:rsidR="198A0077">
          <w:rPr>
            <w:rStyle w:val="Hyperlink"/>
            <w:noProof w:val="0"/>
            <w:lang w:val="en-GB"/>
          </w:rPr>
          <w:t>https://www.diabetes.org.uk/about-us/about-the-charity/our-strategy/statistics</w:t>
        </w:r>
      </w:hyperlink>
      <w:r w:rsidRPr="1E368ED8" w:rsidR="198A0077">
        <w:rPr>
          <w:rFonts w:ascii="Times New Roman" w:hAnsi="Times New Roman" w:eastAsia="Times New Roman" w:cs="Times New Roman"/>
          <w:noProof w:val="0"/>
          <w:color w:val="000000" w:themeColor="text1" w:themeTint="FF" w:themeShade="FF"/>
          <w:sz w:val="40"/>
          <w:szCs w:val="40"/>
          <w:lang w:val="en-GB"/>
        </w:rPr>
        <w:t xml:space="preserve"> (Accessed: 5 July 2026).</w:t>
      </w:r>
    </w:p>
    <w:p w:rsidR="35DF3D67" w:rsidP="1E368ED8" w:rsidRDefault="35DF3D67" w14:paraId="551B62BB" w14:textId="4AFC8BF8">
      <w:pPr>
        <w:shd w:val="clear" w:color="auto" w:fill="FFFFFF" w:themeFill="background1"/>
        <w:spacing w:before="240" w:beforeAutospacing="off" w:after="240" w:afterAutospacing="off" w:line="216" w:lineRule="auto"/>
        <w:ind w:left="540" w:right="0" w:hanging="540"/>
        <w:jc w:val="both"/>
      </w:pPr>
      <w:r w:rsidRPr="1E368ED8" w:rsidR="198A0077">
        <w:rPr>
          <w:rFonts w:ascii="Times New Roman" w:hAnsi="Times New Roman" w:eastAsia="Times New Roman" w:cs="Times New Roman"/>
          <w:noProof w:val="0"/>
          <w:color w:val="222222"/>
          <w:sz w:val="40"/>
          <w:szCs w:val="40"/>
          <w:lang w:val="en-GB"/>
        </w:rPr>
        <w:t xml:space="preserve">Eyth, E., Zubair, M. and Naik, R., 2025. Hemoglobin A1c. In </w:t>
      </w:r>
      <w:r w:rsidRPr="1E368ED8" w:rsidR="198A0077">
        <w:rPr>
          <w:rFonts w:ascii="Times New Roman" w:hAnsi="Times New Roman" w:eastAsia="Times New Roman" w:cs="Times New Roman"/>
          <w:i w:val="1"/>
          <w:iCs w:val="1"/>
          <w:noProof w:val="0"/>
          <w:color w:val="222222"/>
          <w:sz w:val="40"/>
          <w:szCs w:val="40"/>
          <w:lang w:val="en-GB"/>
        </w:rPr>
        <w:t>StatPearls [Internet]</w:t>
      </w:r>
      <w:r w:rsidRPr="1E368ED8" w:rsidR="198A0077">
        <w:rPr>
          <w:rFonts w:ascii="Times New Roman" w:hAnsi="Times New Roman" w:eastAsia="Times New Roman" w:cs="Times New Roman"/>
          <w:noProof w:val="0"/>
          <w:color w:val="222222"/>
          <w:sz w:val="40"/>
          <w:szCs w:val="40"/>
          <w:lang w:val="en-GB"/>
        </w:rPr>
        <w:t>. StatPearls Publishing.</w:t>
      </w:r>
    </w:p>
    <w:p w:rsidR="35DF3D67" w:rsidP="1E368ED8" w:rsidRDefault="35DF3D67" w14:paraId="29EE43BB" w14:textId="2093EED0">
      <w:pPr>
        <w:spacing w:before="240" w:beforeAutospacing="off" w:after="240" w:afterAutospacing="off" w:line="216" w:lineRule="auto"/>
        <w:ind w:left="540" w:right="0" w:hanging="540"/>
        <w:jc w:val="both"/>
      </w:pPr>
      <w:r w:rsidRPr="1E368ED8" w:rsidR="198A0077">
        <w:rPr>
          <w:rFonts w:ascii="Times New Roman" w:hAnsi="Times New Roman" w:eastAsia="Times New Roman" w:cs="Times New Roman"/>
          <w:noProof w:val="0"/>
          <w:color w:val="000000" w:themeColor="text1" w:themeTint="FF" w:themeShade="FF"/>
          <w:sz w:val="40"/>
          <w:szCs w:val="40"/>
          <w:lang w:val="en-GB"/>
        </w:rPr>
        <w:t xml:space="preserve">GOV.UK (2025) Diabetes profile: statistical commentary, March 2025. Office for Health Improvement and Disparities. Available at: </w:t>
      </w:r>
      <w:hyperlink r:id="R7b70c796a1e44704">
        <w:r w:rsidRPr="1E368ED8" w:rsidR="198A0077">
          <w:rPr>
            <w:rStyle w:val="Hyperlink"/>
            <w:noProof w:val="0"/>
            <w:lang w:val="en-GB"/>
          </w:rPr>
          <w:t>https://www.gov.uk/government/statistics/diabetes-profile-update-march-2025/diabetes-profile-statistical-commentary-march-2025</w:t>
        </w:r>
      </w:hyperlink>
      <w:r w:rsidRPr="1E368ED8" w:rsidR="198A0077">
        <w:rPr>
          <w:rFonts w:ascii="Times New Roman" w:hAnsi="Times New Roman" w:eastAsia="Times New Roman" w:cs="Times New Roman"/>
          <w:noProof w:val="0"/>
          <w:color w:val="000000" w:themeColor="text1" w:themeTint="FF" w:themeShade="FF"/>
          <w:sz w:val="40"/>
          <w:szCs w:val="40"/>
          <w:lang w:val="en-GB"/>
        </w:rPr>
        <w:t xml:space="preserve"> (Accessed: 5 July 2026).</w:t>
      </w:r>
    </w:p>
    <w:p w:rsidR="35DF3D67" w:rsidP="1E368ED8" w:rsidRDefault="35DF3D67" w14:paraId="3A14AD5E" w14:textId="75ED8371">
      <w:pPr>
        <w:spacing w:before="240" w:beforeAutospacing="off" w:after="240" w:afterAutospacing="off" w:line="216" w:lineRule="auto"/>
        <w:ind w:left="540" w:right="0" w:hanging="540"/>
        <w:jc w:val="both"/>
      </w:pPr>
      <w:r w:rsidRPr="1E368ED8" w:rsidR="198A0077">
        <w:rPr>
          <w:rFonts w:ascii="Times New Roman" w:hAnsi="Times New Roman" w:eastAsia="Times New Roman" w:cs="Times New Roman"/>
          <w:noProof w:val="0"/>
          <w:color w:val="000000" w:themeColor="text1" w:themeTint="FF" w:themeShade="FF"/>
          <w:sz w:val="40"/>
          <w:szCs w:val="40"/>
          <w:lang w:val="en-GB"/>
        </w:rPr>
        <w:t xml:space="preserve">Gregory, G.A., Robinson, T.I.G., Linklater, S.E. et al. (2025) 'Global type 1 diabetes prevalence, incidence, and mortality estimates 2025: results from the International Diabetes Federation Atlas, 11th edition, and the T1D Index version 3.0', Diabetes Research and Clinical Practice. Available at: </w:t>
      </w:r>
      <w:hyperlink r:id="R8e5cde4d1dad4de1">
        <w:r w:rsidRPr="1E368ED8" w:rsidR="198A0077">
          <w:rPr>
            <w:rStyle w:val="Hyperlink"/>
            <w:noProof w:val="0"/>
            <w:lang w:val="en-GB"/>
          </w:rPr>
          <w:t>https://www.diabetesresearchclinicalpractice.com/article/S0168-8227(25)00291-8/fulltext</w:t>
        </w:r>
      </w:hyperlink>
      <w:r w:rsidRPr="1E368ED8" w:rsidR="198A0077">
        <w:rPr>
          <w:rFonts w:ascii="Times New Roman" w:hAnsi="Times New Roman" w:eastAsia="Times New Roman" w:cs="Times New Roman"/>
          <w:noProof w:val="0"/>
          <w:color w:val="000000" w:themeColor="text1" w:themeTint="FF" w:themeShade="FF"/>
          <w:sz w:val="40"/>
          <w:szCs w:val="40"/>
          <w:lang w:val="en-GB"/>
        </w:rPr>
        <w:t xml:space="preserve"> (Accessed: 5 July 2026).</w:t>
      </w:r>
    </w:p>
    <w:p w:rsidR="35DF3D67" w:rsidP="1E368ED8" w:rsidRDefault="35DF3D67" w14:paraId="6E4DC12A" w14:textId="15018758">
      <w:pPr>
        <w:spacing w:before="240" w:beforeAutospacing="off" w:after="240" w:afterAutospacing="off" w:line="216" w:lineRule="auto"/>
        <w:ind w:left="540" w:right="0" w:hanging="540"/>
        <w:jc w:val="both"/>
      </w:pPr>
      <w:r w:rsidRPr="1E368ED8" w:rsidR="198A0077">
        <w:rPr>
          <w:rFonts w:ascii="Times New Roman" w:hAnsi="Times New Roman" w:eastAsia="Times New Roman" w:cs="Times New Roman"/>
          <w:noProof w:val="0"/>
          <w:color w:val="000000" w:themeColor="text1" w:themeTint="FF" w:themeShade="FF"/>
          <w:sz w:val="40"/>
          <w:szCs w:val="40"/>
          <w:lang w:val="en-GB"/>
        </w:rPr>
        <w:t xml:space="preserve">International Diabetes Federation (2025) IDF Diabetes Atlas, 11th edn. Brussels: International Diabetes Federation. Available at: </w:t>
      </w:r>
      <w:hyperlink r:id="Rd8da32bb1e2545a0">
        <w:r w:rsidRPr="1E368ED8" w:rsidR="198A0077">
          <w:rPr>
            <w:rStyle w:val="Hyperlink"/>
            <w:noProof w:val="0"/>
            <w:lang w:val="en-GB"/>
          </w:rPr>
          <w:t>https://diabetesatlas.org/</w:t>
        </w:r>
      </w:hyperlink>
      <w:r w:rsidRPr="1E368ED8" w:rsidR="198A0077">
        <w:rPr>
          <w:rFonts w:ascii="Times New Roman" w:hAnsi="Times New Roman" w:eastAsia="Times New Roman" w:cs="Times New Roman"/>
          <w:noProof w:val="0"/>
          <w:color w:val="000000" w:themeColor="text1" w:themeTint="FF" w:themeShade="FF"/>
          <w:sz w:val="40"/>
          <w:szCs w:val="40"/>
          <w:lang w:val="en-GB"/>
        </w:rPr>
        <w:t xml:space="preserve"> (Accessed: 5 July 2026).</w:t>
      </w:r>
    </w:p>
    <w:p w:rsidR="35DF3D67" w:rsidP="1E368ED8" w:rsidRDefault="35DF3D67" w14:paraId="37AB0A6E" w14:textId="6347ABD9">
      <w:pPr>
        <w:spacing w:before="240" w:beforeAutospacing="off" w:after="240" w:afterAutospacing="off" w:line="216" w:lineRule="auto"/>
        <w:ind w:left="540" w:right="0" w:hanging="540"/>
        <w:jc w:val="both"/>
      </w:pPr>
      <w:r w:rsidRPr="1E368ED8" w:rsidR="198A0077">
        <w:rPr>
          <w:rFonts w:ascii="Times New Roman" w:hAnsi="Times New Roman" w:eastAsia="Times New Roman" w:cs="Times New Roman"/>
          <w:noProof w:val="0"/>
          <w:color w:val="000000" w:themeColor="text1" w:themeTint="FF" w:themeShade="FF"/>
          <w:sz w:val="40"/>
          <w:szCs w:val="40"/>
          <w:lang w:val="en-GB"/>
        </w:rPr>
        <w:t xml:space="preserve">National Institute for Health and Care Excellence (2022) Type 1 diabetes in adults: diagnosis and management (NG17). London: NICE. Available at: </w:t>
      </w:r>
      <w:hyperlink r:id="Rd9b1fb03b32c473e">
        <w:r w:rsidRPr="1E368ED8" w:rsidR="198A0077">
          <w:rPr>
            <w:rStyle w:val="Hyperlink"/>
            <w:noProof w:val="0"/>
            <w:lang w:val="en-GB"/>
          </w:rPr>
          <w:t>https://www.nice.org.uk/guidance/ng17</w:t>
        </w:r>
      </w:hyperlink>
      <w:r w:rsidRPr="1E368ED8" w:rsidR="198A0077">
        <w:rPr>
          <w:rFonts w:ascii="Times New Roman" w:hAnsi="Times New Roman" w:eastAsia="Times New Roman" w:cs="Times New Roman"/>
          <w:noProof w:val="0"/>
          <w:color w:val="000000" w:themeColor="text1" w:themeTint="FF" w:themeShade="FF"/>
          <w:sz w:val="40"/>
          <w:szCs w:val="40"/>
          <w:lang w:val="en-GB"/>
        </w:rPr>
        <w:t xml:space="preserve"> (Accessed: 5 July 2026).</w:t>
      </w:r>
    </w:p>
    <w:p w:rsidR="35DF3D67" w:rsidP="1E368ED8" w:rsidRDefault="35DF3D67" w14:paraId="11B4F37F" w14:textId="36C5819E">
      <w:pPr>
        <w:spacing w:before="240" w:beforeAutospacing="off" w:after="240" w:afterAutospacing="off" w:line="216" w:lineRule="auto"/>
        <w:ind w:left="540" w:right="0" w:hanging="540"/>
        <w:jc w:val="both"/>
      </w:pPr>
      <w:r w:rsidRPr="1E368ED8" w:rsidR="198A0077">
        <w:rPr>
          <w:rFonts w:ascii="Times New Roman" w:hAnsi="Times New Roman" w:eastAsia="Times New Roman" w:cs="Times New Roman"/>
          <w:noProof w:val="0"/>
          <w:color w:val="000000" w:themeColor="text1" w:themeTint="FF" w:themeShade="FF"/>
          <w:sz w:val="40"/>
          <w:szCs w:val="40"/>
          <w:lang w:val="en-GB"/>
        </w:rPr>
        <w:t xml:space="preserve">NHS England (2024) Hybrid closed loop technologies: 5-year implementation strategy. Available at: </w:t>
      </w:r>
      <w:hyperlink r:id="R9608d1128ec0482b">
        <w:r w:rsidRPr="1E368ED8" w:rsidR="198A0077">
          <w:rPr>
            <w:rStyle w:val="Hyperlink"/>
            <w:noProof w:val="0"/>
            <w:lang w:val="en-GB"/>
          </w:rPr>
          <w:t>https://www.england.nhs.uk/long-read/hybrid-closed-loop-technologies-5-year-implementation-strategy/</w:t>
        </w:r>
      </w:hyperlink>
      <w:r w:rsidRPr="1E368ED8" w:rsidR="198A0077">
        <w:rPr>
          <w:rFonts w:ascii="Times New Roman" w:hAnsi="Times New Roman" w:eastAsia="Times New Roman" w:cs="Times New Roman"/>
          <w:noProof w:val="0"/>
          <w:color w:val="000000" w:themeColor="text1" w:themeTint="FF" w:themeShade="FF"/>
          <w:sz w:val="40"/>
          <w:szCs w:val="40"/>
          <w:lang w:val="en-GB"/>
        </w:rPr>
        <w:t xml:space="preserve"> (Accessed: 5 July 2026).</w:t>
      </w:r>
    </w:p>
    <w:p w:rsidR="35DF3D67" w:rsidP="1E368ED8" w:rsidRDefault="35DF3D67" w14:paraId="417B7057" w14:textId="09D5CC78">
      <w:pPr>
        <w:spacing w:before="240" w:beforeAutospacing="off" w:after="240" w:afterAutospacing="off" w:line="216" w:lineRule="auto"/>
        <w:ind w:left="540" w:right="0" w:hanging="540"/>
        <w:jc w:val="both"/>
      </w:pPr>
      <w:r w:rsidRPr="1E368ED8" w:rsidR="198A0077">
        <w:rPr>
          <w:rFonts w:ascii="Times New Roman" w:hAnsi="Times New Roman" w:eastAsia="Times New Roman" w:cs="Times New Roman"/>
          <w:noProof w:val="0"/>
          <w:color w:val="000000" w:themeColor="text1" w:themeTint="FF" w:themeShade="FF"/>
          <w:sz w:val="40"/>
          <w:szCs w:val="40"/>
          <w:lang w:val="en-GB"/>
        </w:rPr>
        <w:t xml:space="preserve">NICE (2023) Hybrid closed loop systems for managing blood glucose levels in type 1 diabetes (TA943). London: National Institute for Health and Care Excellence. Available at: </w:t>
      </w:r>
      <w:hyperlink r:id="R0f87bd50166c4269">
        <w:r w:rsidRPr="1E368ED8" w:rsidR="198A0077">
          <w:rPr>
            <w:rStyle w:val="Hyperlink"/>
            <w:noProof w:val="0"/>
            <w:lang w:val="en-GB"/>
          </w:rPr>
          <w:t>https://www.nice.org.uk/guidance/ta943</w:t>
        </w:r>
      </w:hyperlink>
      <w:r w:rsidRPr="1E368ED8" w:rsidR="198A0077">
        <w:rPr>
          <w:rFonts w:ascii="Times New Roman" w:hAnsi="Times New Roman" w:eastAsia="Times New Roman" w:cs="Times New Roman"/>
          <w:noProof w:val="0"/>
          <w:color w:val="000000" w:themeColor="text1" w:themeTint="FF" w:themeShade="FF"/>
          <w:sz w:val="40"/>
          <w:szCs w:val="40"/>
          <w:lang w:val="en-GB"/>
        </w:rPr>
        <w:t xml:space="preserve"> (Accessed: 5 July 2026).</w:t>
      </w:r>
    </w:p>
    <w:p w:rsidR="35DF3D67" w:rsidP="1E368ED8" w:rsidRDefault="35DF3D67" w14:paraId="71B0DB2F" w14:textId="2C7195F3">
      <w:pPr>
        <w:shd w:val="clear" w:color="auto" w:fill="FFFFFF" w:themeFill="background1"/>
        <w:spacing w:before="240" w:beforeAutospacing="off" w:after="240" w:afterAutospacing="off" w:line="288" w:lineRule="auto"/>
        <w:ind w:left="540" w:right="0" w:hanging="540"/>
        <w:jc w:val="both"/>
      </w:pPr>
      <w:r w:rsidRPr="1E368ED8" w:rsidR="198A0077">
        <w:rPr>
          <w:rFonts w:ascii="Times New Roman" w:hAnsi="Times New Roman" w:eastAsia="Times New Roman" w:cs="Times New Roman"/>
          <w:noProof w:val="0"/>
          <w:color w:val="222222"/>
          <w:sz w:val="24"/>
          <w:szCs w:val="24"/>
          <w:lang w:val="en-GB"/>
        </w:rPr>
        <w:t xml:space="preserve">Pichchenda, B., Geronimo, M. and Domingo, S.D., 2025. The Role of Family Support in Shaping Girls’ Self-Confidence: A Literature Review. </w:t>
      </w:r>
      <w:r w:rsidRPr="1E368ED8" w:rsidR="198A0077">
        <w:rPr>
          <w:rFonts w:ascii="Times New Roman" w:hAnsi="Times New Roman" w:eastAsia="Times New Roman" w:cs="Times New Roman"/>
          <w:i w:val="1"/>
          <w:iCs w:val="1"/>
          <w:noProof w:val="0"/>
          <w:color w:val="222222"/>
          <w:sz w:val="24"/>
          <w:szCs w:val="24"/>
          <w:lang w:val="en-GB"/>
        </w:rPr>
        <w:t>Women, Education, and Social Welfare</w:t>
      </w:r>
      <w:r w:rsidRPr="1E368ED8" w:rsidR="198A0077">
        <w:rPr>
          <w:rFonts w:ascii="Times New Roman" w:hAnsi="Times New Roman" w:eastAsia="Times New Roman" w:cs="Times New Roman"/>
          <w:noProof w:val="0"/>
          <w:color w:val="222222"/>
          <w:sz w:val="24"/>
          <w:szCs w:val="24"/>
          <w:lang w:val="en-GB"/>
        </w:rPr>
        <w:t xml:space="preserve">, </w:t>
      </w:r>
      <w:r w:rsidRPr="1E368ED8" w:rsidR="198A0077">
        <w:rPr>
          <w:rFonts w:ascii="Times New Roman" w:hAnsi="Times New Roman" w:eastAsia="Times New Roman" w:cs="Times New Roman"/>
          <w:i w:val="1"/>
          <w:iCs w:val="1"/>
          <w:noProof w:val="0"/>
          <w:color w:val="222222"/>
          <w:sz w:val="24"/>
          <w:szCs w:val="24"/>
          <w:lang w:val="en-GB"/>
        </w:rPr>
        <w:t>2</w:t>
      </w:r>
      <w:r w:rsidRPr="1E368ED8" w:rsidR="198A0077">
        <w:rPr>
          <w:rFonts w:ascii="Times New Roman" w:hAnsi="Times New Roman" w:eastAsia="Times New Roman" w:cs="Times New Roman"/>
          <w:noProof w:val="0"/>
          <w:color w:val="222222"/>
          <w:sz w:val="24"/>
          <w:szCs w:val="24"/>
          <w:lang w:val="en-GB"/>
        </w:rPr>
        <w:t>(2), pp.103-113.</w:t>
      </w:r>
    </w:p>
    <w:p w:rsidR="35DF3D67" w:rsidP="1E368ED8" w:rsidRDefault="35DF3D67" w14:paraId="4810B389" w14:textId="61E26321">
      <w:pPr>
        <w:spacing w:before="240" w:beforeAutospacing="off" w:after="240" w:afterAutospacing="off" w:line="216" w:lineRule="auto"/>
        <w:ind w:left="540" w:right="0" w:hanging="540"/>
        <w:jc w:val="both"/>
      </w:pPr>
      <w:r w:rsidRPr="1E368ED8" w:rsidR="198A0077">
        <w:rPr>
          <w:rFonts w:ascii="Times New Roman" w:hAnsi="Times New Roman" w:eastAsia="Times New Roman" w:cs="Times New Roman"/>
          <w:noProof w:val="0"/>
          <w:color w:val="000000" w:themeColor="text1" w:themeTint="FF" w:themeShade="FF"/>
          <w:sz w:val="40"/>
          <w:szCs w:val="40"/>
          <w:lang w:val="en-GB"/>
        </w:rPr>
        <w:t xml:space="preserve">PMC (2025) 'Comparative analysis of type 1 and type 2 diabetes registrations and risk factor correlations in the UK (2022-24)', PMC. Available at: </w:t>
      </w:r>
      <w:hyperlink r:id="Rd25257fd563848a9">
        <w:r w:rsidRPr="1E368ED8" w:rsidR="198A0077">
          <w:rPr>
            <w:rStyle w:val="Hyperlink"/>
            <w:noProof w:val="0"/>
            <w:lang w:val="en-GB"/>
          </w:rPr>
          <w:t>https://pmc.ncbi.nlm.nih.gov/articles/PMC12533550/</w:t>
        </w:r>
      </w:hyperlink>
      <w:r w:rsidRPr="1E368ED8" w:rsidR="198A0077">
        <w:rPr>
          <w:rFonts w:ascii="Times New Roman" w:hAnsi="Times New Roman" w:eastAsia="Times New Roman" w:cs="Times New Roman"/>
          <w:noProof w:val="0"/>
          <w:color w:val="000000" w:themeColor="text1" w:themeTint="FF" w:themeShade="FF"/>
          <w:sz w:val="40"/>
          <w:szCs w:val="40"/>
          <w:lang w:val="en-GB"/>
        </w:rPr>
        <w:t xml:space="preserve"> (Accessed: 5 July 2026).</w:t>
      </w:r>
    </w:p>
    <w:p w:rsidR="35DF3D67" w:rsidP="1E368ED8" w:rsidRDefault="35DF3D67" w14:paraId="3B5DC844" w14:textId="13121427">
      <w:pPr>
        <w:spacing w:before="240" w:beforeAutospacing="off" w:after="240" w:afterAutospacing="off" w:line="162" w:lineRule="auto"/>
        <w:jc w:val="both"/>
      </w:pPr>
      <w:r w:rsidRPr="1E368ED8" w:rsidR="198A0077">
        <w:rPr>
          <w:rFonts w:ascii="Times New Roman" w:hAnsi="Times New Roman" w:eastAsia="Times New Roman" w:cs="Times New Roman"/>
          <w:noProof w:val="0"/>
          <w:color w:val="000000" w:themeColor="text1" w:themeTint="FF" w:themeShade="FF"/>
          <w:sz w:val="13"/>
          <w:szCs w:val="13"/>
          <w:lang w:val="en-GB"/>
        </w:rPr>
        <w:t>2</w:t>
      </w:r>
    </w:p>
    <w:p w:rsidR="35DF3D67" w:rsidP="1E368ED8" w:rsidRDefault="35DF3D67" w14:paraId="1988AC9B" w14:textId="39274571">
      <w:pPr>
        <w:spacing w:before="240" w:beforeAutospacing="off" w:after="240" w:afterAutospacing="off" w:line="216" w:lineRule="auto"/>
        <w:ind w:firstLine="540"/>
        <w:jc w:val="both"/>
        <w:rPr>
          <w:rFonts w:ascii="Times New Roman" w:hAnsi="Times New Roman" w:eastAsia="Times New Roman" w:cs="Times New Roman"/>
          <w:noProof w:val="0"/>
          <w:color w:val="000000" w:themeColor="text1" w:themeTint="FF" w:themeShade="FF"/>
          <w:sz w:val="40"/>
          <w:szCs w:val="40"/>
          <w:lang w:val="en-GB"/>
        </w:rPr>
      </w:pPr>
    </w:p>
    <w:p w:rsidR="35DF3D67" w:rsidP="35DF3D67" w:rsidRDefault="35DF3D67" w14:paraId="326479E7" w14:textId="4CB74400">
      <w:pPr>
        <w:rPr>
          <w:sz w:val="40"/>
          <w:szCs w:val="40"/>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EB04F67"/>
    <w:rsid w:val="0464ABF9"/>
    <w:rsid w:val="0569C54C"/>
    <w:rsid w:val="11161EA9"/>
    <w:rsid w:val="198A0077"/>
    <w:rsid w:val="1E368ED8"/>
    <w:rsid w:val="1EB04F67"/>
    <w:rsid w:val="2A5DCEE1"/>
    <w:rsid w:val="2CBBDDA7"/>
    <w:rsid w:val="35DF3D67"/>
    <w:rsid w:val="36DA55FB"/>
    <w:rsid w:val="3F159062"/>
    <w:rsid w:val="4216F0A3"/>
    <w:rsid w:val="45E28D77"/>
    <w:rsid w:val="5E1EC8DF"/>
    <w:rsid w:val="5F4B14BA"/>
    <w:rsid w:val="63699FE6"/>
    <w:rsid w:val="6B6407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068C50"/>
  <w15:chartTrackingRefBased/>
  <w15:docId w15:val="{7BF7F85B-C444-417B-B708-F0E2CFB7AE9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1E368ED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afne.nhs.uk/dafne-closed-loop-essentials" TargetMode="External" Id="R5a5468bb62924232" /><Relationship Type="http://schemas.openxmlformats.org/officeDocument/2006/relationships/hyperlink" Target="https://www.diabetes.org.uk/about-us/about-the-charity/our-strategy/statistics" TargetMode="External" Id="R0b1b9293cf504003" /><Relationship Type="http://schemas.openxmlformats.org/officeDocument/2006/relationships/hyperlink" Target="https://www.gov.uk/government/statistics/diabetes-profile-update-march-2025/diabetes-profile-statistical-commentary-march-2025" TargetMode="External" Id="R7b70c796a1e44704" /><Relationship Type="http://schemas.openxmlformats.org/officeDocument/2006/relationships/hyperlink" Target="https://www.diabetesresearchclinicalpractice.com/article/S0168-8227(25)00291-8/fulltext" TargetMode="External" Id="R8e5cde4d1dad4de1" /><Relationship Type="http://schemas.openxmlformats.org/officeDocument/2006/relationships/hyperlink" Target="https://diabetesatlas.org/" TargetMode="External" Id="Rd8da32bb1e2545a0" /><Relationship Type="http://schemas.openxmlformats.org/officeDocument/2006/relationships/hyperlink" Target="https://www.nice.org.uk/guidance/ng17" TargetMode="External" Id="Rd9b1fb03b32c473e" /><Relationship Type="http://schemas.openxmlformats.org/officeDocument/2006/relationships/hyperlink" Target="https://www.england.nhs.uk/long-read/hybrid-closed-loop-technologies-5-year-implementation-strategy/" TargetMode="External" Id="R9608d1128ec0482b" /><Relationship Type="http://schemas.openxmlformats.org/officeDocument/2006/relationships/hyperlink" Target="https://www.nice.org.uk/guidance/ta943" TargetMode="External" Id="R0f87bd50166c4269" /><Relationship Type="http://schemas.openxmlformats.org/officeDocument/2006/relationships/hyperlink" Target="https://pmc.ncbi.nlm.nih.gov/articles/PMC12533550/" TargetMode="External" Id="Rd25257fd563848a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Hawzeen Majeed Omar Omar (2519617)</dc:creator>
  <keywords/>
  <dc:description/>
  <lastModifiedBy>Hawzeen Majeed Omar Omar (2519617)</lastModifiedBy>
  <revision>4</revision>
  <dcterms:created xsi:type="dcterms:W3CDTF">2026-07-05T15:33:48.3649117Z</dcterms:created>
  <dcterms:modified xsi:type="dcterms:W3CDTF">2026-07-17T09:56:48.1785109Z</dcterms:modified>
</coreProperties>
</file>