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ascii="Arial" w:hAnsi="Arial" w:cs="Arial"/>
          <w:sz w:val="24"/>
          <w:szCs w:val="24"/>
        </w:rPr>
      </w:pPr>
    </w:p>
    <w:p>
      <w:pPr>
        <w:spacing w:line="480" w:lineRule="auto"/>
        <w:rPr>
          <w:rFonts w:ascii="Arial" w:hAnsi="Arial" w:cs="Arial"/>
          <w:sz w:val="24"/>
          <w:szCs w:val="24"/>
        </w:rPr>
      </w:pPr>
    </w:p>
    <w:p>
      <w:pPr>
        <w:spacing w:line="480" w:lineRule="auto"/>
        <w:rPr>
          <w:rFonts w:ascii="Arial" w:hAnsi="Arial" w:cs="Arial"/>
          <w:sz w:val="24"/>
          <w:szCs w:val="24"/>
        </w:rPr>
      </w:pPr>
    </w:p>
    <w:p>
      <w:pPr>
        <w:spacing w:line="480" w:lineRule="auto"/>
        <w:rPr>
          <w:rFonts w:ascii="Arial" w:hAnsi="Arial" w:cs="Arial"/>
          <w:sz w:val="24"/>
          <w:szCs w:val="24"/>
        </w:rPr>
      </w:pPr>
    </w:p>
    <w:p>
      <w:pPr>
        <w:spacing w:line="480" w:lineRule="auto"/>
        <w:rPr>
          <w:rFonts w:ascii="Arial" w:hAnsi="Arial" w:cs="Arial"/>
          <w:sz w:val="24"/>
          <w:szCs w:val="24"/>
        </w:rPr>
      </w:pPr>
    </w:p>
    <w:p>
      <w:pPr>
        <w:spacing w:line="480" w:lineRule="auto"/>
        <w:rPr>
          <w:rFonts w:ascii="Arial" w:hAnsi="Arial" w:cs="Arial"/>
          <w:sz w:val="24"/>
          <w:szCs w:val="24"/>
        </w:rPr>
      </w:pPr>
    </w:p>
    <w:p>
      <w:pPr>
        <w:pStyle w:val="2"/>
        <w:rPr>
          <w:rFonts w:cs="Arial"/>
          <w:szCs w:val="24"/>
        </w:rPr>
      </w:pPr>
      <w:bookmarkStart w:id="0" w:name="_Toc161013628"/>
      <w:r>
        <w:rPr>
          <w:rFonts w:cs="Arial"/>
          <w:szCs w:val="24"/>
        </w:rPr>
        <w:t>An Evaluation of Tesla's Competitive and Development Strategies</w:t>
      </w:r>
      <w:bookmarkEnd w:id="0"/>
    </w:p>
    <w:p>
      <w:pPr>
        <w:pStyle w:val="18"/>
        <w:bidi w:val="0"/>
        <w:rPr>
          <w:rStyle w:val="21"/>
        </w:rPr>
      </w:pPr>
      <w:r>
        <w:rPr>
          <w:sz w:val="24"/>
        </w:rPr>
        <mc:AlternateContent>
          <mc:Choice Requires="wps">
            <w:drawing>
              <wp:anchor distT="0" distB="0" distL="114300" distR="114300" simplePos="0" relativeHeight="251659264" behindDoc="0" locked="0" layoutInCell="1" allowOverlap="1">
                <wp:simplePos x="0" y="0"/>
                <wp:positionH relativeFrom="column">
                  <wp:posOffset>1349375</wp:posOffset>
                </wp:positionH>
                <wp:positionV relativeFrom="paragraph">
                  <wp:posOffset>555625</wp:posOffset>
                </wp:positionV>
                <wp:extent cx="3098800" cy="2628265"/>
                <wp:effectExtent l="0" t="0" r="0" b="635"/>
                <wp:wrapNone/>
                <wp:docPr id="1" name="文本框 1"/>
                <wp:cNvGraphicFramePr/>
                <a:graphic xmlns:a="http://schemas.openxmlformats.org/drawingml/2006/main">
                  <a:graphicData uri="http://schemas.microsoft.com/office/word/2010/wordprocessingShape">
                    <wps:wsp>
                      <wps:cNvSpPr txBox="1"/>
                      <wps:spPr>
                        <a:xfrm>
                          <a:off x="4498975" y="7501890"/>
                          <a:ext cx="3098800" cy="262826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SHUQI XIN</w:t>
                            </w:r>
                          </w:p>
                          <w:p>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2317430</w:t>
                            </w:r>
                          </w:p>
                          <w:p>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BMBM6015</w:t>
                            </w:r>
                          </w:p>
                          <w:p>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Strategic Management and Sustainability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6.25pt;margin-top:43.75pt;height:206.95pt;width:244pt;z-index:251659264;mso-width-relative:page;mso-height-relative:page;" fillcolor="#FFFFFF [3201]" filled="t" stroked="f" coordsize="21600,21600" o:gfxdata="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I5IjPrV&#10;AAAACgEAAA8AAAAAAAAAAQAgAAAAIgAAAGRycy9kb3ducmV2LnhtbFBLAQIUABQAAAAIAIdO4kDe&#10;em9/XAIAAJwEAAAOAAAAAAAAAAEAIAAAACQBAABkcnMvZTJvRG9jLnhtbFBLBQYAAAAABgAGAFkB&#10;AADyBQAAAAA=&#10;">
                <v:fill on="t" focussize="0,0"/>
                <v:stroke on="f" weight="0.5pt"/>
                <v:imagedata o:title=""/>
                <o:lock v:ext="edit" aspectratio="f"/>
                <v:textbox>
                  <w:txbxContent>
                    <w:p>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SHUQI XIN</w:t>
                      </w:r>
                    </w:p>
                    <w:p>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2317430</w:t>
                      </w:r>
                    </w:p>
                    <w:p>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BMBM6015</w:t>
                      </w:r>
                    </w:p>
                    <w:p>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Strategic Management and Sustainability</w:t>
                      </w:r>
                    </w:p>
                  </w:txbxContent>
                </v:textbox>
              </v:shape>
            </w:pict>
          </mc:Fallback>
        </mc:AlternateContent>
      </w:r>
      <w:r>
        <w:rPr>
          <w:rFonts w:ascii="Arial" w:hAnsi="Arial" w:cs="Arial"/>
          <w:sz w:val="24"/>
          <w:szCs w:val="24"/>
        </w:rPr>
        <w:br w:type="page"/>
      </w:r>
    </w:p>
    <w:p>
      <w:pPr>
        <w:pStyle w:val="2"/>
      </w:pPr>
      <w:bookmarkStart w:id="1" w:name="_Toc161013629"/>
      <w:r>
        <w:t>Abstract</w:t>
      </w:r>
      <w:bookmarkEnd w:id="1"/>
    </w:p>
    <w:p>
      <w:pPr>
        <w:spacing w:line="480" w:lineRule="auto"/>
        <w:rPr>
          <w:rFonts w:ascii="Arial" w:hAnsi="Arial" w:cs="Arial"/>
          <w:sz w:val="24"/>
          <w:szCs w:val="24"/>
        </w:rPr>
      </w:pPr>
      <w:r>
        <w:rPr>
          <w:rFonts w:ascii="Arial" w:hAnsi="Arial" w:cs="Arial"/>
          <w:sz w:val="24"/>
          <w:szCs w:val="24"/>
        </w:rPr>
        <w:t xml:space="preserve">Tesla is a renowned electric vehicle (EV) automaker globally; hence it is essential to analyse the development and competitive strategies of Tesla, highlighting the company’s growth over the years. The paper will use Porter’s Generic Strategies to determine the company’s competitive approaches. The report will analyse Tesla’s venture into the global market, providing its presence, market entry and expansion strategies. Furthermore, the paper will analyse how competitors in the EV sector have influenced Tesla’s strategies, necessitating responses to ensure market success. Thus, a critical assessment will be provided to highlight the effectiveness of Tesla’s strategies and practical recommendations to overcome issues it faces in the market. Consequently, the report provides insights into the challenges Tesla faces and strategies it can adopt to sustain its marker leadership. </w:t>
      </w:r>
    </w:p>
    <w:p>
      <w:pPr>
        <w:rPr>
          <w:rFonts w:ascii="Arial" w:hAnsi="Arial" w:cs="Arial"/>
          <w:sz w:val="24"/>
          <w:szCs w:val="24"/>
        </w:rPr>
      </w:pPr>
    </w:p>
    <w:p>
      <w:pPr>
        <w:rPr>
          <w:rFonts w:ascii="Arial" w:hAnsi="Arial" w:cs="Arial"/>
          <w:sz w:val="24"/>
          <w:szCs w:val="24"/>
        </w:rPr>
      </w:pPr>
    </w:p>
    <w:p>
      <w:pPr>
        <w:rPr>
          <w:rFonts w:ascii="Arial" w:hAnsi="Arial" w:cs="Arial"/>
          <w:sz w:val="24"/>
          <w:szCs w:val="24"/>
        </w:rPr>
      </w:pPr>
      <w:r>
        <w:rPr>
          <w:rFonts w:ascii="Arial" w:hAnsi="Arial" w:cs="Arial"/>
          <w:sz w:val="24"/>
          <w:szCs w:val="24"/>
        </w:rPr>
        <w:br w:type="page"/>
      </w:r>
    </w:p>
    <w:p>
      <w:pPr>
        <w:pStyle w:val="2"/>
        <w:rPr>
          <w:rFonts w:cs="Arial"/>
          <w:szCs w:val="24"/>
        </w:rPr>
      </w:pPr>
      <w:bookmarkStart w:id="2" w:name="_Toc161013630"/>
      <w:r>
        <w:rPr>
          <w:rFonts w:cs="Arial"/>
          <w:szCs w:val="24"/>
        </w:rPr>
        <w:t>Table of Contents</w:t>
      </w:r>
      <w:bookmarkEnd w:id="2"/>
    </w:p>
    <w:sdt>
      <w:sdtPr>
        <w:rPr>
          <w:rFonts w:ascii="Arial" w:hAnsi="Arial" w:cs="Arial" w:eastAsiaTheme="minorHAnsi"/>
          <w:color w:val="auto"/>
          <w:sz w:val="24"/>
          <w:szCs w:val="24"/>
          <w:lang w:val="en-GB"/>
        </w:rPr>
        <w:id w:val="-443461635"/>
        <w:docPartObj>
          <w:docPartGallery w:val="Table of Contents"/>
          <w:docPartUnique/>
        </w:docPartObj>
      </w:sdtPr>
      <w:sdtEndPr>
        <w:rPr>
          <w:rFonts w:ascii="Arial" w:hAnsi="Arial" w:cs="Arial" w:eastAsiaTheme="minorHAnsi"/>
          <w:b/>
          <w:bCs/>
          <w:color w:val="auto"/>
          <w:sz w:val="24"/>
          <w:szCs w:val="24"/>
          <w:lang w:val="en-GB"/>
        </w:rPr>
      </w:sdtEndPr>
      <w:sdtContent>
        <w:p>
          <w:pPr>
            <w:pStyle w:val="18"/>
            <w:rPr>
              <w:rFonts w:ascii="Arial" w:hAnsi="Arial" w:cs="Arial" w:eastAsiaTheme="minorEastAsia"/>
              <w:kern w:val="2"/>
              <w:sz w:val="24"/>
              <w:szCs w:val="24"/>
              <w:lang w:eastAsia="en-GB"/>
              <w14:ligatures w14:val="standardContextual"/>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p>
        <w:p>
          <w:pPr>
            <w:pStyle w:val="8"/>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"_Toc161013631" </w:instrText>
          </w:r>
          <w:r>
            <w:fldChar w:fldCharType="separate"/>
          </w:r>
          <w:r>
            <w:rPr>
              <w:rStyle w:val="13"/>
              <w:rFonts w:ascii="Arial" w:hAnsi="Arial" w:cs="Arial"/>
              <w:sz w:val="24"/>
              <w:szCs w:val="24"/>
            </w:rPr>
            <w:t>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_Toc161013631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"_Toc161013632" </w:instrText>
          </w:r>
          <w:r>
            <w:fldChar w:fldCharType="separate"/>
          </w:r>
          <w:r>
            <w:rPr>
              <w:rStyle w:val="13"/>
              <w:rFonts w:ascii="Arial" w:hAnsi="Arial" w:cs="Arial"/>
              <w:sz w:val="24"/>
              <w:szCs w:val="24"/>
            </w:rPr>
            <w:t>Background on Tesla Inc.</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_Toc161013632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pPr>
            <w:pStyle w:val="8"/>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"_Toc161013633" </w:instrText>
          </w:r>
          <w:r>
            <w:fldChar w:fldCharType="separate"/>
          </w:r>
          <w:r>
            <w:rPr>
              <w:rStyle w:val="13"/>
              <w:rFonts w:ascii="Arial" w:hAnsi="Arial" w:cs="Arial"/>
              <w:sz w:val="24"/>
              <w:szCs w:val="24"/>
            </w:rPr>
            <w:t>Theoretical Framework</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_Toc161013633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"_Toc161013634" </w:instrText>
          </w:r>
          <w:r>
            <w:fldChar w:fldCharType="separate"/>
          </w:r>
          <w:r>
            <w:rPr>
              <w:rStyle w:val="13"/>
              <w:rFonts w:ascii="Arial" w:hAnsi="Arial" w:cs="Arial"/>
              <w:sz w:val="24"/>
              <w:szCs w:val="24"/>
            </w:rPr>
            <w:t>Porter’s Generic Strategies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_Toc161013634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"_Toc161013635" </w:instrText>
          </w:r>
          <w:r>
            <w:fldChar w:fldCharType="separate"/>
          </w:r>
          <w:r>
            <w:rPr>
              <w:rStyle w:val="13"/>
              <w:rFonts w:ascii="Arial" w:hAnsi="Arial" w:cs="Arial"/>
              <w:sz w:val="24"/>
              <w:szCs w:val="24"/>
            </w:rPr>
            <w:t>Strategy Clock</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_Toc161013635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pPr>
            <w:pStyle w:val="8"/>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"_Toc161013636" </w:instrText>
          </w:r>
          <w:r>
            <w:fldChar w:fldCharType="separate"/>
          </w:r>
          <w:r>
            <w:rPr>
              <w:rStyle w:val="13"/>
              <w:rFonts w:ascii="Arial" w:hAnsi="Arial" w:cs="Arial"/>
              <w:sz w:val="24"/>
              <w:szCs w:val="24"/>
            </w:rPr>
            <w:t>Competitive Strategy Analysis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_Toc161013636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"_Toc161013637" </w:instrText>
          </w:r>
          <w:r>
            <w:fldChar w:fldCharType="separate"/>
          </w:r>
          <w:r>
            <w:rPr>
              <w:rStyle w:val="13"/>
              <w:rFonts w:ascii="Arial" w:hAnsi="Arial" w:cs="Arial"/>
              <w:sz w:val="24"/>
              <w:szCs w:val="24"/>
            </w:rPr>
            <w:t>Identification of Competitive Strategy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_Toc161013637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pPr>
            <w:pStyle w:val="5"/>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"_Toc161013638" </w:instrText>
          </w:r>
          <w:r>
            <w:fldChar w:fldCharType="separate"/>
          </w:r>
          <w:r>
            <w:rPr>
              <w:rStyle w:val="13"/>
              <w:rFonts w:ascii="Arial" w:hAnsi="Arial" w:cs="Arial"/>
              <w:sz w:val="24"/>
              <w:szCs w:val="24"/>
            </w:rPr>
            <w:t>The Application of Porter’s Generic Strategies to Tesla</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_Toc161013638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"_Toc161013639" </w:instrText>
          </w:r>
          <w:r>
            <w:fldChar w:fldCharType="separate"/>
          </w:r>
          <w:r>
            <w:rPr>
              <w:rStyle w:val="13"/>
              <w:rFonts w:ascii="Arial" w:hAnsi="Arial" w:cs="Arial"/>
              <w:sz w:val="24"/>
              <w:szCs w:val="24"/>
            </w:rPr>
            <w:t>Analysis of Tesla’s Competitive Strategy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_Toc161013639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pPr>
            <w:pStyle w:val="8"/>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"_Toc161013640" </w:instrText>
          </w:r>
          <w:r>
            <w:fldChar w:fldCharType="separate"/>
          </w:r>
          <w:r>
            <w:rPr>
              <w:rStyle w:val="13"/>
              <w:rFonts w:ascii="Arial" w:hAnsi="Arial" w:cs="Arial"/>
              <w:sz w:val="24"/>
              <w:szCs w:val="24"/>
            </w:rPr>
            <w:t>Development Strategies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_Toc161013640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"_Toc161013641" </w:instrText>
          </w:r>
          <w:r>
            <w:fldChar w:fldCharType="separate"/>
          </w:r>
          <w:r>
            <w:rPr>
              <w:rStyle w:val="13"/>
              <w:rFonts w:ascii="Arial" w:hAnsi="Arial" w:cs="Arial"/>
              <w:sz w:val="24"/>
              <w:szCs w:val="24"/>
            </w:rPr>
            <w:t>Market Expansion and Product Development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_Toc161013641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"_Toc161013642" </w:instrText>
          </w:r>
          <w:r>
            <w:fldChar w:fldCharType="separate"/>
          </w:r>
          <w:r>
            <w:rPr>
              <w:rStyle w:val="13"/>
              <w:rFonts w:ascii="Arial" w:hAnsi="Arial" w:cs="Arial"/>
              <w:sz w:val="24"/>
              <w:szCs w:val="24"/>
            </w:rPr>
            <w:t>Competitor Response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_Toc161013642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pPr>
            <w:pStyle w:val="5"/>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"_Toc161013643" </w:instrText>
          </w:r>
          <w:r>
            <w:fldChar w:fldCharType="separate"/>
          </w:r>
          <w:r>
            <w:rPr>
              <w:rStyle w:val="13"/>
              <w:rFonts w:ascii="Arial" w:hAnsi="Arial" w:cs="Arial"/>
              <w:sz w:val="24"/>
              <w:szCs w:val="24"/>
            </w:rPr>
            <w:t>The Influence of Competition on Tesla</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_Toc161013643 \h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"_Toc161013644" </w:instrText>
          </w:r>
          <w:r>
            <w:fldChar w:fldCharType="separate"/>
          </w:r>
          <w:r>
            <w:rPr>
              <w:rStyle w:val="13"/>
              <w:rFonts w:ascii="Arial" w:hAnsi="Arial" w:cs="Arial"/>
              <w:sz w:val="24"/>
              <w:szCs w:val="24"/>
            </w:rPr>
            <w:t>Pricing and Market Positioning</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_Toc161013644 \h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"_Toc161013645" </w:instrText>
          </w:r>
          <w:r>
            <w:fldChar w:fldCharType="separate"/>
          </w:r>
          <w:r>
            <w:rPr>
              <w:rStyle w:val="13"/>
              <w:rFonts w:ascii="Arial" w:hAnsi="Arial" w:cs="Arial"/>
              <w:sz w:val="24"/>
              <w:szCs w:val="24"/>
            </w:rPr>
            <w:t>Global Expansion Strategies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_Toc161013645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"_Toc161013646" </w:instrText>
          </w:r>
          <w:r>
            <w:fldChar w:fldCharType="separate"/>
          </w:r>
          <w:r>
            <w:rPr>
              <w:rStyle w:val="13"/>
              <w:rFonts w:ascii="Arial" w:hAnsi="Arial" w:cs="Arial"/>
              <w:sz w:val="24"/>
              <w:szCs w:val="24"/>
            </w:rPr>
            <w:t>Tesla’s Current Position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_Toc161013646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pPr>
            <w:pStyle w:val="5"/>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"_Toc161013647" </w:instrText>
          </w:r>
          <w:r>
            <w:fldChar w:fldCharType="separate"/>
          </w:r>
          <w:r>
            <w:rPr>
              <w:rStyle w:val="13"/>
              <w:rFonts w:ascii="Arial" w:hAnsi="Arial" w:cs="Arial"/>
              <w:sz w:val="24"/>
              <w:szCs w:val="24"/>
            </w:rPr>
            <w:t>Critical Analysis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_Toc161013647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pPr>
            <w:pStyle w:val="9"/>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"_Toc161013648" </w:instrText>
          </w:r>
          <w:r>
            <w:fldChar w:fldCharType="separate"/>
          </w:r>
          <w:r>
            <w:rPr>
              <w:rStyle w:val="13"/>
              <w:rFonts w:ascii="Arial" w:hAnsi="Arial" w:cs="Arial"/>
              <w:sz w:val="24"/>
              <w:szCs w:val="24"/>
            </w:rPr>
            <w:t>Recommendations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_Toc161013648 \h </w:instrText>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r>
            <w:rPr>
              <w:rFonts w:ascii="Arial" w:hAnsi="Arial" w:cs="Arial"/>
              <w:sz w:val="24"/>
              <w:szCs w:val="24"/>
            </w:rPr>
            <w:fldChar w:fldCharType="end"/>
          </w:r>
        </w:p>
        <w:p>
          <w:pPr>
            <w:pStyle w:val="8"/>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"_Toc161013649" </w:instrText>
          </w:r>
          <w:r>
            <w:fldChar w:fldCharType="separate"/>
          </w:r>
          <w:r>
            <w:rPr>
              <w:rStyle w:val="13"/>
              <w:rFonts w:ascii="Arial" w:hAnsi="Arial" w:cs="Arial"/>
              <w:sz w:val="24"/>
              <w:szCs w:val="24"/>
            </w:rPr>
            <w:t>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_Toc161013649 \h </w:instrText>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r>
            <w:rPr>
              <w:rFonts w:ascii="Arial" w:hAnsi="Arial" w:cs="Arial"/>
              <w:sz w:val="24"/>
              <w:szCs w:val="24"/>
            </w:rPr>
            <w:fldChar w:fldCharType="end"/>
          </w:r>
        </w:p>
        <w:p>
          <w:pPr>
            <w:pStyle w:val="8"/>
            <w:tabs>
              <w:tab w:val="right" w:leader="dot" w:pos="9350"/>
            </w:tabs>
            <w:rPr>
              <w:rFonts w:ascii="Arial" w:hAnsi="Arial" w:cs="Arial" w:eastAsiaTheme="minorEastAsia"/>
              <w:kern w:val="2"/>
              <w:sz w:val="24"/>
              <w:szCs w:val="24"/>
              <w:lang w:eastAsia="en-GB"/>
              <w14:ligatures w14:val="standardContextual"/>
            </w:rPr>
          </w:pPr>
          <w:r>
            <w:fldChar w:fldCharType="begin"/>
          </w:r>
          <w:r>
            <w:instrText xml:space="preserve"> HYPERLINK \l "_Toc161013650" </w:instrText>
          </w:r>
          <w:r>
            <w:fldChar w:fldCharType="separate"/>
          </w:r>
          <w:r>
            <w:rPr>
              <w:rStyle w:val="13"/>
              <w:rFonts w:ascii="Arial" w:hAnsi="Arial" w:cs="Arial"/>
              <w:sz w:val="24"/>
              <w:szCs w:val="24"/>
            </w:rPr>
            <w:t>Reference List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_Toc161013650 \h </w:instrText>
          </w:r>
          <w:r>
            <w:rPr>
              <w:rFonts w:ascii="Arial" w:hAnsi="Arial" w:cs="Arial"/>
              <w:sz w:val="24"/>
              <w:szCs w:val="24"/>
            </w:rPr>
            <w:fldChar w:fldCharType="separate"/>
          </w:r>
          <w:r>
            <w:rPr>
              <w:rFonts w:ascii="Arial" w:hAnsi="Arial" w:cs="Arial"/>
              <w:sz w:val="24"/>
              <w:szCs w:val="24"/>
            </w:rPr>
            <w:t>15</w:t>
          </w:r>
          <w:r>
            <w:rPr>
              <w:rFonts w:ascii="Arial" w:hAnsi="Arial" w:cs="Arial"/>
              <w:sz w:val="24"/>
              <w:szCs w:val="24"/>
            </w:rPr>
            <w:fldChar w:fldCharType="end"/>
          </w:r>
          <w:r>
            <w:rPr>
              <w:rFonts w:ascii="Arial" w:hAnsi="Arial" w:cs="Arial"/>
              <w:sz w:val="24"/>
              <w:szCs w:val="24"/>
            </w:rPr>
            <w:fldChar w:fldCharType="end"/>
          </w:r>
        </w:p>
        <w:p>
          <w:pPr>
            <w:rPr>
              <w:rFonts w:ascii="Arial" w:hAnsi="Arial" w:cs="Arial"/>
              <w:sz w:val="24"/>
              <w:szCs w:val="24"/>
            </w:rPr>
          </w:pPr>
          <w:r>
            <w:rPr>
              <w:rFonts w:ascii="Arial" w:hAnsi="Arial" w:cs="Arial"/>
              <w:b/>
              <w:bCs/>
              <w:sz w:val="24"/>
              <w:szCs w:val="24"/>
            </w:rPr>
            <w:fldChar w:fldCharType="end"/>
          </w:r>
        </w:p>
      </w:sdtContent>
    </w:sdt>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r>
        <w:rPr>
          <w:rFonts w:ascii="Arial" w:hAnsi="Arial" w:cs="Arial"/>
          <w:sz w:val="24"/>
          <w:szCs w:val="24"/>
        </w:rPr>
        <w:br w:type="page"/>
      </w:r>
    </w:p>
    <w:p>
      <w:pPr>
        <w:spacing w:line="480" w:lineRule="auto"/>
        <w:jc w:val="center"/>
        <w:rPr>
          <w:rFonts w:ascii="Arial" w:hAnsi="Arial" w:cs="Arial"/>
          <w:b/>
          <w:bCs/>
          <w:sz w:val="24"/>
          <w:szCs w:val="24"/>
        </w:rPr>
      </w:pPr>
      <w:r>
        <w:rPr>
          <w:rFonts w:ascii="Arial" w:hAnsi="Arial" w:cs="Arial"/>
          <w:b/>
          <w:bCs/>
          <w:sz w:val="24"/>
          <w:szCs w:val="24"/>
        </w:rPr>
        <w:t>An Evaluation of Tesla's Competitive and Development Strategies</w:t>
      </w:r>
    </w:p>
    <w:p>
      <w:pPr>
        <w:pStyle w:val="2"/>
        <w:rPr>
          <w:rFonts w:cs="Arial"/>
          <w:szCs w:val="24"/>
        </w:rPr>
      </w:pPr>
      <w:bookmarkStart w:id="3" w:name="_Toc161013631"/>
      <w:r>
        <w:rPr>
          <w:rFonts w:cs="Arial"/>
          <w:szCs w:val="24"/>
        </w:rPr>
        <w:t>Introduction</w:t>
      </w:r>
      <w:bookmarkEnd w:id="3"/>
    </w:p>
    <w:p>
      <w:pPr>
        <w:spacing w:line="480" w:lineRule="auto"/>
        <w:rPr>
          <w:rFonts w:ascii="Arial" w:hAnsi="Arial" w:cs="Arial"/>
          <w:sz w:val="24"/>
          <w:szCs w:val="24"/>
        </w:rPr>
      </w:pPr>
      <w:r>
        <w:rPr>
          <w:rFonts w:ascii="Arial" w:hAnsi="Arial" w:cs="Arial"/>
          <w:sz w:val="24"/>
          <w:szCs w:val="24"/>
        </w:rPr>
        <w:t xml:space="preserve">The global electric vehicle industry is highly competitive and it is constantly becoming complex, making it critical for businesses to develop effective competitive and development strategies. Tesla is an electric vehicle company whose operations are affected by varying industry dynamics which affect its competitive positioning and strategies in the market. Therefore, it is essential to explore the strategies Tesla has adopted to navigate the intricate and competitive electric vehicle market. The strategic analysis will entail the application of Porter’s Generic Strategies to evaluate Tesla’s implemented strategies. Furthermore, the analysis will provide more insights into Tesla’s product development and the advantages that emerge due to the strategies it has developed. </w:t>
      </w:r>
    </w:p>
    <w:p>
      <w:pPr>
        <w:pStyle w:val="3"/>
        <w:ind w:firstLine="720"/>
        <w:rPr>
          <w:rFonts w:cs="Arial"/>
          <w:szCs w:val="24"/>
        </w:rPr>
      </w:pPr>
      <w:bookmarkStart w:id="4" w:name="_Toc161013632"/>
      <w:r>
        <w:rPr>
          <w:rFonts w:cs="Arial"/>
          <w:szCs w:val="24"/>
        </w:rPr>
        <w:t>Background on Tesla Inc.</w:t>
      </w:r>
      <w:bookmarkEnd w:id="4"/>
    </w:p>
    <w:p>
      <w:pPr>
        <w:spacing w:line="480" w:lineRule="auto"/>
        <w:rPr>
          <w:rFonts w:ascii="Arial" w:hAnsi="Arial" w:cs="Arial"/>
          <w:sz w:val="24"/>
          <w:szCs w:val="24"/>
        </w:rPr>
      </w:pPr>
      <w:r>
        <w:rPr>
          <w:rFonts w:ascii="Arial" w:hAnsi="Arial" w:cs="Arial"/>
          <w:sz w:val="24"/>
          <w:szCs w:val="24"/>
        </w:rPr>
        <w:t xml:space="preserve">In 2003, Tesla was established by Marc Tarpenning and Maritn Eberhard, as a pioneer in EVs that contribute to green energy and sustainable transportation initiatives (Movement, 2022). The company’s first focus was the Roadster an electric sports car and the company is named after Nikola Tesla the inventor of alternating current. The mission of the company is to foster a change away from humanity’s usage of fossil fuels. With more than 100,000 employees in three continents globally, the company has integrated the factories to design, develop, sell and maintain its products (Movement, 2022). The company was acquired in 2008 by Elon Musk, the co-founder of PayPal, who became the chief executive making significant influences in financial investment and escalating the company’s vision to venture into a variety of electric vehicles (Movement, 2022). Currently, the company is making models such as Models X, 3, </w:t>
      </w:r>
      <w:r>
        <w:rPr>
          <w:rFonts w:hint="eastAsia" w:ascii="Arial" w:hAnsi="Arial" w:eastAsia="宋体" w:cs="Arial"/>
          <w:sz w:val="24"/>
          <w:szCs w:val="24"/>
          <w:lang w:val="en-US" w:eastAsia="zh-CN"/>
        </w:rPr>
        <w:t>Y</w:t>
      </w:r>
      <w:r>
        <w:rPr>
          <w:rFonts w:ascii="Arial" w:hAnsi="Arial" w:cs="Arial"/>
          <w:sz w:val="24"/>
          <w:szCs w:val="24"/>
        </w:rPr>
        <w:t xml:space="preserve">, S, Cybetruck, Tesla Semi and Tesla Roadster. This makes it a dominant and valuable automaker in the electric vehicles industry due to its innovation and resilient competitive and development strategies. </w:t>
      </w:r>
      <w:bookmarkStart w:id="23" w:name="_GoBack"/>
      <w:bookmarkEnd w:id="23"/>
    </w:p>
    <w:p>
      <w:pPr>
        <w:pStyle w:val="2"/>
        <w:rPr>
          <w:rFonts w:cs="Arial"/>
          <w:szCs w:val="24"/>
        </w:rPr>
      </w:pPr>
      <w:bookmarkStart w:id="5" w:name="_Toc161013633"/>
      <w:r>
        <w:rPr>
          <w:rFonts w:cs="Arial"/>
          <w:szCs w:val="24"/>
        </w:rPr>
        <w:t>Theoretical Framework</w:t>
      </w:r>
      <w:bookmarkEnd w:id="5"/>
    </w:p>
    <w:p>
      <w:pPr>
        <w:pStyle w:val="3"/>
        <w:ind w:firstLine="720"/>
        <w:rPr>
          <w:rFonts w:cs="Arial"/>
          <w:szCs w:val="24"/>
        </w:rPr>
      </w:pPr>
      <w:bookmarkStart w:id="6" w:name="_Toc161013634"/>
      <w:r>
        <w:rPr>
          <w:rFonts w:cs="Arial"/>
          <w:szCs w:val="24"/>
        </w:rPr>
        <w:t>Porter’s Generic Strategies</w:t>
      </w:r>
      <w:bookmarkEnd w:id="6"/>
      <w:r>
        <w:rPr>
          <w:rFonts w:cs="Arial"/>
          <w:szCs w:val="24"/>
        </w:rPr>
        <w:t xml:space="preserve"> </w:t>
      </w:r>
    </w:p>
    <w:p>
      <w:pPr>
        <w:spacing w:line="480" w:lineRule="auto"/>
        <w:rPr>
          <w:rFonts w:ascii="Arial" w:hAnsi="Arial" w:cs="Arial"/>
          <w:sz w:val="24"/>
          <w:szCs w:val="24"/>
        </w:rPr>
      </w:pPr>
      <w:r>
        <w:rPr>
          <w:rFonts w:ascii="Arial" w:hAnsi="Arial" w:cs="Arial"/>
          <w:sz w:val="24"/>
          <w:szCs w:val="24"/>
        </w:rPr>
        <w:t xml:space="preserve">Currently, markets are characterised by uncertainty due to firm internationalise and globalisation which increase ambiguity for organisations such as Tesla in the adoption of new market strategies. Michael Porter developed the concept of Porter’s Generic Strategies, which provides three major avenues to competitive advantage namely; cost leadership, focus and differentiation (Islami, Mustafa and Latkovikj, 2020). The strategies are a tool which businesses can utilise to enhance or gain a competitive advantage in their particular markets. The relative positions of organisations within a sector define its competitive rank against competitors. Therefore, the strategies developed by porters can be used as a framework for gaining insights into the business’s current market positions and strategies that the business can utilise to improve its position. </w:t>
      </w:r>
    </w:p>
    <w:p>
      <w:pPr>
        <w:pStyle w:val="3"/>
        <w:rPr>
          <w:rFonts w:cs="Arial"/>
          <w:szCs w:val="24"/>
        </w:rPr>
      </w:pPr>
      <w:bookmarkStart w:id="7" w:name="_Toc161013635"/>
      <w:r>
        <w:rPr>
          <w:rFonts w:cs="Arial"/>
          <w:szCs w:val="24"/>
        </w:rPr>
        <w:t>Strategy Clock</w:t>
      </w:r>
      <w:bookmarkEnd w:id="7"/>
    </w:p>
    <w:p>
      <w:pPr>
        <w:spacing w:line="480" w:lineRule="auto"/>
        <w:rPr>
          <w:rFonts w:ascii="Arial" w:hAnsi="Arial" w:cs="Arial"/>
          <w:sz w:val="24"/>
          <w:szCs w:val="24"/>
        </w:rPr>
      </w:pPr>
      <w:r>
        <w:rPr>
          <w:rFonts w:ascii="Arial" w:hAnsi="Arial" w:cs="Arial"/>
          <w:sz w:val="24"/>
          <w:szCs w:val="24"/>
        </w:rPr>
        <w:t xml:space="preserve">The Strategy Clock was introduced by David Faulkner and Cliff Bowman, to expand on Porter’s Generic Strategies by integrating various dimensions of firm and market strategy (Echchakoui, 2018). The concept underscores the need for companies to assess their market position through price and perceive value dimensions (Echchakoui, 2018). Therefore, the strategy clock provides eight potential strategies which align different positions a company can adopt in the market. The low added value and low prices position adopted by companies enables the use of low prices to distinguish their products and remain competitive. Consequently, companies using low pricing strategies must produce more products while considering the value of the products. Companies can adapt the Strategy Clock by aligning it with their position and strategic ambition based on the insights provided into the market position. </w:t>
      </w:r>
    </w:p>
    <w:p>
      <w:pPr>
        <w:pStyle w:val="2"/>
        <w:rPr>
          <w:rFonts w:cs="Arial"/>
          <w:szCs w:val="24"/>
        </w:rPr>
      </w:pPr>
      <w:bookmarkStart w:id="8" w:name="_Toc161013636"/>
      <w:r>
        <w:rPr>
          <w:rFonts w:cs="Arial"/>
          <w:szCs w:val="24"/>
        </w:rPr>
        <w:t>Competitive Strategy Analysis</w:t>
      </w:r>
      <w:bookmarkEnd w:id="8"/>
    </w:p>
    <w:p>
      <w:pPr>
        <w:pStyle w:val="3"/>
        <w:ind w:firstLine="720"/>
        <w:rPr>
          <w:rFonts w:cs="Arial"/>
          <w:szCs w:val="24"/>
        </w:rPr>
      </w:pPr>
      <w:bookmarkStart w:id="9" w:name="_Toc161013637"/>
      <w:r>
        <w:rPr>
          <w:rFonts w:cs="Arial"/>
          <w:szCs w:val="24"/>
        </w:rPr>
        <w:t>Identification of Competitive Strategy</w:t>
      </w:r>
      <w:bookmarkEnd w:id="9"/>
    </w:p>
    <w:p>
      <w:pPr>
        <w:spacing w:line="480" w:lineRule="auto"/>
        <w:rPr>
          <w:rFonts w:ascii="Arial" w:hAnsi="Arial" w:cs="Arial"/>
          <w:sz w:val="24"/>
          <w:szCs w:val="24"/>
        </w:rPr>
      </w:pPr>
      <w:r>
        <w:rPr>
          <w:rFonts w:ascii="Arial" w:hAnsi="Arial" w:cs="Arial"/>
          <w:sz w:val="24"/>
          <w:szCs w:val="24"/>
        </w:rPr>
        <w:t>Competitive strategies are developed in preparation for dynamic market dimensions which significantly affect a firm’s operations and its success in the market. According to (Hughes et al., 2021) competitive strategies are established to bolster dynamic capacities and core competencies to manage rapidly changing business environments and harmonise organisation skills and resources to attain a competitive advantage. Therefore, the identification of effective competitive strategies will allow organisations to enhance their performance relative to their competitors. For instance, the recognition and integration of Tesla's competitive strategies will allow the company to orient itself to dynamics in the EV industry which is increasingly becoming more complex.</w:t>
      </w:r>
    </w:p>
    <w:p>
      <w:pPr>
        <w:pStyle w:val="4"/>
        <w:rPr>
          <w:rFonts w:cs="Arial"/>
        </w:rPr>
      </w:pPr>
      <w:bookmarkStart w:id="10" w:name="_Toc161013638"/>
      <w:r>
        <w:rPr>
          <w:rFonts w:cs="Arial"/>
        </w:rPr>
        <w:t>The Application of Porter’s Generic Strategies to Tesla</w:t>
      </w:r>
      <w:bookmarkEnd w:id="10"/>
    </w:p>
    <w:p>
      <w:pPr>
        <w:spacing w:line="480" w:lineRule="auto"/>
        <w:rPr>
          <w:rFonts w:ascii="Arial" w:hAnsi="Arial" w:cs="Arial"/>
          <w:sz w:val="24"/>
          <w:szCs w:val="24"/>
        </w:rPr>
      </w:pPr>
      <w:r>
        <w:rPr>
          <w:rFonts w:ascii="Arial" w:hAnsi="Arial" w:cs="Arial"/>
          <w:sz w:val="24"/>
          <w:szCs w:val="24"/>
        </w:rPr>
        <w:t xml:space="preserve">Technological development and sustainable environmental initiatives significantly characterise the EV market, necessitating the application of Porter’s Generic Strategies to enhance Tesla’s competitiveness within the complexities of the market. According to (Sadeghian et al., 2022) the use of fossil fuels contributes to 25% of global carbon dioxide emissions making EVs critical for the future as they foster the use of green energy; however, EV manufacturers need to develop differentiation strategies that will promote the use of EVs. Therefore, Tesla has integrated differentiation strategies that will provide quality and innovative products that will serve consumers better with long-range battery capacities, driving automation and cutting-edge technology (Shipley, 2020). Unlike other companies that focus on affordability, Tesla focuses on increasing the demand for EVs and providing direct purchases, removing dealership and middlemen inconveniences from customers. </w:t>
      </w:r>
    </w:p>
    <w:p>
      <w:pPr>
        <w:spacing w:line="480" w:lineRule="auto"/>
        <w:rPr>
          <w:rFonts w:ascii="Arial" w:hAnsi="Arial" w:cs="Arial"/>
          <w:sz w:val="24"/>
          <w:szCs w:val="24"/>
        </w:rPr>
      </w:pPr>
      <w:r>
        <w:rPr>
          <w:rFonts w:ascii="Arial" w:hAnsi="Arial" w:cs="Arial"/>
          <w:sz w:val="24"/>
          <w:szCs w:val="24"/>
        </w:rPr>
        <w:t xml:space="preserve">Tesla’s main focus is on product differentiation which aligns with Porter’s Generic Strategies in the development of unique automobiles that give the company a competitive advantage. The initial focus of Tesla was on differentiation, to capture early adopters of high-performance EVs, enabling the company to establish itself among affluent customers with an eye for luxury EVs (Shipley, 2020). However, currently, the company has adopted intensive expansion strategies that are aimed at a shift to reliable and high-performance EVs such as the Model S and Autopilot which are differentiated by their range and performance while integrating autopilot innovation. Furthermore, innovation has enabled Tesla to capitalise on the battery technology to optimise their product’s longevity and the cost of ownership (Shipley, 2020). This has been achieved through the acquisition of battery manufacturing companies to allow for the integration of novel battery technologies and acquire electric battery expertise. </w:t>
      </w:r>
    </w:p>
    <w:p>
      <w:pPr>
        <w:pStyle w:val="3"/>
        <w:ind w:firstLine="720"/>
        <w:rPr>
          <w:rFonts w:cs="Arial"/>
          <w:szCs w:val="24"/>
        </w:rPr>
      </w:pPr>
      <w:bookmarkStart w:id="11" w:name="_Toc161013639"/>
      <w:r>
        <w:rPr>
          <w:rFonts w:cs="Arial"/>
          <w:szCs w:val="24"/>
        </w:rPr>
        <w:t>Analysis of Tesla’s Competitive Strategy</w:t>
      </w:r>
      <w:bookmarkEnd w:id="11"/>
    </w:p>
    <w:p>
      <w:pPr>
        <w:spacing w:line="480" w:lineRule="auto"/>
        <w:rPr>
          <w:rFonts w:ascii="Arial" w:hAnsi="Arial" w:cs="Arial"/>
          <w:sz w:val="24"/>
          <w:szCs w:val="24"/>
        </w:rPr>
      </w:pPr>
      <w:r>
        <w:rPr>
          <w:rFonts w:ascii="Arial" w:hAnsi="Arial" w:cs="Arial"/>
          <w:sz w:val="24"/>
          <w:szCs w:val="24"/>
        </w:rPr>
        <w:t>Tesla has acquired a brand image as a pioneer in effective modern EVs with a significant focus on sustainability and cutting-edge technology. Therefore, the company has been able to differentiate itself from modern EVs and conventional automakers as the market is evolving to focus on innovation and sustainability (Huang, 2021). At the same time, Tesla aims to increase sales revenues, penetrate new global markets, and constantly innovate and diversify its portfolio into solar technology and energy storage. However, Tesla must consider how reliance on technology necessitates significant investment in resources and how price sensitivity can affect penetration into different markets.</w:t>
      </w:r>
    </w:p>
    <w:p>
      <w:pPr>
        <w:pStyle w:val="2"/>
        <w:rPr>
          <w:rFonts w:cs="Arial"/>
          <w:szCs w:val="24"/>
        </w:rPr>
      </w:pPr>
      <w:bookmarkStart w:id="12" w:name="_Toc161013640"/>
      <w:r>
        <w:rPr>
          <w:rFonts w:cs="Arial"/>
          <w:szCs w:val="24"/>
        </w:rPr>
        <w:t>Development Strategies</w:t>
      </w:r>
      <w:bookmarkEnd w:id="12"/>
    </w:p>
    <w:p>
      <w:pPr>
        <w:pStyle w:val="3"/>
        <w:ind w:firstLine="720"/>
        <w:rPr>
          <w:rFonts w:cs="Arial"/>
          <w:szCs w:val="24"/>
        </w:rPr>
      </w:pPr>
      <w:bookmarkStart w:id="13" w:name="_Toc161013641"/>
      <w:r>
        <w:rPr>
          <w:rFonts w:cs="Arial"/>
          <w:szCs w:val="24"/>
        </w:rPr>
        <w:t>Market Expansion and Product Development</w:t>
      </w:r>
      <w:bookmarkEnd w:id="13"/>
    </w:p>
    <w:p>
      <w:pPr>
        <w:spacing w:line="480" w:lineRule="auto"/>
        <w:rPr>
          <w:rFonts w:ascii="Arial" w:hAnsi="Arial" w:cs="Arial"/>
          <w:sz w:val="24"/>
          <w:szCs w:val="24"/>
        </w:rPr>
      </w:pPr>
      <w:r>
        <w:rPr>
          <w:rFonts w:ascii="Arial" w:hAnsi="Arial" w:cs="Arial"/>
          <w:sz w:val="24"/>
          <w:szCs w:val="24"/>
        </w:rPr>
        <w:t xml:space="preserve">The development of a market expansion strategy has allowed Tesla Inc. to enter new markets globally and fortify its position as a pioneer in the EV sector and an advocate for green energy solutions(Developers, 2023). Geographic expansion is one of Tesla’s strategic focuses as it aims to enter markets in Asia, and Europe due to the extensive market gap for EVs in the regions. In 2019, Tesla launched a factory in Shanghai China to introduce Tesla products to the largest global market (Movement, 2022). In 2021, the company launched plans to build a factory in Berlin, Germany, intending to improve its presence in the European market and attain seamless production and purchases from European consumers (Movement, 2022). At the same time, Tesla is interested in the large Indian market and has developed timelines for penetrating the market. </w:t>
      </w:r>
    </w:p>
    <w:p>
      <w:pPr>
        <w:spacing w:line="480" w:lineRule="auto"/>
        <w:rPr>
          <w:rFonts w:ascii="Arial" w:hAnsi="Arial" w:cs="Arial"/>
          <w:sz w:val="24"/>
          <w:szCs w:val="24"/>
        </w:rPr>
      </w:pPr>
      <w:r>
        <w:rPr>
          <w:rFonts w:ascii="Arial" w:hAnsi="Arial" w:cs="Arial"/>
          <w:sz w:val="24"/>
          <w:szCs w:val="24"/>
        </w:rPr>
        <w:t xml:space="preserve">The current EV market is characterised by the introduction of automobiles from existing automakers and emerging companies, which necessitate Tesla to adapt product expansion strategies (Morgan, 2020). The development of Model 3 was integral in Tesla’s market expansion strategies since it gained popularity due to its performance and affordability for consumers from various regions (Movement, 2022). The introduction of the Model Y, an electric SUV has been integral in expanding Tesla’s EV portfolio and market presence (Movement, 2022). Furthermore, Tesla launched an electric pickup truck, the revolutionary Cybertruck, which is targeted at consumers from various segments due to its distinct capacities and unique design (Movement, 2022). On the other hand, the company has ventured into energy products such as energy storage solutions, solar roofs, and solar panels in products such as Powerpack and Powerwall. This is are effort targeted at complementing the charging of its EV products and provision of green energy solutions which are attractive to a large audience in the market. </w:t>
      </w:r>
    </w:p>
    <w:p>
      <w:pPr>
        <w:pStyle w:val="3"/>
        <w:ind w:firstLine="720"/>
        <w:rPr>
          <w:rFonts w:cs="Arial"/>
          <w:szCs w:val="24"/>
        </w:rPr>
      </w:pPr>
      <w:bookmarkStart w:id="14" w:name="_Toc161013642"/>
      <w:r>
        <w:rPr>
          <w:rFonts w:cs="Arial"/>
          <w:szCs w:val="24"/>
        </w:rPr>
        <w:t>Competitor Response</w:t>
      </w:r>
      <w:bookmarkEnd w:id="14"/>
      <w:r>
        <w:rPr>
          <w:rFonts w:cs="Arial"/>
          <w:szCs w:val="24"/>
        </w:rPr>
        <w:t xml:space="preserve"> </w:t>
      </w:r>
    </w:p>
    <w:p>
      <w:pPr>
        <w:spacing w:line="480" w:lineRule="auto"/>
        <w:rPr>
          <w:rFonts w:ascii="Arial" w:hAnsi="Arial" w:cs="Arial"/>
          <w:sz w:val="24"/>
          <w:szCs w:val="24"/>
        </w:rPr>
      </w:pPr>
      <w:r>
        <w:rPr>
          <w:rFonts w:ascii="Arial" w:hAnsi="Arial" w:cs="Arial"/>
          <w:sz w:val="24"/>
          <w:szCs w:val="24"/>
        </w:rPr>
        <w:t xml:space="preserve">There is a substantial shift in the EV industry due to globally transforming approaches towards green energy solutions and energy-efficient solutions. In 2022, the total EV units produced crossed the 10 million market, a 14% penetration rate with Europe and China being the largest market with other regions showing significant market prospects (Guo, 2023). The key trends that have fostered this transformation include the emergence of automated driving, connectivity, electrification and ride-sharing (Haghani et al., 2023). Furthermore, government participation has influenced the EV market as authorities are providing support through investments and subsidies to support the adoption of EVs. Therefore, top players such as BYD, and SAI-GM-Wuling give Tesla major competition while conventional automakers such as Audi, Mercedez-Benz, Porsche and BMW have tapped into the EV market. Furthermore, new entrants such as NIO and Rivian will significantly shape the business landscape for Tesla. </w:t>
      </w:r>
    </w:p>
    <w:p>
      <w:pPr>
        <w:pStyle w:val="4"/>
        <w:rPr>
          <w:rFonts w:cs="Arial"/>
        </w:rPr>
      </w:pPr>
      <w:bookmarkStart w:id="15" w:name="_Toc161013643"/>
      <w:r>
        <w:rPr>
          <w:rFonts w:cs="Arial"/>
        </w:rPr>
        <w:t>The Influence of Competition on Tesla</w:t>
      </w:r>
      <w:bookmarkEnd w:id="15"/>
      <w:r>
        <w:rPr>
          <w:rFonts w:cs="Arial"/>
        </w:rPr>
        <w:t xml:space="preserve"> </w:t>
      </w:r>
    </w:p>
    <w:p>
      <w:pPr>
        <w:spacing w:line="480" w:lineRule="auto"/>
        <w:rPr>
          <w:rFonts w:ascii="Arial" w:hAnsi="Arial" w:cs="Arial"/>
          <w:sz w:val="24"/>
          <w:szCs w:val="24"/>
        </w:rPr>
      </w:pPr>
      <w:r>
        <w:rPr>
          <w:rFonts w:ascii="Arial" w:hAnsi="Arial" w:cs="Arial"/>
          <w:sz w:val="24"/>
          <w:szCs w:val="24"/>
        </w:rPr>
        <w:t xml:space="preserve">The presence of strong competition in the market has influenced how Tesla has responded especially with a focus on innovation and performance to differentiate its products (IEA, 2021). Product innovation is one of the key characteristics of the EV market; thus, Tesla is continuously innovating to enhance the performance, battery range and technology of its products (Movement, 2022). Therefore, constant updates, software development and enhancements are the major responses to competition as Tesla aims to improve the capabilities and features of its products. For instance, in 2021 Tesla introduced cutting-edge software, AI, autonomous driving and computing to enhance its products (Movement, 2022). Therefore, with the expanding market in Europe and China, Tesla is constantly investing in the regions to provide new models with varying ranges. </w:t>
      </w:r>
    </w:p>
    <w:p>
      <w:pPr>
        <w:pStyle w:val="3"/>
        <w:ind w:firstLine="720"/>
        <w:rPr>
          <w:rFonts w:cs="Arial"/>
          <w:szCs w:val="24"/>
        </w:rPr>
      </w:pPr>
      <w:bookmarkStart w:id="16" w:name="_Toc161013644"/>
      <w:r>
        <w:rPr>
          <w:rFonts w:cs="Arial"/>
          <w:szCs w:val="24"/>
        </w:rPr>
        <w:t>Pricing and Market Positioning</w:t>
      </w:r>
      <w:bookmarkEnd w:id="16"/>
      <w:r>
        <w:rPr>
          <w:rFonts w:cs="Arial"/>
          <w:szCs w:val="24"/>
        </w:rPr>
        <w:t xml:space="preserve"> </w:t>
      </w:r>
    </w:p>
    <w:p>
      <w:pPr>
        <w:spacing w:line="480" w:lineRule="auto"/>
        <w:rPr>
          <w:rFonts w:ascii="Arial" w:hAnsi="Arial" w:cs="Arial"/>
          <w:sz w:val="24"/>
          <w:szCs w:val="24"/>
        </w:rPr>
      </w:pPr>
      <w:r>
        <w:rPr>
          <w:rFonts w:ascii="Arial" w:hAnsi="Arial" w:cs="Arial"/>
          <w:sz w:val="24"/>
          <w:szCs w:val="24"/>
        </w:rPr>
        <w:t xml:space="preserve">Tesla has adopted pricing and market positioning strategies that have enabled the company to penetrate various markets. Tesla’s market capitalisation is estimated at &amp;107 billion making it the second-largest automaker globally, demonstrating how the innovative business model has been effective in enhancing competitiveness (Shipley, 2020). Tesla has become one of the most popular brands and a market leader and a market leader in the EV industry, which has increased competition from other companies who are aiming to capture Tesla’s customers (Hodgson, 2023). Tesla utilises skimming pricing strategies to align with premium brand positioning that enables it to charge premium prices for quality products, meet status demands, and sustain brand exclusivity. At the same time, premium pricing evokes a perception of uniqueness and exclusivity that is attributed to Tesla products as being aspirational and luxurious. </w:t>
      </w:r>
    </w:p>
    <w:p>
      <w:pPr>
        <w:spacing w:line="480" w:lineRule="auto"/>
        <w:rPr>
          <w:rFonts w:ascii="Arial" w:hAnsi="Arial" w:cs="Arial"/>
          <w:sz w:val="24"/>
          <w:szCs w:val="24"/>
        </w:rPr>
      </w:pPr>
      <w:r>
        <w:rPr>
          <w:rFonts w:ascii="Arial" w:hAnsi="Arial" w:cs="Arial"/>
          <w:sz w:val="24"/>
          <w:szCs w:val="24"/>
        </w:rPr>
        <w:t xml:space="preserve">The core values of Tesla focus on sustainability and protection of the planet aligning with values widely shared across global markets due to the heightening implications of climate change (Shipley, 2020). The company underscores the need for sustainability in its marketing initiatives and the production of EVs and solar that can change the scope of efficient energy consumption (Hodgson, 2023). However, Tesla needs to consider the presence of automakers with a focus on technology. Therefore, Tesla has to meticulously segment the market to focus on eco-conscious consumers and tech-savvy individuals. </w:t>
      </w:r>
    </w:p>
    <w:p>
      <w:pPr>
        <w:pStyle w:val="3"/>
        <w:ind w:firstLine="720"/>
        <w:rPr>
          <w:rFonts w:cs="Arial"/>
          <w:szCs w:val="24"/>
        </w:rPr>
      </w:pPr>
      <w:bookmarkStart w:id="17" w:name="_Toc161013645"/>
      <w:r>
        <w:rPr>
          <w:rFonts w:cs="Arial"/>
          <w:szCs w:val="24"/>
        </w:rPr>
        <w:t>Global Expansion Strategies</w:t>
      </w:r>
      <w:bookmarkEnd w:id="17"/>
      <w:r>
        <w:rPr>
          <w:rFonts w:cs="Arial"/>
          <w:szCs w:val="24"/>
        </w:rPr>
        <w:t xml:space="preserve"> </w:t>
      </w:r>
    </w:p>
    <w:p>
      <w:pPr>
        <w:spacing w:line="480" w:lineRule="auto"/>
        <w:rPr>
          <w:rFonts w:ascii="Arial" w:hAnsi="Arial" w:cs="Arial"/>
          <w:sz w:val="24"/>
          <w:szCs w:val="24"/>
        </w:rPr>
      </w:pPr>
      <w:r>
        <w:rPr>
          <w:rFonts w:ascii="Arial" w:hAnsi="Arial" w:cs="Arial"/>
          <w:sz w:val="24"/>
          <w:szCs w:val="24"/>
        </w:rPr>
        <w:t xml:space="preserve">Global expansion is an effective strategy to tap into the global EV market while dealing with the proliferation of various EV brands. Tesla has developed market development approaches for dealing facility advanced and intensive growth. Strategic partnerships and acquisition are some of the major benefits of globalisation that companies such as Tesla have capitalised on to develop a competitive advantage (Sheth, Uslay and Sisodia, 2020). The partnerships that Tesla has undertaken have enabled collaboration in areas such as battery metal mining, autonomous driving, EV charging infrastructure and material processing. Therefore, as part of its global expansion strategy, Tesla aims at revolutionising global energy systems. </w:t>
      </w:r>
    </w:p>
    <w:p>
      <w:pPr>
        <w:pStyle w:val="3"/>
        <w:ind w:firstLine="720"/>
        <w:rPr>
          <w:rFonts w:cs="Arial"/>
          <w:szCs w:val="24"/>
        </w:rPr>
      </w:pPr>
      <w:bookmarkStart w:id="18" w:name="_Toc161013646"/>
      <w:r>
        <w:rPr>
          <w:rFonts w:cs="Arial"/>
          <w:szCs w:val="24"/>
        </w:rPr>
        <w:t>Tesla’s Current Position</w:t>
      </w:r>
      <w:bookmarkEnd w:id="18"/>
    </w:p>
    <w:p>
      <w:pPr>
        <w:spacing w:line="480" w:lineRule="auto"/>
        <w:rPr>
          <w:rFonts w:ascii="Arial" w:hAnsi="Arial" w:cs="Arial"/>
          <w:sz w:val="24"/>
          <w:szCs w:val="24"/>
        </w:rPr>
      </w:pPr>
      <w:r>
        <w:rPr>
          <w:rFonts w:ascii="Arial" w:hAnsi="Arial" w:cs="Arial"/>
          <w:sz w:val="24"/>
          <w:szCs w:val="24"/>
        </w:rPr>
        <w:t xml:space="preserve">With the rapid technological developments and sustainability interventions, Tesla is effectively prepared to align with emerging markets and evolution in the market. In 2020 Telsa was decorated as the most valuable EV brand and was ranked in the category of the 14 most valuable global brands (Statista, 2024). The company recorded $67.2 billion from sales which contributed to a significant portion of revenue acquired (Statista, 2024). Furthermore, the company was able to sell 1.31 million units globally, delivering models such as Model Y, Model X, Model 3 and Model S (Statista, 2024). Despite challenges such as semiconductor shortages and ethical concerns in the mining of battery material, Tesla has been able to thrive. </w:t>
      </w:r>
    </w:p>
    <w:p>
      <w:pPr>
        <w:spacing w:line="480" w:lineRule="auto"/>
        <w:rPr>
          <w:rFonts w:ascii="Arial" w:hAnsi="Arial" w:cs="Arial"/>
          <w:sz w:val="24"/>
          <w:szCs w:val="24"/>
        </w:rPr>
      </w:pPr>
      <w:r>
        <w:rPr>
          <w:rFonts w:ascii="Arial" w:hAnsi="Arial" w:cs="Arial"/>
          <w:sz w:val="24"/>
          <w:szCs w:val="24"/>
        </w:rPr>
        <w:t xml:space="preserve">On the other hand, the company faces stiff competition from companies such as Nissan, Toyota, BMW, General Motors and other renowned brands. Nissan has gained popularity with its Nissan Leaf, an affordable EV that is accessible to global markets (Pereira, 2023). Toyota is an emerging competitor that is investing in EV production as part of its dedication to innovation and sustainable approach. BMW provide EVs such as the i4 and iX that target Tesla’s eco-conscious and luxury-oriented consumers (Pereira, 2023).  GM is emerging as Tesla's biggest competitor with the product of the Chevrolet Bolt EV and Cadillac Lyrid EV introductions that unsettle Tesla’s market dominance. Therefore, Tesla must sustain its premium pricing, global expansion and sustainability focus to ensure it maintains its position as a leader in the EV market. </w:t>
      </w:r>
    </w:p>
    <w:p>
      <w:pPr>
        <w:pStyle w:val="4"/>
        <w:rPr>
          <w:rFonts w:cs="Arial"/>
        </w:rPr>
      </w:pPr>
      <w:bookmarkStart w:id="19" w:name="_Toc161013647"/>
      <w:r>
        <w:rPr>
          <w:rFonts w:cs="Arial"/>
        </w:rPr>
        <w:t>Critical Analysis</w:t>
      </w:r>
      <w:bookmarkEnd w:id="19"/>
    </w:p>
    <w:p>
      <w:pPr>
        <w:spacing w:line="480" w:lineRule="auto"/>
        <w:rPr>
          <w:rFonts w:ascii="Arial" w:hAnsi="Arial" w:cs="Arial"/>
          <w:sz w:val="24"/>
          <w:szCs w:val="24"/>
        </w:rPr>
      </w:pPr>
      <w:r>
        <w:rPr>
          <w:rFonts w:ascii="Arial" w:hAnsi="Arial" w:cs="Arial"/>
          <w:sz w:val="24"/>
          <w:szCs w:val="24"/>
        </w:rPr>
        <w:t xml:space="preserve">Tesla is one of the most successful automakers in the industry due to its diverse product portfolio that allows the company to minimise dependency and enhance its dedication to broader issues. To attain its ambitions, Tesla is expanding its global presence by developing factories in different locations which will allow for regulatory compliance, reduce supply chain issues and improve operational efficiency (Sheth, Uslay and Sisodia, 2020). Furthermore, innovation and price flexibility have enabled Tesla to respond effectively to market changes and manage market competition. However, Tesla has a significant dependency on EVs exposing the company to market volatility. Additionally, Tesla’s product relies on innovation significantly (Movement, 2022). Hence increasing the demand for resources which has substantial cost implications that could impede Tesla’s capacity for competition with established automakers. </w:t>
      </w:r>
    </w:p>
    <w:p>
      <w:pPr>
        <w:pStyle w:val="3"/>
        <w:rPr>
          <w:rFonts w:cs="Arial"/>
          <w:szCs w:val="24"/>
        </w:rPr>
      </w:pPr>
      <w:bookmarkStart w:id="20" w:name="_Toc161013648"/>
      <w:r>
        <w:rPr>
          <w:rFonts w:cs="Arial"/>
          <w:szCs w:val="24"/>
        </w:rPr>
        <w:t>Recommendations</w:t>
      </w:r>
      <w:bookmarkEnd w:id="20"/>
    </w:p>
    <w:p>
      <w:pPr>
        <w:spacing w:line="480" w:lineRule="auto"/>
        <w:rPr>
          <w:rFonts w:ascii="Arial" w:hAnsi="Arial" w:cs="Arial"/>
          <w:sz w:val="24"/>
          <w:szCs w:val="24"/>
        </w:rPr>
      </w:pPr>
      <w:r>
        <w:rPr>
          <w:rFonts w:ascii="Arial" w:hAnsi="Arial" w:cs="Arial"/>
          <w:sz w:val="24"/>
          <w:szCs w:val="24"/>
        </w:rPr>
        <w:t xml:space="preserve">The EV industry is characterised by rapid transformation as several automaker brands are venturing into EVs due to a shifting trend towards sustainability. Tesla as a major player in the EV industry should initiate strategic partners from various global regions to effectively manage complexities such as compliance with regulations in various regions and access to innovations and research in the EV industry (Cheong et al., 2016). By building partnerships, Tesla will be able to intensify its diversification interventions to integrate new sustainability solutions and technologies. The diversification will enable Tesla to customise its products for demands in different global markets and succeed despite varying regulatory landscapes and market competition. </w:t>
      </w:r>
    </w:p>
    <w:p>
      <w:pPr>
        <w:pStyle w:val="2"/>
        <w:rPr>
          <w:rFonts w:cs="Arial"/>
          <w:szCs w:val="24"/>
        </w:rPr>
      </w:pPr>
      <w:bookmarkStart w:id="21" w:name="_Toc161013649"/>
      <w:r>
        <w:rPr>
          <w:rFonts w:cs="Arial"/>
          <w:szCs w:val="24"/>
        </w:rPr>
        <w:t>Conclusion</w:t>
      </w:r>
      <w:bookmarkEnd w:id="21"/>
    </w:p>
    <w:p>
      <w:pPr>
        <w:spacing w:line="480" w:lineRule="auto"/>
        <w:rPr>
          <w:rFonts w:ascii="Arial" w:hAnsi="Arial" w:cs="Arial"/>
          <w:sz w:val="24"/>
          <w:szCs w:val="24"/>
        </w:rPr>
      </w:pPr>
      <w:r>
        <w:rPr>
          <w:rFonts w:ascii="Arial" w:hAnsi="Arial" w:cs="Arial"/>
          <w:sz w:val="24"/>
          <w:szCs w:val="24"/>
        </w:rPr>
        <w:t>In conclusion, the report explored the effectiveness of Tesla’s competitive and development strategies hence providing an understanding of the dynamics in the EV market. Porter’s Generic Strategies concept was used to assess Tesla’s competitive position in a constantly changing environment. To compete effectively, Tesla has focused on premium pricing and ensuring its product offerings are sustainable and innovative. Consequently, the company has gained a reputation as a leading brand in the EV sector. However, it is essential for the company to continuously innovate and constantly align with changes in market dynamics. Furthermore, the company must consider the heightening competition in the market to ensure it is aligning its market strategies</w:t>
      </w:r>
    </w:p>
    <w:p>
      <w:pPr>
        <w:rPr>
          <w:rFonts w:ascii="Arial" w:hAnsi="Arial" w:cs="Arial"/>
          <w:sz w:val="24"/>
          <w:szCs w:val="24"/>
        </w:rPr>
      </w:pPr>
      <w:r>
        <w:rPr>
          <w:rFonts w:ascii="Arial" w:hAnsi="Arial" w:cs="Arial"/>
          <w:sz w:val="24"/>
          <w:szCs w:val="24"/>
        </w:rPr>
        <w:br w:type="page"/>
      </w:r>
    </w:p>
    <w:p>
      <w:pPr>
        <w:pStyle w:val="2"/>
        <w:rPr>
          <w:rFonts w:cs="Arial"/>
          <w:szCs w:val="24"/>
        </w:rPr>
      </w:pPr>
      <w:bookmarkStart w:id="22" w:name="_Toc161013650"/>
      <w:r>
        <w:rPr>
          <w:rFonts w:cs="Arial"/>
          <w:szCs w:val="24"/>
        </w:rPr>
        <w:t>Reference List</w:t>
      </w:r>
      <w:bookmarkEnd w:id="22"/>
    </w:p>
    <w:p>
      <w:pPr>
        <w:pStyle w:val="10"/>
        <w:spacing w:before="0" w:beforeAutospacing="0" w:after="0" w:afterAutospacing="0" w:line="480" w:lineRule="auto"/>
        <w:ind w:left="720" w:hanging="720"/>
        <w:rPr>
          <w:rFonts w:ascii="Arial" w:hAnsi="Arial" w:cs="Arial"/>
        </w:rPr>
      </w:pPr>
      <w:r>
        <w:rPr>
          <w:rFonts w:ascii="Arial" w:hAnsi="Arial" w:cs="Arial"/>
        </w:rPr>
        <w:t xml:space="preserve">Cheong, T., Song, S. H., &amp; Hu, C. (2016). Strategic Alliance with Competitors in the Electric Vehicle Market: Tesla Motor’s Case. Mathematical Problems in Engineering, 2016, 1–10. </w:t>
      </w:r>
      <w:r>
        <w:fldChar w:fldCharType="begin"/>
      </w:r>
      <w:r>
        <w:instrText xml:space="preserve"> HYPERLINK "https://doi.org/10.1155/2016/7210767" </w:instrText>
      </w:r>
      <w:r>
        <w:fldChar w:fldCharType="separate"/>
      </w:r>
      <w:r>
        <w:rPr>
          <w:rFonts w:ascii="Arial" w:hAnsi="Arial" w:cs="Arial"/>
        </w:rPr>
        <w:t>https://doi.org/10.1155/2016/7210767</w:t>
      </w:r>
      <w:r>
        <w:rPr>
          <w:rFonts w:ascii="Arial" w:hAnsi="Arial" w:cs="Arial"/>
        </w:rPr>
        <w:fldChar w:fldCharType="end"/>
      </w:r>
      <w:r>
        <w:rPr>
          <w:rFonts w:ascii="Arial" w:hAnsi="Arial" w:cs="Arial"/>
        </w:rPr>
        <w:t xml:space="preserve">   </w:t>
      </w:r>
    </w:p>
    <w:p>
      <w:pPr>
        <w:pStyle w:val="10"/>
        <w:spacing w:before="0" w:beforeAutospacing="0" w:after="0" w:afterAutospacing="0" w:line="480" w:lineRule="auto"/>
        <w:ind w:left="720" w:hanging="720"/>
        <w:rPr>
          <w:rFonts w:ascii="Arial" w:hAnsi="Arial" w:cs="Arial"/>
        </w:rPr>
      </w:pPr>
      <w:r>
        <w:rPr>
          <w:rFonts w:ascii="Arial" w:hAnsi="Arial" w:cs="Arial"/>
        </w:rPr>
        <w:t xml:space="preserve">Developers and Developers (2023) </w:t>
      </w:r>
      <w:r>
        <w:rPr>
          <w:rFonts w:ascii="Arial" w:hAnsi="Arial" w:cs="Arial"/>
          <w:i/>
          <w:iCs/>
        </w:rPr>
        <w:t>Tesla’s global expansion: Where to go next?</w:t>
      </w:r>
      <w:r>
        <w:rPr>
          <w:rFonts w:ascii="Arial" w:hAnsi="Arial" w:cs="Arial"/>
        </w:rPr>
        <w:t xml:space="preserve"> </w:t>
      </w:r>
      <w:r>
        <w:rPr>
          <w:rStyle w:val="17"/>
          <w:rFonts w:ascii="Arial" w:hAnsi="Arial" w:cs="Arial" w:eastAsiaTheme="majorEastAsia"/>
        </w:rPr>
        <w:t>https://www.imd.org/research-knowledge/strategy/case-studies/tesla-s-global-expansion-where-to-go-next/</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Echchakoui, S. (2018) 'An analytical model that links customer-perceived value and competitive strategies,' </w:t>
      </w:r>
      <w:r>
        <w:rPr>
          <w:rFonts w:ascii="Arial" w:hAnsi="Arial" w:cs="Arial"/>
          <w:i/>
          <w:iCs/>
        </w:rPr>
        <w:t>Journal of Marketing Analytics</w:t>
      </w:r>
      <w:r>
        <w:rPr>
          <w:rFonts w:ascii="Arial" w:hAnsi="Arial" w:cs="Arial"/>
        </w:rPr>
        <w:t xml:space="preserve">, 6(4), pp. 138–149. </w:t>
      </w:r>
      <w:r>
        <w:rPr>
          <w:rStyle w:val="17"/>
          <w:rFonts w:ascii="Arial" w:hAnsi="Arial" w:cs="Arial" w:eastAsiaTheme="majorEastAsia"/>
        </w:rPr>
        <w:t>https://doi.org/10.1057/s41270-018-0043-9</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Guo, A. (2023) </w:t>
      </w:r>
      <w:r>
        <w:rPr>
          <w:rFonts w:ascii="Arial" w:hAnsi="Arial" w:cs="Arial"/>
          <w:i/>
          <w:iCs/>
        </w:rPr>
        <w:t>Electric Vehicle Market Dynamics and Competitive Strategies</w:t>
      </w:r>
      <w:r>
        <w:rPr>
          <w:rFonts w:ascii="Arial" w:hAnsi="Arial" w:cs="Arial"/>
        </w:rPr>
        <w:t xml:space="preserve">. </w:t>
      </w:r>
      <w:r>
        <w:rPr>
          <w:rStyle w:val="17"/>
          <w:rFonts w:ascii="Arial" w:hAnsi="Arial" w:cs="Arial" w:eastAsiaTheme="majorEastAsia"/>
        </w:rPr>
        <w:t>https://blogs.idc.com/2023/09/01/electric-vehicle-market-dynamics-and-competitive-strategies/</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Haghani, M. </w:t>
      </w:r>
      <w:r>
        <w:rPr>
          <w:rFonts w:ascii="Arial" w:hAnsi="Arial" w:cs="Arial"/>
          <w:i/>
          <w:iCs/>
        </w:rPr>
        <w:t>et al.</w:t>
      </w:r>
      <w:r>
        <w:rPr>
          <w:rFonts w:ascii="Arial" w:hAnsi="Arial" w:cs="Arial"/>
        </w:rPr>
        <w:t xml:space="preserve"> (2023) 'Trends in electric vehicles research,' </w:t>
      </w:r>
      <w:r>
        <w:rPr>
          <w:rFonts w:ascii="Arial" w:hAnsi="Arial" w:cs="Arial"/>
          <w:i/>
          <w:iCs/>
        </w:rPr>
        <w:t>Transportation Research Part D: Transport and Environment</w:t>
      </w:r>
      <w:r>
        <w:rPr>
          <w:rFonts w:ascii="Arial" w:hAnsi="Arial" w:cs="Arial"/>
        </w:rPr>
        <w:t xml:space="preserve">, 123, p. 103881. </w:t>
      </w:r>
      <w:r>
        <w:rPr>
          <w:rStyle w:val="17"/>
          <w:rFonts w:ascii="Arial" w:hAnsi="Arial" w:cs="Arial" w:eastAsiaTheme="majorEastAsia"/>
        </w:rPr>
        <w:t>https://doi.org/10.1016/j.trd.2023.103881</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Hodgson, S. (2023) </w:t>
      </w:r>
      <w:r>
        <w:rPr>
          <w:rFonts w:ascii="Arial" w:hAnsi="Arial" w:cs="Arial"/>
          <w:i/>
          <w:iCs/>
        </w:rPr>
        <w:t>Your guide to the Tesla marketing strategy, segmentation, positioning and targeting</w:t>
      </w:r>
      <w:r>
        <w:rPr>
          <w:rFonts w:ascii="Arial" w:hAnsi="Arial" w:cs="Arial"/>
        </w:rPr>
        <w:t xml:space="preserve">. </w:t>
      </w:r>
      <w:r>
        <w:rPr>
          <w:rStyle w:val="17"/>
          <w:rFonts w:ascii="Arial" w:hAnsi="Arial" w:cs="Arial" w:eastAsiaTheme="majorEastAsia"/>
        </w:rPr>
        <w:t>https://fabrikbrands.com/tesla-marketing-strategy-segmentation-positioning-and-targeting/</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Huang, Y. (2021) 'Technology innovation and sustainability: challenges and research needs,' </w:t>
      </w:r>
      <w:r>
        <w:rPr>
          <w:rFonts w:ascii="Arial" w:hAnsi="Arial" w:cs="Arial"/>
          <w:i/>
          <w:iCs/>
        </w:rPr>
        <w:t>Clean Technologies and Environmental Policy</w:t>
      </w:r>
      <w:r>
        <w:rPr>
          <w:rFonts w:ascii="Arial" w:hAnsi="Arial" w:cs="Arial"/>
        </w:rPr>
        <w:t xml:space="preserve">, 23(6), pp. 1663–1664. </w:t>
      </w:r>
      <w:r>
        <w:rPr>
          <w:rStyle w:val="17"/>
          <w:rFonts w:ascii="Arial" w:hAnsi="Arial" w:cs="Arial" w:eastAsiaTheme="majorEastAsia"/>
        </w:rPr>
        <w:t>https://doi.org/10.1007/s10098-021-02152-6</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Hughes, J. </w:t>
      </w:r>
      <w:r>
        <w:rPr>
          <w:rFonts w:ascii="Arial" w:hAnsi="Arial" w:cs="Arial"/>
          <w:i/>
          <w:iCs/>
        </w:rPr>
        <w:t>et al.</w:t>
      </w:r>
      <w:r>
        <w:rPr>
          <w:rFonts w:ascii="Arial" w:hAnsi="Arial" w:cs="Arial"/>
        </w:rPr>
        <w:t xml:space="preserve"> (2021) 'Organizational strategy and its implications for strategic studies: A review essay,' </w:t>
      </w:r>
      <w:r>
        <w:rPr>
          <w:rFonts w:ascii="Arial" w:hAnsi="Arial" w:cs="Arial"/>
          <w:i/>
          <w:iCs/>
        </w:rPr>
        <w:t>Journal of Strategic Studies</w:t>
      </w:r>
      <w:r>
        <w:rPr>
          <w:rFonts w:ascii="Arial" w:hAnsi="Arial" w:cs="Arial"/>
        </w:rPr>
        <w:t xml:space="preserve">, 46(2), pp. 427–450. </w:t>
      </w:r>
      <w:r>
        <w:rPr>
          <w:rStyle w:val="17"/>
          <w:rFonts w:ascii="Arial" w:hAnsi="Arial" w:cs="Arial" w:eastAsiaTheme="majorEastAsia"/>
        </w:rPr>
        <w:t>https://doi.org/10.1080/01402390.2021.1994950</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IEA (2021) </w:t>
      </w:r>
      <w:r>
        <w:rPr>
          <w:rFonts w:ascii="Arial" w:hAnsi="Arial" w:cs="Arial"/>
          <w:i/>
          <w:iCs/>
        </w:rPr>
        <w:t>Trends and Developments in Electric Vehicle Markets – Global EV Outlook 2021 – Analysis - IEA</w:t>
      </w:r>
      <w:r>
        <w:rPr>
          <w:rFonts w:ascii="Arial" w:hAnsi="Arial" w:cs="Arial"/>
        </w:rPr>
        <w:t xml:space="preserve">. </w:t>
      </w:r>
      <w:r>
        <w:rPr>
          <w:rStyle w:val="17"/>
          <w:rFonts w:ascii="Arial" w:hAnsi="Arial" w:cs="Arial" w:eastAsiaTheme="majorEastAsia"/>
        </w:rPr>
        <w:t>https://www.iea.org/reports/global-ev-outlook-2021/trends-and-developments-in-electric-vehicle-markets</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Islami, X., Mustafa, N. and Latkovikj, M.T. (2020) 'Linking Porter’s generic strategies to firm performance,' </w:t>
      </w:r>
      <w:r>
        <w:rPr>
          <w:rFonts w:ascii="Arial" w:hAnsi="Arial" w:cs="Arial"/>
          <w:i/>
          <w:iCs/>
        </w:rPr>
        <w:t>Future Business Journal</w:t>
      </w:r>
      <w:r>
        <w:rPr>
          <w:rFonts w:ascii="Arial" w:hAnsi="Arial" w:cs="Arial"/>
        </w:rPr>
        <w:t xml:space="preserve">, 6(1). </w:t>
      </w:r>
      <w:r>
        <w:rPr>
          <w:rStyle w:val="17"/>
          <w:rFonts w:ascii="Arial" w:hAnsi="Arial" w:cs="Arial" w:eastAsiaTheme="majorEastAsia"/>
        </w:rPr>
        <w:t>https://doi.org/10.1186/s43093-020-0009-1</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Morgan, J. (2020) 'Electric vehicles: the future we made and the problem of unmaking it,' </w:t>
      </w:r>
      <w:r>
        <w:rPr>
          <w:rFonts w:ascii="Arial" w:hAnsi="Arial" w:cs="Arial"/>
          <w:i/>
          <w:iCs/>
        </w:rPr>
        <w:t>Cambridge Journal of Economics</w:t>
      </w:r>
      <w:r>
        <w:rPr>
          <w:rFonts w:ascii="Arial" w:hAnsi="Arial" w:cs="Arial"/>
        </w:rPr>
        <w:t xml:space="preserve">, 44(4), pp. 953–977. </w:t>
      </w:r>
      <w:r>
        <w:rPr>
          <w:rStyle w:val="17"/>
          <w:rFonts w:ascii="Arial" w:hAnsi="Arial" w:cs="Arial" w:eastAsiaTheme="majorEastAsia"/>
        </w:rPr>
        <w:t>https://doi.org/10.1093/cje/beaa022</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Movement, Q.A.-P. a P.W. (2022) 'Tesla: A History of Innovation (and Headaches),' </w:t>
      </w:r>
      <w:r>
        <w:rPr>
          <w:rFonts w:ascii="Arial" w:hAnsi="Arial" w:cs="Arial"/>
          <w:i/>
          <w:iCs/>
        </w:rPr>
        <w:t>Forbes</w:t>
      </w:r>
      <w:r>
        <w:rPr>
          <w:rFonts w:ascii="Arial" w:hAnsi="Arial" w:cs="Arial"/>
        </w:rPr>
        <w:t xml:space="preserve">, 29 September. </w:t>
      </w:r>
      <w:r>
        <w:rPr>
          <w:rStyle w:val="17"/>
          <w:rFonts w:ascii="Arial" w:hAnsi="Arial" w:cs="Arial" w:eastAsiaTheme="majorEastAsia"/>
        </w:rPr>
        <w:t>https://www.forbes.com/sites/qai/2022/09/29/tesla-a-history-of-innovation-and-headaches/?sh=5f2bdc718735</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Pereira, D. (2023) 'Top 10 Tesla Competitors &amp; Alternatives (2024),' </w:t>
      </w:r>
      <w:r>
        <w:rPr>
          <w:rFonts w:ascii="Arial" w:hAnsi="Arial" w:cs="Arial"/>
          <w:i/>
          <w:iCs/>
        </w:rPr>
        <w:t>Business Model Analyst</w:t>
      </w:r>
      <w:r>
        <w:rPr>
          <w:rFonts w:ascii="Arial" w:hAnsi="Arial" w:cs="Arial"/>
        </w:rPr>
        <w:t xml:space="preserve">, 6 July. </w:t>
      </w:r>
      <w:r>
        <w:rPr>
          <w:rStyle w:val="17"/>
          <w:rFonts w:ascii="Arial" w:hAnsi="Arial" w:cs="Arial" w:eastAsiaTheme="majorEastAsia"/>
        </w:rPr>
        <w:t>https://businessmodelanalyst.com/tesla-competitors-alternatives/</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Sadeghian, O. </w:t>
      </w:r>
      <w:r>
        <w:rPr>
          <w:rFonts w:ascii="Arial" w:hAnsi="Arial" w:cs="Arial"/>
          <w:i/>
          <w:iCs/>
        </w:rPr>
        <w:t>et al.</w:t>
      </w:r>
      <w:r>
        <w:rPr>
          <w:rFonts w:ascii="Arial" w:hAnsi="Arial" w:cs="Arial"/>
        </w:rPr>
        <w:t xml:space="preserve"> (2022) 'A comprehensive review on electric vehicles smart charging: Solutions, strategies, technologies, and challenges,' </w:t>
      </w:r>
      <w:r>
        <w:rPr>
          <w:rFonts w:ascii="Arial" w:hAnsi="Arial" w:cs="Arial"/>
          <w:i/>
          <w:iCs/>
        </w:rPr>
        <w:t>Journal of Energy Storage</w:t>
      </w:r>
      <w:r>
        <w:rPr>
          <w:rFonts w:ascii="Arial" w:hAnsi="Arial" w:cs="Arial"/>
        </w:rPr>
        <w:t xml:space="preserve">, 54, p. 105241. </w:t>
      </w:r>
      <w:r>
        <w:rPr>
          <w:rStyle w:val="17"/>
          <w:rFonts w:ascii="Arial" w:hAnsi="Arial" w:cs="Arial" w:eastAsiaTheme="majorEastAsia"/>
        </w:rPr>
        <w:t>https://doi.org/10.1016/j.est.2022.105241</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Sheth, J.N., Uslay, C. and Sisodia, R. (2020) 'Global Expansion Strategies for Multinationals from Emerging Markets,' in </w:t>
      </w:r>
      <w:r>
        <w:rPr>
          <w:rFonts w:ascii="Arial" w:hAnsi="Arial" w:cs="Arial"/>
          <w:i/>
          <w:iCs/>
        </w:rPr>
        <w:t>Springer eBooks</w:t>
      </w:r>
      <w:r>
        <w:rPr>
          <w:rFonts w:ascii="Arial" w:hAnsi="Arial" w:cs="Arial"/>
        </w:rPr>
        <w:t xml:space="preserve">, pp. 195–226. </w:t>
      </w:r>
      <w:r>
        <w:rPr>
          <w:rStyle w:val="17"/>
          <w:rFonts w:ascii="Arial" w:hAnsi="Arial" w:cs="Arial" w:eastAsiaTheme="majorEastAsia"/>
        </w:rPr>
        <w:t>https://doi.org/10.1007/978-3-030-57473-4_7</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Shipley, L. (2020) </w:t>
      </w:r>
      <w:r>
        <w:rPr>
          <w:rFonts w:ascii="Arial" w:hAnsi="Arial" w:cs="Arial"/>
          <w:i/>
          <w:iCs/>
        </w:rPr>
        <w:t>How Tesla sets itself apart</w:t>
      </w:r>
      <w:r>
        <w:rPr>
          <w:rFonts w:ascii="Arial" w:hAnsi="Arial" w:cs="Arial"/>
        </w:rPr>
        <w:t xml:space="preserve">. </w:t>
      </w:r>
      <w:r>
        <w:rPr>
          <w:rStyle w:val="17"/>
          <w:rFonts w:ascii="Arial" w:hAnsi="Arial" w:cs="Arial" w:eastAsiaTheme="majorEastAsia"/>
        </w:rPr>
        <w:t>https://hbr.org/2020/02/how-tesla-sets-itself-apart</w:t>
      </w:r>
      <w:r>
        <w:rPr>
          <w:rFonts w:ascii="Arial" w:hAnsi="Arial" w:cs="Arial"/>
        </w:rPr>
        <w:t>.</w:t>
      </w:r>
    </w:p>
    <w:p>
      <w:pPr>
        <w:pStyle w:val="10"/>
        <w:spacing w:before="0" w:beforeAutospacing="0" w:after="0" w:afterAutospacing="0" w:line="480" w:lineRule="auto"/>
        <w:ind w:left="720" w:hanging="720"/>
        <w:rPr>
          <w:rFonts w:ascii="Arial" w:hAnsi="Arial" w:cs="Arial"/>
        </w:rPr>
      </w:pPr>
      <w:r>
        <w:rPr>
          <w:rFonts w:ascii="Arial" w:hAnsi="Arial" w:cs="Arial"/>
        </w:rPr>
        <w:t xml:space="preserve">Statista (2024) </w:t>
      </w:r>
      <w:r>
        <w:rPr>
          <w:rFonts w:ascii="Arial" w:hAnsi="Arial" w:cs="Arial"/>
          <w:i/>
          <w:iCs/>
        </w:rPr>
        <w:t>Topic: Tesla</w:t>
      </w:r>
      <w:r>
        <w:rPr>
          <w:rFonts w:ascii="Arial" w:hAnsi="Arial" w:cs="Arial"/>
        </w:rPr>
        <w:t xml:space="preserve">. </w:t>
      </w:r>
      <w:r>
        <w:rPr>
          <w:rStyle w:val="17"/>
          <w:rFonts w:ascii="Arial" w:hAnsi="Arial" w:cs="Arial" w:eastAsiaTheme="majorEastAsia"/>
        </w:rPr>
        <w:t>https://www.statista.com/topics/2086/tesla/#topicOverview</w:t>
      </w:r>
      <w:r>
        <w:rPr>
          <w:rFonts w:ascii="Arial" w:hAnsi="Arial" w:cs="Arial"/>
        </w:rPr>
        <w:t>.</w:t>
      </w:r>
    </w:p>
    <w:p>
      <w:pPr>
        <w:spacing w:line="480" w:lineRule="auto"/>
        <w:rPr>
          <w:rFonts w:ascii="Arial" w:hAnsi="Arial" w:cs="Arial"/>
          <w:sz w:val="24"/>
          <w:szCs w:val="24"/>
        </w:rPr>
      </w:pPr>
    </w:p>
    <w:p>
      <w:pPr>
        <w:spacing w:line="480" w:lineRule="auto"/>
        <w:rPr>
          <w:rFonts w:ascii="Arial" w:hAnsi="Arial" w:cs="Arial"/>
          <w:sz w:val="24"/>
          <w:szCs w:val="24"/>
        </w:rPr>
      </w:pP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1719964"/>
      <w:docPartObj>
        <w:docPartGallery w:val="AutoText"/>
      </w:docPartObj>
    </w:sdtPr>
    <w:sdtEndPr>
      <w:rPr>
        <w:rFonts w:ascii="Arial" w:hAnsi="Arial" w:cs="Arial"/>
        <w:sz w:val="24"/>
        <w:szCs w:val="24"/>
      </w:rPr>
    </w:sdtEndPr>
    <w:sdtContent>
      <w:p>
        <w:pPr>
          <w:pStyle w:val="7"/>
          <w:jc w:val="righ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p>
    </w:sdtContent>
  </w:sdt>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ZmZjEyOWExNGNkYzQzMWE4YzMxZDEyYjlkNjdhNjIifQ=="/>
  </w:docVars>
  <w:rsids>
    <w:rsidRoot w:val="004B4E37"/>
    <w:rsid w:val="000B2739"/>
    <w:rsid w:val="000D1945"/>
    <w:rsid w:val="001003C9"/>
    <w:rsid w:val="0012745B"/>
    <w:rsid w:val="00175892"/>
    <w:rsid w:val="001A5623"/>
    <w:rsid w:val="002073EA"/>
    <w:rsid w:val="00231D4D"/>
    <w:rsid w:val="002A1509"/>
    <w:rsid w:val="00330BBD"/>
    <w:rsid w:val="003470C6"/>
    <w:rsid w:val="003A7233"/>
    <w:rsid w:val="003E2F65"/>
    <w:rsid w:val="00403894"/>
    <w:rsid w:val="004142BE"/>
    <w:rsid w:val="00433616"/>
    <w:rsid w:val="0048010E"/>
    <w:rsid w:val="0048049A"/>
    <w:rsid w:val="00484DF6"/>
    <w:rsid w:val="00494920"/>
    <w:rsid w:val="004B2614"/>
    <w:rsid w:val="004B4E37"/>
    <w:rsid w:val="00517564"/>
    <w:rsid w:val="005639AA"/>
    <w:rsid w:val="00564C86"/>
    <w:rsid w:val="00567B79"/>
    <w:rsid w:val="005B10E1"/>
    <w:rsid w:val="005D0EE3"/>
    <w:rsid w:val="005E3918"/>
    <w:rsid w:val="00671AA7"/>
    <w:rsid w:val="00681343"/>
    <w:rsid w:val="00683C64"/>
    <w:rsid w:val="00705826"/>
    <w:rsid w:val="0072316A"/>
    <w:rsid w:val="00735476"/>
    <w:rsid w:val="00757610"/>
    <w:rsid w:val="00796A4C"/>
    <w:rsid w:val="00827BB9"/>
    <w:rsid w:val="00877077"/>
    <w:rsid w:val="0088266E"/>
    <w:rsid w:val="008F3AB2"/>
    <w:rsid w:val="00907A5B"/>
    <w:rsid w:val="00917DB1"/>
    <w:rsid w:val="00970F55"/>
    <w:rsid w:val="009A3FD1"/>
    <w:rsid w:val="009C4737"/>
    <w:rsid w:val="009F18D2"/>
    <w:rsid w:val="00A255C6"/>
    <w:rsid w:val="00A513C4"/>
    <w:rsid w:val="00A716C0"/>
    <w:rsid w:val="00A94703"/>
    <w:rsid w:val="00B62319"/>
    <w:rsid w:val="00B64058"/>
    <w:rsid w:val="00B90B4D"/>
    <w:rsid w:val="00BB3EAA"/>
    <w:rsid w:val="00C403B1"/>
    <w:rsid w:val="00C745CE"/>
    <w:rsid w:val="00C9243A"/>
    <w:rsid w:val="00CC0044"/>
    <w:rsid w:val="00CE4F5A"/>
    <w:rsid w:val="00D40295"/>
    <w:rsid w:val="00D413E2"/>
    <w:rsid w:val="00D76A6F"/>
    <w:rsid w:val="00DC314E"/>
    <w:rsid w:val="00DE47C7"/>
    <w:rsid w:val="00DE6FDB"/>
    <w:rsid w:val="00E941E9"/>
    <w:rsid w:val="00EA0487"/>
    <w:rsid w:val="00EC750B"/>
    <w:rsid w:val="00F12C37"/>
    <w:rsid w:val="00F566D9"/>
    <w:rsid w:val="00F57D3D"/>
    <w:rsid w:val="00F9282A"/>
    <w:rsid w:val="00FA7A2C"/>
    <w:rsid w:val="08807182"/>
    <w:rsid w:val="2E583C6D"/>
    <w:rsid w:val="75F07D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4"/>
    <w:qFormat/>
    <w:uiPriority w:val="9"/>
    <w:pPr>
      <w:keepNext/>
      <w:keepLines/>
      <w:spacing w:before="240" w:after="120"/>
      <w:jc w:val="center"/>
      <w:outlineLvl w:val="0"/>
    </w:pPr>
    <w:rPr>
      <w:rFonts w:ascii="Arial" w:hAnsi="Arial" w:eastAsiaTheme="majorEastAsia" w:cstheme="majorBidi"/>
      <w:b/>
      <w:sz w:val="24"/>
      <w:szCs w:val="32"/>
    </w:rPr>
  </w:style>
  <w:style w:type="paragraph" w:styleId="3">
    <w:name w:val="heading 2"/>
    <w:basedOn w:val="1"/>
    <w:next w:val="1"/>
    <w:link w:val="15"/>
    <w:unhideWhenUsed/>
    <w:qFormat/>
    <w:uiPriority w:val="9"/>
    <w:pPr>
      <w:keepNext/>
      <w:keepLines/>
      <w:spacing w:before="160" w:after="120"/>
      <w:outlineLvl w:val="1"/>
    </w:pPr>
    <w:rPr>
      <w:rFonts w:ascii="Arial" w:hAnsi="Arial" w:eastAsiaTheme="majorEastAsia" w:cstheme="majorBidi"/>
      <w:b/>
      <w:sz w:val="24"/>
      <w:szCs w:val="26"/>
    </w:rPr>
  </w:style>
  <w:style w:type="paragraph" w:styleId="4">
    <w:name w:val="heading 3"/>
    <w:basedOn w:val="1"/>
    <w:next w:val="1"/>
    <w:link w:val="16"/>
    <w:unhideWhenUsed/>
    <w:qFormat/>
    <w:uiPriority w:val="9"/>
    <w:pPr>
      <w:keepNext/>
      <w:keepLines/>
      <w:spacing w:before="160" w:after="120"/>
      <w:outlineLvl w:val="2"/>
    </w:pPr>
    <w:rPr>
      <w:rFonts w:ascii="Arial" w:hAnsi="Arial" w:eastAsiaTheme="majorEastAsia" w:cstheme="majorBidi"/>
      <w:b/>
      <w:sz w:val="24"/>
      <w:szCs w:val="24"/>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autoRedefine/>
    <w:unhideWhenUsed/>
    <w:uiPriority w:val="39"/>
    <w:pPr>
      <w:spacing w:after="100"/>
      <w:ind w:left="440"/>
    </w:pPr>
  </w:style>
  <w:style w:type="paragraph" w:styleId="6">
    <w:name w:val="footer"/>
    <w:basedOn w:val="1"/>
    <w:link w:val="20"/>
    <w:unhideWhenUsed/>
    <w:uiPriority w:val="99"/>
    <w:pPr>
      <w:tabs>
        <w:tab w:val="center" w:pos="4680"/>
        <w:tab w:val="right" w:pos="9360"/>
      </w:tabs>
      <w:spacing w:after="0" w:line="240" w:lineRule="auto"/>
    </w:pPr>
  </w:style>
  <w:style w:type="paragraph" w:styleId="7">
    <w:name w:val="header"/>
    <w:basedOn w:val="1"/>
    <w:link w:val="19"/>
    <w:unhideWhenUsed/>
    <w:uiPriority w:val="99"/>
    <w:pPr>
      <w:tabs>
        <w:tab w:val="center" w:pos="4680"/>
        <w:tab w:val="right" w:pos="9360"/>
      </w:tabs>
      <w:spacing w:after="0" w:line="240" w:lineRule="auto"/>
    </w:pPr>
  </w:style>
  <w:style w:type="paragraph" w:styleId="8">
    <w:name w:val="toc 1"/>
    <w:basedOn w:val="1"/>
    <w:next w:val="1"/>
    <w:autoRedefine/>
    <w:unhideWhenUsed/>
    <w:uiPriority w:val="39"/>
    <w:pPr>
      <w:spacing w:after="100"/>
    </w:pPr>
  </w:style>
  <w:style w:type="paragraph" w:styleId="9">
    <w:name w:val="toc 2"/>
    <w:basedOn w:val="1"/>
    <w:next w:val="1"/>
    <w:autoRedefine/>
    <w:unhideWhenUsed/>
    <w:uiPriority w:val="39"/>
    <w:pPr>
      <w:spacing w:after="100"/>
      <w:ind w:left="220"/>
    </w:pPr>
  </w:style>
  <w:style w:type="paragraph" w:styleId="1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13">
    <w:name w:val="Hyperlink"/>
    <w:basedOn w:val="12"/>
    <w:unhideWhenUsed/>
    <w:uiPriority w:val="99"/>
    <w:rPr>
      <w:color w:val="0563C1" w:themeColor="hyperlink"/>
      <w:u w:val="single"/>
      <w14:textFill>
        <w14:solidFill>
          <w14:schemeClr w14:val="hlink"/>
        </w14:solidFill>
      </w14:textFill>
    </w:rPr>
  </w:style>
  <w:style w:type="character" w:customStyle="1" w:styleId="14">
    <w:name w:val="Heading 1 Char"/>
    <w:basedOn w:val="12"/>
    <w:link w:val="2"/>
    <w:uiPriority w:val="9"/>
    <w:rPr>
      <w:rFonts w:ascii="Arial" w:hAnsi="Arial" w:eastAsiaTheme="majorEastAsia" w:cstheme="majorBidi"/>
      <w:b/>
      <w:sz w:val="24"/>
      <w:szCs w:val="32"/>
      <w:lang w:val="en-GB"/>
    </w:rPr>
  </w:style>
  <w:style w:type="character" w:customStyle="1" w:styleId="15">
    <w:name w:val="Heading 2 Char"/>
    <w:basedOn w:val="12"/>
    <w:link w:val="3"/>
    <w:uiPriority w:val="9"/>
    <w:rPr>
      <w:rFonts w:ascii="Arial" w:hAnsi="Arial" w:eastAsiaTheme="majorEastAsia" w:cstheme="majorBidi"/>
      <w:b/>
      <w:sz w:val="24"/>
      <w:szCs w:val="26"/>
      <w:lang w:val="en-GB"/>
    </w:rPr>
  </w:style>
  <w:style w:type="character" w:customStyle="1" w:styleId="16">
    <w:name w:val="Heading 3 Char"/>
    <w:basedOn w:val="12"/>
    <w:link w:val="4"/>
    <w:uiPriority w:val="9"/>
    <w:rPr>
      <w:rFonts w:ascii="Arial" w:hAnsi="Arial" w:eastAsiaTheme="majorEastAsia" w:cstheme="majorBidi"/>
      <w:b/>
      <w:sz w:val="24"/>
      <w:szCs w:val="24"/>
      <w:lang w:val="en-GB"/>
    </w:rPr>
  </w:style>
  <w:style w:type="character" w:customStyle="1" w:styleId="17">
    <w:name w:val="url"/>
    <w:basedOn w:val="12"/>
    <w:uiPriority w:val="0"/>
  </w:style>
  <w:style w:type="paragraph" w:customStyle="1" w:styleId="18">
    <w:name w:val="TOC Heading"/>
    <w:basedOn w:val="2"/>
    <w:next w:val="1"/>
    <w:autoRedefine/>
    <w:unhideWhenUsed/>
    <w:qFormat/>
    <w:uiPriority w:val="39"/>
    <w:pPr>
      <w:spacing w:after="0"/>
      <w:jc w:val="left"/>
      <w:outlineLvl w:val="9"/>
    </w:pPr>
    <w:rPr>
      <w:rFonts w:asciiTheme="majorHAnsi" w:hAnsiTheme="majorHAnsi"/>
      <w:b w:val="0"/>
      <w:color w:val="2F5597" w:themeColor="accent1" w:themeShade="BF"/>
      <w:sz w:val="32"/>
      <w:lang w:val="en-US"/>
    </w:rPr>
  </w:style>
  <w:style w:type="character" w:customStyle="1" w:styleId="19">
    <w:name w:val="Header Char"/>
    <w:basedOn w:val="12"/>
    <w:link w:val="7"/>
    <w:uiPriority w:val="99"/>
    <w:rPr>
      <w:lang w:val="en-GB"/>
    </w:rPr>
  </w:style>
  <w:style w:type="character" w:customStyle="1" w:styleId="20">
    <w:name w:val="Footer Char"/>
    <w:basedOn w:val="12"/>
    <w:link w:val="6"/>
    <w:uiPriority w:val="99"/>
    <w:rPr>
      <w:lang w:val="en-GB"/>
    </w:rPr>
  </w:style>
  <w:style w:type="character" w:customStyle="1" w:styleId="21">
    <w:name w:val="Unresolved Mention"/>
    <w:basedOn w:val="12"/>
    <w:semiHidden/>
    <w:unhideWhenUsed/>
    <w:uiPriority w:val="99"/>
    <w:rPr>
      <w:color w:val="605E5C"/>
      <w:shd w:val="clear" w:color="auto" w:fill="E1DFDD"/>
    </w:rPr>
  </w:style>
  <w:style w:type="paragraph" w:styleId="22">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DD7D74-D2A9-47F5-99FE-F0B17235E860}">
  <ds:schemaRefs/>
</ds:datastoreItem>
</file>

<file path=docProps/app.xml><?xml version="1.0" encoding="utf-8"?>
<Properties xmlns="http://schemas.openxmlformats.org/officeDocument/2006/extended-properties" xmlns:vt="http://schemas.openxmlformats.org/officeDocument/2006/docPropsVTypes">
  <Template>Normal</Template>
  <Pages>18</Pages>
  <Words>3604</Words>
  <Characters>20548</Characters>
  <Lines>171</Lines>
  <Paragraphs>48</Paragraphs>
  <TotalTime>5</TotalTime>
  <ScaleCrop>false</ScaleCrop>
  <LinksUpToDate>false</LinksUpToDate>
  <CharactersWithSpaces>24104</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2024-03-11T08:50:00Z</dcterms:created>
  <dc:creator>vincent masita</dc:creator>
  <cp:lastModifiedBy>7</cp:lastModifiedBy>
  <dcterms:modified xsi:type="dcterms:W3CDTF">2024-03-13T10:46:26Z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a064de2c-28b4-4f34-9238-9003b2c53454</vt:lpwstr>
  </property>
  <property fmtid="{D5CDD505-2E9C-101B-9397-08002B2CF9AE}" pid="3" name="KSOProductBuildVer">
    <vt:lpwstr>2052-12.1.0.16412</vt:lpwstr>
  </property>
  <property fmtid="{D5CDD505-2E9C-101B-9397-08002B2CF9AE}" pid="4" name="ICV">
    <vt:lpwstr>B55AA85AE3A546BFA57D48902ACE1CE0_13</vt:lpwstr>
  </property>
</Properties>
</file>