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86570" w14:textId="74D7ED59" w:rsidR="00FB65AF" w:rsidRDefault="00E02705" w:rsidP="00E02705">
      <w:pPr>
        <w:pStyle w:val="Title"/>
        <w:rPr>
          <w:b/>
          <w:bCs/>
          <w:sz w:val="48"/>
          <w:szCs w:val="48"/>
          <w:u w:val="single"/>
        </w:rPr>
      </w:pPr>
      <w:r w:rsidRPr="00E02705">
        <w:rPr>
          <w:b/>
          <w:bCs/>
          <w:sz w:val="48"/>
          <w:szCs w:val="48"/>
          <w:u w:val="single"/>
        </w:rPr>
        <w:t>6. What is the importance of the notion of a human being in Wittgenstein’s later philosophy?</w:t>
      </w:r>
    </w:p>
    <w:p w14:paraId="1AB9596F" w14:textId="53A8B297" w:rsidR="005051DB" w:rsidRDefault="005051DB" w:rsidP="005051DB">
      <w:bookmarkStart w:id="0" w:name="_GoBack"/>
      <w:bookmarkEnd w:id="0"/>
    </w:p>
    <w:p w14:paraId="3F3BEDEE" w14:textId="21436513" w:rsidR="006A184F" w:rsidRDefault="005051DB" w:rsidP="005051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notion of </w:t>
      </w:r>
      <w:r w:rsidR="005B57BA">
        <w:rPr>
          <w:rFonts w:ascii="Times New Roman" w:hAnsi="Times New Roman" w:cs="Times New Roman"/>
          <w:sz w:val="24"/>
          <w:szCs w:val="24"/>
        </w:rPr>
        <w:t xml:space="preserve">what constitutes a human being has always been a </w:t>
      </w:r>
      <w:r w:rsidR="00F51F05">
        <w:rPr>
          <w:rFonts w:ascii="Times New Roman" w:hAnsi="Times New Roman" w:cs="Times New Roman"/>
          <w:sz w:val="24"/>
          <w:szCs w:val="24"/>
        </w:rPr>
        <w:t>fundamental question in philosophy</w:t>
      </w:r>
      <w:r w:rsidR="00512B21">
        <w:rPr>
          <w:rFonts w:ascii="Times New Roman" w:hAnsi="Times New Roman" w:cs="Times New Roman"/>
          <w:sz w:val="24"/>
          <w:szCs w:val="24"/>
        </w:rPr>
        <w:t>, and it is one that nearly every phil</w:t>
      </w:r>
      <w:r w:rsidR="002B117A">
        <w:rPr>
          <w:rFonts w:ascii="Times New Roman" w:hAnsi="Times New Roman" w:cs="Times New Roman"/>
          <w:sz w:val="24"/>
          <w:szCs w:val="24"/>
        </w:rPr>
        <w:t>os</w:t>
      </w:r>
      <w:r w:rsidR="00512B21">
        <w:rPr>
          <w:rFonts w:ascii="Times New Roman" w:hAnsi="Times New Roman" w:cs="Times New Roman"/>
          <w:sz w:val="24"/>
          <w:szCs w:val="24"/>
        </w:rPr>
        <w:t>opher has attempt</w:t>
      </w:r>
      <w:r w:rsidR="006A184F">
        <w:rPr>
          <w:rFonts w:ascii="Times New Roman" w:hAnsi="Times New Roman" w:cs="Times New Roman"/>
          <w:sz w:val="24"/>
          <w:szCs w:val="24"/>
        </w:rPr>
        <w:t xml:space="preserve">ed to answer in one form or another. </w:t>
      </w:r>
      <w:r w:rsidR="00CA7BD9">
        <w:rPr>
          <w:rFonts w:ascii="Times New Roman" w:hAnsi="Times New Roman" w:cs="Times New Roman"/>
          <w:sz w:val="24"/>
          <w:szCs w:val="24"/>
        </w:rPr>
        <w:t xml:space="preserve">For </w:t>
      </w:r>
      <w:r w:rsidR="00D37E7E">
        <w:rPr>
          <w:rFonts w:ascii="Times New Roman" w:hAnsi="Times New Roman" w:cs="Times New Roman"/>
          <w:sz w:val="24"/>
          <w:szCs w:val="24"/>
        </w:rPr>
        <w:t xml:space="preserve">when </w:t>
      </w:r>
      <w:r w:rsidR="00CA7BD9">
        <w:rPr>
          <w:rFonts w:ascii="Times New Roman" w:hAnsi="Times New Roman" w:cs="Times New Roman"/>
          <w:sz w:val="24"/>
          <w:szCs w:val="24"/>
        </w:rPr>
        <w:t xml:space="preserve">approaching the concept of a human being, there are differing ways of interpreting it, ranging from the </w:t>
      </w:r>
      <w:r w:rsidR="00D37E7E">
        <w:rPr>
          <w:rFonts w:ascii="Times New Roman" w:hAnsi="Times New Roman" w:cs="Times New Roman"/>
          <w:sz w:val="24"/>
          <w:szCs w:val="24"/>
        </w:rPr>
        <w:t>dualism propositions</w:t>
      </w:r>
      <w:r w:rsidR="00CA7BD9">
        <w:rPr>
          <w:rFonts w:ascii="Times New Roman" w:hAnsi="Times New Roman" w:cs="Times New Roman"/>
          <w:sz w:val="24"/>
          <w:szCs w:val="24"/>
        </w:rPr>
        <w:t xml:space="preserve"> </w:t>
      </w:r>
      <w:r w:rsidR="00D37E7E">
        <w:rPr>
          <w:rFonts w:ascii="Times New Roman" w:hAnsi="Times New Roman" w:cs="Times New Roman"/>
          <w:sz w:val="24"/>
          <w:szCs w:val="24"/>
        </w:rPr>
        <w:t>brought forward by Descartes</w:t>
      </w:r>
      <w:r w:rsidR="00CA7BD9">
        <w:rPr>
          <w:rFonts w:ascii="Times New Roman" w:hAnsi="Times New Roman" w:cs="Times New Roman"/>
          <w:sz w:val="24"/>
          <w:szCs w:val="24"/>
        </w:rPr>
        <w:t xml:space="preserve">, to the more physical body orientated explanations of Merleau-Ponty. </w:t>
      </w:r>
      <w:r w:rsidR="00923073">
        <w:rPr>
          <w:rFonts w:ascii="Times New Roman" w:hAnsi="Times New Roman" w:cs="Times New Roman"/>
          <w:sz w:val="24"/>
          <w:szCs w:val="24"/>
        </w:rPr>
        <w:t>Yet, i</w:t>
      </w:r>
      <w:r w:rsidR="00F63D0A">
        <w:rPr>
          <w:rFonts w:ascii="Times New Roman" w:hAnsi="Times New Roman" w:cs="Times New Roman"/>
          <w:sz w:val="24"/>
          <w:szCs w:val="24"/>
        </w:rPr>
        <w:t xml:space="preserve">n the case of Ludwig Wittgenstein, </w:t>
      </w:r>
      <w:r w:rsidR="009A7626">
        <w:rPr>
          <w:rFonts w:ascii="Times New Roman" w:hAnsi="Times New Roman" w:cs="Times New Roman"/>
          <w:sz w:val="24"/>
          <w:szCs w:val="24"/>
        </w:rPr>
        <w:t>his philosophical journey saw his understanding of the notions of a human being evolve between what he presents in the ‘Tractatus’ and the view</w:t>
      </w:r>
      <w:r w:rsidR="00923073">
        <w:rPr>
          <w:rFonts w:ascii="Times New Roman" w:hAnsi="Times New Roman" w:cs="Times New Roman"/>
          <w:sz w:val="24"/>
          <w:szCs w:val="24"/>
        </w:rPr>
        <w:t>s</w:t>
      </w:r>
      <w:r w:rsidR="009A7626">
        <w:rPr>
          <w:rFonts w:ascii="Times New Roman" w:hAnsi="Times New Roman" w:cs="Times New Roman"/>
          <w:sz w:val="24"/>
          <w:szCs w:val="24"/>
        </w:rPr>
        <w:t xml:space="preserve"> he offers in the Philosophical Investigations. </w:t>
      </w:r>
      <w:r w:rsidR="007C0F1D">
        <w:rPr>
          <w:rFonts w:ascii="Times New Roman" w:hAnsi="Times New Roman" w:cs="Times New Roman"/>
          <w:sz w:val="24"/>
          <w:szCs w:val="24"/>
        </w:rPr>
        <w:t>So</w:t>
      </w:r>
      <w:r w:rsidR="00923073">
        <w:rPr>
          <w:rFonts w:ascii="Times New Roman" w:hAnsi="Times New Roman" w:cs="Times New Roman"/>
          <w:sz w:val="24"/>
          <w:szCs w:val="24"/>
        </w:rPr>
        <w:t>, in</w:t>
      </w:r>
      <w:r w:rsidR="007C0F1D">
        <w:rPr>
          <w:rFonts w:ascii="Times New Roman" w:hAnsi="Times New Roman" w:cs="Times New Roman"/>
          <w:sz w:val="24"/>
          <w:szCs w:val="24"/>
        </w:rPr>
        <w:t xml:space="preserve"> his later philosophy, </w:t>
      </w:r>
      <w:r w:rsidR="00E76610">
        <w:rPr>
          <w:rFonts w:ascii="Times New Roman" w:hAnsi="Times New Roman" w:cs="Times New Roman"/>
          <w:sz w:val="24"/>
          <w:szCs w:val="24"/>
        </w:rPr>
        <w:t>what makes a human being can primarily be found in the language that is used to describe and talk about them</w:t>
      </w:r>
      <w:r w:rsidR="00923073">
        <w:rPr>
          <w:rFonts w:ascii="Times New Roman" w:hAnsi="Times New Roman" w:cs="Times New Roman"/>
          <w:sz w:val="24"/>
          <w:szCs w:val="24"/>
        </w:rPr>
        <w:t xml:space="preserve">, and thus offers up no theories for human beings being one thing or another. </w:t>
      </w:r>
      <w:r w:rsidR="00B56445">
        <w:rPr>
          <w:rFonts w:ascii="Times New Roman" w:hAnsi="Times New Roman" w:cs="Times New Roman"/>
          <w:sz w:val="24"/>
          <w:szCs w:val="24"/>
        </w:rPr>
        <w:t>For Wittgenstein,</w:t>
      </w:r>
      <w:r w:rsidR="00923073">
        <w:rPr>
          <w:rFonts w:ascii="Times New Roman" w:hAnsi="Times New Roman" w:cs="Times New Roman"/>
          <w:sz w:val="24"/>
          <w:szCs w:val="24"/>
        </w:rPr>
        <w:t xml:space="preserve"> no previous tendencies can offer a concrete way of defining a human being, yet </w:t>
      </w:r>
      <w:r w:rsidR="009A7626">
        <w:rPr>
          <w:rFonts w:ascii="Times New Roman" w:hAnsi="Times New Roman" w:cs="Times New Roman"/>
          <w:sz w:val="24"/>
          <w:szCs w:val="24"/>
        </w:rPr>
        <w:t xml:space="preserve">he perceived </w:t>
      </w:r>
      <w:r w:rsidR="00923073">
        <w:rPr>
          <w:rFonts w:ascii="Times New Roman" w:hAnsi="Times New Roman" w:cs="Times New Roman"/>
          <w:sz w:val="24"/>
          <w:szCs w:val="24"/>
        </w:rPr>
        <w:t>th</w:t>
      </w:r>
      <w:r w:rsidR="001D38FD">
        <w:rPr>
          <w:rFonts w:ascii="Times New Roman" w:hAnsi="Times New Roman" w:cs="Times New Roman"/>
          <w:sz w:val="24"/>
          <w:szCs w:val="24"/>
        </w:rPr>
        <w:t xml:space="preserve">e </w:t>
      </w:r>
      <w:r w:rsidR="009A7626">
        <w:rPr>
          <w:rFonts w:ascii="Times New Roman" w:hAnsi="Times New Roman" w:cs="Times New Roman"/>
          <w:sz w:val="24"/>
          <w:szCs w:val="24"/>
        </w:rPr>
        <w:t xml:space="preserve">only </w:t>
      </w:r>
      <w:r w:rsidR="00923073">
        <w:rPr>
          <w:rFonts w:ascii="Times New Roman" w:hAnsi="Times New Roman" w:cs="Times New Roman"/>
          <w:sz w:val="24"/>
          <w:szCs w:val="24"/>
        </w:rPr>
        <w:t>true</w:t>
      </w:r>
      <w:r w:rsidR="009A7626">
        <w:rPr>
          <w:rFonts w:ascii="Times New Roman" w:hAnsi="Times New Roman" w:cs="Times New Roman"/>
          <w:sz w:val="24"/>
          <w:szCs w:val="24"/>
        </w:rPr>
        <w:t xml:space="preserve"> way of discussing the notion of a human being: that being in the form of the </w:t>
      </w:r>
      <w:r w:rsidR="00B56445">
        <w:rPr>
          <w:rFonts w:ascii="Times New Roman" w:hAnsi="Times New Roman" w:cs="Times New Roman"/>
          <w:sz w:val="24"/>
          <w:szCs w:val="24"/>
        </w:rPr>
        <w:t>language games</w:t>
      </w:r>
      <w:r w:rsidR="009A7626">
        <w:rPr>
          <w:rFonts w:ascii="Times New Roman" w:hAnsi="Times New Roman" w:cs="Times New Roman"/>
          <w:sz w:val="24"/>
          <w:szCs w:val="24"/>
        </w:rPr>
        <w:t xml:space="preserve"> that</w:t>
      </w:r>
      <w:r w:rsidR="00B56445">
        <w:rPr>
          <w:rFonts w:ascii="Times New Roman" w:hAnsi="Times New Roman" w:cs="Times New Roman"/>
          <w:sz w:val="24"/>
          <w:szCs w:val="24"/>
        </w:rPr>
        <w:t xml:space="preserve"> emerged from forms of life</w:t>
      </w:r>
      <w:r w:rsidR="00310E20">
        <w:rPr>
          <w:rFonts w:ascii="Times New Roman" w:hAnsi="Times New Roman" w:cs="Times New Roman"/>
          <w:sz w:val="24"/>
          <w:szCs w:val="24"/>
        </w:rPr>
        <w:t>.</w:t>
      </w:r>
      <w:r w:rsidR="009A7626">
        <w:rPr>
          <w:rFonts w:ascii="Times New Roman" w:hAnsi="Times New Roman" w:cs="Times New Roman"/>
          <w:sz w:val="24"/>
          <w:szCs w:val="24"/>
        </w:rPr>
        <w:t xml:space="preserve"> </w:t>
      </w:r>
      <w:r w:rsidR="00923073">
        <w:rPr>
          <w:rFonts w:ascii="Times New Roman" w:hAnsi="Times New Roman" w:cs="Times New Roman"/>
          <w:sz w:val="24"/>
          <w:szCs w:val="24"/>
        </w:rPr>
        <w:t xml:space="preserve">The way we discuss a human being, </w:t>
      </w:r>
      <w:r w:rsidR="003745EA">
        <w:rPr>
          <w:rFonts w:ascii="Times New Roman" w:hAnsi="Times New Roman" w:cs="Times New Roman"/>
          <w:sz w:val="24"/>
          <w:szCs w:val="24"/>
        </w:rPr>
        <w:t>especially in humanistic ways, is what can tell us about the notion of a human being.</w:t>
      </w:r>
      <w:r w:rsidR="00923073">
        <w:rPr>
          <w:rFonts w:ascii="Times New Roman" w:hAnsi="Times New Roman" w:cs="Times New Roman"/>
          <w:sz w:val="24"/>
          <w:szCs w:val="24"/>
        </w:rPr>
        <w:t xml:space="preserve"> </w:t>
      </w:r>
      <w:r w:rsidR="009A7626">
        <w:rPr>
          <w:rFonts w:ascii="Times New Roman" w:hAnsi="Times New Roman" w:cs="Times New Roman"/>
          <w:sz w:val="24"/>
          <w:szCs w:val="24"/>
        </w:rPr>
        <w:t xml:space="preserve">It is important to note </w:t>
      </w:r>
      <w:r w:rsidR="00B56445">
        <w:rPr>
          <w:rFonts w:ascii="Times New Roman" w:hAnsi="Times New Roman" w:cs="Times New Roman"/>
          <w:sz w:val="24"/>
          <w:szCs w:val="24"/>
        </w:rPr>
        <w:t>t</w:t>
      </w:r>
      <w:r w:rsidR="009A7626">
        <w:rPr>
          <w:rFonts w:ascii="Times New Roman" w:hAnsi="Times New Roman" w:cs="Times New Roman"/>
          <w:sz w:val="24"/>
          <w:szCs w:val="24"/>
        </w:rPr>
        <w:t>hat</w:t>
      </w:r>
      <w:r w:rsidR="00B56445">
        <w:rPr>
          <w:rFonts w:ascii="Times New Roman" w:hAnsi="Times New Roman" w:cs="Times New Roman"/>
          <w:sz w:val="24"/>
          <w:szCs w:val="24"/>
        </w:rPr>
        <w:t xml:space="preserve"> one cannot have language games without life, and by extension human beings. </w:t>
      </w:r>
      <w:r w:rsidR="00CA7BD9">
        <w:rPr>
          <w:rFonts w:ascii="Times New Roman" w:hAnsi="Times New Roman" w:cs="Times New Roman"/>
          <w:sz w:val="24"/>
          <w:szCs w:val="24"/>
        </w:rPr>
        <w:t xml:space="preserve">Therefore, </w:t>
      </w:r>
      <w:r w:rsidR="009A7626">
        <w:rPr>
          <w:rFonts w:ascii="Times New Roman" w:hAnsi="Times New Roman" w:cs="Times New Roman"/>
          <w:sz w:val="24"/>
          <w:szCs w:val="24"/>
        </w:rPr>
        <w:t xml:space="preserve">for Wittgenstein, the various ways in which a human being can be talked about, is the way in which its concept can be addressed. </w:t>
      </w:r>
    </w:p>
    <w:p w14:paraId="7DE39B2C" w14:textId="77D9DF89" w:rsidR="00512B21" w:rsidRDefault="007C0F1D" w:rsidP="005051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aspect of human beings that shall be expanded upon is the physicalism notion of them and what Wittgenstein had to say about this particular interpretation. The Physicalism school of thought saw at its core, to discuss </w:t>
      </w:r>
      <w:r w:rsidR="00D9577F">
        <w:rPr>
          <w:rFonts w:ascii="Times New Roman" w:hAnsi="Times New Roman" w:cs="Times New Roman"/>
          <w:sz w:val="24"/>
          <w:szCs w:val="24"/>
        </w:rPr>
        <w:t>things</w:t>
      </w:r>
      <w:r>
        <w:rPr>
          <w:rFonts w:ascii="Times New Roman" w:hAnsi="Times New Roman" w:cs="Times New Roman"/>
          <w:sz w:val="24"/>
          <w:szCs w:val="24"/>
        </w:rPr>
        <w:t xml:space="preserve"> in the correct manner. Thus for them, the only way to do this and avoid confusion was to reduce it down to talk of the purely physical processes, </w:t>
      </w:r>
      <w:r w:rsidR="00D9577F">
        <w:rPr>
          <w:rFonts w:ascii="Times New Roman" w:hAnsi="Times New Roman" w:cs="Times New Roman"/>
          <w:sz w:val="24"/>
          <w:szCs w:val="24"/>
        </w:rPr>
        <w:t xml:space="preserve">or to quote the Stanford </w:t>
      </w:r>
      <w:r w:rsidR="0097119A">
        <w:rPr>
          <w:rFonts w:ascii="Times New Roman" w:hAnsi="Times New Roman" w:cs="Times New Roman"/>
          <w:sz w:val="24"/>
          <w:szCs w:val="24"/>
        </w:rPr>
        <w:t>Encyclopaedia</w:t>
      </w:r>
      <w:r w:rsidR="00D9577F">
        <w:rPr>
          <w:rFonts w:ascii="Times New Roman" w:hAnsi="Times New Roman" w:cs="Times New Roman"/>
          <w:sz w:val="24"/>
          <w:szCs w:val="24"/>
        </w:rPr>
        <w:t xml:space="preserve"> of Philosophy “the nature of the actual world conforms to a certain condition, the condition of being physical</w:t>
      </w:r>
      <w:r w:rsidR="00D9577F">
        <w:rPr>
          <w:rStyle w:val="FootnoteReference"/>
          <w:rFonts w:ascii="Times New Roman" w:hAnsi="Times New Roman" w:cs="Times New Roman"/>
          <w:sz w:val="24"/>
          <w:szCs w:val="24"/>
        </w:rPr>
        <w:footnoteReference w:id="1"/>
      </w:r>
      <w:r w:rsidR="00D9577F">
        <w:rPr>
          <w:rFonts w:ascii="Times New Roman" w:hAnsi="Times New Roman" w:cs="Times New Roman"/>
          <w:sz w:val="24"/>
          <w:szCs w:val="24"/>
        </w:rPr>
        <w:t xml:space="preserve">”. This physical object language is something that Wittgenstein address in relation to understanding what has sensations </w:t>
      </w:r>
      <w:r w:rsidR="00D12B27">
        <w:rPr>
          <w:rFonts w:ascii="Times New Roman" w:hAnsi="Times New Roman" w:cs="Times New Roman"/>
          <w:sz w:val="24"/>
          <w:szCs w:val="24"/>
        </w:rPr>
        <w:t>i</w:t>
      </w:r>
      <w:r w:rsidR="00D9577F">
        <w:rPr>
          <w:rFonts w:ascii="Times New Roman" w:hAnsi="Times New Roman" w:cs="Times New Roman"/>
          <w:sz w:val="24"/>
          <w:szCs w:val="24"/>
        </w:rPr>
        <w:t xml:space="preserve">n </w:t>
      </w:r>
      <w:r w:rsidR="00D12B27">
        <w:rPr>
          <w:rFonts w:ascii="Times New Roman" w:hAnsi="Times New Roman" w:cs="Times New Roman"/>
          <w:sz w:val="24"/>
          <w:szCs w:val="24"/>
        </w:rPr>
        <w:t xml:space="preserve">his </w:t>
      </w:r>
      <w:r w:rsidR="00D9577F">
        <w:rPr>
          <w:rFonts w:ascii="Times New Roman" w:hAnsi="Times New Roman" w:cs="Times New Roman"/>
          <w:sz w:val="24"/>
          <w:szCs w:val="24"/>
        </w:rPr>
        <w:t>282</w:t>
      </w:r>
      <w:r w:rsidR="00D9577F" w:rsidRPr="00D9577F">
        <w:rPr>
          <w:rFonts w:ascii="Times New Roman" w:hAnsi="Times New Roman" w:cs="Times New Roman"/>
          <w:sz w:val="24"/>
          <w:szCs w:val="24"/>
          <w:vertAlign w:val="superscript"/>
        </w:rPr>
        <w:t>nd</w:t>
      </w:r>
      <w:r w:rsidR="00D9577F">
        <w:rPr>
          <w:rFonts w:ascii="Times New Roman" w:hAnsi="Times New Roman" w:cs="Times New Roman"/>
          <w:sz w:val="24"/>
          <w:szCs w:val="24"/>
        </w:rPr>
        <w:t xml:space="preserve"> </w:t>
      </w:r>
      <w:r w:rsidR="001D38FD">
        <w:rPr>
          <w:rFonts w:ascii="Times New Roman" w:hAnsi="Times New Roman" w:cs="Times New Roman"/>
          <w:sz w:val="24"/>
          <w:szCs w:val="24"/>
        </w:rPr>
        <w:t>observation in the Investigations</w:t>
      </w:r>
      <w:r w:rsidR="00D12B27">
        <w:rPr>
          <w:rFonts w:ascii="Times New Roman" w:hAnsi="Times New Roman" w:cs="Times New Roman"/>
          <w:sz w:val="24"/>
          <w:szCs w:val="24"/>
        </w:rPr>
        <w:t xml:space="preserve">. </w:t>
      </w:r>
      <w:r w:rsidR="00D9577F">
        <w:rPr>
          <w:rFonts w:ascii="Times New Roman" w:hAnsi="Times New Roman" w:cs="Times New Roman"/>
          <w:sz w:val="24"/>
          <w:szCs w:val="24"/>
        </w:rPr>
        <w:t xml:space="preserve">Wittgenstein notes that it is conceivable for objects to have human sensations, where he writes that “in a fairy tale the pot </w:t>
      </w:r>
      <w:r w:rsidR="00D9577F">
        <w:rPr>
          <w:rFonts w:ascii="Times New Roman" w:hAnsi="Times New Roman" w:cs="Times New Roman"/>
          <w:sz w:val="24"/>
          <w:szCs w:val="24"/>
        </w:rPr>
        <w:lastRenderedPageBreak/>
        <w:t>can see and hear!</w:t>
      </w:r>
      <w:r w:rsidR="00D12B27">
        <w:rPr>
          <w:rStyle w:val="FootnoteReference"/>
          <w:rFonts w:ascii="Times New Roman" w:hAnsi="Times New Roman" w:cs="Times New Roman"/>
          <w:sz w:val="24"/>
          <w:szCs w:val="24"/>
        </w:rPr>
        <w:footnoteReference w:id="2"/>
      </w:r>
      <w:r w:rsidR="00D9577F">
        <w:rPr>
          <w:rFonts w:ascii="Times New Roman" w:hAnsi="Times New Roman" w:cs="Times New Roman"/>
          <w:sz w:val="24"/>
          <w:szCs w:val="24"/>
        </w:rPr>
        <w:t>”</w:t>
      </w:r>
      <w:r>
        <w:rPr>
          <w:rFonts w:ascii="Times New Roman" w:hAnsi="Times New Roman" w:cs="Times New Roman"/>
          <w:sz w:val="24"/>
          <w:szCs w:val="24"/>
        </w:rPr>
        <w:t xml:space="preserve"> </w:t>
      </w:r>
      <w:r w:rsidR="00D12B27">
        <w:rPr>
          <w:rFonts w:ascii="Times New Roman" w:hAnsi="Times New Roman" w:cs="Times New Roman"/>
          <w:sz w:val="24"/>
          <w:szCs w:val="24"/>
        </w:rPr>
        <w:t>Plus, he also notes this is done when playing with dolls when we address them as if they had experienced pain</w:t>
      </w:r>
      <w:r w:rsidR="00D12B27">
        <w:rPr>
          <w:rStyle w:val="FootnoteReference"/>
          <w:rFonts w:ascii="Times New Roman" w:hAnsi="Times New Roman" w:cs="Times New Roman"/>
          <w:sz w:val="24"/>
          <w:szCs w:val="24"/>
        </w:rPr>
        <w:footnoteReference w:id="3"/>
      </w:r>
      <w:r w:rsidR="00D12B27">
        <w:rPr>
          <w:rFonts w:ascii="Times New Roman" w:hAnsi="Times New Roman" w:cs="Times New Roman"/>
          <w:sz w:val="24"/>
          <w:szCs w:val="24"/>
        </w:rPr>
        <w:t xml:space="preserve">. Yet, what does this mean for human beings? For Wittgenstein, the criteria for a human being was that “it has sensations; it sees; is blind’ hears; is deaf; is </w:t>
      </w:r>
      <w:r w:rsidR="000311B5">
        <w:rPr>
          <w:rFonts w:ascii="Times New Roman" w:hAnsi="Times New Roman" w:cs="Times New Roman"/>
          <w:sz w:val="24"/>
          <w:szCs w:val="24"/>
        </w:rPr>
        <w:t>conscious</w:t>
      </w:r>
      <w:r w:rsidR="00D12B27">
        <w:rPr>
          <w:rFonts w:ascii="Times New Roman" w:hAnsi="Times New Roman" w:cs="Times New Roman"/>
          <w:sz w:val="24"/>
          <w:szCs w:val="24"/>
        </w:rPr>
        <w:t xml:space="preserve"> or unconscious</w:t>
      </w:r>
      <w:r w:rsidR="00D12B27">
        <w:rPr>
          <w:rStyle w:val="FootnoteReference"/>
          <w:rFonts w:ascii="Times New Roman" w:hAnsi="Times New Roman" w:cs="Times New Roman"/>
          <w:sz w:val="24"/>
          <w:szCs w:val="24"/>
        </w:rPr>
        <w:footnoteReference w:id="4"/>
      </w:r>
      <w:r w:rsidR="00D12B27">
        <w:rPr>
          <w:rFonts w:ascii="Times New Roman" w:hAnsi="Times New Roman" w:cs="Times New Roman"/>
          <w:sz w:val="24"/>
          <w:szCs w:val="24"/>
        </w:rPr>
        <w:t>”</w:t>
      </w:r>
      <w:r w:rsidR="00993388">
        <w:rPr>
          <w:rFonts w:ascii="Times New Roman" w:hAnsi="Times New Roman" w:cs="Times New Roman"/>
          <w:sz w:val="24"/>
          <w:szCs w:val="24"/>
        </w:rPr>
        <w:t xml:space="preserve">. </w:t>
      </w:r>
      <w:r w:rsidR="000311B5">
        <w:rPr>
          <w:rFonts w:ascii="Times New Roman" w:hAnsi="Times New Roman" w:cs="Times New Roman"/>
          <w:sz w:val="24"/>
          <w:szCs w:val="24"/>
        </w:rPr>
        <w:t>So,</w:t>
      </w:r>
      <w:r w:rsidR="00993388">
        <w:rPr>
          <w:rFonts w:ascii="Times New Roman" w:hAnsi="Times New Roman" w:cs="Times New Roman"/>
          <w:sz w:val="24"/>
          <w:szCs w:val="24"/>
        </w:rPr>
        <w:t xml:space="preserve"> does this mean that it is possible to conclude that any physical object is similar to a human being? For the physicalists</w:t>
      </w:r>
      <w:r w:rsidR="0066490E">
        <w:rPr>
          <w:rFonts w:ascii="Times New Roman" w:hAnsi="Times New Roman" w:cs="Times New Roman"/>
          <w:sz w:val="24"/>
          <w:szCs w:val="24"/>
        </w:rPr>
        <w:t>,</w:t>
      </w:r>
      <w:r w:rsidR="00993388">
        <w:rPr>
          <w:rFonts w:ascii="Times New Roman" w:hAnsi="Times New Roman" w:cs="Times New Roman"/>
          <w:sz w:val="24"/>
          <w:szCs w:val="24"/>
        </w:rPr>
        <w:t xml:space="preserve"> perhaps, but for Wittgenstein, such a notion is absurd as it sounds. </w:t>
      </w:r>
      <w:r w:rsidR="0066490E">
        <w:rPr>
          <w:rFonts w:ascii="Times New Roman" w:hAnsi="Times New Roman" w:cs="Times New Roman"/>
          <w:sz w:val="24"/>
          <w:szCs w:val="24"/>
        </w:rPr>
        <w:t>He argues that in order for this to even be considered, one must be willing to deliberately misconstrue certain language games, conflating the childish or playful use of language when one addresses a doll as if in pain, with higher functionality it isn’t mean</w:t>
      </w:r>
      <w:r w:rsidR="00D123DD">
        <w:rPr>
          <w:rFonts w:ascii="Times New Roman" w:hAnsi="Times New Roman" w:cs="Times New Roman"/>
          <w:sz w:val="24"/>
          <w:szCs w:val="24"/>
        </w:rPr>
        <w:t>t</w:t>
      </w:r>
      <w:r w:rsidR="0066490E">
        <w:rPr>
          <w:rFonts w:ascii="Times New Roman" w:hAnsi="Times New Roman" w:cs="Times New Roman"/>
          <w:sz w:val="24"/>
          <w:szCs w:val="24"/>
        </w:rPr>
        <w:t xml:space="preserve"> for. “Imagine</w:t>
      </w:r>
      <w:r w:rsidR="00D123DD">
        <w:rPr>
          <w:rStyle w:val="FootnoteReference"/>
          <w:rFonts w:ascii="Times New Roman" w:hAnsi="Times New Roman" w:cs="Times New Roman"/>
          <w:sz w:val="24"/>
          <w:szCs w:val="24"/>
        </w:rPr>
        <w:footnoteReference w:id="5"/>
      </w:r>
      <w:r w:rsidR="0066490E">
        <w:rPr>
          <w:rFonts w:ascii="Times New Roman" w:hAnsi="Times New Roman" w:cs="Times New Roman"/>
          <w:sz w:val="24"/>
          <w:szCs w:val="24"/>
        </w:rPr>
        <w:t>” he says, “</w:t>
      </w:r>
      <w:r w:rsidR="00D123DD">
        <w:rPr>
          <w:rFonts w:ascii="Times New Roman" w:hAnsi="Times New Roman" w:cs="Times New Roman"/>
          <w:sz w:val="24"/>
          <w:szCs w:val="24"/>
        </w:rPr>
        <w:t>a case in which people ascribed pain only to inanimate things…</w:t>
      </w:r>
      <w:r w:rsidR="00D123DD">
        <w:rPr>
          <w:rStyle w:val="FootnoteReference"/>
          <w:rFonts w:ascii="Times New Roman" w:hAnsi="Times New Roman" w:cs="Times New Roman"/>
          <w:sz w:val="24"/>
          <w:szCs w:val="24"/>
        </w:rPr>
        <w:footnoteReference w:id="6"/>
      </w:r>
      <w:r w:rsidR="00D123DD">
        <w:rPr>
          <w:rFonts w:ascii="Times New Roman" w:hAnsi="Times New Roman" w:cs="Times New Roman"/>
          <w:sz w:val="24"/>
          <w:szCs w:val="24"/>
        </w:rPr>
        <w:t xml:space="preserve">” Reading this, one comes to realise how absurd such an idea that things other than humans feel pain, </w:t>
      </w:r>
      <w:r w:rsidR="00872BE4">
        <w:rPr>
          <w:rFonts w:ascii="Times New Roman" w:hAnsi="Times New Roman" w:cs="Times New Roman"/>
          <w:sz w:val="24"/>
          <w:szCs w:val="24"/>
        </w:rPr>
        <w:t>and that while there is a place for physical language games, it is only really applicable in certain circumstances. B</w:t>
      </w:r>
      <w:r w:rsidR="00D123DD">
        <w:rPr>
          <w:rFonts w:ascii="Times New Roman" w:hAnsi="Times New Roman" w:cs="Times New Roman"/>
          <w:sz w:val="24"/>
          <w:szCs w:val="24"/>
        </w:rPr>
        <w:t xml:space="preserve">ut is not the human body an object? </w:t>
      </w:r>
      <w:r w:rsidR="00872BE4">
        <w:rPr>
          <w:rFonts w:ascii="Times New Roman" w:hAnsi="Times New Roman" w:cs="Times New Roman"/>
          <w:sz w:val="24"/>
          <w:szCs w:val="24"/>
        </w:rPr>
        <w:t>And is it</w:t>
      </w:r>
      <w:r w:rsidR="00313535">
        <w:rPr>
          <w:rFonts w:ascii="Times New Roman" w:hAnsi="Times New Roman" w:cs="Times New Roman"/>
          <w:sz w:val="24"/>
          <w:szCs w:val="24"/>
        </w:rPr>
        <w:t xml:space="preserve"> the body</w:t>
      </w:r>
      <w:r w:rsidR="00872BE4">
        <w:rPr>
          <w:rFonts w:ascii="Times New Roman" w:hAnsi="Times New Roman" w:cs="Times New Roman"/>
          <w:sz w:val="24"/>
          <w:szCs w:val="24"/>
        </w:rPr>
        <w:t xml:space="preserve"> that feels sensations like pain? </w:t>
      </w:r>
      <w:r w:rsidR="00D123DD">
        <w:rPr>
          <w:rFonts w:ascii="Times New Roman" w:hAnsi="Times New Roman" w:cs="Times New Roman"/>
          <w:sz w:val="24"/>
          <w:szCs w:val="24"/>
        </w:rPr>
        <w:t>It is th</w:t>
      </w:r>
      <w:r w:rsidR="00872BE4">
        <w:rPr>
          <w:rFonts w:ascii="Times New Roman" w:hAnsi="Times New Roman" w:cs="Times New Roman"/>
          <w:sz w:val="24"/>
          <w:szCs w:val="24"/>
        </w:rPr>
        <w:t xml:space="preserve">ese questions </w:t>
      </w:r>
      <w:r w:rsidR="00D12227">
        <w:rPr>
          <w:rFonts w:ascii="Times New Roman" w:hAnsi="Times New Roman" w:cs="Times New Roman"/>
          <w:sz w:val="24"/>
          <w:szCs w:val="24"/>
        </w:rPr>
        <w:t>that</w:t>
      </w:r>
      <w:r w:rsidR="00D123DD">
        <w:rPr>
          <w:rFonts w:ascii="Times New Roman" w:hAnsi="Times New Roman" w:cs="Times New Roman"/>
          <w:sz w:val="24"/>
          <w:szCs w:val="24"/>
        </w:rPr>
        <w:t xml:space="preserve"> Wittgenstein further elaborates on with the idea of the language of sensation. </w:t>
      </w:r>
      <w:r w:rsidR="00D12227">
        <w:rPr>
          <w:rFonts w:ascii="Times New Roman" w:hAnsi="Times New Roman" w:cs="Times New Roman"/>
          <w:sz w:val="24"/>
          <w:szCs w:val="24"/>
        </w:rPr>
        <w:t xml:space="preserve">Wittgenstein notes that when we have pain, it is not the particular limb that calls out in pain. </w:t>
      </w:r>
      <w:r w:rsidR="00AA3CE2">
        <w:rPr>
          <w:rFonts w:ascii="Times New Roman" w:hAnsi="Times New Roman" w:cs="Times New Roman"/>
          <w:sz w:val="24"/>
          <w:szCs w:val="24"/>
        </w:rPr>
        <w:t>As he puts it “</w:t>
      </w:r>
      <w:r w:rsidR="00412EEE">
        <w:rPr>
          <w:rFonts w:ascii="Times New Roman" w:hAnsi="Times New Roman" w:cs="Times New Roman"/>
          <w:sz w:val="24"/>
          <w:szCs w:val="24"/>
        </w:rPr>
        <w:t>one does not comfort the hand, but the sufferer: one looks into his face</w:t>
      </w:r>
      <w:r w:rsidR="00412EEE">
        <w:rPr>
          <w:rStyle w:val="FootnoteReference"/>
          <w:rFonts w:ascii="Times New Roman" w:hAnsi="Times New Roman" w:cs="Times New Roman"/>
          <w:sz w:val="24"/>
          <w:szCs w:val="24"/>
        </w:rPr>
        <w:footnoteReference w:id="7"/>
      </w:r>
      <w:r w:rsidR="001D38FD">
        <w:rPr>
          <w:rFonts w:ascii="Times New Roman" w:hAnsi="Times New Roman" w:cs="Times New Roman"/>
          <w:sz w:val="24"/>
          <w:szCs w:val="24"/>
        </w:rPr>
        <w:t>.</w:t>
      </w:r>
      <w:r w:rsidR="00412EEE">
        <w:rPr>
          <w:rFonts w:ascii="Times New Roman" w:hAnsi="Times New Roman" w:cs="Times New Roman"/>
          <w:sz w:val="24"/>
          <w:szCs w:val="24"/>
        </w:rPr>
        <w:t>”</w:t>
      </w:r>
      <w:r w:rsidR="00313535">
        <w:rPr>
          <w:rFonts w:ascii="Times New Roman" w:hAnsi="Times New Roman" w:cs="Times New Roman"/>
          <w:sz w:val="24"/>
          <w:szCs w:val="24"/>
        </w:rPr>
        <w:t xml:space="preserve"> So therefore it can be concluded </w:t>
      </w:r>
      <w:r w:rsidR="00A42EFD">
        <w:rPr>
          <w:rFonts w:ascii="Times New Roman" w:hAnsi="Times New Roman" w:cs="Times New Roman"/>
          <w:sz w:val="24"/>
          <w:szCs w:val="24"/>
        </w:rPr>
        <w:t xml:space="preserve">that it is not the individual limbs or parts of the body that can express pain but rather something else. Seeing that, Wittgenstein prompts others not to come to the wrong conclusions, such as a dualist ‘body and soul’ approach that others have in the past, but rather to consider that </w:t>
      </w:r>
      <w:r w:rsidR="00833DCF">
        <w:rPr>
          <w:rFonts w:ascii="Times New Roman" w:hAnsi="Times New Roman" w:cs="Times New Roman"/>
          <w:sz w:val="24"/>
          <w:szCs w:val="24"/>
        </w:rPr>
        <w:t>only “the human body is the best picture of the soul.</w:t>
      </w:r>
      <w:r w:rsidR="00833DCF">
        <w:rPr>
          <w:rStyle w:val="FootnoteReference"/>
          <w:rFonts w:ascii="Times New Roman" w:hAnsi="Times New Roman" w:cs="Times New Roman"/>
          <w:sz w:val="24"/>
          <w:szCs w:val="24"/>
        </w:rPr>
        <w:footnoteReference w:id="8"/>
      </w:r>
      <w:r w:rsidR="00833DCF">
        <w:rPr>
          <w:rFonts w:ascii="Times New Roman" w:hAnsi="Times New Roman" w:cs="Times New Roman"/>
          <w:sz w:val="24"/>
          <w:szCs w:val="24"/>
        </w:rPr>
        <w:t xml:space="preserve">” With this, Wittgenstein is arguing not for a separate consideration of parts of a human being, but that we can think of ourselves in physical terms, but we should not be reductive. It is the person who feels pain; the whole person is experiencing this. </w:t>
      </w:r>
      <w:r w:rsidR="000311B5">
        <w:rPr>
          <w:rFonts w:ascii="Times New Roman" w:hAnsi="Times New Roman" w:cs="Times New Roman"/>
          <w:sz w:val="24"/>
          <w:szCs w:val="24"/>
        </w:rPr>
        <w:t>So,</w:t>
      </w:r>
      <w:r w:rsidR="00833DCF">
        <w:rPr>
          <w:rFonts w:ascii="Times New Roman" w:hAnsi="Times New Roman" w:cs="Times New Roman"/>
          <w:sz w:val="24"/>
          <w:szCs w:val="24"/>
        </w:rPr>
        <w:t xml:space="preserve"> in order to understand the notion of a human being, it is vital to ‘see’ the whole person. </w:t>
      </w:r>
      <w:r w:rsidR="003D0EC1">
        <w:rPr>
          <w:rFonts w:ascii="Times New Roman" w:hAnsi="Times New Roman" w:cs="Times New Roman"/>
          <w:sz w:val="24"/>
          <w:szCs w:val="24"/>
        </w:rPr>
        <w:t xml:space="preserve">Finally, what is the importance of this? For Wittgenstein, by establishing the proper use and understanding of language, in this case in relation to the human body and its sensations, it allows for a better application of what is actually human and what can be passed off as simply another object or misinterpretation. </w:t>
      </w:r>
    </w:p>
    <w:p w14:paraId="2BBB320F" w14:textId="77777777" w:rsidR="003D0EC1" w:rsidRDefault="003D0EC1" w:rsidP="005051DB">
      <w:pPr>
        <w:spacing w:line="360" w:lineRule="auto"/>
        <w:rPr>
          <w:rFonts w:ascii="Times New Roman" w:hAnsi="Times New Roman" w:cs="Times New Roman"/>
          <w:sz w:val="24"/>
          <w:szCs w:val="24"/>
        </w:rPr>
      </w:pPr>
    </w:p>
    <w:p w14:paraId="1F6D70F5" w14:textId="63CC4200" w:rsidR="00D74A14" w:rsidRDefault="003D0EC1" w:rsidP="005051DB">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aspect of the concept of a human being that Wittgenstein </w:t>
      </w:r>
      <w:r w:rsidR="003B4119">
        <w:rPr>
          <w:rFonts w:ascii="Times New Roman" w:hAnsi="Times New Roman" w:cs="Times New Roman"/>
          <w:sz w:val="24"/>
          <w:szCs w:val="24"/>
        </w:rPr>
        <w:t>addresses</w:t>
      </w:r>
      <w:r>
        <w:rPr>
          <w:rFonts w:ascii="Times New Roman" w:hAnsi="Times New Roman" w:cs="Times New Roman"/>
          <w:sz w:val="24"/>
          <w:szCs w:val="24"/>
        </w:rPr>
        <w:t xml:space="preserve"> can be found in the proposition of a human being as a machine</w:t>
      </w:r>
      <w:r w:rsidR="003B4119">
        <w:rPr>
          <w:rFonts w:ascii="Times New Roman" w:hAnsi="Times New Roman" w:cs="Times New Roman"/>
          <w:sz w:val="24"/>
          <w:szCs w:val="24"/>
        </w:rPr>
        <w:t xml:space="preserve"> and a tool. This philosophical idea that man </w:t>
      </w:r>
      <w:r w:rsidR="00D12CD8">
        <w:rPr>
          <w:rFonts w:ascii="Times New Roman" w:hAnsi="Times New Roman" w:cs="Times New Roman"/>
          <w:sz w:val="24"/>
          <w:szCs w:val="24"/>
        </w:rPr>
        <w:t>can be viewed as a</w:t>
      </w:r>
      <w:r w:rsidR="003B4119">
        <w:rPr>
          <w:rFonts w:ascii="Times New Roman" w:hAnsi="Times New Roman" w:cs="Times New Roman"/>
          <w:sz w:val="24"/>
          <w:szCs w:val="24"/>
        </w:rPr>
        <w:t xml:space="preserve"> machine can be found best expressed in the works of Descartes. In his ‘Treatise on Man</w:t>
      </w:r>
      <w:r w:rsidR="003A6C53">
        <w:rPr>
          <w:rFonts w:ascii="Times New Roman" w:hAnsi="Times New Roman" w:cs="Times New Roman"/>
          <w:sz w:val="24"/>
          <w:szCs w:val="24"/>
        </w:rPr>
        <w:t>’, Descartes remarks that “the body to be nothing but a statue or machine…</w:t>
      </w:r>
      <w:r w:rsidR="003A6C53">
        <w:rPr>
          <w:rStyle w:val="FootnoteReference"/>
          <w:rFonts w:ascii="Times New Roman" w:hAnsi="Times New Roman" w:cs="Times New Roman"/>
          <w:sz w:val="24"/>
          <w:szCs w:val="24"/>
        </w:rPr>
        <w:footnoteReference w:id="9"/>
      </w:r>
      <w:r w:rsidR="003A6C53">
        <w:rPr>
          <w:rFonts w:ascii="Times New Roman" w:hAnsi="Times New Roman" w:cs="Times New Roman"/>
          <w:sz w:val="24"/>
          <w:szCs w:val="24"/>
        </w:rPr>
        <w:t>”</w:t>
      </w:r>
      <w:r w:rsidR="00CD2B2E">
        <w:rPr>
          <w:rFonts w:ascii="Times New Roman" w:hAnsi="Times New Roman" w:cs="Times New Roman"/>
          <w:sz w:val="24"/>
          <w:szCs w:val="24"/>
        </w:rPr>
        <w:t xml:space="preserve">, proposing that </w:t>
      </w:r>
      <w:r w:rsidR="00D12CD8">
        <w:rPr>
          <w:rFonts w:ascii="Times New Roman" w:hAnsi="Times New Roman" w:cs="Times New Roman"/>
          <w:sz w:val="24"/>
          <w:szCs w:val="24"/>
        </w:rPr>
        <w:t>man is not his body, which though</w:t>
      </w:r>
      <w:r w:rsidR="001D38FD">
        <w:rPr>
          <w:rFonts w:ascii="Times New Roman" w:hAnsi="Times New Roman" w:cs="Times New Roman"/>
          <w:sz w:val="24"/>
          <w:szCs w:val="24"/>
        </w:rPr>
        <w:t>t</w:t>
      </w:r>
      <w:r w:rsidR="00D12CD8">
        <w:rPr>
          <w:rFonts w:ascii="Times New Roman" w:hAnsi="Times New Roman" w:cs="Times New Roman"/>
          <w:sz w:val="24"/>
          <w:szCs w:val="24"/>
        </w:rPr>
        <w:t xml:space="preserve"> of in complex mechanical language</w:t>
      </w:r>
      <w:r w:rsidR="00962FB8">
        <w:rPr>
          <w:rFonts w:ascii="Times New Roman" w:hAnsi="Times New Roman" w:cs="Times New Roman"/>
          <w:sz w:val="24"/>
          <w:szCs w:val="24"/>
        </w:rPr>
        <w:t xml:space="preserve">, with the ‘inner’ or ‘true’ man being somewhere else. Wittgenstein does concede that a human being can </w:t>
      </w:r>
      <w:r w:rsidR="008E2891">
        <w:rPr>
          <w:rFonts w:ascii="Times New Roman" w:hAnsi="Times New Roman" w:cs="Times New Roman"/>
          <w:sz w:val="24"/>
          <w:szCs w:val="24"/>
        </w:rPr>
        <w:t xml:space="preserve">be spoken of in these terms, saying that the human being “surely comes as close as possible to </w:t>
      </w:r>
      <w:proofErr w:type="gramStart"/>
      <w:r w:rsidR="008E2891">
        <w:rPr>
          <w:rFonts w:ascii="Times New Roman" w:hAnsi="Times New Roman" w:cs="Times New Roman"/>
          <w:sz w:val="24"/>
          <w:szCs w:val="24"/>
        </w:rPr>
        <w:t>being</w:t>
      </w:r>
      <w:proofErr w:type="gramEnd"/>
      <w:r w:rsidR="008E2891">
        <w:rPr>
          <w:rFonts w:ascii="Times New Roman" w:hAnsi="Times New Roman" w:cs="Times New Roman"/>
          <w:sz w:val="24"/>
          <w:szCs w:val="24"/>
        </w:rPr>
        <w:t xml:space="preserve"> such a machine</w:t>
      </w:r>
      <w:r w:rsidR="008E2891">
        <w:rPr>
          <w:rStyle w:val="FootnoteReference"/>
          <w:rFonts w:ascii="Times New Roman" w:hAnsi="Times New Roman" w:cs="Times New Roman"/>
          <w:sz w:val="24"/>
          <w:szCs w:val="24"/>
        </w:rPr>
        <w:footnoteReference w:id="10"/>
      </w:r>
      <w:r w:rsidR="001D38FD">
        <w:rPr>
          <w:rFonts w:ascii="Times New Roman" w:hAnsi="Times New Roman" w:cs="Times New Roman"/>
          <w:sz w:val="24"/>
          <w:szCs w:val="24"/>
        </w:rPr>
        <w:t>.</w:t>
      </w:r>
      <w:r w:rsidR="008E2891">
        <w:rPr>
          <w:rFonts w:ascii="Times New Roman" w:hAnsi="Times New Roman" w:cs="Times New Roman"/>
          <w:sz w:val="24"/>
          <w:szCs w:val="24"/>
        </w:rPr>
        <w:t xml:space="preserve">” </w:t>
      </w:r>
      <w:r w:rsidR="009F15D4">
        <w:rPr>
          <w:rFonts w:ascii="Times New Roman" w:hAnsi="Times New Roman" w:cs="Times New Roman"/>
          <w:sz w:val="24"/>
          <w:szCs w:val="24"/>
        </w:rPr>
        <w:t xml:space="preserve">But as with his deconstruction of physical object language, this is not </w:t>
      </w:r>
      <w:r w:rsidR="001D38FD">
        <w:rPr>
          <w:rFonts w:ascii="Times New Roman" w:hAnsi="Times New Roman" w:cs="Times New Roman"/>
          <w:sz w:val="24"/>
          <w:szCs w:val="24"/>
        </w:rPr>
        <w:t xml:space="preserve">a </w:t>
      </w:r>
      <w:r w:rsidR="009F15D4">
        <w:rPr>
          <w:rFonts w:ascii="Times New Roman" w:hAnsi="Times New Roman" w:cs="Times New Roman"/>
          <w:sz w:val="24"/>
          <w:szCs w:val="24"/>
        </w:rPr>
        <w:t xml:space="preserve">complete concession, but rather a way to further address the issue. </w:t>
      </w:r>
      <w:r w:rsidR="00207CF1">
        <w:rPr>
          <w:rFonts w:ascii="Times New Roman" w:hAnsi="Times New Roman" w:cs="Times New Roman"/>
          <w:sz w:val="24"/>
          <w:szCs w:val="24"/>
        </w:rPr>
        <w:t xml:space="preserve">This is seen in the </w:t>
      </w:r>
      <w:r w:rsidR="0049005F">
        <w:rPr>
          <w:rFonts w:ascii="Times New Roman" w:hAnsi="Times New Roman" w:cs="Times New Roman"/>
          <w:sz w:val="24"/>
          <w:szCs w:val="24"/>
        </w:rPr>
        <w:t xml:space="preserve">way that </w:t>
      </w:r>
      <w:r w:rsidR="00B85344">
        <w:rPr>
          <w:rFonts w:ascii="Times New Roman" w:hAnsi="Times New Roman" w:cs="Times New Roman"/>
          <w:sz w:val="24"/>
          <w:szCs w:val="24"/>
        </w:rPr>
        <w:t>Wittgenstein</w:t>
      </w:r>
      <w:r w:rsidR="00207CF1">
        <w:rPr>
          <w:rFonts w:ascii="Times New Roman" w:hAnsi="Times New Roman" w:cs="Times New Roman"/>
          <w:sz w:val="24"/>
          <w:szCs w:val="24"/>
        </w:rPr>
        <w:t xml:space="preserve"> </w:t>
      </w:r>
      <w:r w:rsidR="0049005F">
        <w:rPr>
          <w:rFonts w:ascii="Times New Roman" w:hAnsi="Times New Roman" w:cs="Times New Roman"/>
          <w:sz w:val="24"/>
          <w:szCs w:val="24"/>
        </w:rPr>
        <w:t xml:space="preserve">addresses the language used to describe </w:t>
      </w:r>
      <w:r w:rsidR="00AF729E">
        <w:rPr>
          <w:rFonts w:ascii="Times New Roman" w:hAnsi="Times New Roman" w:cs="Times New Roman"/>
          <w:sz w:val="24"/>
          <w:szCs w:val="24"/>
        </w:rPr>
        <w:t>the notion of a machine thinking</w:t>
      </w:r>
      <w:r w:rsidR="001D38FD">
        <w:rPr>
          <w:rFonts w:ascii="Times New Roman" w:hAnsi="Times New Roman" w:cs="Times New Roman"/>
          <w:sz w:val="24"/>
          <w:szCs w:val="24"/>
        </w:rPr>
        <w:t>;</w:t>
      </w:r>
      <w:r w:rsidR="00AF729E">
        <w:rPr>
          <w:rFonts w:ascii="Times New Roman" w:hAnsi="Times New Roman" w:cs="Times New Roman"/>
          <w:sz w:val="24"/>
          <w:szCs w:val="24"/>
        </w:rPr>
        <w:t xml:space="preserve"> for as he sees “’to think’ as a tool</w:t>
      </w:r>
      <w:r w:rsidR="00AF729E">
        <w:rPr>
          <w:rStyle w:val="FootnoteReference"/>
          <w:rFonts w:ascii="Times New Roman" w:hAnsi="Times New Roman" w:cs="Times New Roman"/>
          <w:sz w:val="24"/>
          <w:szCs w:val="24"/>
        </w:rPr>
        <w:footnoteReference w:id="11"/>
      </w:r>
      <w:r w:rsidR="00AF729E">
        <w:rPr>
          <w:rFonts w:ascii="Times New Roman" w:hAnsi="Times New Roman" w:cs="Times New Roman"/>
          <w:sz w:val="24"/>
          <w:szCs w:val="24"/>
        </w:rPr>
        <w:t>”, the</w:t>
      </w:r>
      <w:r w:rsidR="0049005F">
        <w:rPr>
          <w:rFonts w:ascii="Times New Roman" w:hAnsi="Times New Roman" w:cs="Times New Roman"/>
          <w:sz w:val="24"/>
          <w:szCs w:val="24"/>
        </w:rPr>
        <w:t xml:space="preserve"> phenomenon</w:t>
      </w:r>
      <w:r w:rsidR="00AF729E">
        <w:rPr>
          <w:rFonts w:ascii="Times New Roman" w:hAnsi="Times New Roman" w:cs="Times New Roman"/>
          <w:sz w:val="24"/>
          <w:szCs w:val="24"/>
        </w:rPr>
        <w:t xml:space="preserve"> of machine thinking lacks clarity as </w:t>
      </w:r>
      <w:r w:rsidR="00207CF1">
        <w:rPr>
          <w:rFonts w:ascii="Times New Roman" w:hAnsi="Times New Roman" w:cs="Times New Roman"/>
          <w:sz w:val="24"/>
          <w:szCs w:val="24"/>
        </w:rPr>
        <w:t xml:space="preserve">“We </w:t>
      </w:r>
      <w:r w:rsidR="00AF729E">
        <w:rPr>
          <w:rFonts w:ascii="Times New Roman" w:hAnsi="Times New Roman" w:cs="Times New Roman"/>
          <w:sz w:val="24"/>
          <w:szCs w:val="24"/>
        </w:rPr>
        <w:t>also say of dolls…</w:t>
      </w:r>
      <w:r w:rsidR="00AF729E">
        <w:rPr>
          <w:rStyle w:val="FootnoteReference"/>
          <w:rFonts w:ascii="Times New Roman" w:hAnsi="Times New Roman" w:cs="Times New Roman"/>
          <w:sz w:val="24"/>
          <w:szCs w:val="24"/>
        </w:rPr>
        <w:footnoteReference w:id="12"/>
      </w:r>
      <w:r w:rsidR="00207CF1">
        <w:rPr>
          <w:rFonts w:ascii="Times New Roman" w:hAnsi="Times New Roman" w:cs="Times New Roman"/>
          <w:sz w:val="24"/>
          <w:szCs w:val="24"/>
        </w:rPr>
        <w:t>”</w:t>
      </w:r>
      <w:r w:rsidR="00AF729E">
        <w:rPr>
          <w:rFonts w:ascii="Times New Roman" w:hAnsi="Times New Roman" w:cs="Times New Roman"/>
          <w:sz w:val="24"/>
          <w:szCs w:val="24"/>
        </w:rPr>
        <w:t xml:space="preserve"> the same thing. Thus, we are led back to the similar objections Wittgenstein had to the physical object language that was discussed before. The language game that we conjure up to discuss a machine as thinking is just another language game incorrectly implemented</w:t>
      </w:r>
      <w:r w:rsidR="003F4596">
        <w:rPr>
          <w:rFonts w:ascii="Times New Roman" w:hAnsi="Times New Roman" w:cs="Times New Roman"/>
          <w:sz w:val="24"/>
          <w:szCs w:val="24"/>
        </w:rPr>
        <w:t xml:space="preserve">. Moreover, Wittgenstein further elaborates on the incorrect assumption of a human being as a machine by applying it to everyday life. He </w:t>
      </w:r>
      <w:r w:rsidR="001D11B4">
        <w:rPr>
          <w:rFonts w:ascii="Times New Roman" w:hAnsi="Times New Roman" w:cs="Times New Roman"/>
          <w:sz w:val="24"/>
          <w:szCs w:val="24"/>
        </w:rPr>
        <w:t xml:space="preserve">first </w:t>
      </w:r>
      <w:r w:rsidR="003F4596">
        <w:rPr>
          <w:rFonts w:ascii="Times New Roman" w:hAnsi="Times New Roman" w:cs="Times New Roman"/>
          <w:sz w:val="24"/>
          <w:szCs w:val="24"/>
        </w:rPr>
        <w:t>argues that the concept that Descartes</w:t>
      </w:r>
      <w:r w:rsidR="001D11B4">
        <w:rPr>
          <w:rFonts w:ascii="Times New Roman" w:hAnsi="Times New Roman" w:cs="Times New Roman"/>
          <w:sz w:val="24"/>
          <w:szCs w:val="24"/>
        </w:rPr>
        <w:t xml:space="preserve">, or any other philosopher, can only conjure up </w:t>
      </w:r>
      <w:r w:rsidR="00B85344">
        <w:rPr>
          <w:rFonts w:ascii="Times New Roman" w:hAnsi="Times New Roman" w:cs="Times New Roman"/>
          <w:sz w:val="24"/>
          <w:szCs w:val="24"/>
        </w:rPr>
        <w:t xml:space="preserve">“people with fixed looks going about their business…” </w:t>
      </w:r>
      <w:r w:rsidR="001D11B4">
        <w:rPr>
          <w:rFonts w:ascii="Times New Roman" w:hAnsi="Times New Roman" w:cs="Times New Roman"/>
          <w:sz w:val="24"/>
          <w:szCs w:val="24"/>
        </w:rPr>
        <w:t>in the confines of isolation or solitude. Essentially, in a situation where the brain is allowed to wander from the everyday practical tasks it has been set, such as “alone in my room</w:t>
      </w:r>
      <w:r w:rsidR="001D11B4">
        <w:rPr>
          <w:rStyle w:val="FootnoteReference"/>
          <w:rFonts w:ascii="Times New Roman" w:hAnsi="Times New Roman" w:cs="Times New Roman"/>
          <w:sz w:val="24"/>
          <w:szCs w:val="24"/>
        </w:rPr>
        <w:footnoteReference w:id="13"/>
      </w:r>
      <w:r w:rsidR="00B85344">
        <w:rPr>
          <w:rFonts w:ascii="Times New Roman" w:hAnsi="Times New Roman" w:cs="Times New Roman"/>
          <w:sz w:val="24"/>
          <w:szCs w:val="24"/>
        </w:rPr>
        <w:t xml:space="preserve">”. Taking this idea out of the room and into the world sees it be lost for “just try to keep hold of this idea in the midst of your ordinary </w:t>
      </w:r>
      <w:r w:rsidR="000311B5">
        <w:rPr>
          <w:rFonts w:ascii="Times New Roman" w:hAnsi="Times New Roman" w:cs="Times New Roman"/>
          <w:sz w:val="24"/>
          <w:szCs w:val="24"/>
        </w:rPr>
        <w:t>intercourse</w:t>
      </w:r>
      <w:r w:rsidR="00B85344">
        <w:rPr>
          <w:rFonts w:ascii="Times New Roman" w:hAnsi="Times New Roman" w:cs="Times New Roman"/>
          <w:sz w:val="24"/>
          <w:szCs w:val="24"/>
        </w:rPr>
        <w:t xml:space="preserve"> with others” Wittgenstein remarks. The importance of this is that Wittgenstein is arguing that the language one uses to perceive others </w:t>
      </w:r>
      <w:r w:rsidR="008065A8">
        <w:rPr>
          <w:rFonts w:ascii="Times New Roman" w:hAnsi="Times New Roman" w:cs="Times New Roman"/>
          <w:sz w:val="24"/>
          <w:szCs w:val="24"/>
        </w:rPr>
        <w:t>as a machine in private is misguided because it is conducted in private</w:t>
      </w:r>
      <w:r w:rsidR="000D0804">
        <w:rPr>
          <w:rFonts w:ascii="Times New Roman" w:hAnsi="Times New Roman" w:cs="Times New Roman"/>
          <w:sz w:val="24"/>
          <w:szCs w:val="24"/>
        </w:rPr>
        <w:t>; allowing for a private language game to form that cannot be validated by outward criteria.</w:t>
      </w:r>
      <w:r w:rsidR="008065A8">
        <w:rPr>
          <w:rFonts w:ascii="Times New Roman" w:hAnsi="Times New Roman" w:cs="Times New Roman"/>
          <w:sz w:val="24"/>
          <w:szCs w:val="24"/>
        </w:rPr>
        <w:t xml:space="preserve"> He further states that </w:t>
      </w:r>
      <w:r w:rsidR="001D38FD">
        <w:rPr>
          <w:rFonts w:ascii="Times New Roman" w:hAnsi="Times New Roman" w:cs="Times New Roman"/>
          <w:sz w:val="24"/>
          <w:szCs w:val="24"/>
        </w:rPr>
        <w:t xml:space="preserve">to </w:t>
      </w:r>
      <w:r w:rsidR="008065A8">
        <w:rPr>
          <w:rFonts w:ascii="Times New Roman" w:hAnsi="Times New Roman" w:cs="Times New Roman"/>
          <w:sz w:val="24"/>
          <w:szCs w:val="24"/>
        </w:rPr>
        <w:t xml:space="preserve">hold such an idea, you would need to follow it to its logical conclusion, no matter how </w:t>
      </w:r>
      <w:r w:rsidR="008065A8">
        <w:rPr>
          <w:rFonts w:ascii="Times New Roman" w:hAnsi="Times New Roman" w:cs="Times New Roman"/>
          <w:sz w:val="24"/>
          <w:szCs w:val="24"/>
        </w:rPr>
        <w:lastRenderedPageBreak/>
        <w:t>dark those may be, for “you will produce in yourself some kind of un</w:t>
      </w:r>
      <w:r w:rsidR="00D90917">
        <w:rPr>
          <w:rFonts w:ascii="Times New Roman" w:hAnsi="Times New Roman" w:cs="Times New Roman"/>
          <w:sz w:val="24"/>
          <w:szCs w:val="24"/>
        </w:rPr>
        <w:t>canny feeling…</w:t>
      </w:r>
      <w:r w:rsidR="00D90917">
        <w:rPr>
          <w:rStyle w:val="FootnoteReference"/>
          <w:rFonts w:ascii="Times New Roman" w:hAnsi="Times New Roman" w:cs="Times New Roman"/>
          <w:sz w:val="24"/>
          <w:szCs w:val="24"/>
        </w:rPr>
        <w:footnoteReference w:id="14"/>
      </w:r>
      <w:r w:rsidR="00D90917">
        <w:rPr>
          <w:rFonts w:ascii="Times New Roman" w:hAnsi="Times New Roman" w:cs="Times New Roman"/>
          <w:sz w:val="24"/>
          <w:szCs w:val="24"/>
        </w:rPr>
        <w:t xml:space="preserve">” which to Wittgenstein would </w:t>
      </w:r>
      <w:r w:rsidR="00580E5B">
        <w:rPr>
          <w:rFonts w:ascii="Times New Roman" w:hAnsi="Times New Roman" w:cs="Times New Roman"/>
          <w:sz w:val="24"/>
          <w:szCs w:val="24"/>
        </w:rPr>
        <w:t>dissuade</w:t>
      </w:r>
      <w:r w:rsidR="00D90917">
        <w:rPr>
          <w:rFonts w:ascii="Times New Roman" w:hAnsi="Times New Roman" w:cs="Times New Roman"/>
          <w:sz w:val="24"/>
          <w:szCs w:val="24"/>
        </w:rPr>
        <w:t xml:space="preserve"> others from such conclusions. Furthermore, to Wittgenstein, any talk about machines or automaton and the like is pointless in an actual human context. </w:t>
      </w:r>
      <w:r w:rsidR="00217BE3">
        <w:rPr>
          <w:rFonts w:ascii="Times New Roman" w:hAnsi="Times New Roman" w:cs="Times New Roman"/>
          <w:sz w:val="24"/>
          <w:szCs w:val="24"/>
        </w:rPr>
        <w:t xml:space="preserve">For to describe someone as not an automation offers up nothing that they didn’t or couldn’t figure out themselves. As language is paramount, this to Wittgenstein </w:t>
      </w:r>
      <w:r w:rsidR="00580E5B">
        <w:rPr>
          <w:rFonts w:ascii="Times New Roman" w:hAnsi="Times New Roman" w:cs="Times New Roman"/>
          <w:sz w:val="24"/>
          <w:szCs w:val="24"/>
        </w:rPr>
        <w:t>is an admission of the flawed thinking and talk</w:t>
      </w:r>
      <w:r w:rsidR="00BC668D">
        <w:rPr>
          <w:rFonts w:ascii="Times New Roman" w:hAnsi="Times New Roman" w:cs="Times New Roman"/>
          <w:sz w:val="24"/>
          <w:szCs w:val="24"/>
        </w:rPr>
        <w:t xml:space="preserve"> of a human being as a machine. </w:t>
      </w:r>
    </w:p>
    <w:p w14:paraId="094B62AE" w14:textId="0FCBAD12" w:rsidR="008878A3" w:rsidRDefault="00BC668D" w:rsidP="005051DB">
      <w:pPr>
        <w:spacing w:line="360" w:lineRule="auto"/>
        <w:rPr>
          <w:rFonts w:ascii="Times New Roman" w:hAnsi="Times New Roman" w:cs="Times New Roman"/>
          <w:sz w:val="24"/>
          <w:szCs w:val="24"/>
        </w:rPr>
      </w:pPr>
      <w:r>
        <w:rPr>
          <w:rFonts w:ascii="Times New Roman" w:hAnsi="Times New Roman" w:cs="Times New Roman"/>
          <w:sz w:val="24"/>
          <w:szCs w:val="24"/>
        </w:rPr>
        <w:t xml:space="preserve">But what about the Cartesian notion of the soul or ‘inner man’ being what truly represents a human being? </w:t>
      </w:r>
      <w:r w:rsidR="00FB3795">
        <w:rPr>
          <w:rFonts w:ascii="Times New Roman" w:hAnsi="Times New Roman" w:cs="Times New Roman"/>
          <w:sz w:val="24"/>
          <w:szCs w:val="24"/>
        </w:rPr>
        <w:t xml:space="preserve">This idea proposes that human beings, in a similar sense to </w:t>
      </w:r>
      <w:r w:rsidR="0065009A">
        <w:rPr>
          <w:rFonts w:ascii="Times New Roman" w:hAnsi="Times New Roman" w:cs="Times New Roman"/>
          <w:sz w:val="24"/>
          <w:szCs w:val="24"/>
        </w:rPr>
        <w:t>be</w:t>
      </w:r>
      <w:r w:rsidR="00FB3795">
        <w:rPr>
          <w:rFonts w:ascii="Times New Roman" w:hAnsi="Times New Roman" w:cs="Times New Roman"/>
          <w:sz w:val="24"/>
          <w:szCs w:val="24"/>
        </w:rPr>
        <w:t xml:space="preserve"> a machine as discussed previously, are of a dualist nature, </w:t>
      </w:r>
      <w:r w:rsidR="005753AE">
        <w:rPr>
          <w:rFonts w:ascii="Times New Roman" w:hAnsi="Times New Roman" w:cs="Times New Roman"/>
          <w:sz w:val="24"/>
          <w:szCs w:val="24"/>
        </w:rPr>
        <w:t xml:space="preserve">and that the body and an operator like soul exist. </w:t>
      </w:r>
      <w:r w:rsidR="00FB3795">
        <w:rPr>
          <w:rFonts w:ascii="Times New Roman" w:hAnsi="Times New Roman" w:cs="Times New Roman"/>
          <w:sz w:val="24"/>
          <w:szCs w:val="24"/>
        </w:rPr>
        <w:t xml:space="preserve">Again, Descartes </w:t>
      </w:r>
      <w:r w:rsidR="0065009A">
        <w:rPr>
          <w:rFonts w:ascii="Times New Roman" w:hAnsi="Times New Roman" w:cs="Times New Roman"/>
          <w:sz w:val="24"/>
          <w:szCs w:val="24"/>
        </w:rPr>
        <w:t xml:space="preserve">is a key </w:t>
      </w:r>
      <w:r w:rsidR="00FB3795">
        <w:rPr>
          <w:rFonts w:ascii="Times New Roman" w:hAnsi="Times New Roman" w:cs="Times New Roman"/>
          <w:sz w:val="24"/>
          <w:szCs w:val="24"/>
        </w:rPr>
        <w:t>propo</w:t>
      </w:r>
      <w:r w:rsidR="0065009A">
        <w:rPr>
          <w:rFonts w:ascii="Times New Roman" w:hAnsi="Times New Roman" w:cs="Times New Roman"/>
          <w:sz w:val="24"/>
          <w:szCs w:val="24"/>
        </w:rPr>
        <w:t>nent of this idea, arguing</w:t>
      </w:r>
      <w:r w:rsidR="00FB3795">
        <w:rPr>
          <w:rFonts w:ascii="Times New Roman" w:hAnsi="Times New Roman" w:cs="Times New Roman"/>
          <w:sz w:val="24"/>
          <w:szCs w:val="24"/>
        </w:rPr>
        <w:t xml:space="preserve"> that </w:t>
      </w:r>
      <w:r w:rsidR="0065009A">
        <w:rPr>
          <w:rFonts w:ascii="Times New Roman" w:hAnsi="Times New Roman" w:cs="Times New Roman"/>
          <w:sz w:val="24"/>
          <w:szCs w:val="24"/>
        </w:rPr>
        <w:t>as man can “have a distinct idea of myself, insofar as I am merely a thinking thing…</w:t>
      </w:r>
      <w:r w:rsidR="00370A5C">
        <w:rPr>
          <w:rStyle w:val="FootnoteReference"/>
          <w:rFonts w:ascii="Times New Roman" w:hAnsi="Times New Roman" w:cs="Times New Roman"/>
          <w:sz w:val="24"/>
          <w:szCs w:val="24"/>
        </w:rPr>
        <w:footnoteReference w:id="15"/>
      </w:r>
      <w:r w:rsidR="0065009A">
        <w:rPr>
          <w:rFonts w:ascii="Times New Roman" w:hAnsi="Times New Roman" w:cs="Times New Roman"/>
          <w:sz w:val="24"/>
          <w:szCs w:val="24"/>
        </w:rPr>
        <w:t xml:space="preserve">” and </w:t>
      </w:r>
      <w:r w:rsidR="00370A5C">
        <w:rPr>
          <w:rFonts w:ascii="Times New Roman" w:hAnsi="Times New Roman" w:cs="Times New Roman"/>
          <w:sz w:val="24"/>
          <w:szCs w:val="24"/>
        </w:rPr>
        <w:t>“a distinct idea of a body</w:t>
      </w:r>
      <w:r w:rsidR="00370A5C">
        <w:rPr>
          <w:rStyle w:val="FootnoteReference"/>
          <w:rFonts w:ascii="Times New Roman" w:hAnsi="Times New Roman" w:cs="Times New Roman"/>
          <w:sz w:val="24"/>
          <w:szCs w:val="24"/>
        </w:rPr>
        <w:footnoteReference w:id="16"/>
      </w:r>
      <w:r w:rsidR="00370A5C">
        <w:rPr>
          <w:rFonts w:ascii="Times New Roman" w:hAnsi="Times New Roman" w:cs="Times New Roman"/>
          <w:sz w:val="24"/>
          <w:szCs w:val="24"/>
        </w:rPr>
        <w:t>” that “I am really, distinct from my body…</w:t>
      </w:r>
      <w:r w:rsidR="00370A5C">
        <w:rPr>
          <w:rStyle w:val="FootnoteReference"/>
          <w:rFonts w:ascii="Times New Roman" w:hAnsi="Times New Roman" w:cs="Times New Roman"/>
          <w:sz w:val="24"/>
          <w:szCs w:val="24"/>
        </w:rPr>
        <w:footnoteReference w:id="17"/>
      </w:r>
      <w:r w:rsidR="00370A5C">
        <w:rPr>
          <w:rFonts w:ascii="Times New Roman" w:hAnsi="Times New Roman" w:cs="Times New Roman"/>
          <w:sz w:val="24"/>
          <w:szCs w:val="24"/>
        </w:rPr>
        <w:t xml:space="preserve">” Immediately, the way in which language is used to discuss the idea is of concern to </w:t>
      </w:r>
      <w:r w:rsidR="00E95C2B">
        <w:rPr>
          <w:rFonts w:ascii="Times New Roman" w:hAnsi="Times New Roman" w:cs="Times New Roman"/>
          <w:sz w:val="24"/>
          <w:szCs w:val="24"/>
        </w:rPr>
        <w:t>Wittgenstein, who remarks that “how does it come about that this does not come into the considerations of our ordinary life?</w:t>
      </w:r>
      <w:r w:rsidR="00E95C2B">
        <w:rPr>
          <w:rStyle w:val="FootnoteReference"/>
          <w:rFonts w:ascii="Times New Roman" w:hAnsi="Times New Roman" w:cs="Times New Roman"/>
          <w:sz w:val="24"/>
          <w:szCs w:val="24"/>
        </w:rPr>
        <w:footnoteReference w:id="18"/>
      </w:r>
      <w:r w:rsidR="00E95C2B">
        <w:rPr>
          <w:rFonts w:ascii="Times New Roman" w:hAnsi="Times New Roman" w:cs="Times New Roman"/>
          <w:sz w:val="24"/>
          <w:szCs w:val="24"/>
        </w:rPr>
        <w:t>”</w:t>
      </w:r>
      <w:r w:rsidR="00620C2F">
        <w:rPr>
          <w:rFonts w:ascii="Times New Roman" w:hAnsi="Times New Roman" w:cs="Times New Roman"/>
          <w:sz w:val="24"/>
          <w:szCs w:val="24"/>
        </w:rPr>
        <w:t xml:space="preserve"> Similarly to the previous criticisms Wittgenstein had of the automaton language, here he voices  a similar criticism, suggesting that it does not come into consideration in ordinary life because there is no reason for it to come up. When interacting with another person, the concept really does not enter one’s mind because the language that is </w:t>
      </w:r>
      <w:r w:rsidR="004D664A">
        <w:rPr>
          <w:rFonts w:ascii="Times New Roman" w:hAnsi="Times New Roman" w:cs="Times New Roman"/>
          <w:sz w:val="24"/>
          <w:szCs w:val="24"/>
        </w:rPr>
        <w:t>employed in everyday life gives rise to the fact that one and the other have consciousness. “If one sees the behaviour of a living thing, one sees its soul</w:t>
      </w:r>
      <w:r w:rsidR="004D664A">
        <w:rPr>
          <w:rStyle w:val="FootnoteReference"/>
          <w:rFonts w:ascii="Times New Roman" w:hAnsi="Times New Roman" w:cs="Times New Roman"/>
          <w:sz w:val="24"/>
          <w:szCs w:val="24"/>
        </w:rPr>
        <w:footnoteReference w:id="19"/>
      </w:r>
      <w:r w:rsidR="004D664A">
        <w:rPr>
          <w:rFonts w:ascii="Times New Roman" w:hAnsi="Times New Roman" w:cs="Times New Roman"/>
          <w:sz w:val="24"/>
          <w:szCs w:val="24"/>
        </w:rPr>
        <w:t xml:space="preserve">” as Wittgenstein observes. Yet, the statement could also </w:t>
      </w:r>
      <w:r w:rsidR="005471C7">
        <w:rPr>
          <w:rFonts w:ascii="Times New Roman" w:hAnsi="Times New Roman" w:cs="Times New Roman"/>
          <w:sz w:val="24"/>
          <w:szCs w:val="24"/>
        </w:rPr>
        <w:t xml:space="preserve">be invoking a deeper question about why such considerations are not taken when they should. But given what Wittgenstein elaborates on, it refers to the former. </w:t>
      </w:r>
      <w:r w:rsidR="009315F0">
        <w:rPr>
          <w:rFonts w:ascii="Times New Roman" w:hAnsi="Times New Roman" w:cs="Times New Roman"/>
          <w:sz w:val="24"/>
          <w:szCs w:val="24"/>
        </w:rPr>
        <w:t>Besides this, Wittgenstein advances the view that it is not some hidden essence that defines our consciousness or personality or what have you, but it is our own bodies that both confirm consciousness and being. As he advocates in the 271</w:t>
      </w:r>
      <w:r w:rsidR="009315F0" w:rsidRPr="009315F0">
        <w:rPr>
          <w:rFonts w:ascii="Times New Roman" w:hAnsi="Times New Roman" w:cs="Times New Roman"/>
          <w:sz w:val="24"/>
          <w:szCs w:val="24"/>
          <w:vertAlign w:val="superscript"/>
        </w:rPr>
        <w:t>st</w:t>
      </w:r>
      <w:r w:rsidR="009315F0">
        <w:rPr>
          <w:rFonts w:ascii="Times New Roman" w:hAnsi="Times New Roman" w:cs="Times New Roman"/>
          <w:sz w:val="24"/>
          <w:szCs w:val="24"/>
        </w:rPr>
        <w:t xml:space="preserve"> discussion of Philosophical Investigations, </w:t>
      </w:r>
      <w:r w:rsidR="002555EF">
        <w:rPr>
          <w:rFonts w:ascii="Times New Roman" w:hAnsi="Times New Roman" w:cs="Times New Roman"/>
          <w:sz w:val="24"/>
          <w:szCs w:val="24"/>
        </w:rPr>
        <w:t>“a wheel that can be turned though nothing else moves with it, is not part of the mechanism</w:t>
      </w:r>
      <w:r w:rsidR="002555EF">
        <w:rPr>
          <w:rStyle w:val="FootnoteReference"/>
          <w:rFonts w:ascii="Times New Roman" w:hAnsi="Times New Roman" w:cs="Times New Roman"/>
          <w:sz w:val="24"/>
          <w:szCs w:val="24"/>
        </w:rPr>
        <w:footnoteReference w:id="20"/>
      </w:r>
      <w:r w:rsidR="002555EF">
        <w:rPr>
          <w:rFonts w:ascii="Times New Roman" w:hAnsi="Times New Roman" w:cs="Times New Roman"/>
          <w:sz w:val="24"/>
          <w:szCs w:val="24"/>
        </w:rPr>
        <w:t xml:space="preserve">”, which can be interpreted as </w:t>
      </w:r>
      <w:r w:rsidR="002016E3">
        <w:rPr>
          <w:rFonts w:ascii="Times New Roman" w:hAnsi="Times New Roman" w:cs="Times New Roman"/>
          <w:sz w:val="24"/>
          <w:szCs w:val="24"/>
        </w:rPr>
        <w:t xml:space="preserve">Wittgenstein saying that having a dualist approach to human beings is flawed, as the ‘inner </w:t>
      </w:r>
      <w:r w:rsidR="002016E3">
        <w:rPr>
          <w:rFonts w:ascii="Times New Roman" w:hAnsi="Times New Roman" w:cs="Times New Roman"/>
          <w:sz w:val="24"/>
          <w:szCs w:val="24"/>
        </w:rPr>
        <w:lastRenderedPageBreak/>
        <w:t xml:space="preserve">man’ or soul cannot function as part of the mechanism of the human body if it is able to operate independently like the Cartesian’s suggest. </w:t>
      </w:r>
      <w:r w:rsidR="000B51A8">
        <w:rPr>
          <w:rFonts w:ascii="Times New Roman" w:hAnsi="Times New Roman" w:cs="Times New Roman"/>
          <w:sz w:val="24"/>
          <w:szCs w:val="24"/>
        </w:rPr>
        <w:t xml:space="preserve">Finally, Wittgenstein comes back to the language of the Cartesian’s and how it is inapplicable to everyday conversation or language. “Whom do I really inform, if I say ‘I have a </w:t>
      </w:r>
      <w:r w:rsidR="0030313E">
        <w:rPr>
          <w:rFonts w:ascii="Times New Roman" w:hAnsi="Times New Roman" w:cs="Times New Roman"/>
          <w:sz w:val="24"/>
          <w:szCs w:val="24"/>
        </w:rPr>
        <w:t>consciousness</w:t>
      </w:r>
      <w:r w:rsidR="000B51A8">
        <w:rPr>
          <w:rFonts w:ascii="Times New Roman" w:hAnsi="Times New Roman" w:cs="Times New Roman"/>
          <w:sz w:val="24"/>
          <w:szCs w:val="24"/>
        </w:rPr>
        <w:t>’?</w:t>
      </w:r>
      <w:r w:rsidR="000B51A8">
        <w:rPr>
          <w:rStyle w:val="FootnoteReference"/>
          <w:rFonts w:ascii="Times New Roman" w:hAnsi="Times New Roman" w:cs="Times New Roman"/>
          <w:sz w:val="24"/>
          <w:szCs w:val="24"/>
        </w:rPr>
        <w:footnoteReference w:id="21"/>
      </w:r>
      <w:r w:rsidR="000B51A8">
        <w:rPr>
          <w:rFonts w:ascii="Times New Roman" w:hAnsi="Times New Roman" w:cs="Times New Roman"/>
          <w:sz w:val="24"/>
          <w:szCs w:val="24"/>
        </w:rPr>
        <w:t>”</w:t>
      </w:r>
      <w:r w:rsidR="00B13E97">
        <w:rPr>
          <w:rFonts w:ascii="Times New Roman" w:hAnsi="Times New Roman" w:cs="Times New Roman"/>
          <w:sz w:val="24"/>
          <w:szCs w:val="24"/>
        </w:rPr>
        <w:t xml:space="preserve"> is a statement that serves no purpose in the wider language games to Wittgenstein, as it offers nothing </w:t>
      </w:r>
      <w:r w:rsidR="00A60487">
        <w:rPr>
          <w:rFonts w:ascii="Times New Roman" w:hAnsi="Times New Roman" w:cs="Times New Roman"/>
          <w:sz w:val="24"/>
          <w:szCs w:val="24"/>
        </w:rPr>
        <w:t>in relation to explaining a situation. Whereas the “expressions like ‘I see’, ‘I hear’, ‘I am conscious’…</w:t>
      </w:r>
      <w:r w:rsidR="00A60487">
        <w:rPr>
          <w:rStyle w:val="FootnoteReference"/>
          <w:rFonts w:ascii="Times New Roman" w:hAnsi="Times New Roman" w:cs="Times New Roman"/>
          <w:sz w:val="24"/>
          <w:szCs w:val="24"/>
        </w:rPr>
        <w:footnoteReference w:id="22"/>
      </w:r>
      <w:r w:rsidR="00A60487">
        <w:rPr>
          <w:rFonts w:ascii="Times New Roman" w:hAnsi="Times New Roman" w:cs="Times New Roman"/>
          <w:sz w:val="24"/>
          <w:szCs w:val="24"/>
        </w:rPr>
        <w:t>” have a great number of uses</w:t>
      </w:r>
      <w:r w:rsidR="00EA3545">
        <w:rPr>
          <w:rFonts w:ascii="Times New Roman" w:hAnsi="Times New Roman" w:cs="Times New Roman"/>
          <w:sz w:val="24"/>
          <w:szCs w:val="24"/>
        </w:rPr>
        <w:t xml:space="preserve">, as it can inform a friend that “I cannot hear him” if he speaks too quiet or I can remark that “I see what you mean” when I come to witness a previously mentioned problem. It is this practical use of mental state language that Wittgenstein’s ascribes to consciousness and as being infinitely more applicable than the more metaphysical language of separated consciousness and such. Fundamentally, Wittgenstein is saying that there are contexts in which mental state language makes sense and is useful, but to leap to the great and big metaphysical questions as men like Descartes have, is to fundamentally misconstrue the language uses and miss the fact that it doesn’t actually add up to anything like that. </w:t>
      </w:r>
    </w:p>
    <w:p w14:paraId="5A6032DF" w14:textId="4F57EAD8" w:rsidR="00D74A14" w:rsidRDefault="008878A3" w:rsidP="005051DB">
      <w:p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r w:rsidR="00367034">
        <w:rPr>
          <w:rFonts w:ascii="Times New Roman" w:hAnsi="Times New Roman" w:cs="Times New Roman"/>
          <w:sz w:val="24"/>
          <w:szCs w:val="24"/>
        </w:rPr>
        <w:t xml:space="preserve">culminate, Wittgenstein’s philosophy </w:t>
      </w:r>
      <w:r w:rsidR="00FE5D77">
        <w:rPr>
          <w:rFonts w:ascii="Times New Roman" w:hAnsi="Times New Roman" w:cs="Times New Roman"/>
          <w:sz w:val="24"/>
          <w:szCs w:val="24"/>
        </w:rPr>
        <w:t xml:space="preserve">places a great deal of importance upon the notion of what a human being is. Yet it is done in an unorthodox manner, </w:t>
      </w:r>
      <w:r w:rsidR="002451C5">
        <w:rPr>
          <w:rFonts w:ascii="Times New Roman" w:hAnsi="Times New Roman" w:cs="Times New Roman"/>
          <w:sz w:val="24"/>
          <w:szCs w:val="24"/>
        </w:rPr>
        <w:t xml:space="preserve">offering a breakdown of the differing languages offered by each philosophy </w:t>
      </w:r>
      <w:r w:rsidR="009A296A">
        <w:rPr>
          <w:rFonts w:ascii="Times New Roman" w:hAnsi="Times New Roman" w:cs="Times New Roman"/>
          <w:sz w:val="24"/>
          <w:szCs w:val="24"/>
        </w:rPr>
        <w:t xml:space="preserve">and illustrating the reality of how such language is used. </w:t>
      </w:r>
      <w:r w:rsidR="00AB1985">
        <w:rPr>
          <w:rFonts w:ascii="Times New Roman" w:hAnsi="Times New Roman" w:cs="Times New Roman"/>
          <w:sz w:val="24"/>
          <w:szCs w:val="24"/>
        </w:rPr>
        <w:t xml:space="preserve"> </w:t>
      </w:r>
      <w:r w:rsidR="009A296A">
        <w:rPr>
          <w:rFonts w:ascii="Times New Roman" w:hAnsi="Times New Roman" w:cs="Times New Roman"/>
          <w:sz w:val="24"/>
          <w:szCs w:val="24"/>
        </w:rPr>
        <w:t xml:space="preserve">For most of the philosophical positions mentioned in this essay, Wittgenstein’s main criticism of them is that they do not consider their language use outside of their isolated cases. For all of </w:t>
      </w:r>
      <w:r w:rsidR="009C778F">
        <w:rPr>
          <w:rFonts w:ascii="Times New Roman" w:hAnsi="Times New Roman" w:cs="Times New Roman"/>
          <w:sz w:val="24"/>
          <w:szCs w:val="24"/>
        </w:rPr>
        <w:t>Wittgenstein’s</w:t>
      </w:r>
      <w:r w:rsidR="009A296A">
        <w:rPr>
          <w:rFonts w:ascii="Times New Roman" w:hAnsi="Times New Roman" w:cs="Times New Roman"/>
          <w:sz w:val="24"/>
          <w:szCs w:val="24"/>
        </w:rPr>
        <w:t xml:space="preserve"> criticisms, the </w:t>
      </w:r>
      <w:r w:rsidR="009C778F">
        <w:rPr>
          <w:rFonts w:ascii="Times New Roman" w:hAnsi="Times New Roman" w:cs="Times New Roman"/>
          <w:sz w:val="24"/>
          <w:szCs w:val="24"/>
        </w:rPr>
        <w:t>misinterpretation</w:t>
      </w:r>
      <w:r w:rsidR="009A296A">
        <w:rPr>
          <w:rFonts w:ascii="Times New Roman" w:hAnsi="Times New Roman" w:cs="Times New Roman"/>
          <w:sz w:val="24"/>
          <w:szCs w:val="24"/>
        </w:rPr>
        <w:t xml:space="preserve"> of language is</w:t>
      </w:r>
      <w:r w:rsidR="00876BD9">
        <w:rPr>
          <w:rFonts w:ascii="Times New Roman" w:hAnsi="Times New Roman" w:cs="Times New Roman"/>
          <w:sz w:val="24"/>
          <w:szCs w:val="24"/>
        </w:rPr>
        <w:t xml:space="preserve"> a</w:t>
      </w:r>
      <w:r w:rsidR="009A296A">
        <w:rPr>
          <w:rFonts w:ascii="Times New Roman" w:hAnsi="Times New Roman" w:cs="Times New Roman"/>
          <w:sz w:val="24"/>
          <w:szCs w:val="24"/>
        </w:rPr>
        <w:t xml:space="preserve"> key problem that ultimately distracts from the humanity at the centre of his philosophy. Because </w:t>
      </w:r>
      <w:r w:rsidR="00D74A14">
        <w:rPr>
          <w:rFonts w:ascii="Times New Roman" w:hAnsi="Times New Roman" w:cs="Times New Roman"/>
          <w:sz w:val="24"/>
          <w:szCs w:val="24"/>
        </w:rPr>
        <w:t xml:space="preserve">at its </w:t>
      </w:r>
      <w:r w:rsidR="00923073">
        <w:rPr>
          <w:rFonts w:ascii="Times New Roman" w:hAnsi="Times New Roman" w:cs="Times New Roman"/>
          <w:sz w:val="24"/>
          <w:szCs w:val="24"/>
        </w:rPr>
        <w:t>core, human</w:t>
      </w:r>
      <w:r w:rsidR="00D74A14">
        <w:rPr>
          <w:rFonts w:ascii="Times New Roman" w:hAnsi="Times New Roman" w:cs="Times New Roman"/>
          <w:sz w:val="24"/>
          <w:szCs w:val="24"/>
        </w:rPr>
        <w:t xml:space="preserve"> beings are very important to Wittgenstein’s later philosophy</w:t>
      </w:r>
      <w:r w:rsidR="002451C5">
        <w:rPr>
          <w:rFonts w:ascii="Times New Roman" w:hAnsi="Times New Roman" w:cs="Times New Roman"/>
          <w:sz w:val="24"/>
          <w:szCs w:val="24"/>
        </w:rPr>
        <w:t xml:space="preserve"> for the reason of his</w:t>
      </w:r>
      <w:r w:rsidR="009A296A">
        <w:rPr>
          <w:rFonts w:ascii="Times New Roman" w:hAnsi="Times New Roman" w:cs="Times New Roman"/>
          <w:sz w:val="24"/>
          <w:szCs w:val="24"/>
        </w:rPr>
        <w:t xml:space="preserve"> preoccupation</w:t>
      </w:r>
      <w:r w:rsidR="00D74A14">
        <w:rPr>
          <w:rFonts w:ascii="Times New Roman" w:hAnsi="Times New Roman" w:cs="Times New Roman"/>
          <w:sz w:val="24"/>
          <w:szCs w:val="24"/>
        </w:rPr>
        <w:t xml:space="preserve">. For as stated in the introduction, a philosophy that </w:t>
      </w:r>
      <w:r w:rsidR="009A296A">
        <w:rPr>
          <w:rFonts w:ascii="Times New Roman" w:hAnsi="Times New Roman" w:cs="Times New Roman"/>
          <w:sz w:val="24"/>
          <w:szCs w:val="24"/>
        </w:rPr>
        <w:t xml:space="preserve">is so </w:t>
      </w:r>
      <w:r w:rsidR="00D74A14">
        <w:rPr>
          <w:rFonts w:ascii="Times New Roman" w:hAnsi="Times New Roman" w:cs="Times New Roman"/>
          <w:sz w:val="24"/>
          <w:szCs w:val="24"/>
        </w:rPr>
        <w:t>focuse</w:t>
      </w:r>
      <w:r w:rsidR="009A296A">
        <w:rPr>
          <w:rFonts w:ascii="Times New Roman" w:hAnsi="Times New Roman" w:cs="Times New Roman"/>
          <w:sz w:val="24"/>
          <w:szCs w:val="24"/>
        </w:rPr>
        <w:t>d</w:t>
      </w:r>
      <w:r w:rsidR="00D74A14">
        <w:rPr>
          <w:rFonts w:ascii="Times New Roman" w:hAnsi="Times New Roman" w:cs="Times New Roman"/>
          <w:sz w:val="24"/>
          <w:szCs w:val="24"/>
        </w:rPr>
        <w:t xml:space="preserve"> on language, the human side cannot be excluded for long. For </w:t>
      </w:r>
      <w:r w:rsidR="002F54E9">
        <w:rPr>
          <w:rFonts w:ascii="Times New Roman" w:hAnsi="Times New Roman" w:cs="Times New Roman"/>
          <w:sz w:val="24"/>
          <w:szCs w:val="24"/>
        </w:rPr>
        <w:t xml:space="preserve">communication, and from this language, are the fundamental aspect of </w:t>
      </w:r>
      <w:r w:rsidR="00923073">
        <w:rPr>
          <w:rFonts w:ascii="Times New Roman" w:hAnsi="Times New Roman" w:cs="Times New Roman"/>
          <w:sz w:val="24"/>
          <w:szCs w:val="24"/>
        </w:rPr>
        <w:t>human’s</w:t>
      </w:r>
      <w:r w:rsidR="002F54E9">
        <w:rPr>
          <w:rFonts w:ascii="Times New Roman" w:hAnsi="Times New Roman" w:cs="Times New Roman"/>
          <w:sz w:val="24"/>
          <w:szCs w:val="24"/>
        </w:rPr>
        <w:t xml:space="preserve"> beings</w:t>
      </w:r>
      <w:r w:rsidR="009A296A">
        <w:rPr>
          <w:rFonts w:ascii="Times New Roman" w:hAnsi="Times New Roman" w:cs="Times New Roman"/>
          <w:sz w:val="24"/>
          <w:szCs w:val="24"/>
        </w:rPr>
        <w:t xml:space="preserve"> and without which Wittgenstein could not formulate his ideas. Therefore, the notion of a human being is of vital importance for it is language that is the lifeblood of man. </w:t>
      </w:r>
    </w:p>
    <w:p w14:paraId="38AA7800" w14:textId="3991A6BB" w:rsidR="009C778F" w:rsidRDefault="009C778F" w:rsidP="005051DB">
      <w:pPr>
        <w:spacing w:line="360" w:lineRule="auto"/>
        <w:rPr>
          <w:rFonts w:ascii="Times New Roman" w:hAnsi="Times New Roman" w:cs="Times New Roman"/>
          <w:sz w:val="24"/>
          <w:szCs w:val="24"/>
        </w:rPr>
      </w:pPr>
    </w:p>
    <w:p w14:paraId="23B62469" w14:textId="77777777" w:rsidR="009C778F" w:rsidRDefault="009C778F">
      <w:pPr>
        <w:rPr>
          <w:rFonts w:ascii="Times New Roman" w:hAnsi="Times New Roman" w:cs="Times New Roman"/>
          <w:sz w:val="24"/>
          <w:szCs w:val="24"/>
        </w:rPr>
      </w:pPr>
      <w:r>
        <w:rPr>
          <w:rFonts w:ascii="Times New Roman" w:hAnsi="Times New Roman" w:cs="Times New Roman"/>
          <w:sz w:val="24"/>
          <w:szCs w:val="24"/>
        </w:rPr>
        <w:br w:type="page"/>
      </w:r>
    </w:p>
    <w:p w14:paraId="5530CC35" w14:textId="6ED5813B" w:rsidR="000311B5" w:rsidRDefault="009C778F" w:rsidP="009C778F">
      <w:pPr>
        <w:spacing w:line="360" w:lineRule="auto"/>
        <w:rPr>
          <w:rFonts w:ascii="Times New Roman" w:hAnsi="Times New Roman" w:cs="Times New Roman"/>
          <w:b/>
          <w:bCs/>
          <w:sz w:val="28"/>
          <w:szCs w:val="28"/>
          <w:u w:val="single"/>
        </w:rPr>
      </w:pPr>
      <w:r w:rsidRPr="009C778F">
        <w:rPr>
          <w:rFonts w:ascii="Times New Roman" w:hAnsi="Times New Roman" w:cs="Times New Roman"/>
          <w:b/>
          <w:bCs/>
          <w:sz w:val="28"/>
          <w:szCs w:val="28"/>
          <w:u w:val="single"/>
        </w:rPr>
        <w:lastRenderedPageBreak/>
        <w:t xml:space="preserve">Bibliography </w:t>
      </w:r>
    </w:p>
    <w:p w14:paraId="53D65B27" w14:textId="4C16FD1F" w:rsidR="00310E20" w:rsidRPr="000311B5" w:rsidRDefault="00310E20" w:rsidP="009C778F">
      <w:pPr>
        <w:spacing w:line="360" w:lineRule="auto"/>
        <w:rPr>
          <w:rFonts w:ascii="Times New Roman" w:hAnsi="Times New Roman" w:cs="Times New Roman"/>
          <w:sz w:val="24"/>
          <w:szCs w:val="24"/>
        </w:rPr>
      </w:pPr>
      <w:r w:rsidRPr="000311B5">
        <w:rPr>
          <w:rFonts w:ascii="Times New Roman" w:hAnsi="Times New Roman" w:cs="Times New Roman"/>
          <w:sz w:val="24"/>
          <w:szCs w:val="24"/>
        </w:rPr>
        <w:t xml:space="preserve">Hacker, P. M. S., </w:t>
      </w:r>
      <w:r w:rsidRPr="000311B5">
        <w:rPr>
          <w:rFonts w:ascii="Times New Roman" w:hAnsi="Times New Roman" w:cs="Times New Roman"/>
          <w:i/>
          <w:iCs/>
          <w:sz w:val="24"/>
          <w:szCs w:val="24"/>
        </w:rPr>
        <w:t xml:space="preserve">Wittgenstein: On Human Nature. </w:t>
      </w:r>
      <w:r w:rsidRPr="000311B5">
        <w:rPr>
          <w:rFonts w:ascii="Times New Roman" w:hAnsi="Times New Roman" w:cs="Times New Roman"/>
          <w:sz w:val="24"/>
          <w:szCs w:val="24"/>
        </w:rPr>
        <w:t xml:space="preserve">London: Orion Publishing Group Ltd, 1999. </w:t>
      </w:r>
    </w:p>
    <w:p w14:paraId="0E2D7FCB" w14:textId="77777777" w:rsidR="000311B5" w:rsidRPr="000311B5" w:rsidRDefault="000311B5" w:rsidP="000311B5">
      <w:pPr>
        <w:spacing w:line="360" w:lineRule="auto"/>
        <w:rPr>
          <w:rFonts w:ascii="Times New Roman" w:hAnsi="Times New Roman" w:cs="Times New Roman"/>
          <w:color w:val="1A1A1A"/>
          <w:sz w:val="24"/>
          <w:szCs w:val="24"/>
          <w:shd w:val="clear" w:color="auto" w:fill="FFFFFF"/>
        </w:rPr>
      </w:pPr>
      <w:r w:rsidRPr="000311B5">
        <w:rPr>
          <w:rFonts w:ascii="Times New Roman" w:hAnsi="Times New Roman" w:cs="Times New Roman"/>
          <w:color w:val="1A1A1A"/>
          <w:sz w:val="24"/>
          <w:szCs w:val="24"/>
          <w:shd w:val="clear" w:color="auto" w:fill="FFFFFF"/>
        </w:rPr>
        <w:t xml:space="preserve">Lokhorst, Gert-Jan, "Descartes and the Pineal Gland", </w:t>
      </w:r>
      <w:r w:rsidRPr="000311B5">
        <w:rPr>
          <w:rStyle w:val="Emphasis"/>
          <w:rFonts w:ascii="Times New Roman" w:hAnsi="Times New Roman" w:cs="Times New Roman"/>
          <w:color w:val="1A1A1A"/>
          <w:sz w:val="24"/>
          <w:szCs w:val="24"/>
        </w:rPr>
        <w:t xml:space="preserve">The Stanford Encyclopedia of Philosophy. </w:t>
      </w:r>
      <w:r w:rsidRPr="000311B5">
        <w:rPr>
          <w:rFonts w:ascii="Times New Roman" w:hAnsi="Times New Roman" w:cs="Times New Roman"/>
          <w:color w:val="1A1A1A"/>
          <w:sz w:val="24"/>
          <w:szCs w:val="24"/>
          <w:shd w:val="clear" w:color="auto" w:fill="FFFFFF"/>
        </w:rPr>
        <w:t xml:space="preserve">Winter 2018 Edition. (2018). Available Online: </w:t>
      </w:r>
      <w:hyperlink r:id="rId8" w:history="1">
        <w:r w:rsidRPr="000311B5">
          <w:rPr>
            <w:rStyle w:val="Hyperlink"/>
            <w:rFonts w:ascii="Times New Roman" w:hAnsi="Times New Roman" w:cs="Times New Roman"/>
            <w:sz w:val="24"/>
            <w:szCs w:val="24"/>
            <w:shd w:val="clear" w:color="auto" w:fill="FFFFFF"/>
          </w:rPr>
          <w:t>https://plato.stanford.edu/archives/win2018/entries/pineal-gland/</w:t>
        </w:r>
      </w:hyperlink>
      <w:r w:rsidRPr="000311B5">
        <w:rPr>
          <w:rFonts w:ascii="Times New Roman" w:hAnsi="Times New Roman" w:cs="Times New Roman"/>
          <w:color w:val="1A1A1A"/>
          <w:sz w:val="24"/>
          <w:szCs w:val="24"/>
          <w:shd w:val="clear" w:color="auto" w:fill="FFFFFF"/>
        </w:rPr>
        <w:t>. [Accessed: 22/12/2019]</w:t>
      </w:r>
    </w:p>
    <w:p w14:paraId="46E0B13D" w14:textId="77777777" w:rsidR="000311B5" w:rsidRPr="000311B5" w:rsidRDefault="000311B5" w:rsidP="000311B5">
      <w:pPr>
        <w:spacing w:line="360" w:lineRule="auto"/>
        <w:rPr>
          <w:rFonts w:ascii="Times New Roman" w:hAnsi="Times New Roman" w:cs="Times New Roman"/>
          <w:color w:val="1A1A1A"/>
          <w:sz w:val="24"/>
          <w:szCs w:val="24"/>
          <w:shd w:val="clear" w:color="auto" w:fill="FFFFFF"/>
        </w:rPr>
      </w:pPr>
      <w:bookmarkStart w:id="1" w:name="_Hlk27935501"/>
      <w:r w:rsidRPr="000311B5">
        <w:rPr>
          <w:rFonts w:ascii="Times New Roman" w:hAnsi="Times New Roman" w:cs="Times New Roman"/>
          <w:color w:val="1A1A1A"/>
          <w:sz w:val="24"/>
          <w:szCs w:val="24"/>
          <w:shd w:val="clear" w:color="auto" w:fill="FFFFFF"/>
        </w:rPr>
        <w:t xml:space="preserve">R. Descartes. </w:t>
      </w:r>
      <w:r w:rsidRPr="000311B5">
        <w:rPr>
          <w:rFonts w:ascii="Times New Roman" w:hAnsi="Times New Roman" w:cs="Times New Roman"/>
          <w:i/>
          <w:iCs/>
          <w:color w:val="1A1A1A"/>
          <w:sz w:val="24"/>
          <w:szCs w:val="24"/>
          <w:shd w:val="clear" w:color="auto" w:fill="FFFFFF"/>
        </w:rPr>
        <w:t>Meditations on First Philosophy</w:t>
      </w:r>
      <w:r w:rsidRPr="000311B5">
        <w:rPr>
          <w:rFonts w:ascii="Times New Roman" w:hAnsi="Times New Roman" w:cs="Times New Roman"/>
          <w:color w:val="1A1A1A"/>
          <w:sz w:val="24"/>
          <w:szCs w:val="24"/>
          <w:shd w:val="clear" w:color="auto" w:fill="FFFFFF"/>
        </w:rPr>
        <w:t xml:space="preserve">. Translated by Elizabeth S. Haldane. Cambridge: Cambridge University Press, 1996. </w:t>
      </w:r>
      <w:bookmarkEnd w:id="1"/>
    </w:p>
    <w:p w14:paraId="28F96F5F" w14:textId="1123BEE3" w:rsidR="000311B5" w:rsidRPr="000311B5" w:rsidRDefault="000311B5" w:rsidP="009C778F">
      <w:pPr>
        <w:spacing w:line="360" w:lineRule="auto"/>
        <w:rPr>
          <w:rFonts w:ascii="Times New Roman" w:hAnsi="Times New Roman" w:cs="Times New Roman"/>
          <w:color w:val="1A1A1A"/>
          <w:sz w:val="24"/>
          <w:szCs w:val="24"/>
          <w:shd w:val="clear" w:color="auto" w:fill="FFFFFF"/>
        </w:rPr>
      </w:pPr>
      <w:bookmarkStart w:id="2" w:name="_Hlk27935012"/>
      <w:r w:rsidRPr="000311B5">
        <w:rPr>
          <w:rFonts w:ascii="Times New Roman" w:hAnsi="Times New Roman" w:cs="Times New Roman"/>
          <w:color w:val="1A1A1A"/>
          <w:sz w:val="24"/>
          <w:szCs w:val="24"/>
          <w:shd w:val="clear" w:color="auto" w:fill="FFFFFF"/>
        </w:rPr>
        <w:t xml:space="preserve">Stoljar, Daniel, "Physicalism", </w:t>
      </w:r>
      <w:r w:rsidRPr="000311B5">
        <w:rPr>
          <w:rStyle w:val="Emphasis"/>
          <w:rFonts w:ascii="Times New Roman" w:hAnsi="Times New Roman" w:cs="Times New Roman"/>
          <w:color w:val="1A1A1A"/>
          <w:sz w:val="24"/>
          <w:szCs w:val="24"/>
        </w:rPr>
        <w:t xml:space="preserve">The Stanford Encyclopedia of Philosophy. </w:t>
      </w:r>
      <w:r w:rsidRPr="000311B5">
        <w:rPr>
          <w:rFonts w:ascii="Times New Roman" w:hAnsi="Times New Roman" w:cs="Times New Roman"/>
          <w:color w:val="1A1A1A"/>
          <w:sz w:val="24"/>
          <w:szCs w:val="24"/>
          <w:shd w:val="clear" w:color="auto" w:fill="FFFFFF"/>
        </w:rPr>
        <w:t xml:space="preserve">Winter 2017 Edition, (2017).  Available Online: </w:t>
      </w:r>
      <w:hyperlink r:id="rId9" w:history="1">
        <w:r w:rsidRPr="000311B5">
          <w:rPr>
            <w:rStyle w:val="Hyperlink"/>
            <w:rFonts w:ascii="Times New Roman" w:hAnsi="Times New Roman" w:cs="Times New Roman"/>
            <w:sz w:val="24"/>
            <w:szCs w:val="24"/>
            <w:shd w:val="clear" w:color="auto" w:fill="FFFFFF"/>
          </w:rPr>
          <w:t>https://plato.stanford.edu/archives/win2017/entries/physicalism/</w:t>
        </w:r>
      </w:hyperlink>
      <w:r w:rsidRPr="000311B5">
        <w:rPr>
          <w:rFonts w:ascii="Times New Roman" w:hAnsi="Times New Roman" w:cs="Times New Roman"/>
          <w:color w:val="1A1A1A"/>
          <w:sz w:val="24"/>
          <w:szCs w:val="24"/>
          <w:shd w:val="clear" w:color="auto" w:fill="FFFFFF"/>
        </w:rPr>
        <w:t>. [Accessed: 22/12/2019]</w:t>
      </w:r>
      <w:bookmarkEnd w:id="2"/>
    </w:p>
    <w:p w14:paraId="0C01F701" w14:textId="28DB3ACD" w:rsidR="009C778F" w:rsidRPr="000311B5" w:rsidRDefault="00310E20" w:rsidP="009C778F">
      <w:pPr>
        <w:spacing w:line="360" w:lineRule="auto"/>
        <w:rPr>
          <w:rFonts w:ascii="Times New Roman" w:hAnsi="Times New Roman" w:cs="Times New Roman"/>
          <w:sz w:val="24"/>
          <w:szCs w:val="24"/>
        </w:rPr>
      </w:pPr>
      <w:bookmarkStart w:id="3" w:name="_Hlk27934597"/>
      <w:r w:rsidRPr="000311B5">
        <w:rPr>
          <w:rFonts w:ascii="Times New Roman" w:hAnsi="Times New Roman" w:cs="Times New Roman"/>
          <w:sz w:val="24"/>
          <w:szCs w:val="24"/>
        </w:rPr>
        <w:t>Wittgenstein</w:t>
      </w:r>
      <w:r w:rsidRPr="000311B5">
        <w:rPr>
          <w:rFonts w:ascii="Times New Roman" w:hAnsi="Times New Roman" w:cs="Times New Roman"/>
          <w:sz w:val="24"/>
          <w:szCs w:val="24"/>
        </w:rPr>
        <w:t xml:space="preserve">, </w:t>
      </w:r>
      <w:r w:rsidR="009C778F" w:rsidRPr="000311B5">
        <w:rPr>
          <w:rFonts w:ascii="Times New Roman" w:hAnsi="Times New Roman" w:cs="Times New Roman"/>
          <w:sz w:val="24"/>
          <w:szCs w:val="24"/>
        </w:rPr>
        <w:t xml:space="preserve">L. </w:t>
      </w:r>
      <w:r w:rsidR="009C778F" w:rsidRPr="000311B5">
        <w:rPr>
          <w:rFonts w:ascii="Times New Roman" w:hAnsi="Times New Roman" w:cs="Times New Roman"/>
          <w:i/>
          <w:iCs/>
          <w:sz w:val="24"/>
          <w:szCs w:val="24"/>
        </w:rPr>
        <w:t>Philosophical</w:t>
      </w:r>
      <w:r w:rsidR="009C778F" w:rsidRPr="000311B5">
        <w:rPr>
          <w:rFonts w:ascii="Times New Roman" w:hAnsi="Times New Roman" w:cs="Times New Roman"/>
          <w:i/>
          <w:iCs/>
          <w:sz w:val="24"/>
          <w:szCs w:val="24"/>
        </w:rPr>
        <w:t xml:space="preserve"> Investigations</w:t>
      </w:r>
      <w:r w:rsidR="009C778F" w:rsidRPr="000311B5">
        <w:rPr>
          <w:rFonts w:ascii="Times New Roman" w:hAnsi="Times New Roman" w:cs="Times New Roman"/>
          <w:i/>
          <w:iCs/>
          <w:sz w:val="24"/>
          <w:szCs w:val="24"/>
        </w:rPr>
        <w:t>.</w:t>
      </w:r>
      <w:r w:rsidR="009C778F" w:rsidRPr="000311B5">
        <w:rPr>
          <w:rFonts w:ascii="Times New Roman" w:hAnsi="Times New Roman" w:cs="Times New Roman"/>
          <w:sz w:val="24"/>
          <w:szCs w:val="24"/>
        </w:rPr>
        <w:t xml:space="preserve"> </w:t>
      </w:r>
      <w:r w:rsidR="00B6437C" w:rsidRPr="000311B5">
        <w:rPr>
          <w:rFonts w:ascii="Times New Roman" w:hAnsi="Times New Roman" w:cs="Times New Roman"/>
          <w:sz w:val="24"/>
          <w:szCs w:val="24"/>
        </w:rPr>
        <w:t>3</w:t>
      </w:r>
      <w:r w:rsidR="00B6437C" w:rsidRPr="000311B5">
        <w:rPr>
          <w:rFonts w:ascii="Times New Roman" w:hAnsi="Times New Roman" w:cs="Times New Roman"/>
          <w:sz w:val="24"/>
          <w:szCs w:val="24"/>
          <w:vertAlign w:val="superscript"/>
        </w:rPr>
        <w:t>rd</w:t>
      </w:r>
      <w:r w:rsidR="00B6437C" w:rsidRPr="000311B5">
        <w:rPr>
          <w:rFonts w:ascii="Times New Roman" w:hAnsi="Times New Roman" w:cs="Times New Roman"/>
          <w:sz w:val="24"/>
          <w:szCs w:val="24"/>
        </w:rPr>
        <w:t xml:space="preserve"> Edition. </w:t>
      </w:r>
      <w:r w:rsidR="009C778F" w:rsidRPr="000311B5">
        <w:rPr>
          <w:rFonts w:ascii="Times New Roman" w:hAnsi="Times New Roman" w:cs="Times New Roman"/>
          <w:sz w:val="24"/>
          <w:szCs w:val="24"/>
        </w:rPr>
        <w:t xml:space="preserve">Translated by G. E. M. Anscombe. Oxford: Basil Blackwell Ltd, 1995. </w:t>
      </w:r>
    </w:p>
    <w:bookmarkEnd w:id="3"/>
    <w:p w14:paraId="03B12E3A" w14:textId="13FCB0A4" w:rsidR="009C778F" w:rsidRPr="000311B5" w:rsidRDefault="00310E20" w:rsidP="009C778F">
      <w:pPr>
        <w:spacing w:line="360" w:lineRule="auto"/>
        <w:rPr>
          <w:rFonts w:ascii="Times New Roman" w:hAnsi="Times New Roman" w:cs="Times New Roman"/>
          <w:sz w:val="24"/>
          <w:szCs w:val="24"/>
        </w:rPr>
      </w:pPr>
      <w:r w:rsidRPr="000311B5">
        <w:rPr>
          <w:rFonts w:ascii="Times New Roman" w:hAnsi="Times New Roman" w:cs="Times New Roman"/>
          <w:sz w:val="24"/>
          <w:szCs w:val="24"/>
        </w:rPr>
        <w:t xml:space="preserve">Wittgenstein, </w:t>
      </w:r>
      <w:r w:rsidR="009C778F" w:rsidRPr="000311B5">
        <w:rPr>
          <w:rFonts w:ascii="Times New Roman" w:hAnsi="Times New Roman" w:cs="Times New Roman"/>
          <w:sz w:val="24"/>
          <w:szCs w:val="24"/>
        </w:rPr>
        <w:t xml:space="preserve">L. </w:t>
      </w:r>
      <w:r w:rsidR="009C778F" w:rsidRPr="000311B5">
        <w:rPr>
          <w:rFonts w:ascii="Times New Roman" w:hAnsi="Times New Roman" w:cs="Times New Roman"/>
          <w:i/>
          <w:iCs/>
          <w:sz w:val="24"/>
          <w:szCs w:val="24"/>
        </w:rPr>
        <w:t xml:space="preserve">Preliminary Studies for </w:t>
      </w:r>
      <w:r w:rsidR="000311B5" w:rsidRPr="000311B5">
        <w:rPr>
          <w:rFonts w:ascii="Times New Roman" w:hAnsi="Times New Roman" w:cs="Times New Roman"/>
          <w:i/>
          <w:iCs/>
          <w:sz w:val="24"/>
          <w:szCs w:val="24"/>
        </w:rPr>
        <w:t>the</w:t>
      </w:r>
      <w:r w:rsidR="009C778F" w:rsidRPr="000311B5">
        <w:rPr>
          <w:rFonts w:ascii="Times New Roman" w:hAnsi="Times New Roman" w:cs="Times New Roman"/>
          <w:i/>
          <w:iCs/>
          <w:sz w:val="24"/>
          <w:szCs w:val="24"/>
        </w:rPr>
        <w:t xml:space="preserve"> ‘Philosophical Investigations’, generally known as The Blue and Brown Books</w:t>
      </w:r>
      <w:r w:rsidRPr="000311B5">
        <w:rPr>
          <w:rFonts w:ascii="Times New Roman" w:hAnsi="Times New Roman" w:cs="Times New Roman"/>
          <w:sz w:val="24"/>
          <w:szCs w:val="24"/>
        </w:rPr>
        <w:t>.</w:t>
      </w:r>
      <w:r w:rsidR="009C778F" w:rsidRPr="000311B5">
        <w:rPr>
          <w:rFonts w:ascii="Times New Roman" w:hAnsi="Times New Roman" w:cs="Times New Roman"/>
          <w:sz w:val="24"/>
          <w:szCs w:val="24"/>
        </w:rPr>
        <w:t xml:space="preserve"> New York: Harper &amp; Row, 1965. </w:t>
      </w:r>
    </w:p>
    <w:p w14:paraId="0D111EE6" w14:textId="64DB1659" w:rsidR="00B06B4D" w:rsidRDefault="00B06B4D" w:rsidP="005051DB">
      <w:pPr>
        <w:spacing w:line="360" w:lineRule="auto"/>
        <w:rPr>
          <w:rFonts w:ascii="Source Sans Pro" w:hAnsi="Source Sans Pro"/>
          <w:color w:val="1A1A1A"/>
          <w:sz w:val="23"/>
          <w:szCs w:val="23"/>
          <w:shd w:val="clear" w:color="auto" w:fill="FFFFFF"/>
        </w:rPr>
      </w:pPr>
    </w:p>
    <w:p w14:paraId="02A6F282" w14:textId="59B2079E" w:rsidR="000311B5" w:rsidRDefault="000311B5" w:rsidP="005051DB">
      <w:pPr>
        <w:spacing w:line="360" w:lineRule="auto"/>
        <w:rPr>
          <w:rFonts w:ascii="Source Sans Pro" w:hAnsi="Source Sans Pro"/>
          <w:color w:val="1A1A1A"/>
          <w:sz w:val="23"/>
          <w:szCs w:val="23"/>
          <w:shd w:val="clear" w:color="auto" w:fill="FFFFFF"/>
        </w:rPr>
      </w:pPr>
    </w:p>
    <w:p w14:paraId="028C4B11" w14:textId="77777777" w:rsidR="000311B5" w:rsidRPr="00310E20" w:rsidRDefault="000311B5">
      <w:pPr>
        <w:spacing w:line="360" w:lineRule="auto"/>
        <w:rPr>
          <w:rFonts w:ascii="Source Sans Pro" w:hAnsi="Source Sans Pro"/>
          <w:color w:val="1A1A1A"/>
          <w:sz w:val="23"/>
          <w:szCs w:val="23"/>
          <w:shd w:val="clear" w:color="auto" w:fill="FFFFFF"/>
        </w:rPr>
      </w:pPr>
    </w:p>
    <w:sectPr w:rsidR="000311B5" w:rsidRPr="00310E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73411" w14:textId="77777777" w:rsidR="00370A5C" w:rsidRDefault="00370A5C" w:rsidP="00B56445">
      <w:pPr>
        <w:spacing w:after="0" w:line="240" w:lineRule="auto"/>
      </w:pPr>
      <w:r>
        <w:separator/>
      </w:r>
    </w:p>
  </w:endnote>
  <w:endnote w:type="continuationSeparator" w:id="0">
    <w:p w14:paraId="02E2279E" w14:textId="77777777" w:rsidR="00370A5C" w:rsidRDefault="00370A5C" w:rsidP="00B56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0A946" w14:textId="77777777" w:rsidR="00370A5C" w:rsidRDefault="00370A5C" w:rsidP="00B56445">
      <w:pPr>
        <w:spacing w:after="0" w:line="240" w:lineRule="auto"/>
      </w:pPr>
      <w:r>
        <w:separator/>
      </w:r>
    </w:p>
  </w:footnote>
  <w:footnote w:type="continuationSeparator" w:id="0">
    <w:p w14:paraId="6F37382A" w14:textId="77777777" w:rsidR="00370A5C" w:rsidRDefault="00370A5C" w:rsidP="00B56445">
      <w:pPr>
        <w:spacing w:after="0" w:line="240" w:lineRule="auto"/>
      </w:pPr>
      <w:r>
        <w:continuationSeparator/>
      </w:r>
    </w:p>
  </w:footnote>
  <w:footnote w:id="1">
    <w:p w14:paraId="39A41171" w14:textId="3C0CF674" w:rsidR="00370A5C" w:rsidRDefault="00370A5C">
      <w:pPr>
        <w:pStyle w:val="FootnoteText"/>
      </w:pPr>
      <w:r>
        <w:rPr>
          <w:rStyle w:val="FootnoteReference"/>
        </w:rPr>
        <w:footnoteRef/>
      </w:r>
      <w:r w:rsidR="00310E20" w:rsidRPr="00310E20">
        <w:t xml:space="preserve">Daniel Stoljar, "Physicalism", </w:t>
      </w:r>
      <w:r w:rsidR="00310E20" w:rsidRPr="00310E20">
        <w:rPr>
          <w:i/>
          <w:iCs/>
        </w:rPr>
        <w:t xml:space="preserve">The Stanford Encyclopedia of Philosophy. </w:t>
      </w:r>
      <w:r w:rsidR="00310E20" w:rsidRPr="00310E20">
        <w:t xml:space="preserve">Winter 2017 Edition, (2017).  Available Online: </w:t>
      </w:r>
      <w:hyperlink r:id="rId1" w:history="1">
        <w:r w:rsidR="00310E20" w:rsidRPr="00310E20">
          <w:rPr>
            <w:rStyle w:val="Hyperlink"/>
          </w:rPr>
          <w:t>https://plato.stanford.edu/archives/win2017/entries/physicalism/</w:t>
        </w:r>
      </w:hyperlink>
      <w:r w:rsidR="00310E20" w:rsidRPr="00310E20">
        <w:t>. [Accessed: 22/12/2019]</w:t>
      </w:r>
    </w:p>
  </w:footnote>
  <w:footnote w:id="2">
    <w:p w14:paraId="1EE983C5" w14:textId="4D3821D8" w:rsidR="00370A5C" w:rsidRDefault="00370A5C">
      <w:pPr>
        <w:pStyle w:val="FootnoteText"/>
      </w:pPr>
      <w:r w:rsidRPr="00310E20">
        <w:rPr>
          <w:rStyle w:val="FootnoteReference"/>
          <w:rFonts w:ascii="Times New Roman" w:hAnsi="Times New Roman" w:cs="Times New Roman"/>
        </w:rPr>
        <w:footnoteRef/>
      </w:r>
      <w:r w:rsidRPr="00310E20">
        <w:rPr>
          <w:rFonts w:ascii="Times New Roman" w:hAnsi="Times New Roman" w:cs="Times New Roman"/>
        </w:rPr>
        <w:t xml:space="preserve"> </w:t>
      </w:r>
      <w:r w:rsidR="00310E20" w:rsidRPr="00310E20">
        <w:rPr>
          <w:rFonts w:ascii="Times New Roman" w:hAnsi="Times New Roman" w:cs="Times New Roman"/>
        </w:rPr>
        <w:t xml:space="preserve">L. Wittgenstein, </w:t>
      </w:r>
      <w:r w:rsidR="00310E20" w:rsidRPr="00310E20">
        <w:rPr>
          <w:rFonts w:ascii="Times New Roman" w:hAnsi="Times New Roman" w:cs="Times New Roman"/>
          <w:i/>
          <w:iCs/>
        </w:rPr>
        <w:t>Philosophical Investigations</w:t>
      </w:r>
      <w:r w:rsidR="00310E20" w:rsidRPr="00310E20">
        <w:rPr>
          <w:rFonts w:ascii="Times New Roman" w:hAnsi="Times New Roman" w:cs="Times New Roman"/>
        </w:rPr>
        <w:t>. 3rd Edition. Translated by G. E. M. Anscombe. (Oxford: Basil Blackwell Ltd, 1995)</w:t>
      </w:r>
      <w:r w:rsidR="00310E20" w:rsidRPr="00310E20">
        <w:t xml:space="preserve">. </w:t>
      </w:r>
      <w:r>
        <w:t xml:space="preserve"> 97</w:t>
      </w:r>
    </w:p>
  </w:footnote>
  <w:footnote w:id="3">
    <w:p w14:paraId="19B68509" w14:textId="204DC51F" w:rsidR="00370A5C" w:rsidRDefault="00370A5C">
      <w:pPr>
        <w:pStyle w:val="FootnoteText"/>
      </w:pPr>
      <w:r>
        <w:rPr>
          <w:rStyle w:val="FootnoteReference"/>
        </w:rPr>
        <w:footnoteRef/>
      </w:r>
      <w:r>
        <w:t xml:space="preserve"> </w:t>
      </w:r>
      <w:r w:rsidR="00310E20">
        <w:t xml:space="preserve">Ibid. </w:t>
      </w:r>
      <w:r>
        <w:t>97</w:t>
      </w:r>
      <w:r w:rsidR="00310E20">
        <w:t>.</w:t>
      </w:r>
    </w:p>
  </w:footnote>
  <w:footnote w:id="4">
    <w:p w14:paraId="553951F0" w14:textId="13093F14" w:rsidR="00310E20" w:rsidRDefault="00370A5C">
      <w:pPr>
        <w:pStyle w:val="FootnoteText"/>
      </w:pPr>
      <w:r>
        <w:rPr>
          <w:rStyle w:val="FootnoteReference"/>
        </w:rPr>
        <w:footnoteRef/>
      </w:r>
      <w:r>
        <w:t xml:space="preserve"> </w:t>
      </w:r>
      <w:r w:rsidR="00310E20">
        <w:t>Ibid.</w:t>
      </w:r>
      <w:r>
        <w:t xml:space="preserve"> 97</w:t>
      </w:r>
      <w:r w:rsidR="00310E20">
        <w:t>.</w:t>
      </w:r>
    </w:p>
  </w:footnote>
  <w:footnote w:id="5">
    <w:p w14:paraId="408C4B6E" w14:textId="71B43FFE" w:rsidR="00370A5C" w:rsidRDefault="00370A5C">
      <w:pPr>
        <w:pStyle w:val="FootnoteText"/>
      </w:pPr>
      <w:r>
        <w:rPr>
          <w:rStyle w:val="FootnoteReference"/>
        </w:rPr>
        <w:footnoteRef/>
      </w:r>
      <w:r>
        <w:t xml:space="preserve"> </w:t>
      </w:r>
      <w:r w:rsidR="00310E20">
        <w:t>Ibid.</w:t>
      </w:r>
      <w:r>
        <w:t xml:space="preserve"> 97</w:t>
      </w:r>
      <w:r w:rsidR="00310E20">
        <w:t>.</w:t>
      </w:r>
    </w:p>
  </w:footnote>
  <w:footnote w:id="6">
    <w:p w14:paraId="64C0CAAF" w14:textId="2342BFC4" w:rsidR="00370A5C" w:rsidRDefault="00370A5C">
      <w:pPr>
        <w:pStyle w:val="FootnoteText"/>
      </w:pPr>
      <w:r>
        <w:rPr>
          <w:rStyle w:val="FootnoteReference"/>
        </w:rPr>
        <w:footnoteRef/>
      </w:r>
      <w:r>
        <w:t xml:space="preserve"> </w:t>
      </w:r>
      <w:r w:rsidR="00310E20">
        <w:t>Ibid.</w:t>
      </w:r>
      <w:r>
        <w:t xml:space="preserve"> 97</w:t>
      </w:r>
      <w:r w:rsidR="00310E20">
        <w:t>.</w:t>
      </w:r>
    </w:p>
  </w:footnote>
  <w:footnote w:id="7">
    <w:p w14:paraId="34C871B0" w14:textId="043F8927" w:rsidR="00370A5C" w:rsidRDefault="00370A5C">
      <w:pPr>
        <w:pStyle w:val="FootnoteText"/>
      </w:pPr>
      <w:r>
        <w:rPr>
          <w:rStyle w:val="FootnoteReference"/>
        </w:rPr>
        <w:footnoteRef/>
      </w:r>
      <w:r>
        <w:t xml:space="preserve"> </w:t>
      </w:r>
      <w:r w:rsidR="00310E20">
        <w:t>Ibid.</w:t>
      </w:r>
      <w:r>
        <w:t xml:space="preserve"> 98</w:t>
      </w:r>
      <w:r w:rsidR="00310E20">
        <w:t>.</w:t>
      </w:r>
    </w:p>
  </w:footnote>
  <w:footnote w:id="8">
    <w:p w14:paraId="639BFA2D" w14:textId="09107EAE" w:rsidR="00370A5C" w:rsidRDefault="00370A5C">
      <w:pPr>
        <w:pStyle w:val="FootnoteText"/>
      </w:pPr>
      <w:r>
        <w:rPr>
          <w:rStyle w:val="FootnoteReference"/>
        </w:rPr>
        <w:footnoteRef/>
      </w:r>
      <w:r>
        <w:t xml:space="preserve"> </w:t>
      </w:r>
      <w:r w:rsidR="00310E20">
        <w:t>Ibid.</w:t>
      </w:r>
      <w:r>
        <w:t xml:space="preserve"> 72</w:t>
      </w:r>
      <w:r w:rsidR="00310E20">
        <w:t>.</w:t>
      </w:r>
    </w:p>
  </w:footnote>
  <w:footnote w:id="9">
    <w:p w14:paraId="6B380BB7" w14:textId="39E49551" w:rsidR="00370A5C" w:rsidRDefault="00370A5C">
      <w:pPr>
        <w:pStyle w:val="FootnoteText"/>
      </w:pPr>
      <w:r>
        <w:rPr>
          <w:rStyle w:val="FootnoteReference"/>
        </w:rPr>
        <w:footnoteRef/>
      </w:r>
      <w:r>
        <w:t xml:space="preserve"> </w:t>
      </w:r>
      <w:r w:rsidR="003F4EF8" w:rsidRPr="003F4EF8">
        <w:t>Gert-Jan</w:t>
      </w:r>
      <w:r w:rsidR="003F4EF8">
        <w:t>.</w:t>
      </w:r>
      <w:r w:rsidR="003F4EF8" w:rsidRPr="003F4EF8">
        <w:t xml:space="preserve"> </w:t>
      </w:r>
      <w:r w:rsidR="003F4EF8" w:rsidRPr="003F4EF8">
        <w:t xml:space="preserve">Lokhorst, "Descartes and the Pineal Gland", </w:t>
      </w:r>
      <w:r w:rsidR="003F4EF8" w:rsidRPr="003F4EF8">
        <w:rPr>
          <w:i/>
          <w:iCs/>
        </w:rPr>
        <w:t xml:space="preserve">The Stanford Encyclopedia of Philosophy. </w:t>
      </w:r>
      <w:r w:rsidR="003F4EF8" w:rsidRPr="003F4EF8">
        <w:t xml:space="preserve">Winter 2018 Edition. (2018). Available Online: </w:t>
      </w:r>
      <w:hyperlink r:id="rId2" w:history="1">
        <w:r w:rsidR="003F4EF8" w:rsidRPr="003F4EF8">
          <w:rPr>
            <w:rStyle w:val="Hyperlink"/>
          </w:rPr>
          <w:t>https://plato.stanford.edu/archives/win2018/entries/pineal-gland/</w:t>
        </w:r>
      </w:hyperlink>
      <w:r w:rsidR="003F4EF8" w:rsidRPr="003F4EF8">
        <w:t>. [Accessed: 22/12/2019]</w:t>
      </w:r>
    </w:p>
  </w:footnote>
  <w:footnote w:id="10">
    <w:p w14:paraId="7DFD777F" w14:textId="389B9131" w:rsidR="00370A5C" w:rsidRDefault="00370A5C">
      <w:pPr>
        <w:pStyle w:val="FootnoteText"/>
      </w:pPr>
      <w:r>
        <w:rPr>
          <w:rStyle w:val="FootnoteReference"/>
        </w:rPr>
        <w:footnoteRef/>
      </w:r>
      <w:r>
        <w:t xml:space="preserve"> </w:t>
      </w:r>
      <w:r w:rsidR="00310E20" w:rsidRPr="00310E20">
        <w:rPr>
          <w:rStyle w:val="FootnoteReference"/>
          <w:rFonts w:ascii="Times New Roman" w:hAnsi="Times New Roman" w:cs="Times New Roman"/>
        </w:rPr>
        <w:footnoteRef/>
      </w:r>
      <w:r w:rsidR="00310E20" w:rsidRPr="00310E20">
        <w:rPr>
          <w:rFonts w:ascii="Times New Roman" w:hAnsi="Times New Roman" w:cs="Times New Roman"/>
        </w:rPr>
        <w:t xml:space="preserve"> L. Wittgenstein, </w:t>
      </w:r>
      <w:r w:rsidR="00310E20" w:rsidRPr="00310E20">
        <w:rPr>
          <w:rFonts w:ascii="Times New Roman" w:hAnsi="Times New Roman" w:cs="Times New Roman"/>
          <w:i/>
          <w:iCs/>
        </w:rPr>
        <w:t>Philosophical Investigations</w:t>
      </w:r>
      <w:r w:rsidR="00310E20" w:rsidRPr="00310E20">
        <w:rPr>
          <w:rFonts w:ascii="Times New Roman" w:hAnsi="Times New Roman" w:cs="Times New Roman"/>
        </w:rPr>
        <w:t>. 3rd Edition. Translated by G. E. M. Anscombe. (Oxford: Basil Blackwell Ltd, 1995)</w:t>
      </w:r>
      <w:r w:rsidR="00310E20">
        <w:rPr>
          <w:rFonts w:ascii="Times New Roman" w:hAnsi="Times New Roman" w:cs="Times New Roman"/>
        </w:rPr>
        <w:t>.</w:t>
      </w:r>
      <w:r>
        <w:t xml:space="preserve"> 113</w:t>
      </w:r>
      <w:r w:rsidR="00310E20">
        <w:t>.</w:t>
      </w:r>
    </w:p>
  </w:footnote>
  <w:footnote w:id="11">
    <w:p w14:paraId="710127D6" w14:textId="78466300" w:rsidR="00370A5C" w:rsidRDefault="00370A5C" w:rsidP="00AF729E">
      <w:pPr>
        <w:pStyle w:val="FootnoteText"/>
      </w:pPr>
      <w:r>
        <w:rPr>
          <w:rStyle w:val="FootnoteReference"/>
        </w:rPr>
        <w:footnoteRef/>
      </w:r>
      <w:r>
        <w:t xml:space="preserve"> </w:t>
      </w:r>
      <w:r w:rsidR="00310E20">
        <w:t>Ibid.</w:t>
      </w:r>
      <w:r>
        <w:t xml:space="preserve"> 113</w:t>
      </w:r>
      <w:r w:rsidR="00310E20">
        <w:t>.</w:t>
      </w:r>
    </w:p>
  </w:footnote>
  <w:footnote w:id="12">
    <w:p w14:paraId="1F18CA28" w14:textId="33058970" w:rsidR="00370A5C" w:rsidRDefault="00370A5C">
      <w:pPr>
        <w:pStyle w:val="FootnoteText"/>
      </w:pPr>
      <w:r>
        <w:rPr>
          <w:rStyle w:val="FootnoteReference"/>
        </w:rPr>
        <w:footnoteRef/>
      </w:r>
      <w:r>
        <w:t xml:space="preserve"> </w:t>
      </w:r>
      <w:r w:rsidR="00310E20">
        <w:t>Ibid.</w:t>
      </w:r>
      <w:r>
        <w:t xml:space="preserve"> 113</w:t>
      </w:r>
      <w:r w:rsidR="00310E20">
        <w:t>.</w:t>
      </w:r>
    </w:p>
  </w:footnote>
  <w:footnote w:id="13">
    <w:p w14:paraId="7A75A0A1" w14:textId="12462649" w:rsidR="00370A5C" w:rsidRDefault="00370A5C">
      <w:pPr>
        <w:pStyle w:val="FootnoteText"/>
      </w:pPr>
      <w:r>
        <w:rPr>
          <w:rStyle w:val="FootnoteReference"/>
        </w:rPr>
        <w:footnoteRef/>
      </w:r>
      <w:r>
        <w:t xml:space="preserve"> </w:t>
      </w:r>
      <w:r w:rsidR="00310E20">
        <w:t>Ibid.</w:t>
      </w:r>
      <w:r>
        <w:t xml:space="preserve"> 126</w:t>
      </w:r>
      <w:r w:rsidR="00310E20">
        <w:t>.</w:t>
      </w:r>
    </w:p>
  </w:footnote>
  <w:footnote w:id="14">
    <w:p w14:paraId="33298489" w14:textId="664B68FF" w:rsidR="00370A5C" w:rsidRDefault="00370A5C">
      <w:pPr>
        <w:pStyle w:val="FootnoteText"/>
      </w:pPr>
      <w:r>
        <w:rPr>
          <w:rStyle w:val="FootnoteReference"/>
        </w:rPr>
        <w:footnoteRef/>
      </w:r>
      <w:r>
        <w:t xml:space="preserve"> </w:t>
      </w:r>
      <w:r w:rsidR="00310E20">
        <w:t xml:space="preserve">Ibid. </w:t>
      </w:r>
      <w:r>
        <w:t>126</w:t>
      </w:r>
      <w:r w:rsidR="00310E20">
        <w:t>.</w:t>
      </w:r>
    </w:p>
  </w:footnote>
  <w:footnote w:id="15">
    <w:p w14:paraId="4C2D593C" w14:textId="5A5A10B4" w:rsidR="00370A5C" w:rsidRDefault="00370A5C">
      <w:pPr>
        <w:pStyle w:val="FootnoteText"/>
      </w:pPr>
      <w:r>
        <w:rPr>
          <w:rStyle w:val="FootnoteReference"/>
        </w:rPr>
        <w:footnoteRef/>
      </w:r>
      <w:r>
        <w:t xml:space="preserve"> </w:t>
      </w:r>
      <w:r w:rsidR="000311B5" w:rsidRPr="000311B5">
        <w:t>Descartes</w:t>
      </w:r>
      <w:r w:rsidR="000311B5" w:rsidRPr="000311B5">
        <w:t xml:space="preserve">, R. </w:t>
      </w:r>
      <w:r w:rsidR="000311B5" w:rsidRPr="000311B5">
        <w:rPr>
          <w:i/>
          <w:iCs/>
        </w:rPr>
        <w:t>Meditations on First Philosophy</w:t>
      </w:r>
      <w:r w:rsidR="000311B5" w:rsidRPr="000311B5">
        <w:t xml:space="preserve">. Translated by Elizabeth S. Haldane. (Cambridge: Cambridge University Press, 1996). </w:t>
      </w:r>
      <w:r w:rsidR="000311B5">
        <w:t xml:space="preserve"> IV. </w:t>
      </w:r>
    </w:p>
  </w:footnote>
  <w:footnote w:id="16">
    <w:p w14:paraId="4AFE5137" w14:textId="65992830" w:rsidR="00370A5C" w:rsidRDefault="00370A5C">
      <w:pPr>
        <w:pStyle w:val="FootnoteText"/>
      </w:pPr>
      <w:r>
        <w:rPr>
          <w:rStyle w:val="FootnoteReference"/>
        </w:rPr>
        <w:footnoteRef/>
      </w:r>
      <w:r>
        <w:t xml:space="preserve"> IBID</w:t>
      </w:r>
      <w:r w:rsidR="000311B5">
        <w:t>. IV.</w:t>
      </w:r>
    </w:p>
  </w:footnote>
  <w:footnote w:id="17">
    <w:p w14:paraId="499AE912" w14:textId="5C8E15EB" w:rsidR="00370A5C" w:rsidRDefault="00370A5C">
      <w:pPr>
        <w:pStyle w:val="FootnoteText"/>
      </w:pPr>
      <w:r>
        <w:rPr>
          <w:rStyle w:val="FootnoteReference"/>
        </w:rPr>
        <w:footnoteRef/>
      </w:r>
      <w:r>
        <w:t xml:space="preserve"> IBID</w:t>
      </w:r>
      <w:r w:rsidR="000311B5">
        <w:t>. IV.</w:t>
      </w:r>
    </w:p>
  </w:footnote>
  <w:footnote w:id="18">
    <w:p w14:paraId="078BF632" w14:textId="4833866C" w:rsidR="00E95C2B" w:rsidRDefault="00E95C2B">
      <w:pPr>
        <w:pStyle w:val="FootnoteText"/>
      </w:pPr>
      <w:r>
        <w:rPr>
          <w:rStyle w:val="FootnoteReference"/>
        </w:rPr>
        <w:footnoteRef/>
      </w:r>
      <w:r>
        <w:t xml:space="preserve"> </w:t>
      </w:r>
      <w:r w:rsidR="00310E20" w:rsidRPr="00310E20">
        <w:rPr>
          <w:rStyle w:val="FootnoteReference"/>
          <w:rFonts w:ascii="Times New Roman" w:hAnsi="Times New Roman" w:cs="Times New Roman"/>
        </w:rPr>
        <w:footnoteRef/>
      </w:r>
      <w:r w:rsidR="00310E20" w:rsidRPr="00310E20">
        <w:rPr>
          <w:rFonts w:ascii="Times New Roman" w:hAnsi="Times New Roman" w:cs="Times New Roman"/>
        </w:rPr>
        <w:t xml:space="preserve"> L. Wittgenstein, </w:t>
      </w:r>
      <w:r w:rsidR="00310E20" w:rsidRPr="00310E20">
        <w:rPr>
          <w:rFonts w:ascii="Times New Roman" w:hAnsi="Times New Roman" w:cs="Times New Roman"/>
          <w:i/>
          <w:iCs/>
        </w:rPr>
        <w:t>Philosophical Investigations</w:t>
      </w:r>
      <w:r w:rsidR="00310E20" w:rsidRPr="00310E20">
        <w:rPr>
          <w:rFonts w:ascii="Times New Roman" w:hAnsi="Times New Roman" w:cs="Times New Roman"/>
        </w:rPr>
        <w:t>. 3rd Edition. Translated by G. E. M. Anscombe. (Oxford: Basil Blackwell Ltd, 1995)</w:t>
      </w:r>
      <w:r w:rsidR="00310E20">
        <w:rPr>
          <w:rFonts w:ascii="Times New Roman" w:hAnsi="Times New Roman" w:cs="Times New Roman"/>
        </w:rPr>
        <w:t xml:space="preserve">. </w:t>
      </w:r>
      <w:r>
        <w:t>124</w:t>
      </w:r>
      <w:r w:rsidR="00310E20">
        <w:t>.</w:t>
      </w:r>
    </w:p>
  </w:footnote>
  <w:footnote w:id="19">
    <w:p w14:paraId="41AAE590" w14:textId="7920B59F" w:rsidR="004D664A" w:rsidRDefault="004D664A">
      <w:pPr>
        <w:pStyle w:val="FootnoteText"/>
      </w:pPr>
      <w:r>
        <w:rPr>
          <w:rStyle w:val="FootnoteReference"/>
        </w:rPr>
        <w:footnoteRef/>
      </w:r>
      <w:r>
        <w:t xml:space="preserve"> </w:t>
      </w:r>
      <w:r w:rsidR="00310E20">
        <w:t>Ibid.</w:t>
      </w:r>
      <w:r>
        <w:t xml:space="preserve"> </w:t>
      </w:r>
      <w:r w:rsidR="004B52BB">
        <w:t>125</w:t>
      </w:r>
      <w:r w:rsidR="00841DD3">
        <w:t xml:space="preserve"> 152</w:t>
      </w:r>
    </w:p>
  </w:footnote>
  <w:footnote w:id="20">
    <w:p w14:paraId="58AFB32F" w14:textId="6872B11C" w:rsidR="002555EF" w:rsidRDefault="002555EF">
      <w:pPr>
        <w:pStyle w:val="FootnoteText"/>
      </w:pPr>
      <w:r>
        <w:rPr>
          <w:rStyle w:val="FootnoteReference"/>
        </w:rPr>
        <w:footnoteRef/>
      </w:r>
      <w:r>
        <w:t xml:space="preserve"> </w:t>
      </w:r>
      <w:r w:rsidR="00310E20">
        <w:t xml:space="preserve">Ibid. </w:t>
      </w:r>
      <w:r>
        <w:t>95</w:t>
      </w:r>
      <w:r w:rsidR="00310E20">
        <w:t>.</w:t>
      </w:r>
    </w:p>
  </w:footnote>
  <w:footnote w:id="21">
    <w:p w14:paraId="38329FDE" w14:textId="34E3AA2F" w:rsidR="000B51A8" w:rsidRDefault="000B51A8">
      <w:pPr>
        <w:pStyle w:val="FootnoteText"/>
      </w:pPr>
      <w:r>
        <w:rPr>
          <w:rStyle w:val="FootnoteReference"/>
        </w:rPr>
        <w:footnoteRef/>
      </w:r>
      <w:r>
        <w:t xml:space="preserve"> </w:t>
      </w:r>
      <w:r w:rsidR="00310E20">
        <w:t xml:space="preserve">Ibid. </w:t>
      </w:r>
      <w:r>
        <w:t>125</w:t>
      </w:r>
      <w:r w:rsidR="00310E20">
        <w:t>.</w:t>
      </w:r>
    </w:p>
  </w:footnote>
  <w:footnote w:id="22">
    <w:p w14:paraId="5962E5AB" w14:textId="14C18052" w:rsidR="00A60487" w:rsidRDefault="00A60487">
      <w:pPr>
        <w:pStyle w:val="FootnoteText"/>
      </w:pPr>
      <w:r>
        <w:rPr>
          <w:rStyle w:val="FootnoteReference"/>
        </w:rPr>
        <w:footnoteRef/>
      </w:r>
      <w:r>
        <w:t xml:space="preserve"> </w:t>
      </w:r>
      <w:r w:rsidR="00310E20">
        <w:t>Ibid.</w:t>
      </w:r>
      <w:r>
        <w:t xml:space="preserve"> 125</w:t>
      </w:r>
      <w:r w:rsidR="00310E2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136538"/>
    <w:multiLevelType w:val="hybridMultilevel"/>
    <w:tmpl w:val="AFD05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705"/>
    <w:rsid w:val="000311B5"/>
    <w:rsid w:val="00034773"/>
    <w:rsid w:val="000B51A8"/>
    <w:rsid w:val="000D0804"/>
    <w:rsid w:val="001D11B4"/>
    <w:rsid w:val="001D38FD"/>
    <w:rsid w:val="002016E3"/>
    <w:rsid w:val="00207CF1"/>
    <w:rsid w:val="00217BE3"/>
    <w:rsid w:val="002451C5"/>
    <w:rsid w:val="00245F57"/>
    <w:rsid w:val="002555EF"/>
    <w:rsid w:val="002B117A"/>
    <w:rsid w:val="002F54E9"/>
    <w:rsid w:val="0030313E"/>
    <w:rsid w:val="00310E20"/>
    <w:rsid w:val="00313535"/>
    <w:rsid w:val="003441CC"/>
    <w:rsid w:val="00367034"/>
    <w:rsid w:val="00370A5C"/>
    <w:rsid w:val="003745EA"/>
    <w:rsid w:val="003A6C53"/>
    <w:rsid w:val="003B4119"/>
    <w:rsid w:val="003D0EC1"/>
    <w:rsid w:val="003F4596"/>
    <w:rsid w:val="003F4EF8"/>
    <w:rsid w:val="00412EEE"/>
    <w:rsid w:val="00445AD9"/>
    <w:rsid w:val="0049005F"/>
    <w:rsid w:val="004B52BB"/>
    <w:rsid w:val="004D664A"/>
    <w:rsid w:val="005051DB"/>
    <w:rsid w:val="00512B21"/>
    <w:rsid w:val="005471C7"/>
    <w:rsid w:val="005753AE"/>
    <w:rsid w:val="00580E5B"/>
    <w:rsid w:val="005B57BA"/>
    <w:rsid w:val="00620C2F"/>
    <w:rsid w:val="0065009A"/>
    <w:rsid w:val="0066490E"/>
    <w:rsid w:val="00677EED"/>
    <w:rsid w:val="006A184F"/>
    <w:rsid w:val="007C0F1D"/>
    <w:rsid w:val="007D3F78"/>
    <w:rsid w:val="008065A8"/>
    <w:rsid w:val="00806690"/>
    <w:rsid w:val="00833DCF"/>
    <w:rsid w:val="00841DD3"/>
    <w:rsid w:val="00872BE4"/>
    <w:rsid w:val="00876BD9"/>
    <w:rsid w:val="008878A3"/>
    <w:rsid w:val="008C6ED2"/>
    <w:rsid w:val="008E2891"/>
    <w:rsid w:val="00923073"/>
    <w:rsid w:val="009315F0"/>
    <w:rsid w:val="0094620D"/>
    <w:rsid w:val="00962FB8"/>
    <w:rsid w:val="00967F04"/>
    <w:rsid w:val="0097119A"/>
    <w:rsid w:val="00993388"/>
    <w:rsid w:val="009A296A"/>
    <w:rsid w:val="009A7626"/>
    <w:rsid w:val="009C778F"/>
    <w:rsid w:val="009F15D4"/>
    <w:rsid w:val="00A42EFD"/>
    <w:rsid w:val="00A60487"/>
    <w:rsid w:val="00AA3CE2"/>
    <w:rsid w:val="00AB1985"/>
    <w:rsid w:val="00AF729E"/>
    <w:rsid w:val="00B06B4D"/>
    <w:rsid w:val="00B13E97"/>
    <w:rsid w:val="00B56445"/>
    <w:rsid w:val="00B6437C"/>
    <w:rsid w:val="00B85344"/>
    <w:rsid w:val="00BC668D"/>
    <w:rsid w:val="00CA7BD9"/>
    <w:rsid w:val="00CD2B2E"/>
    <w:rsid w:val="00D12227"/>
    <w:rsid w:val="00D123DD"/>
    <w:rsid w:val="00D12B27"/>
    <w:rsid w:val="00D12CD8"/>
    <w:rsid w:val="00D37E7E"/>
    <w:rsid w:val="00D74A14"/>
    <w:rsid w:val="00D75151"/>
    <w:rsid w:val="00D90917"/>
    <w:rsid w:val="00D9577F"/>
    <w:rsid w:val="00E02705"/>
    <w:rsid w:val="00E350DA"/>
    <w:rsid w:val="00E4391F"/>
    <w:rsid w:val="00E76610"/>
    <w:rsid w:val="00E95C2B"/>
    <w:rsid w:val="00EA3545"/>
    <w:rsid w:val="00F15CC1"/>
    <w:rsid w:val="00F20419"/>
    <w:rsid w:val="00F51F05"/>
    <w:rsid w:val="00F63D0A"/>
    <w:rsid w:val="00FB3795"/>
    <w:rsid w:val="00FB65AF"/>
    <w:rsid w:val="00FC6C41"/>
    <w:rsid w:val="00FE5D77"/>
    <w:rsid w:val="00FF6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03B73"/>
  <w15:chartTrackingRefBased/>
  <w15:docId w15:val="{E8842245-0EF4-4507-AEBC-DE9028D4A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27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7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B117A"/>
    <w:pPr>
      <w:ind w:left="720"/>
      <w:contextualSpacing/>
    </w:pPr>
  </w:style>
  <w:style w:type="paragraph" w:styleId="FootnoteText">
    <w:name w:val="footnote text"/>
    <w:basedOn w:val="Normal"/>
    <w:link w:val="FootnoteTextChar"/>
    <w:uiPriority w:val="99"/>
    <w:semiHidden/>
    <w:unhideWhenUsed/>
    <w:rsid w:val="00B56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6445"/>
    <w:rPr>
      <w:sz w:val="20"/>
      <w:szCs w:val="20"/>
    </w:rPr>
  </w:style>
  <w:style w:type="character" w:styleId="FootnoteReference">
    <w:name w:val="footnote reference"/>
    <w:basedOn w:val="DefaultParagraphFont"/>
    <w:uiPriority w:val="99"/>
    <w:semiHidden/>
    <w:unhideWhenUsed/>
    <w:rsid w:val="00B56445"/>
    <w:rPr>
      <w:vertAlign w:val="superscript"/>
    </w:rPr>
  </w:style>
  <w:style w:type="character" w:styleId="Hyperlink">
    <w:name w:val="Hyperlink"/>
    <w:basedOn w:val="DefaultParagraphFont"/>
    <w:uiPriority w:val="99"/>
    <w:unhideWhenUsed/>
    <w:rsid w:val="00D9577F"/>
    <w:rPr>
      <w:color w:val="0563C1" w:themeColor="hyperlink"/>
      <w:u w:val="single"/>
    </w:rPr>
  </w:style>
  <w:style w:type="character" w:styleId="UnresolvedMention">
    <w:name w:val="Unresolved Mention"/>
    <w:basedOn w:val="DefaultParagraphFont"/>
    <w:uiPriority w:val="99"/>
    <w:semiHidden/>
    <w:unhideWhenUsed/>
    <w:rsid w:val="00D9577F"/>
    <w:rPr>
      <w:color w:val="605E5C"/>
      <w:shd w:val="clear" w:color="auto" w:fill="E1DFDD"/>
    </w:rPr>
  </w:style>
  <w:style w:type="character" w:styleId="Emphasis">
    <w:name w:val="Emphasis"/>
    <w:basedOn w:val="DefaultParagraphFont"/>
    <w:uiPriority w:val="20"/>
    <w:qFormat/>
    <w:rsid w:val="00310E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archives/win2018/entries/pineal-glan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lato.stanford.edu/archives/win2017/entries/physicalis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plato.stanford.edu/archives/win2018/entries/pineal-gland/" TargetMode="External"/><Relationship Id="rId1" Type="http://schemas.openxmlformats.org/officeDocument/2006/relationships/hyperlink" Target="https://plato.stanford.edu/archives/win2017/entries/physic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9A4DD-4359-475A-8169-4CD6C211F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6</Pages>
  <Words>1981</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66</cp:revision>
  <dcterms:created xsi:type="dcterms:W3CDTF">2019-12-20T23:36:00Z</dcterms:created>
  <dcterms:modified xsi:type="dcterms:W3CDTF">2019-12-22T21:16:00Z</dcterms:modified>
</cp:coreProperties>
</file>