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63A710" w14:textId="77777777" w:rsidR="00615913" w:rsidRPr="00D35336" w:rsidRDefault="00615913" w:rsidP="00615913">
      <w:pPr>
        <w:rPr>
          <w:b/>
          <w:bCs/>
        </w:rPr>
      </w:pPr>
      <w:r w:rsidRPr="00D35336">
        <w:rPr>
          <w:b/>
          <w:bCs/>
        </w:rPr>
        <w:t>Welsh Cultural Revivalism: Comparative Analysis of the Cymmrodorion Constitutions (1755) and Augusta Hall’s Eisteddfod Essay (1834)</w:t>
      </w:r>
    </w:p>
    <w:p w14:paraId="49819B1E" w14:textId="483A9AC2" w:rsidR="00615913" w:rsidRPr="00D35336" w:rsidRDefault="00615913" w:rsidP="00615913">
      <w:r w:rsidRPr="00D35336">
        <w:t xml:space="preserve">The history of Welsh cultural revivalism is a story of </w:t>
      </w:r>
      <w:r w:rsidR="00926296" w:rsidRPr="00D35336">
        <w:t>preservation</w:t>
      </w:r>
      <w:r w:rsidRPr="00D35336">
        <w:t xml:space="preserve"> and transformation, reflecting broader changes in British society, national </w:t>
      </w:r>
      <w:r w:rsidR="00926296" w:rsidRPr="00D35336">
        <w:t>awareness</w:t>
      </w:r>
      <w:r w:rsidRPr="00D35336">
        <w:t xml:space="preserve">, </w:t>
      </w:r>
      <w:r w:rsidR="00926296" w:rsidRPr="00D35336">
        <w:t>culture from both societal and intellectual perspectives,</w:t>
      </w:r>
      <w:r w:rsidRPr="00D35336">
        <w:t xml:space="preserve"> from the mid</w:t>
      </w:r>
      <w:r w:rsidRPr="00D35336">
        <w:noBreakHyphen/>
        <w:t xml:space="preserve">eighteenth to the nineteenth century. </w:t>
      </w:r>
      <w:r w:rsidR="00926296" w:rsidRPr="00D35336">
        <w:t>This period in our collective history</w:t>
      </w:r>
      <w:r w:rsidRPr="00D35336">
        <w:t xml:space="preserve"> attempts to define, preserve, and promote what was perceived as distinctively Welsh in language, literature, and material culture. Two particularly </w:t>
      </w:r>
      <w:r w:rsidR="00926296" w:rsidRPr="00D35336">
        <w:t>prominent</w:t>
      </w:r>
      <w:r w:rsidRPr="00D35336">
        <w:t xml:space="preserve"> texts </w:t>
      </w:r>
      <w:r w:rsidR="00926296" w:rsidRPr="00D35336">
        <w:t>demonstrate</w:t>
      </w:r>
      <w:r w:rsidRPr="00D35336">
        <w:t xml:space="preserve"> the evolution of these ideas: the Constitutions of the Honourable Society of Cymmrodorion (1755) and Augusta Hall’s Advantages Resulting from the Preservation of the Welsh Language, and National Costumes of Wales (1834). Though separated by nearly eighty years and emerging from very different cultural contexts, both texts articulate key aims of Welsh cultural revivalism, including the preservation of Welsh culture, the </w:t>
      </w:r>
      <w:r w:rsidR="00926296" w:rsidRPr="00D35336">
        <w:t>utilisation</w:t>
      </w:r>
      <w:r w:rsidRPr="00D35336">
        <w:t xml:space="preserve"> of antiquity to assert national legitimacy, and the negotiation of Welsh identity within the framework of Britain</w:t>
      </w:r>
      <w:r w:rsidR="00926296" w:rsidRPr="00D35336">
        <w:t xml:space="preserve"> and the definition of Britishness</w:t>
      </w:r>
      <w:r w:rsidRPr="00D35336">
        <w:t xml:space="preserve">. At the same time, they differ sharply in terms of style, methods, and underlying assumptions about who should safeguard Welsh culture and how it should be </w:t>
      </w:r>
      <w:r w:rsidR="00926296" w:rsidRPr="00D35336">
        <w:t>communicated</w:t>
      </w:r>
      <w:r w:rsidRPr="00D35336">
        <w:t>. A careful analysis and comparison of these documents provides insight not only into the intellectual and cultural priorities of their respective periods, but also into the broader processes by which Welsh identity was constructed, contested, and defended.</w:t>
      </w:r>
    </w:p>
    <w:p w14:paraId="0C2899A8" w14:textId="5C08807D" w:rsidR="00615913" w:rsidRPr="00D35336" w:rsidRDefault="00615913" w:rsidP="00615913">
      <w:r w:rsidRPr="00D35336">
        <w:t xml:space="preserve">This essay will explore three principal aims of Welsh cultural revivalism as expressed in the Cymmrodorion Constitutions and Hall’s essay: the preservation of Welsh cultural practices and knowledge; the appeal to historical and antiquarian authority to legitimate national </w:t>
      </w:r>
      <w:r w:rsidR="00926296" w:rsidRPr="00D35336">
        <w:t>individuality</w:t>
      </w:r>
      <w:r w:rsidRPr="00D35336">
        <w:t xml:space="preserve">; and the negotiation of Wales’s position within Britain. It will analyse each aim, comparing and contrasting the approaches, assumptions, and stylistic strategies of the two texts. In so doing, it will also situate the documents within their respective historical and intellectual contexts, drawing upon both primary materials and a wide range of secondary </w:t>
      </w:r>
      <w:r w:rsidR="00926296" w:rsidRPr="00D35336">
        <w:t>research</w:t>
      </w:r>
      <w:r w:rsidRPr="00D35336">
        <w:t xml:space="preserve"> in Welsh history, literature, and cultural studies.</w:t>
      </w:r>
    </w:p>
    <w:p w14:paraId="7A8200EE" w14:textId="7AB5DD8B" w:rsidR="001C1995" w:rsidRPr="00D35336" w:rsidRDefault="001C1995" w:rsidP="00615913">
      <w:pPr>
        <w:rPr>
          <w:b/>
          <w:bCs/>
        </w:rPr>
      </w:pPr>
      <w:r w:rsidRPr="00D35336">
        <w:rPr>
          <w:b/>
          <w:bCs/>
        </w:rPr>
        <w:t>Preservation of culture:</w:t>
      </w:r>
    </w:p>
    <w:p w14:paraId="40E405D3" w14:textId="425FCB31" w:rsidR="00615913" w:rsidRPr="00D35336" w:rsidRDefault="00615913" w:rsidP="00615913">
      <w:r w:rsidRPr="00D35336">
        <w:t>One of the most prominent aims shared by both the Cymmrodorion Constitutions and Hall’s essay is the preservation of Welsh culture</w:t>
      </w:r>
      <w:r w:rsidR="00926296" w:rsidRPr="00D35336">
        <w:t>,</w:t>
      </w:r>
      <w:r w:rsidRPr="00D35336">
        <w:t xml:space="preserve"> broadly understood to include language, literature, and material customs. However, the two texts conceive of preservation differently, </w:t>
      </w:r>
      <w:r w:rsidR="00926296" w:rsidRPr="00D35336">
        <w:t xml:space="preserve">by </w:t>
      </w:r>
      <w:r w:rsidRPr="00D35336">
        <w:t>reflecting the very different social and intellectual contexts in which they were written. The Cymmrodorion Constitution was drafted in the mid</w:t>
      </w:r>
      <w:r w:rsidRPr="00D35336">
        <w:noBreakHyphen/>
        <w:t>eighteenth century, at a time when learned societies and Enlightenment ideals of civic improvement were flourishing. Its authors, drawn from the London</w:t>
      </w:r>
      <w:r w:rsidRPr="00D35336">
        <w:noBreakHyphen/>
        <w:t>based Welsh elite</w:t>
      </w:r>
      <w:r w:rsidR="00D07BFA" w:rsidRPr="00D35336">
        <w:t xml:space="preserve">, such as </w:t>
      </w:r>
      <w:r w:rsidR="00D07BFA" w:rsidRPr="00D35336">
        <w:t xml:space="preserve">Richard and </w:t>
      </w:r>
      <w:r w:rsidR="00D07BFA" w:rsidRPr="00D35336">
        <w:t>L</w:t>
      </w:r>
      <w:r w:rsidR="00D07BFA" w:rsidRPr="00D35336">
        <w:t xml:space="preserve">ewis </w:t>
      </w:r>
      <w:r w:rsidR="00D07BFA" w:rsidRPr="00D35336">
        <w:t>M</w:t>
      </w:r>
      <w:r w:rsidR="00D07BFA" w:rsidRPr="00D35336">
        <w:t>orris</w:t>
      </w:r>
      <w:r w:rsidRPr="00D35336">
        <w:t xml:space="preserve">, established formal mechanisms including lectures, manuscript collection, publications, and charitable support in order to </w:t>
      </w:r>
      <w:r w:rsidRPr="00D35336">
        <w:lastRenderedPageBreak/>
        <w:t>promote Welsh scholarship, history, and literary tradition.</w:t>
      </w:r>
      <w:r w:rsidR="00D400A9" w:rsidRPr="00D35336">
        <w:t xml:space="preserve"> </w:t>
      </w:r>
      <w:r w:rsidRPr="00D35336">
        <w:t>Such institutional activity suggests that preservation was regarded as an elite responsibility: those with education and social influence would act as stewards of Welsh cultural heritage, not simply to protect it, but to elevate and civilise it within the larger British context.</w:t>
      </w:r>
      <w:r w:rsidR="00D400A9" w:rsidRPr="00D35336">
        <w:rPr>
          <w:rStyle w:val="FootnoteReference"/>
        </w:rPr>
        <w:footnoteReference w:id="1"/>
      </w:r>
      <w:r w:rsidR="00D400A9" w:rsidRPr="00D35336">
        <w:t xml:space="preserve"> </w:t>
      </w:r>
    </w:p>
    <w:p w14:paraId="06C0442D" w14:textId="79664653" w:rsidR="00615913" w:rsidRPr="00D35336" w:rsidRDefault="00615913" w:rsidP="00615913">
      <w:r w:rsidRPr="00D35336">
        <w:t>In contrast, Augusta Hall’s essay of 1834 imagines preservation in much more vernacular and affective terms. Writing amid early</w:t>
      </w:r>
      <w:r w:rsidRPr="00D35336">
        <w:noBreakHyphen/>
        <w:t>Victorian transformations, industrialisation, linguistic decline, and social change, she argues that Welsh culture cannot survive merely as a matter of scholarship or polite society but must live in the everyday practices of rural communities. Her concern is not only for the Welsh language, but for traditional costume, domestic customs, and the moral character she associates with them. For Hall, the Welsh dress and vernacular speech of country people are more than relics: they are embodiments of national character, and their decline is a sign of moral and cultural disintegration. The preservation she champions is therefore protective, lived, and ethically grounded, particularly in the role of women as transmitters of both language and tradition.</w:t>
      </w:r>
      <w:r w:rsidR="002E67C7" w:rsidRPr="00D35336">
        <w:rPr>
          <w:rStyle w:val="FootnoteReference"/>
        </w:rPr>
        <w:footnoteReference w:id="2"/>
      </w:r>
    </w:p>
    <w:p w14:paraId="190421A1" w14:textId="5E1A061A" w:rsidR="00615913" w:rsidRPr="00D35336" w:rsidRDefault="00615913" w:rsidP="00615913">
      <w:r w:rsidRPr="00D35336">
        <w:t xml:space="preserve">This contrast reflects more than just difference in </w:t>
      </w:r>
      <w:r w:rsidR="00926296" w:rsidRPr="00D35336">
        <w:t>importance as</w:t>
      </w:r>
      <w:r w:rsidRPr="00D35336">
        <w:t xml:space="preserve"> it reveals a deeper ideological shift, from the Enlightenment ideal of cultural improvement through rational institutions, to a Romantic nationalism rooted in folk life and moral sentiment. The Cymmrodorion’s approach aligns with the broader European project of improvement through scholarship and civil society</w:t>
      </w:r>
      <w:r w:rsidR="00926296" w:rsidRPr="00D35336">
        <w:t>.</w:t>
      </w:r>
      <w:r w:rsidR="00D32510" w:rsidRPr="00D35336">
        <w:rPr>
          <w:rStyle w:val="FootnoteReference"/>
        </w:rPr>
        <w:footnoteReference w:id="3"/>
      </w:r>
      <w:r w:rsidR="00926296" w:rsidRPr="00D35336">
        <w:t xml:space="preserve"> Whereas</w:t>
      </w:r>
      <w:r w:rsidRPr="00D35336">
        <w:t xml:space="preserve"> Hall’s aligns with a Romantic belief in the folk as the </w:t>
      </w:r>
      <w:r w:rsidR="00926296" w:rsidRPr="00D35336">
        <w:t>vessel</w:t>
      </w:r>
      <w:r w:rsidRPr="00D35336">
        <w:t xml:space="preserve"> </w:t>
      </w:r>
      <w:r w:rsidR="00926296" w:rsidRPr="00D35336">
        <w:t>for</w:t>
      </w:r>
      <w:r w:rsidRPr="00D35336">
        <w:t xml:space="preserve"> national essence.</w:t>
      </w:r>
      <w:r w:rsidR="00D32510" w:rsidRPr="00D35336">
        <w:rPr>
          <w:rStyle w:val="FootnoteReference"/>
        </w:rPr>
        <w:footnoteReference w:id="4"/>
      </w:r>
      <w:r w:rsidRPr="00D35336">
        <w:t xml:space="preserve"> Yet despite this divergence, both share a fundamental </w:t>
      </w:r>
      <w:r w:rsidR="00926296" w:rsidRPr="00D35336">
        <w:t>statement that</w:t>
      </w:r>
      <w:r w:rsidRPr="00D35336">
        <w:t xml:space="preserve"> Welsh culture is fragile and endangered, and its survival depends on deliberate, socially responsible intervention.</w:t>
      </w:r>
    </w:p>
    <w:p w14:paraId="7C83E645" w14:textId="5AFB3014" w:rsidR="001C1995" w:rsidRPr="00D35336" w:rsidRDefault="002E1A0F" w:rsidP="00615913">
      <w:pPr>
        <w:rPr>
          <w:b/>
          <w:bCs/>
        </w:rPr>
      </w:pPr>
      <w:r w:rsidRPr="00D35336">
        <w:rPr>
          <w:b/>
          <w:bCs/>
        </w:rPr>
        <w:t>Legitimacy of culture</w:t>
      </w:r>
    </w:p>
    <w:p w14:paraId="4208DCAA" w14:textId="0F16F5B2" w:rsidR="00615913" w:rsidRPr="00D35336" w:rsidRDefault="00615913" w:rsidP="00615913">
      <w:r w:rsidRPr="00D35336">
        <w:t>A second shared aim is to draw on antiquity</w:t>
      </w:r>
      <w:r w:rsidR="00926296" w:rsidRPr="00D35336">
        <w:t>,</w:t>
      </w:r>
      <w:r w:rsidRPr="00D35336">
        <w:t xml:space="preserve"> the past</w:t>
      </w:r>
      <w:r w:rsidR="00926296" w:rsidRPr="00D35336">
        <w:t>,</w:t>
      </w:r>
      <w:r w:rsidRPr="00D35336">
        <w:t xml:space="preserve"> in order to legitimate Welsh national identity. In the Cymmrodorion Constitutions, this is done in an eighteenth</w:t>
      </w:r>
      <w:r w:rsidRPr="00D35336">
        <w:noBreakHyphen/>
        <w:t xml:space="preserve">century antiquarian </w:t>
      </w:r>
      <w:r w:rsidR="00926296" w:rsidRPr="00D35336">
        <w:t>style in which</w:t>
      </w:r>
      <w:r w:rsidRPr="00D35336">
        <w:t xml:space="preserve"> the Society engages in the study of manuscripts, genealogies, and historical records, constructing a narrative of Welsh cultural continuity that reaches into the era of the “Ancient Britons.”</w:t>
      </w:r>
      <w:r w:rsidR="00E44C9F" w:rsidRPr="00D35336">
        <w:rPr>
          <w:rStyle w:val="FootnoteReference"/>
        </w:rPr>
        <w:footnoteReference w:id="5"/>
      </w:r>
      <w:r w:rsidRPr="00D35336">
        <w:t xml:space="preserve"> By doing so, they position Wales not as a cultural backwater but as an inheritor of ancient traditions and </w:t>
      </w:r>
      <w:r w:rsidRPr="00D35336">
        <w:lastRenderedPageBreak/>
        <w:t>respectable learning</w:t>
      </w:r>
      <w:r w:rsidR="00926296" w:rsidRPr="00D35336">
        <w:t>,</w:t>
      </w:r>
      <w:r w:rsidRPr="00D35336">
        <w:t xml:space="preserve"> thereby asserting both prestige and legitimacy within the British </w:t>
      </w:r>
      <w:r w:rsidR="00926296" w:rsidRPr="00D35336">
        <w:t>institution</w:t>
      </w:r>
      <w:r w:rsidRPr="00D35336">
        <w:t>. Their use of historical evidence is rational, methodical, and institutional</w:t>
      </w:r>
      <w:r w:rsidR="00926296" w:rsidRPr="00D35336">
        <w:t>. Their</w:t>
      </w:r>
      <w:r w:rsidRPr="00D35336">
        <w:t xml:space="preserve"> </w:t>
      </w:r>
      <w:r w:rsidR="00926296" w:rsidRPr="00D35336">
        <w:t xml:space="preserve">efforts of </w:t>
      </w:r>
      <w:r w:rsidRPr="00D35336">
        <w:t>preservation and revival</w:t>
      </w:r>
      <w:r w:rsidR="00926296" w:rsidRPr="00D35336">
        <w:t xml:space="preserve"> add validity to their legitimacy, which is gained through</w:t>
      </w:r>
      <w:r w:rsidRPr="00D35336">
        <w:t xml:space="preserve"> the product of disciplined scholarship.</w:t>
      </w:r>
    </w:p>
    <w:p w14:paraId="5C435A7C" w14:textId="504B3322" w:rsidR="00926296" w:rsidRPr="00D35336" w:rsidRDefault="00615913" w:rsidP="00615913">
      <w:r w:rsidRPr="00D35336">
        <w:t xml:space="preserve">Hall, by contrast, offers a Romantic and </w:t>
      </w:r>
      <w:r w:rsidR="00926296" w:rsidRPr="00D35336">
        <w:t>sentimental</w:t>
      </w:r>
      <w:r w:rsidRPr="00D35336">
        <w:t xml:space="preserve"> </w:t>
      </w:r>
      <w:r w:rsidR="00926296" w:rsidRPr="00D35336">
        <w:t>model</w:t>
      </w:r>
      <w:r w:rsidRPr="00D35336">
        <w:t xml:space="preserve"> of antiquity. In her essay, antiquity is not contained in dusty tomes but lives in the language spoken and the clothes worn by ordinary Welsh people. She frames traditional dress, rural custom, and the Welsh tongue as the living legacy of generations past</w:t>
      </w:r>
      <w:r w:rsidR="00926296" w:rsidRPr="00D35336">
        <w:t>,</w:t>
      </w:r>
      <w:r w:rsidRPr="00D35336">
        <w:t xml:space="preserve"> as though the spirit of ancient Wales has survived in the habits of the contemporary peasantry.</w:t>
      </w:r>
      <w:r w:rsidR="00EF6364" w:rsidRPr="00D35336">
        <w:rPr>
          <w:rStyle w:val="FootnoteReference"/>
        </w:rPr>
        <w:footnoteReference w:id="6"/>
      </w:r>
      <w:r w:rsidRPr="00D35336">
        <w:t xml:space="preserve"> This </w:t>
      </w:r>
      <w:r w:rsidR="00926296" w:rsidRPr="00D35336">
        <w:t>idea of continuous cultural inheritance echoes Romantic nationalist theories, especially those shaped by the Celtic Revival, which stressed folk traditions as the authentic bearers of national identity. For Hall, preserving antiquity is not merely a matter of studying the past; it is about safeguarding its ongoing embodiment in daily life.</w:t>
      </w:r>
    </w:p>
    <w:p w14:paraId="309FF84C" w14:textId="282596AF" w:rsidR="00615913" w:rsidRPr="00D35336" w:rsidRDefault="00615913" w:rsidP="00615913">
      <w:r w:rsidRPr="00D35336">
        <w:t xml:space="preserve">These differing </w:t>
      </w:r>
      <w:r w:rsidR="00C44342" w:rsidRPr="00D35336">
        <w:t>views</w:t>
      </w:r>
      <w:r w:rsidRPr="00D35336">
        <w:t xml:space="preserve"> of antiquity also reflect competing ideas about cultural authority. The Cymmrodorion regard the learned, literate elite as the rightful custodians of historical memory: scholars, antiquarians, and gentlemen.</w:t>
      </w:r>
      <w:r w:rsidR="00EF6364" w:rsidRPr="00D35336">
        <w:rPr>
          <w:rStyle w:val="FootnoteReference"/>
        </w:rPr>
        <w:footnoteReference w:id="7"/>
      </w:r>
      <w:r w:rsidRPr="00D35336">
        <w:t xml:space="preserve"> Hall, in contrast, empowers the rural folk, especially women,</w:t>
      </w:r>
      <w:r w:rsidR="00D35336" w:rsidRPr="00D35336">
        <w:t xml:space="preserve"> and even more accurately, housewives and mothers,</w:t>
      </w:r>
      <w:r w:rsidRPr="00D35336">
        <w:t xml:space="preserve"> to mediate this heritage.</w:t>
      </w:r>
      <w:r w:rsidR="00EF6364" w:rsidRPr="00D35336">
        <w:rPr>
          <w:rStyle w:val="FootnoteReference"/>
        </w:rPr>
        <w:footnoteReference w:id="8"/>
      </w:r>
      <w:r w:rsidRPr="00D35336">
        <w:t xml:space="preserve"> Yet both views converge in one crucial respect</w:t>
      </w:r>
      <w:r w:rsidR="00926296" w:rsidRPr="00D35336">
        <w:t xml:space="preserve"> that</w:t>
      </w:r>
      <w:r w:rsidRPr="00D35336">
        <w:t xml:space="preserve"> neither sees the past as irrelevant. Both </w:t>
      </w:r>
      <w:r w:rsidR="00926296" w:rsidRPr="00D35336">
        <w:t>suggest</w:t>
      </w:r>
      <w:r w:rsidRPr="00D35336">
        <w:t xml:space="preserve"> that Wales’s survival as a distinct cultural entity depends on a conscious, ongoing engagement with its history</w:t>
      </w:r>
      <w:r w:rsidR="00926296" w:rsidRPr="00D35336">
        <w:t>,</w:t>
      </w:r>
      <w:r w:rsidRPr="00D35336">
        <w:t xml:space="preserve"> whether via manuscripts and lectures, or through speech, dress, and custom.</w:t>
      </w:r>
    </w:p>
    <w:p w14:paraId="2EAD296D" w14:textId="3F681509" w:rsidR="00854769" w:rsidRPr="00D35336" w:rsidRDefault="00854769" w:rsidP="00615913">
      <w:pPr>
        <w:rPr>
          <w:b/>
          <w:bCs/>
        </w:rPr>
      </w:pPr>
      <w:r w:rsidRPr="00D35336">
        <w:rPr>
          <w:b/>
          <w:bCs/>
        </w:rPr>
        <w:t>Welsh Identi</w:t>
      </w:r>
      <w:r w:rsidR="003F48C9" w:rsidRPr="00D35336">
        <w:rPr>
          <w:b/>
          <w:bCs/>
        </w:rPr>
        <w:t>t</w:t>
      </w:r>
      <w:r w:rsidRPr="00D35336">
        <w:rPr>
          <w:b/>
          <w:bCs/>
        </w:rPr>
        <w:t>y in Britain</w:t>
      </w:r>
    </w:p>
    <w:p w14:paraId="5A0B2133" w14:textId="158C79CC" w:rsidR="00615913" w:rsidRPr="00D35336" w:rsidRDefault="00615913" w:rsidP="00615913">
      <w:r w:rsidRPr="00D35336">
        <w:t>A third fundamental aim is the negotiation of Welsh identity in relation to Britain politically, culturally, and morally. The Cymmrodorion Constitutions articulate a vision of Welshness fully compatible with Britishness. The Society was based in London, and its members were Welsh</w:t>
      </w:r>
      <w:r w:rsidRPr="00D35336">
        <w:noBreakHyphen/>
        <w:t xml:space="preserve">born gentry or professionals deeply embedded in the British </w:t>
      </w:r>
      <w:r w:rsidR="00A32841" w:rsidRPr="00D35336">
        <w:t>social and economic structure</w:t>
      </w:r>
      <w:r w:rsidRPr="00D35336">
        <w:t>. Their revivalist programme assumes that Welsh culture can flourish within the broader British framework without undermining loyalty to the Crown or to the established social order.</w:t>
      </w:r>
      <w:r w:rsidR="00FA108D" w:rsidRPr="00D35336">
        <w:rPr>
          <w:rStyle w:val="FootnoteReference"/>
        </w:rPr>
        <w:footnoteReference w:id="9"/>
      </w:r>
      <w:r w:rsidRPr="00D35336">
        <w:t xml:space="preserve"> Their revivalism is not separatist but integrative</w:t>
      </w:r>
      <w:r w:rsidR="00926296" w:rsidRPr="00D35336">
        <w:t>,   as</w:t>
      </w:r>
      <w:r w:rsidRPr="00D35336">
        <w:t xml:space="preserve"> it seeks to demonstrate that Welshness enhances, rather than </w:t>
      </w:r>
      <w:r w:rsidRPr="00D35336">
        <w:lastRenderedPageBreak/>
        <w:t>challenges, the composite British identity. In doing so, they adopt a dual allegiance, asserting both national distinctiveness and imperial belonging.</w:t>
      </w:r>
    </w:p>
    <w:p w14:paraId="78059104" w14:textId="102D53ED" w:rsidR="00615913" w:rsidRPr="00D35336" w:rsidRDefault="00615913" w:rsidP="00615913">
      <w:r w:rsidRPr="00D35336">
        <w:t>Hall’s vision is more conflicted. While she does not openly advocate political separation, her essay reflects anxieties about English cultural domination</w:t>
      </w:r>
      <w:r w:rsidR="00926296" w:rsidRPr="00D35336">
        <w:t>,</w:t>
      </w:r>
      <w:r w:rsidRPr="00D35336">
        <w:t xml:space="preserve"> especially in the form of anglicising education, changing fashions, and linguistic decline. She argues that Welshness is under threat, and that cultural survival demands more than passive tolerance: it requires active </w:t>
      </w:r>
      <w:r w:rsidR="00075355" w:rsidRPr="00D35336">
        <w:t>defence</w:t>
      </w:r>
      <w:r w:rsidRPr="00D35336">
        <w:t>. In her view, integration with Britain is only acceptable if Welsh customs are preserved, taught, and visibly maintained. Her appeal to tradition is not nostalgic in a neutral sense; it is a form of cultural resistance, rooted in the belief that Welsh identity risks being subsumed under English practices unless consciously protected.</w:t>
      </w:r>
      <w:r w:rsidR="00FA108D" w:rsidRPr="00D35336">
        <w:rPr>
          <w:rStyle w:val="FootnoteReference"/>
        </w:rPr>
        <w:footnoteReference w:id="10"/>
      </w:r>
      <w:r w:rsidRPr="00D35336">
        <w:t xml:space="preserve"> In this sense, her revivalism anticipates more assertive nationalist discourses later in the century, as Welsh intellectuals and activists confront the challenge of modernity and assimilation.</w:t>
      </w:r>
    </w:p>
    <w:p w14:paraId="08995173" w14:textId="5AC497A3" w:rsidR="00615913" w:rsidRPr="00D35336" w:rsidRDefault="00615913" w:rsidP="00615913">
      <w:r w:rsidRPr="00D35336">
        <w:t xml:space="preserve">The contrast between the two texts </w:t>
      </w:r>
      <w:r w:rsidR="00B23BF0" w:rsidRPr="00D35336">
        <w:t>therefore</w:t>
      </w:r>
      <w:r w:rsidRPr="00D35336">
        <w:t xml:space="preserve"> reveals a shift in political and cultural </w:t>
      </w:r>
      <w:r w:rsidR="001D7E59" w:rsidRPr="00D35336">
        <w:t>collective identi</w:t>
      </w:r>
      <w:r w:rsidR="00F403DD" w:rsidRPr="00D35336">
        <w:t>t</w:t>
      </w:r>
      <w:r w:rsidR="001D7E59" w:rsidRPr="00D35336">
        <w:t>y</w:t>
      </w:r>
      <w:r w:rsidRPr="00D35336">
        <w:t>. The Cymmrodorion reflect an eighteenth</w:t>
      </w:r>
      <w:r w:rsidRPr="00D35336">
        <w:noBreakHyphen/>
        <w:t>century Welsh elite confident in their dual identity as Welsh and British; Hall reflects a nineteenth</w:t>
      </w:r>
      <w:r w:rsidRPr="00D35336">
        <w:noBreakHyphen/>
        <w:t>century cultural nationalist more uneasy about the balance, more defensive of difference, and more committed to preserving Wales in its own terms.</w:t>
      </w:r>
    </w:p>
    <w:p w14:paraId="464D7EE8" w14:textId="6A5D6B4A" w:rsidR="00615913" w:rsidRPr="00D35336" w:rsidRDefault="00615913" w:rsidP="00615913">
      <w:r w:rsidRPr="00D35336">
        <w:t>The rhetorical and stylistic differences between the two works further underscore their divergent aims and contexts. The Constitutions of the Cymmrodorion is a formal, legalistic text, structured around rules, officers, and procedural instructions. Its tone is rational and institutional</w:t>
      </w:r>
      <w:r w:rsidR="001A27B1" w:rsidRPr="00D35336">
        <w:t>,</w:t>
      </w:r>
      <w:r w:rsidRPr="00D35336">
        <w:t xml:space="preserve"> in keeping with Enlightenment assumptions about governance, social organisation, and learned discourse.</w:t>
      </w:r>
      <w:r w:rsidR="00A24536" w:rsidRPr="00D35336">
        <w:rPr>
          <w:rStyle w:val="FootnoteReference"/>
        </w:rPr>
        <w:footnoteReference w:id="11"/>
      </w:r>
      <w:r w:rsidRPr="00D35336">
        <w:t xml:space="preserve"> The text authoritatively outlines how the Society should operate, reflecting a belief that cultural revival is a matter best handled within disciplined, procedural frameworks.</w:t>
      </w:r>
      <w:r w:rsidR="004B6F13" w:rsidRPr="00D35336">
        <w:rPr>
          <w:rStyle w:val="FootnoteReference"/>
        </w:rPr>
        <w:footnoteReference w:id="12"/>
      </w:r>
      <w:r w:rsidR="00B93707" w:rsidRPr="00D35336">
        <w:t xml:space="preserve"> </w:t>
      </w:r>
    </w:p>
    <w:p w14:paraId="260A641F" w14:textId="7B7D6F10" w:rsidR="00615913" w:rsidRPr="00D35336" w:rsidRDefault="00615913" w:rsidP="00615913">
      <w:r w:rsidRPr="00D35336">
        <w:t xml:space="preserve">In </w:t>
      </w:r>
      <w:r w:rsidR="00926296" w:rsidRPr="00D35336">
        <w:t>notable</w:t>
      </w:r>
      <w:r w:rsidRPr="00D35336">
        <w:t xml:space="preserve"> contrast, Hall’s essay is </w:t>
      </w:r>
      <w:r w:rsidR="00926296" w:rsidRPr="00D35336">
        <w:t>emotional</w:t>
      </w:r>
      <w:r w:rsidRPr="00D35336">
        <w:t xml:space="preserve">, </w:t>
      </w:r>
      <w:r w:rsidR="00926296" w:rsidRPr="00D35336">
        <w:t>critical</w:t>
      </w:r>
      <w:r w:rsidRPr="00D35336">
        <w:t>, and deeply rhetorical. Her language evokes sentiment, national pride, and domestic virtue, particularly when discussing Welsh women, their dress, and their role in maintaining tradition.</w:t>
      </w:r>
      <w:r w:rsidR="004B6F13" w:rsidRPr="00D35336">
        <w:rPr>
          <w:rStyle w:val="FootnoteReference"/>
        </w:rPr>
        <w:footnoteReference w:id="13"/>
      </w:r>
      <w:r w:rsidRPr="00D35336">
        <w:t xml:space="preserve"> She appeals to ethical responsibility as much as to aesthetic </w:t>
      </w:r>
      <w:r w:rsidR="00927E2E" w:rsidRPr="00D35336">
        <w:t>preference</w:t>
      </w:r>
      <w:r w:rsidRPr="00D35336">
        <w:t xml:space="preserve"> and cultural pride. Her rhetorical strategy is not to legislate but to persuade, not only through argument, but through an emotional invitation to view Welsh culture as a moral inheritance.</w:t>
      </w:r>
      <w:r w:rsidR="004B6F13" w:rsidRPr="00D35336">
        <w:rPr>
          <w:rStyle w:val="FootnoteReference"/>
        </w:rPr>
        <w:footnoteReference w:id="14"/>
      </w:r>
      <w:r w:rsidRPr="00D35336">
        <w:t xml:space="preserve"> Her </w:t>
      </w:r>
      <w:r w:rsidRPr="00D35336">
        <w:lastRenderedPageBreak/>
        <w:t xml:space="preserve">style is </w:t>
      </w:r>
      <w:r w:rsidR="00926296" w:rsidRPr="00D35336">
        <w:t>r</w:t>
      </w:r>
      <w:r w:rsidRPr="00D35336">
        <w:t>omantic, animated, and imaginative</w:t>
      </w:r>
      <w:r w:rsidR="00926296" w:rsidRPr="00D35336">
        <w:t>,</w:t>
      </w:r>
      <w:r w:rsidRPr="00D35336">
        <w:t xml:space="preserve"> seeking not just to inform, but to </w:t>
      </w:r>
      <w:r w:rsidR="00926296" w:rsidRPr="00D35336">
        <w:t>evoke action and appeal through collective emotion.</w:t>
      </w:r>
    </w:p>
    <w:p w14:paraId="77AFCAEE" w14:textId="7BFEBA2B" w:rsidR="00615913" w:rsidRPr="00D35336" w:rsidRDefault="00615913" w:rsidP="00615913">
      <w:r w:rsidRPr="00D35336">
        <w:t xml:space="preserve">These stylistic differences are not </w:t>
      </w:r>
      <w:r w:rsidR="00926296" w:rsidRPr="00D35336">
        <w:t>insignificant, as</w:t>
      </w:r>
      <w:r w:rsidRPr="00D35336">
        <w:t xml:space="preserve"> </w:t>
      </w:r>
      <w:r w:rsidR="00926296" w:rsidRPr="00D35336">
        <w:t>t</w:t>
      </w:r>
      <w:r w:rsidRPr="00D35336">
        <w:t xml:space="preserve">hey embody the ideological contrasts between the two projects. The Cymmrodorion’s revivalism is rational, institutional, and organised; Hall’s is emotional, populist, and morally urgent. The </w:t>
      </w:r>
      <w:r w:rsidR="006C06F8" w:rsidRPr="00D35336">
        <w:t>style</w:t>
      </w:r>
      <w:r w:rsidRPr="00D35336">
        <w:t xml:space="preserve"> of each document reflects its understanding of who should act, and how: the Society relies on elites and structure, while Hall relies on feeling, example, and the </w:t>
      </w:r>
      <w:r w:rsidR="00926296" w:rsidRPr="00D35336">
        <w:t>action</w:t>
      </w:r>
      <w:r w:rsidRPr="00D35336">
        <w:t xml:space="preserve"> of ordinary people.</w:t>
      </w:r>
    </w:p>
    <w:p w14:paraId="2C266848" w14:textId="5C53ECB4" w:rsidR="00615913" w:rsidRPr="00D35336" w:rsidRDefault="00615913" w:rsidP="00615913">
      <w:r w:rsidRPr="00D35336">
        <w:t xml:space="preserve">Despite </w:t>
      </w:r>
      <w:r w:rsidR="00082BDE" w:rsidRPr="00D35336">
        <w:t>following</w:t>
      </w:r>
      <w:r w:rsidRPr="00D35336">
        <w:t xml:space="preserve"> </w:t>
      </w:r>
      <w:r w:rsidR="0025297F" w:rsidRPr="00D35336">
        <w:t>alternative methods of conveying</w:t>
      </w:r>
      <w:r w:rsidR="00082BDE" w:rsidRPr="00D35336">
        <w:t xml:space="preserve"> their</w:t>
      </w:r>
      <w:r w:rsidR="0025297F" w:rsidRPr="00D35336">
        <w:t xml:space="preserve"> intentions</w:t>
      </w:r>
      <w:r w:rsidRPr="00D35336">
        <w:t xml:space="preserve">, the two texts share a number of foundational </w:t>
      </w:r>
      <w:r w:rsidR="00926296" w:rsidRPr="00D35336">
        <w:t>beliefs</w:t>
      </w:r>
      <w:r w:rsidRPr="00D35336">
        <w:t xml:space="preserve"> that lie at the heart of Welsh cultural revivalism. Both operate from the </w:t>
      </w:r>
      <w:r w:rsidR="001C28F9" w:rsidRPr="00D35336">
        <w:t>opinion</w:t>
      </w:r>
      <w:r w:rsidRPr="00D35336">
        <w:t xml:space="preserve"> that Welsh culture is under threat and requires active safeguarding. They both value Welshness not only for its aesthetic or historical charm, but for its moral, spiritual, and intellectual richness. Each sees an engagement with the past as essential to national identity. In addition, both locate responsibility for cultural preservation in specific social </w:t>
      </w:r>
      <w:r w:rsidR="0030552B" w:rsidRPr="00D35336">
        <w:t>groups</w:t>
      </w:r>
      <w:r w:rsidR="00926296" w:rsidRPr="00D35336">
        <w:t>,</w:t>
      </w:r>
      <w:r w:rsidRPr="00D35336">
        <w:t xml:space="preserve"> whether learned elites or rural communities, men or women. What differs is how they believe that responsibility should be carried out, and by whom.</w:t>
      </w:r>
    </w:p>
    <w:p w14:paraId="10D9D399" w14:textId="7A47B19F" w:rsidR="00615913" w:rsidRPr="00D35336" w:rsidRDefault="00615913" w:rsidP="00615913">
      <w:r w:rsidRPr="00D35336">
        <w:t>Yet their differences also expose deeper tensions. The tension between elite and popular forms of cultural authority</w:t>
      </w:r>
      <w:r w:rsidR="004E1E77" w:rsidRPr="00D35336">
        <w:t>. Predominantly</w:t>
      </w:r>
      <w:r w:rsidRPr="00D35336">
        <w:t xml:space="preserve"> between rational scholarship and emotional </w:t>
      </w:r>
      <w:r w:rsidR="00926296" w:rsidRPr="00D35336">
        <w:t>tradition</w:t>
      </w:r>
      <w:r w:rsidR="00F33544" w:rsidRPr="00D35336">
        <w:t>, yet also</w:t>
      </w:r>
      <w:r w:rsidRPr="00D35336">
        <w:t xml:space="preserve"> between confident integration and defensive nationalism. These are not simply stylistic or rhetorical differences, but different political imaginaries about Wales’s place in Britain and the world. To read the Cymmrodorion alongside Hall is to see the layered complexity of Welsh revivalism</w:t>
      </w:r>
      <w:r w:rsidR="00926296" w:rsidRPr="00D35336">
        <w:t>,</w:t>
      </w:r>
      <w:r w:rsidRPr="00D35336">
        <w:t xml:space="preserve"> its capacity both to accommodate and to contest</w:t>
      </w:r>
      <w:r w:rsidR="00F33544" w:rsidRPr="00D35336">
        <w:t xml:space="preserve"> and </w:t>
      </w:r>
      <w:r w:rsidRPr="00D35336">
        <w:t>to harmonise and to resist.</w:t>
      </w:r>
      <w:r w:rsidR="003F2A93" w:rsidRPr="00D35336">
        <w:rPr>
          <w:rStyle w:val="FootnoteReference"/>
        </w:rPr>
        <w:footnoteReference w:id="15"/>
      </w:r>
    </w:p>
    <w:p w14:paraId="0F974F7B" w14:textId="464D1D77" w:rsidR="00615913" w:rsidRPr="00D35336" w:rsidRDefault="00615913" w:rsidP="00615913">
      <w:r w:rsidRPr="00D35336">
        <w:t>To</w:t>
      </w:r>
      <w:r w:rsidR="00D7173D" w:rsidRPr="00D35336">
        <w:t xml:space="preserve"> fully</w:t>
      </w:r>
      <w:r w:rsidRPr="00D35336">
        <w:t xml:space="preserve"> understand the significance of these two texts, it is useful to situate them in their wider intellectual and cultural contexts. The Cymmrodorion Constitution </w:t>
      </w:r>
      <w:r w:rsidR="006B7040" w:rsidRPr="00D35336">
        <w:t>was a product</w:t>
      </w:r>
      <w:r w:rsidRPr="00D35336">
        <w:t xml:space="preserve"> of the</w:t>
      </w:r>
      <w:r w:rsidR="00782F2D" w:rsidRPr="00D35336">
        <w:t xml:space="preserve"> </w:t>
      </w:r>
      <w:r w:rsidRPr="00D35336">
        <w:t>Enlightenment</w:t>
      </w:r>
      <w:r w:rsidR="006B7040" w:rsidRPr="00D35336">
        <w:t xml:space="preserve"> movement which saw a</w:t>
      </w:r>
      <w:r w:rsidR="00782F2D" w:rsidRPr="00D35336">
        <w:t>n increase</w:t>
      </w:r>
      <w:r w:rsidRPr="00D35336">
        <w:t xml:space="preserve"> learned societies, antiquarian networks, </w:t>
      </w:r>
      <w:r w:rsidR="00782F2D" w:rsidRPr="00D35336">
        <w:t xml:space="preserve">increased </w:t>
      </w:r>
      <w:r w:rsidRPr="00D35336">
        <w:t>metropolitan sociability, and the promotion of improvement through rational associations.</w:t>
      </w:r>
      <w:r w:rsidR="003F2A93" w:rsidRPr="00D35336">
        <w:rPr>
          <w:rStyle w:val="FootnoteReference"/>
        </w:rPr>
        <w:footnoteReference w:id="16"/>
      </w:r>
      <w:r w:rsidRPr="00D35336">
        <w:t xml:space="preserve"> Their revivalism shares common ground with broader eighteenth</w:t>
      </w:r>
      <w:r w:rsidRPr="00D35336">
        <w:noBreakHyphen/>
        <w:t>century movements in Britain and Europe that sought civil, moral, and intellectual elevation through institutions.</w:t>
      </w:r>
    </w:p>
    <w:p w14:paraId="3AD0CC52" w14:textId="060CA5E3" w:rsidR="00615913" w:rsidRPr="00D35336" w:rsidRDefault="00615913" w:rsidP="00615913">
      <w:r w:rsidRPr="00D35336">
        <w:t>Hall’s essay, in contrast, belongs to the Romantic</w:t>
      </w:r>
      <w:r w:rsidRPr="00D35336">
        <w:noBreakHyphen/>
        <w:t xml:space="preserve">nationalist wave of the early nineteenth century, which valorised folk traditions, rural life, and emotional authenticity. Her arguments about language, dress, and moral inheritance align with larger European trends in nationalism, where Romantics looked to vernacular culture as </w:t>
      </w:r>
      <w:r w:rsidRPr="00D35336">
        <w:lastRenderedPageBreak/>
        <w:t>a source of legitimate identity and moral renewal. Her emphasis on ordinary people and domestic virtue also reflects gendered aspects of Romantic nationalism</w:t>
      </w:r>
      <w:r w:rsidR="00BE4C8A" w:rsidRPr="00D35336">
        <w:t>, for example,</w:t>
      </w:r>
      <w:r w:rsidRPr="00D35336">
        <w:t xml:space="preserve"> women as guardians of tradition, morality, and national continuity.</w:t>
      </w:r>
      <w:r w:rsidR="003F2A93" w:rsidRPr="00D35336">
        <w:rPr>
          <w:rStyle w:val="FootnoteReference"/>
        </w:rPr>
        <w:footnoteReference w:id="17"/>
      </w:r>
    </w:p>
    <w:p w14:paraId="427F609A" w14:textId="2C4A5718" w:rsidR="007B7409" w:rsidRPr="00D35336" w:rsidRDefault="007B7409" w:rsidP="00615913">
      <w:r w:rsidRPr="00D35336">
        <w:t>By the 1830s</w:t>
      </w:r>
      <w:r w:rsidRPr="00D35336">
        <w:t>,</w:t>
      </w:r>
      <w:r w:rsidRPr="00D35336">
        <w:t xml:space="preserve"> Britain was undergoing </w:t>
      </w:r>
      <w:r w:rsidR="00B4768F" w:rsidRPr="00D35336">
        <w:t>significant</w:t>
      </w:r>
      <w:r w:rsidRPr="00D35336">
        <w:t xml:space="preserve"> shifts in fashion and material culture</w:t>
      </w:r>
      <w:r w:rsidR="00B4768F" w:rsidRPr="00D35336">
        <w:t>. Th</w:t>
      </w:r>
      <w:r w:rsidRPr="00D35336">
        <w:t>ese changes explain Augusta Hall’s anxiety about the disappearance of traditional Welsh dress. Industrial textile production was transforming clothing</w:t>
      </w:r>
      <w:r w:rsidR="00712061" w:rsidRPr="00D35336">
        <w:t>. C</w:t>
      </w:r>
      <w:r w:rsidRPr="00D35336">
        <w:t>heaper printed cottons, brighter chemical dyes, and factory-finished garments were increasingly available, encouraging a drift towards standardised</w:t>
      </w:r>
      <w:r w:rsidR="00712061" w:rsidRPr="00D35336">
        <w:t xml:space="preserve"> </w:t>
      </w:r>
      <w:r w:rsidRPr="00D35336">
        <w:t>fashions. At the same time, new illustration techniques</w:t>
      </w:r>
      <w:r w:rsidR="00712061" w:rsidRPr="00D35336">
        <w:t xml:space="preserve">, </w:t>
      </w:r>
      <w:r w:rsidRPr="00D35336">
        <w:t>especially improved wood</w:t>
      </w:r>
      <w:r w:rsidR="00ED66A8" w:rsidRPr="00D35336">
        <w:t xml:space="preserve"> and</w:t>
      </w:r>
      <w:r w:rsidRPr="00D35336">
        <w:t xml:space="preserve"> steel engraving</w:t>
      </w:r>
      <w:r w:rsidR="00ED66A8" w:rsidRPr="00D35336">
        <w:t xml:space="preserve"> </w:t>
      </w:r>
      <w:r w:rsidRPr="00D35336">
        <w:t xml:space="preserve">allowed fashion magazines to circulate detailed plates at low cost, spreading London styles to a wider audience than before. Such developments threatened regional customs, </w:t>
      </w:r>
      <w:r w:rsidR="00ED66A8" w:rsidRPr="00D35336">
        <w:t>including</w:t>
      </w:r>
      <w:r w:rsidRPr="00D35336">
        <w:t xml:space="preserve"> Welsh costume,</w:t>
      </w:r>
      <w:r w:rsidR="00DD49D1" w:rsidRPr="00D35336">
        <w:t xml:space="preserve"> which was deeply associated</w:t>
      </w:r>
      <w:r w:rsidRPr="00D35336">
        <w:t xml:space="preserve"> with rural life and older forms of domestic production, appeared especially vulnerable. Hall’s call to preserve Welsh clothing can therefore be read as a response to these modern pressures, and an attempt to defend local identity against the levelling effects of industrial fashion and mass-produced imagery.</w:t>
      </w:r>
      <w:r w:rsidR="003F2A93" w:rsidRPr="00D35336">
        <w:rPr>
          <w:rStyle w:val="FootnoteReference"/>
        </w:rPr>
        <w:footnoteReference w:id="18"/>
      </w:r>
    </w:p>
    <w:p w14:paraId="334D5FF8" w14:textId="3EC48FEA" w:rsidR="00615913" w:rsidRPr="00D35336" w:rsidRDefault="001D62D9" w:rsidP="00615913">
      <w:r w:rsidRPr="00D35336">
        <w:t>Additionally</w:t>
      </w:r>
      <w:r w:rsidR="00615913" w:rsidRPr="00D35336">
        <w:t>, the two texts anticipate later developments in Welsh nationalism and cultural politics. The elite institutionalism of the Cymmrodorion foreshadows the role of learned societies, eisteddfodau, and antiquarianism in nineteenth-century Welsh cultural revival; Hall’s moral</w:t>
      </w:r>
      <w:r w:rsidR="00615913" w:rsidRPr="00D35336">
        <w:noBreakHyphen/>
        <w:t>cultural nationalism presages more assertive language activism in the later nineteenth and twentieth centuries.</w:t>
      </w:r>
      <w:r w:rsidR="006272B9" w:rsidRPr="00D35336">
        <w:rPr>
          <w:rStyle w:val="FootnoteReference"/>
        </w:rPr>
        <w:footnoteReference w:id="19"/>
      </w:r>
      <w:r w:rsidR="00615913" w:rsidRPr="00D35336">
        <w:t xml:space="preserve"> Their dialogue across the decades reveals much about how Welshness has been constructed, defended, and reimagined, and how cultural identity operates as both memory and project.</w:t>
      </w:r>
    </w:p>
    <w:p w14:paraId="3A67758D" w14:textId="56493554" w:rsidR="00615913" w:rsidRPr="00D35336" w:rsidRDefault="00615913" w:rsidP="00615913">
      <w:r w:rsidRPr="00D35336">
        <w:t xml:space="preserve">The Constitutions of the Honourable Society of Cymmrodorion (1755) and Augusta Hall’s Advantages Resulting from the Preservation of the Welsh Language and National Costumes of Wales (1834) stand as two </w:t>
      </w:r>
      <w:r w:rsidR="00BE4C8A" w:rsidRPr="00D35336">
        <w:t>influential</w:t>
      </w:r>
      <w:r w:rsidRPr="00D35336">
        <w:t xml:space="preserve"> texts in the history of Welsh cultural revivalism. They </w:t>
      </w:r>
      <w:r w:rsidR="00762FEE" w:rsidRPr="00D35336">
        <w:t>express</w:t>
      </w:r>
      <w:r w:rsidRPr="00D35336">
        <w:t xml:space="preserve"> distinct but complementary visions of how </w:t>
      </w:r>
      <w:r w:rsidR="00762FEE" w:rsidRPr="00D35336">
        <w:t>the overall Welsh identity</w:t>
      </w:r>
      <w:r w:rsidRPr="00D35336">
        <w:t xml:space="preserve"> might be sustained</w:t>
      </w:r>
      <w:r w:rsidR="00AA394C" w:rsidRPr="00D35336">
        <w:t>. O</w:t>
      </w:r>
      <w:r w:rsidRPr="00D35336">
        <w:t>ne through</w:t>
      </w:r>
      <w:r w:rsidR="00AA394C" w:rsidRPr="00D35336">
        <w:t xml:space="preserve"> an</w:t>
      </w:r>
      <w:r w:rsidRPr="00D35336">
        <w:t xml:space="preserve"> institutional Enlightenment</w:t>
      </w:r>
      <w:r w:rsidR="00AA394C" w:rsidRPr="00D35336">
        <w:t xml:space="preserve"> </w:t>
      </w:r>
      <w:r w:rsidRPr="00D35336">
        <w:t>style</w:t>
      </w:r>
      <w:r w:rsidR="00AA394C" w:rsidRPr="00D35336">
        <w:t xml:space="preserve"> of</w:t>
      </w:r>
      <w:r w:rsidRPr="00D35336">
        <w:t xml:space="preserve"> organisation, the other through Romantic and morally inflected cultural practice. Both articulate powerful aims</w:t>
      </w:r>
      <w:r w:rsidR="00926296" w:rsidRPr="00D35336">
        <w:t>,</w:t>
      </w:r>
      <w:r w:rsidRPr="00D35336">
        <w:t xml:space="preserve"> to preserve Welsh culture, to draw on antiquity for legitimacy, and to negotiate Wales’s relation to Britain</w:t>
      </w:r>
      <w:r w:rsidR="00926296" w:rsidRPr="00D35336">
        <w:t>,</w:t>
      </w:r>
      <w:r w:rsidRPr="00D35336">
        <w:t xml:space="preserve"> yet they do so through very different strategies, styles, and assumptions about agency.</w:t>
      </w:r>
    </w:p>
    <w:p w14:paraId="2E156E80" w14:textId="5AE8D154" w:rsidR="00615913" w:rsidRPr="00D35336" w:rsidRDefault="00615913" w:rsidP="00615913">
      <w:r w:rsidRPr="00D35336">
        <w:t xml:space="preserve">The Cymmrodorion present cultural revival as a matter of reasoned institutional </w:t>
      </w:r>
      <w:r w:rsidR="00895BAD" w:rsidRPr="00D35336">
        <w:t>ownership</w:t>
      </w:r>
      <w:r w:rsidRPr="00D35336">
        <w:t xml:space="preserve">, deeply rooted in metropolitan networks, scholarship, and civic behaviour. </w:t>
      </w:r>
      <w:r w:rsidRPr="00D35336">
        <w:lastRenderedPageBreak/>
        <w:t>Hall, by contrast, frames cultural survival as a moral imperative, grounded in rural life, gendered responsibility, and</w:t>
      </w:r>
      <w:r w:rsidR="00763D08" w:rsidRPr="00D35336">
        <w:t xml:space="preserve"> intentional </w:t>
      </w:r>
      <w:r w:rsidR="008E3273" w:rsidRPr="00D35336">
        <w:t>utilisation of</w:t>
      </w:r>
      <w:r w:rsidRPr="00D35336">
        <w:t xml:space="preserve"> tradit</w:t>
      </w:r>
      <w:r w:rsidR="008E3273" w:rsidRPr="00D35336">
        <w:t>i</w:t>
      </w:r>
      <w:r w:rsidRPr="00D35336">
        <w:t>on</w:t>
      </w:r>
      <w:r w:rsidR="008E3273" w:rsidRPr="00D35336">
        <w:t>al components to Welshness</w:t>
      </w:r>
      <w:r w:rsidRPr="00D35336">
        <w:t>. Their differences</w:t>
      </w:r>
      <w:r w:rsidR="00926296" w:rsidRPr="00D35336">
        <w:t>,</w:t>
      </w:r>
      <w:r w:rsidRPr="00D35336">
        <w:t xml:space="preserve"> and</w:t>
      </w:r>
      <w:r w:rsidR="008E3273" w:rsidRPr="00D35336">
        <w:t xml:space="preserve"> </w:t>
      </w:r>
      <w:r w:rsidRPr="00D35336">
        <w:t>shared assumptions</w:t>
      </w:r>
      <w:r w:rsidR="00926296" w:rsidRPr="00D35336">
        <w:t>,</w:t>
      </w:r>
      <w:r w:rsidRPr="00D35336">
        <w:t xml:space="preserve"> </w:t>
      </w:r>
      <w:r w:rsidR="00570859" w:rsidRPr="00D35336">
        <w:t>demonstrate</w:t>
      </w:r>
      <w:r w:rsidRPr="00D35336">
        <w:t xml:space="preserve"> the complex nature of Welsh national consciousness over time</w:t>
      </w:r>
      <w:r w:rsidR="007C5ACD" w:rsidRPr="00D35336">
        <w:t>, with</w:t>
      </w:r>
      <w:r w:rsidRPr="00D35336">
        <w:t xml:space="preserve"> its anxieties, its aspirations, and its means of survival.</w:t>
      </w:r>
    </w:p>
    <w:p w14:paraId="073CFAE5" w14:textId="77777777" w:rsidR="00615913" w:rsidRPr="00D35336" w:rsidRDefault="00615913" w:rsidP="00615913">
      <w:r w:rsidRPr="00D35336">
        <w:t>By reading these texts together, we gain more than a sense of historical change; we gain an understanding of how the cultural politics of revivalism has always been contested, negotiated, and reimagined. Welsh identity, in their vision, is neither static nor passive, but constructed and defended through institutions, practices, and moral conviction. These works thus offer a vital window into the evolving project of Welsh cultural nationalism, and into the broader dynamics of how small nations attempt to preserve their distinctiveness within larger political and cultural systems.</w:t>
      </w:r>
    </w:p>
    <w:p w14:paraId="4971E73A" w14:textId="7D27EC52" w:rsidR="00615913" w:rsidRPr="00D35336" w:rsidRDefault="00615913" w:rsidP="00615913"/>
    <w:p w14:paraId="3C4DF76E" w14:textId="77777777" w:rsidR="00615913" w:rsidRPr="00D35336" w:rsidRDefault="00DA2D2D" w:rsidP="00615913">
      <w:r w:rsidRPr="00D35336">
        <w:pict w14:anchorId="24358CB4">
          <v:rect id="_x0000_i1025" style="width:0;height:1.5pt" o:hralign="center" o:hrstd="t" o:hr="t" fillcolor="#a0a0a0" stroked="f"/>
        </w:pict>
      </w:r>
    </w:p>
    <w:p w14:paraId="161A02CB" w14:textId="77777777" w:rsidR="00615913" w:rsidRPr="00D35336" w:rsidRDefault="00615913" w:rsidP="00615913">
      <w:r w:rsidRPr="00D35336">
        <w:t>Bibliography</w:t>
      </w:r>
    </w:p>
    <w:p w14:paraId="7EE9D253" w14:textId="0FFEDA4C" w:rsidR="00615913" w:rsidRPr="00D35336" w:rsidRDefault="00615913" w:rsidP="00453397">
      <w:pPr>
        <w:ind w:left="720" w:hanging="720"/>
      </w:pPr>
      <w:r w:rsidRPr="00D35336">
        <w:t>Aaron, J</w:t>
      </w:r>
      <w:r w:rsidR="00C14BCA" w:rsidRPr="00D35336">
        <w:t>ane</w:t>
      </w:r>
      <w:r w:rsidRPr="00D35336">
        <w:t xml:space="preserve">, </w:t>
      </w:r>
      <w:r w:rsidRPr="00D35336">
        <w:rPr>
          <w:i/>
          <w:iCs/>
        </w:rPr>
        <w:t>Nineteenth Century Women’s Writing in Wales: Nation, Gender, and Identity</w:t>
      </w:r>
      <w:r w:rsidRPr="00D35336">
        <w:t xml:space="preserve"> (Cardiff: University of Wales Press, 2007)</w:t>
      </w:r>
    </w:p>
    <w:p w14:paraId="6AF07DED" w14:textId="3E52F890" w:rsidR="00453397" w:rsidRPr="00D35336" w:rsidRDefault="00453397" w:rsidP="00453397">
      <w:pPr>
        <w:ind w:left="720" w:hanging="720"/>
      </w:pPr>
      <w:proofErr w:type="spellStart"/>
      <w:r w:rsidRPr="00D35336">
        <w:t>Amgueddfa</w:t>
      </w:r>
      <w:proofErr w:type="spellEnd"/>
      <w:r w:rsidRPr="00D35336">
        <w:t xml:space="preserve"> Cymru, </w:t>
      </w:r>
      <w:r w:rsidRPr="00D35336">
        <w:rPr>
          <w:i/>
          <w:iCs/>
        </w:rPr>
        <w:t xml:space="preserve">History of the Welsh Eisteddfod </w:t>
      </w:r>
      <w:r w:rsidRPr="00D35336">
        <w:t xml:space="preserve"> &lt;https://museum.wales/curatorial/social-cultural-history/online-collections/what-is-the-eisteddfod/&gt; [accessed 24 November 2025]</w:t>
      </w:r>
    </w:p>
    <w:p w14:paraId="6B36BD46" w14:textId="77D0BEA5" w:rsidR="00615913" w:rsidRPr="00D35336" w:rsidRDefault="00615913" w:rsidP="00453397">
      <w:pPr>
        <w:ind w:left="720" w:hanging="720"/>
      </w:pPr>
      <w:r w:rsidRPr="00D35336">
        <w:t>Brooks, S</w:t>
      </w:r>
      <w:r w:rsidR="00C14BCA" w:rsidRPr="00D35336">
        <w:t>imon</w:t>
      </w:r>
      <w:r w:rsidRPr="00D35336">
        <w:t xml:space="preserve">, </w:t>
      </w:r>
      <w:r w:rsidRPr="00D35336">
        <w:rPr>
          <w:i/>
          <w:iCs/>
        </w:rPr>
        <w:t>Why Wales Never Was</w:t>
      </w:r>
      <w:r w:rsidRPr="00D35336">
        <w:t xml:space="preserve"> (Cardiff: University of Wales Press, 2017)</w:t>
      </w:r>
    </w:p>
    <w:p w14:paraId="248AB6FF" w14:textId="77777777" w:rsidR="00453397" w:rsidRPr="00D35336" w:rsidRDefault="00453397" w:rsidP="00453397">
      <w:pPr>
        <w:ind w:left="720" w:hanging="720"/>
      </w:pPr>
      <w:r w:rsidRPr="00D35336">
        <w:t xml:space="preserve">Clark, Peter, </w:t>
      </w:r>
      <w:r w:rsidRPr="00D35336">
        <w:rPr>
          <w:i/>
          <w:iCs/>
        </w:rPr>
        <w:t>British Clubs and Societies 1580-1800</w:t>
      </w:r>
      <w:r w:rsidRPr="00D35336">
        <w:t xml:space="preserve"> (Oxford: Clarendon Press, 2000)</w:t>
      </w:r>
    </w:p>
    <w:p w14:paraId="6A06E2EF" w14:textId="5781AF03" w:rsidR="00615913" w:rsidRPr="00D35336" w:rsidRDefault="00615913" w:rsidP="00453397">
      <w:pPr>
        <w:ind w:left="720" w:hanging="720"/>
      </w:pPr>
      <w:r w:rsidRPr="00D35336">
        <w:t>Freeman, M</w:t>
      </w:r>
      <w:r w:rsidR="00637FD0" w:rsidRPr="00D35336">
        <w:t>ichael</w:t>
      </w:r>
      <w:r w:rsidRPr="00D35336">
        <w:t xml:space="preserve">, ‘Lady Llanover and the Welsh Costume Prints’, </w:t>
      </w:r>
      <w:r w:rsidRPr="00D35336">
        <w:rPr>
          <w:i/>
          <w:iCs/>
        </w:rPr>
        <w:t>The National Library of Wales Journal</w:t>
      </w:r>
      <w:r w:rsidRPr="00D35336">
        <w:t>, 34</w:t>
      </w:r>
      <w:r w:rsidR="00A23712" w:rsidRPr="00D35336">
        <w:t>.</w:t>
      </w:r>
      <w:r w:rsidRPr="00D35336">
        <w:t>2 (2007)</w:t>
      </w:r>
      <w:r w:rsidR="00637FD0" w:rsidRPr="00D35336">
        <w:t xml:space="preserve"> pp</w:t>
      </w:r>
      <w:r w:rsidR="004F59B0" w:rsidRPr="00D35336">
        <w:t>. 235-252</w:t>
      </w:r>
      <w:r w:rsidR="000A7DC7" w:rsidRPr="00D35336">
        <w:t xml:space="preserve"> &lt;</w:t>
      </w:r>
      <w:r w:rsidR="003E19C2" w:rsidRPr="00D35336">
        <w:t>https://doi.org/</w:t>
      </w:r>
      <w:r w:rsidR="000A7DC7" w:rsidRPr="00D35336">
        <w:t>0011-4421</w:t>
      </w:r>
      <w:r w:rsidR="000A7DC7" w:rsidRPr="00D35336">
        <w:t>&gt;</w:t>
      </w:r>
    </w:p>
    <w:p w14:paraId="253CE9AE" w14:textId="120DA1D1" w:rsidR="00615913" w:rsidRPr="00D35336" w:rsidRDefault="00615913" w:rsidP="00453397">
      <w:pPr>
        <w:ind w:left="720" w:hanging="720"/>
      </w:pPr>
      <w:r w:rsidRPr="00D35336">
        <w:t>Hall, A</w:t>
      </w:r>
      <w:r w:rsidR="003E19C2" w:rsidRPr="00D35336">
        <w:t>ugusta</w:t>
      </w:r>
      <w:r w:rsidRPr="00D35336">
        <w:t xml:space="preserve">, </w:t>
      </w:r>
      <w:r w:rsidRPr="00D35336">
        <w:rPr>
          <w:i/>
          <w:iCs/>
        </w:rPr>
        <w:t>Advantages Resulting from the Preservation of the Welsh Language, and National Costumes of Wales</w:t>
      </w:r>
      <w:r w:rsidRPr="00D35336">
        <w:t xml:space="preserve"> (London: John Murray, 1834)</w:t>
      </w:r>
    </w:p>
    <w:p w14:paraId="3FFB8108" w14:textId="1678300A" w:rsidR="00453397" w:rsidRPr="00D35336" w:rsidRDefault="00453397" w:rsidP="00453397">
      <w:pPr>
        <w:ind w:left="720" w:hanging="720"/>
      </w:pPr>
      <w:r w:rsidRPr="00D35336">
        <w:t xml:space="preserve">Honourable Society of Cymmrodorion, </w:t>
      </w:r>
      <w:r w:rsidRPr="00D35336">
        <w:rPr>
          <w:i/>
          <w:iCs/>
        </w:rPr>
        <w:t>Constitutions of the Honourable Society of Cymmrodorion in London</w:t>
      </w:r>
      <w:r w:rsidRPr="00D35336">
        <w:t>, ed. by Rev. Robert Jones (London: T. Richards, 1877)</w:t>
      </w:r>
    </w:p>
    <w:p w14:paraId="0D5A8C40" w14:textId="77777777" w:rsidR="00453397" w:rsidRPr="00D35336" w:rsidRDefault="00453397" w:rsidP="00453397">
      <w:pPr>
        <w:ind w:left="720" w:hanging="720"/>
        <w:rPr>
          <w:i/>
          <w:iCs/>
        </w:rPr>
      </w:pPr>
      <w:proofErr w:type="spellStart"/>
      <w:r w:rsidRPr="00D35336">
        <w:t>Iwagami</w:t>
      </w:r>
      <w:proofErr w:type="spellEnd"/>
      <w:r w:rsidRPr="00D35336">
        <w:t xml:space="preserve">, Miki, </w:t>
      </w:r>
      <w:r w:rsidRPr="00D35336">
        <w:rPr>
          <w:i/>
          <w:iCs/>
        </w:rPr>
        <w:t>Fashion History from the 18</w:t>
      </w:r>
      <w:r w:rsidRPr="00D35336">
        <w:rPr>
          <w:i/>
          <w:iCs/>
          <w:vertAlign w:val="superscript"/>
        </w:rPr>
        <w:t>th</w:t>
      </w:r>
      <w:r w:rsidRPr="00D35336">
        <w:rPr>
          <w:i/>
          <w:iCs/>
        </w:rPr>
        <w:t xml:space="preserve"> to the 20</w:t>
      </w:r>
      <w:r w:rsidRPr="00D35336">
        <w:rPr>
          <w:i/>
          <w:iCs/>
          <w:vertAlign w:val="superscript"/>
        </w:rPr>
        <w:t>th</w:t>
      </w:r>
      <w:r w:rsidRPr="00D35336">
        <w:rPr>
          <w:i/>
          <w:iCs/>
        </w:rPr>
        <w:t xml:space="preserve"> Century</w:t>
      </w:r>
      <w:r w:rsidRPr="00D35336">
        <w:t>, (Köln: Taschen, 2022)</w:t>
      </w:r>
    </w:p>
    <w:p w14:paraId="2CDD7F8B" w14:textId="70ABB2D7" w:rsidR="00615913" w:rsidRPr="00D35336" w:rsidRDefault="00F81E19" w:rsidP="00453397">
      <w:pPr>
        <w:ind w:left="720" w:hanging="720"/>
      </w:pPr>
      <w:r w:rsidRPr="00D35336">
        <w:t>Jones, Emrys,</w:t>
      </w:r>
      <w:r w:rsidR="00615913" w:rsidRPr="00D35336">
        <w:t xml:space="preserve"> </w:t>
      </w:r>
      <w:r w:rsidR="00615913" w:rsidRPr="00D35336">
        <w:rPr>
          <w:i/>
          <w:iCs/>
        </w:rPr>
        <w:t>The Welsh in London: 1500–2000</w:t>
      </w:r>
      <w:r w:rsidR="00615913" w:rsidRPr="00D35336">
        <w:t xml:space="preserve"> (Cardiff: University of Wales Press, 2001)</w:t>
      </w:r>
    </w:p>
    <w:p w14:paraId="1EB0DBC6" w14:textId="03C9D17B" w:rsidR="00615913" w:rsidRPr="00D35336" w:rsidRDefault="00615913" w:rsidP="00453397">
      <w:pPr>
        <w:ind w:left="720" w:hanging="720"/>
      </w:pPr>
      <w:r w:rsidRPr="00D35336">
        <w:t>Kaminski</w:t>
      </w:r>
      <w:r w:rsidRPr="00D35336">
        <w:noBreakHyphen/>
        <w:t>Jones, R</w:t>
      </w:r>
      <w:r w:rsidR="001C6CD1" w:rsidRPr="00D35336">
        <w:t>hys</w:t>
      </w:r>
      <w:r w:rsidRPr="00D35336">
        <w:t xml:space="preserve">, </w:t>
      </w:r>
      <w:r w:rsidRPr="00D35336">
        <w:rPr>
          <w:i/>
          <w:iCs/>
        </w:rPr>
        <w:t>Welsh Revivalism in Imperial Britain, 1707–1819</w:t>
      </w:r>
      <w:r w:rsidRPr="00D35336">
        <w:t xml:space="preserve"> (Woodbridge: Boydell &amp; Brewer, 2025)</w:t>
      </w:r>
    </w:p>
    <w:p w14:paraId="52FC237E" w14:textId="77777777" w:rsidR="00453397" w:rsidRPr="00D35336" w:rsidRDefault="00453397" w:rsidP="00453397">
      <w:pPr>
        <w:ind w:left="720" w:hanging="720"/>
      </w:pPr>
      <w:r w:rsidRPr="00D35336">
        <w:lastRenderedPageBreak/>
        <w:t xml:space="preserve">Löffler, Marion, </w:t>
      </w:r>
      <w:r w:rsidRPr="00D35336">
        <w:rPr>
          <w:i/>
          <w:iCs/>
        </w:rPr>
        <w:t>HALL, AUGUSTA, Lady Llanover ('Gwenynen Gwent') (1802-1896), patron of Welsh culture and inventor of the Welsh national costume</w:t>
      </w:r>
      <w:r w:rsidRPr="00D35336">
        <w:t xml:space="preserve"> (2016) &lt;https://biography.wales/article/s10-HALL-AUG-1802&gt; [Accessed 24 November 2025]</w:t>
      </w:r>
    </w:p>
    <w:p w14:paraId="7E22DF41" w14:textId="210DA938" w:rsidR="00615913" w:rsidRPr="00D35336" w:rsidRDefault="00615913" w:rsidP="00453397">
      <w:pPr>
        <w:ind w:left="720" w:hanging="720"/>
      </w:pPr>
      <w:r w:rsidRPr="00D35336">
        <w:t>Morgan, P</w:t>
      </w:r>
      <w:r w:rsidR="00BF6778" w:rsidRPr="00D35336">
        <w:t>rys</w:t>
      </w:r>
      <w:r w:rsidRPr="00D35336">
        <w:t xml:space="preserve">, </w:t>
      </w:r>
      <w:r w:rsidRPr="00D35336">
        <w:rPr>
          <w:i/>
          <w:iCs/>
        </w:rPr>
        <w:t>The Eighteenth Century Renaissance</w:t>
      </w:r>
      <w:r w:rsidRPr="00D35336">
        <w:t xml:space="preserve"> (</w:t>
      </w:r>
      <w:proofErr w:type="spellStart"/>
      <w:r w:rsidRPr="00D35336">
        <w:t>Llandybie</w:t>
      </w:r>
      <w:proofErr w:type="spellEnd"/>
      <w:r w:rsidRPr="00D35336">
        <w:t>: Christopher Davies, 1981)</w:t>
      </w:r>
    </w:p>
    <w:p w14:paraId="1ADBBAAD" w14:textId="1422E9AB" w:rsidR="00615913" w:rsidRPr="00615913" w:rsidRDefault="00615913" w:rsidP="00453397">
      <w:pPr>
        <w:ind w:left="720" w:hanging="720"/>
      </w:pPr>
      <w:r w:rsidRPr="00D35336">
        <w:t>Morgan, P</w:t>
      </w:r>
      <w:r w:rsidR="00BF6778" w:rsidRPr="00D35336">
        <w:t>rys</w:t>
      </w:r>
      <w:r w:rsidRPr="00D35336">
        <w:t xml:space="preserve">, ‘Early Victorian Wales and its Crisis of Identity’, </w:t>
      </w:r>
      <w:r w:rsidR="00A30709" w:rsidRPr="00D35336">
        <w:t>ed. by</w:t>
      </w:r>
      <w:r w:rsidRPr="00D35336">
        <w:t xml:space="preserve"> L</w:t>
      </w:r>
      <w:r w:rsidR="00870CC7" w:rsidRPr="00D35336">
        <w:t>aurence</w:t>
      </w:r>
      <w:r w:rsidRPr="00D35336">
        <w:t xml:space="preserve"> Brockliss &amp; D</w:t>
      </w:r>
      <w:r w:rsidR="00870CC7" w:rsidRPr="00D35336">
        <w:t>avid</w:t>
      </w:r>
      <w:r w:rsidRPr="00D35336">
        <w:t xml:space="preserve"> Eastwood, </w:t>
      </w:r>
      <w:r w:rsidRPr="00D35336">
        <w:rPr>
          <w:i/>
          <w:iCs/>
        </w:rPr>
        <w:t>A Union of Multiple Identities: The British Isles, c.1750–c.1850</w:t>
      </w:r>
      <w:r w:rsidRPr="00D35336">
        <w:t xml:space="preserve"> (Manchester: Manchester University Press, 1997)</w:t>
      </w:r>
    </w:p>
    <w:p w14:paraId="6C2BE40B" w14:textId="2FCF49E7" w:rsidR="00010A60" w:rsidRPr="00615913" w:rsidRDefault="00010A60" w:rsidP="00010A60"/>
    <w:sectPr w:rsidR="00010A60" w:rsidRPr="00615913">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F1F111" w14:textId="77777777" w:rsidR="00726368" w:rsidRDefault="00726368" w:rsidP="00726368">
      <w:pPr>
        <w:spacing w:after="0" w:line="240" w:lineRule="auto"/>
      </w:pPr>
      <w:r>
        <w:separator/>
      </w:r>
    </w:p>
  </w:endnote>
  <w:endnote w:type="continuationSeparator" w:id="0">
    <w:p w14:paraId="6A8381E7" w14:textId="77777777" w:rsidR="00726368" w:rsidRDefault="00726368" w:rsidP="007263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9C493" w14:textId="77777777" w:rsidR="00726368" w:rsidRDefault="00726368" w:rsidP="00726368">
      <w:pPr>
        <w:spacing w:after="0" w:line="240" w:lineRule="auto"/>
      </w:pPr>
      <w:r>
        <w:separator/>
      </w:r>
    </w:p>
  </w:footnote>
  <w:footnote w:type="continuationSeparator" w:id="0">
    <w:p w14:paraId="70AC8047" w14:textId="77777777" w:rsidR="00726368" w:rsidRDefault="00726368" w:rsidP="00726368">
      <w:pPr>
        <w:spacing w:after="0" w:line="240" w:lineRule="auto"/>
      </w:pPr>
      <w:r>
        <w:continuationSeparator/>
      </w:r>
    </w:p>
  </w:footnote>
  <w:footnote w:id="1">
    <w:p w14:paraId="390235D7" w14:textId="77777777" w:rsidR="00D400A9" w:rsidRDefault="00D400A9" w:rsidP="00D400A9">
      <w:pPr>
        <w:pStyle w:val="FootnoteText"/>
      </w:pPr>
      <w:r>
        <w:rPr>
          <w:rStyle w:val="FootnoteReference"/>
        </w:rPr>
        <w:footnoteRef/>
      </w:r>
      <w:r>
        <w:t xml:space="preserve"> </w:t>
      </w:r>
      <w:r w:rsidRPr="00615913">
        <w:t>Honourable Society of Cymmrodorion</w:t>
      </w:r>
      <w:r w:rsidRPr="00656C09">
        <w:t xml:space="preserve">, </w:t>
      </w:r>
      <w:r w:rsidRPr="00615913">
        <w:rPr>
          <w:i/>
          <w:iCs/>
        </w:rPr>
        <w:t>Constitutions of the Honourable Society of Cymmrodorion in London</w:t>
      </w:r>
      <w:r w:rsidRPr="00656C09">
        <w:t>,</w:t>
      </w:r>
      <w:r>
        <w:t xml:space="preserve"> ed. by Rev. Robert Jones</w:t>
      </w:r>
      <w:r w:rsidRPr="00656C09">
        <w:t xml:space="preserve"> (</w:t>
      </w:r>
      <w:r>
        <w:t>London</w:t>
      </w:r>
      <w:r w:rsidRPr="00656C09">
        <w:t xml:space="preserve">: </w:t>
      </w:r>
      <w:r>
        <w:t>T. Richards</w:t>
      </w:r>
      <w:r w:rsidRPr="00656C09">
        <w:t xml:space="preserve">, </w:t>
      </w:r>
      <w:r>
        <w:t>1877</w:t>
      </w:r>
      <w:r w:rsidRPr="00656C09">
        <w:t xml:space="preserve">), pp. </w:t>
      </w:r>
      <w:r>
        <w:t>318-325</w:t>
      </w:r>
      <w:r w:rsidRPr="00656C09">
        <w:t>.</w:t>
      </w:r>
    </w:p>
  </w:footnote>
  <w:footnote w:id="2">
    <w:p w14:paraId="63A4C434" w14:textId="61F6E764" w:rsidR="002E67C7" w:rsidRPr="00F47C60" w:rsidRDefault="002E67C7">
      <w:pPr>
        <w:pStyle w:val="FootnoteText"/>
      </w:pPr>
      <w:r>
        <w:rPr>
          <w:rStyle w:val="FootnoteReference"/>
        </w:rPr>
        <w:footnoteRef/>
      </w:r>
      <w:r>
        <w:t xml:space="preserve"> </w:t>
      </w:r>
      <w:r w:rsidR="0092772C">
        <w:t xml:space="preserve">Augusta Hall, </w:t>
      </w:r>
      <w:r w:rsidR="009859A9">
        <w:rPr>
          <w:i/>
          <w:iCs/>
        </w:rPr>
        <w:t xml:space="preserve"> </w:t>
      </w:r>
      <w:r w:rsidR="00E16E66">
        <w:rPr>
          <w:i/>
          <w:iCs/>
        </w:rPr>
        <w:t>Advantages Resulting from the Preservation of the Welsh Language and National Costume of Wales</w:t>
      </w:r>
      <w:r w:rsidR="00F47C60">
        <w:rPr>
          <w:i/>
          <w:iCs/>
        </w:rPr>
        <w:t xml:space="preserve"> </w:t>
      </w:r>
      <w:r w:rsidR="00F47C60">
        <w:t>(Lo</w:t>
      </w:r>
      <w:r w:rsidR="00872AD2">
        <w:t xml:space="preserve">ndon: </w:t>
      </w:r>
      <w:r w:rsidR="00D32510">
        <w:t>John Murray</w:t>
      </w:r>
      <w:r w:rsidR="00872AD2">
        <w:t>, 183</w:t>
      </w:r>
      <w:r w:rsidR="00D32510">
        <w:t>4) pp. 10-13.</w:t>
      </w:r>
    </w:p>
  </w:footnote>
  <w:footnote w:id="3">
    <w:p w14:paraId="00FFCD6D" w14:textId="34771BDD" w:rsidR="00D32510" w:rsidRDefault="00D32510">
      <w:pPr>
        <w:pStyle w:val="FootnoteText"/>
      </w:pPr>
      <w:r>
        <w:rPr>
          <w:rStyle w:val="FootnoteReference"/>
        </w:rPr>
        <w:footnoteRef/>
      </w:r>
      <w:r>
        <w:t xml:space="preserve"> </w:t>
      </w:r>
      <w:r w:rsidRPr="00615913">
        <w:t>Honourable Society of Cymmrodorion</w:t>
      </w:r>
      <w:r w:rsidRPr="00656C09">
        <w:t xml:space="preserve">, </w:t>
      </w:r>
      <w:r w:rsidRPr="00615913">
        <w:rPr>
          <w:i/>
          <w:iCs/>
        </w:rPr>
        <w:t>Constitutions of the Honourable Society of Cymmrodorion in London</w:t>
      </w:r>
      <w:r>
        <w:t>,</w:t>
      </w:r>
      <w:r>
        <w:rPr>
          <w:i/>
          <w:iCs/>
        </w:rPr>
        <w:t xml:space="preserve"> </w:t>
      </w:r>
      <w:r w:rsidRPr="00D32510">
        <w:t>p</w:t>
      </w:r>
      <w:r w:rsidR="00E44C9F">
        <w:t xml:space="preserve">. </w:t>
      </w:r>
      <w:r w:rsidRPr="00D32510">
        <w:t>328</w:t>
      </w:r>
      <w:r>
        <w:t>.</w:t>
      </w:r>
    </w:p>
  </w:footnote>
  <w:footnote w:id="4">
    <w:p w14:paraId="2769032A" w14:textId="5874ACD3" w:rsidR="00D32510" w:rsidRPr="00D32510" w:rsidRDefault="00D32510">
      <w:pPr>
        <w:pStyle w:val="FootnoteText"/>
      </w:pPr>
      <w:r>
        <w:rPr>
          <w:rStyle w:val="FootnoteReference"/>
        </w:rPr>
        <w:footnoteRef/>
      </w:r>
      <w:r>
        <w:t xml:space="preserve"> </w:t>
      </w:r>
      <w:r>
        <w:t xml:space="preserve">Augusta Hall, </w:t>
      </w:r>
      <w:r>
        <w:rPr>
          <w:i/>
          <w:iCs/>
        </w:rPr>
        <w:t xml:space="preserve"> Advantages Resulting from the Preservation of the Welsh Language and National Costume of Wales</w:t>
      </w:r>
      <w:r>
        <w:t xml:space="preserve">, </w:t>
      </w:r>
      <w:r w:rsidR="00E44C9F">
        <w:t>p. 9.</w:t>
      </w:r>
    </w:p>
  </w:footnote>
  <w:footnote w:id="5">
    <w:p w14:paraId="7EDC555F" w14:textId="0FC7EEA4" w:rsidR="00E44C9F" w:rsidRDefault="00E44C9F">
      <w:pPr>
        <w:pStyle w:val="FootnoteText"/>
      </w:pPr>
      <w:r>
        <w:rPr>
          <w:rStyle w:val="FootnoteReference"/>
        </w:rPr>
        <w:footnoteRef/>
      </w:r>
      <w:r>
        <w:t xml:space="preserve"> </w:t>
      </w:r>
      <w:r w:rsidRPr="00615913">
        <w:t>Honourable Society of Cymmrodorion</w:t>
      </w:r>
      <w:r w:rsidRPr="00656C09">
        <w:t xml:space="preserve">, </w:t>
      </w:r>
      <w:r w:rsidRPr="00615913">
        <w:rPr>
          <w:i/>
          <w:iCs/>
        </w:rPr>
        <w:t>Constitutions of the Honourable Society of Cymmrodorion in London</w:t>
      </w:r>
      <w:r>
        <w:t>,</w:t>
      </w:r>
      <w:r>
        <w:rPr>
          <w:i/>
          <w:iCs/>
        </w:rPr>
        <w:t xml:space="preserve"> </w:t>
      </w:r>
      <w:r w:rsidRPr="00D32510">
        <w:t>p</w:t>
      </w:r>
      <w:r>
        <w:t>p</w:t>
      </w:r>
      <w:r>
        <w:t xml:space="preserve">. </w:t>
      </w:r>
      <w:r>
        <w:t>322-</w:t>
      </w:r>
      <w:r w:rsidRPr="00D32510">
        <w:t>328</w:t>
      </w:r>
      <w:r>
        <w:t>.</w:t>
      </w:r>
    </w:p>
  </w:footnote>
  <w:footnote w:id="6">
    <w:p w14:paraId="6FF592BD" w14:textId="0C6E92AC" w:rsidR="00EF6364" w:rsidRDefault="00EF6364">
      <w:pPr>
        <w:pStyle w:val="FootnoteText"/>
      </w:pPr>
      <w:r>
        <w:rPr>
          <w:rStyle w:val="FootnoteReference"/>
        </w:rPr>
        <w:footnoteRef/>
      </w:r>
      <w:r>
        <w:t xml:space="preserve"> </w:t>
      </w:r>
      <w:r>
        <w:t xml:space="preserve">Augusta Hall, </w:t>
      </w:r>
      <w:r>
        <w:rPr>
          <w:i/>
          <w:iCs/>
        </w:rPr>
        <w:t xml:space="preserve"> Advantages Resulting from the Preservation of the Welsh Language and National Costume of Wales</w:t>
      </w:r>
      <w:r>
        <w:t>, p. 9.</w:t>
      </w:r>
    </w:p>
  </w:footnote>
  <w:footnote w:id="7">
    <w:p w14:paraId="7F40D71B" w14:textId="2DF5AD5D" w:rsidR="00EF6364" w:rsidRDefault="00EF6364">
      <w:pPr>
        <w:pStyle w:val="FootnoteText"/>
      </w:pPr>
      <w:r>
        <w:rPr>
          <w:rStyle w:val="FootnoteReference"/>
        </w:rPr>
        <w:footnoteRef/>
      </w:r>
      <w:r>
        <w:t xml:space="preserve"> </w:t>
      </w:r>
      <w:r w:rsidRPr="00615913">
        <w:t>Honourable Society of Cymmrodorion</w:t>
      </w:r>
      <w:r w:rsidRPr="00656C09">
        <w:t xml:space="preserve">, </w:t>
      </w:r>
      <w:r w:rsidRPr="00615913">
        <w:rPr>
          <w:i/>
          <w:iCs/>
        </w:rPr>
        <w:t>Constitutions of the Honourable Society of Cymmrodorion in London</w:t>
      </w:r>
      <w:r>
        <w:t>,</w:t>
      </w:r>
      <w:r>
        <w:rPr>
          <w:i/>
          <w:iCs/>
        </w:rPr>
        <w:t xml:space="preserve"> </w:t>
      </w:r>
      <w:r w:rsidRPr="00D32510">
        <w:t>p</w:t>
      </w:r>
      <w:r>
        <w:t>. 304</w:t>
      </w:r>
      <w:r>
        <w:t>.</w:t>
      </w:r>
    </w:p>
  </w:footnote>
  <w:footnote w:id="8">
    <w:p w14:paraId="5067DFDC" w14:textId="42BD8D8F" w:rsidR="00EF6364" w:rsidRDefault="00EF6364">
      <w:pPr>
        <w:pStyle w:val="FootnoteText"/>
      </w:pPr>
      <w:r>
        <w:rPr>
          <w:rStyle w:val="FootnoteReference"/>
        </w:rPr>
        <w:footnoteRef/>
      </w:r>
      <w:r>
        <w:t xml:space="preserve"> </w:t>
      </w:r>
      <w:r>
        <w:t xml:space="preserve">Augusta Hall, </w:t>
      </w:r>
      <w:r>
        <w:rPr>
          <w:i/>
          <w:iCs/>
        </w:rPr>
        <w:t xml:space="preserve"> Advantages Resulting from the Preservation of the Welsh Language and National Costume of Wales</w:t>
      </w:r>
      <w:r>
        <w:t>, p</w:t>
      </w:r>
      <w:r>
        <w:t>p. 8-11</w:t>
      </w:r>
      <w:r>
        <w:t>.</w:t>
      </w:r>
    </w:p>
  </w:footnote>
  <w:footnote w:id="9">
    <w:p w14:paraId="49294766" w14:textId="452E509B" w:rsidR="00FA108D" w:rsidRDefault="00FA108D">
      <w:pPr>
        <w:pStyle w:val="FootnoteText"/>
      </w:pPr>
      <w:r>
        <w:rPr>
          <w:rStyle w:val="FootnoteReference"/>
        </w:rPr>
        <w:footnoteRef/>
      </w:r>
      <w:r>
        <w:t xml:space="preserve"> </w:t>
      </w:r>
      <w:r w:rsidRPr="00615913">
        <w:t>Honourable Society of Cymmrodorion</w:t>
      </w:r>
      <w:r w:rsidRPr="00656C09">
        <w:t xml:space="preserve">, </w:t>
      </w:r>
      <w:r w:rsidRPr="00615913">
        <w:rPr>
          <w:i/>
          <w:iCs/>
        </w:rPr>
        <w:t>Constitutions of the Honourable Society of Cymmrodorion in London</w:t>
      </w:r>
      <w:r>
        <w:t>,</w:t>
      </w:r>
      <w:r>
        <w:rPr>
          <w:i/>
          <w:iCs/>
        </w:rPr>
        <w:t xml:space="preserve"> </w:t>
      </w:r>
      <w:r w:rsidRPr="00D32510">
        <w:t>p</w:t>
      </w:r>
      <w:r>
        <w:t>p. 314-318</w:t>
      </w:r>
      <w:r>
        <w:t>.</w:t>
      </w:r>
    </w:p>
  </w:footnote>
  <w:footnote w:id="10">
    <w:p w14:paraId="35F96205" w14:textId="558570FA" w:rsidR="00FA108D" w:rsidRDefault="00FA108D">
      <w:pPr>
        <w:pStyle w:val="FootnoteText"/>
      </w:pPr>
      <w:r>
        <w:rPr>
          <w:rStyle w:val="FootnoteReference"/>
        </w:rPr>
        <w:footnoteRef/>
      </w:r>
      <w:r>
        <w:t xml:space="preserve"> </w:t>
      </w:r>
      <w:r>
        <w:t xml:space="preserve">Augusta Hall, </w:t>
      </w:r>
      <w:r>
        <w:rPr>
          <w:i/>
          <w:iCs/>
        </w:rPr>
        <w:t xml:space="preserve"> Advantages Resulting from the Preservation of the Welsh Language and National Costume of Wales</w:t>
      </w:r>
      <w:r>
        <w:t>, p</w:t>
      </w:r>
      <w:r>
        <w:t>. 7</w:t>
      </w:r>
      <w:r>
        <w:t>.</w:t>
      </w:r>
    </w:p>
  </w:footnote>
  <w:footnote w:id="11">
    <w:p w14:paraId="5E972C2D" w14:textId="315BE214" w:rsidR="00A24536" w:rsidRPr="00A24536" w:rsidRDefault="00A24536">
      <w:pPr>
        <w:pStyle w:val="FootnoteText"/>
      </w:pPr>
      <w:r>
        <w:rPr>
          <w:rStyle w:val="FootnoteReference"/>
        </w:rPr>
        <w:footnoteRef/>
      </w:r>
      <w:r>
        <w:t xml:space="preserve"> Peter Clark, </w:t>
      </w:r>
      <w:r>
        <w:rPr>
          <w:i/>
          <w:iCs/>
        </w:rPr>
        <w:t>British Clubs and Societies 1580-1800</w:t>
      </w:r>
      <w:r>
        <w:t xml:space="preserve"> (Oxford: Clarendon Press, </w:t>
      </w:r>
      <w:r w:rsidR="004B6F13">
        <w:t>2000) p. 20.</w:t>
      </w:r>
    </w:p>
  </w:footnote>
  <w:footnote w:id="12">
    <w:p w14:paraId="1CE9F6B0" w14:textId="19350C00" w:rsidR="004B6F13" w:rsidRDefault="004B6F13">
      <w:pPr>
        <w:pStyle w:val="FootnoteText"/>
      </w:pPr>
      <w:r>
        <w:rPr>
          <w:rStyle w:val="FootnoteReference"/>
        </w:rPr>
        <w:footnoteRef/>
      </w:r>
      <w:r>
        <w:t xml:space="preserve"> </w:t>
      </w:r>
      <w:r w:rsidRPr="00615913">
        <w:t>Honourable Society of Cymmrodorion</w:t>
      </w:r>
      <w:r w:rsidRPr="00656C09">
        <w:t xml:space="preserve">, </w:t>
      </w:r>
      <w:r w:rsidRPr="00615913">
        <w:rPr>
          <w:i/>
          <w:iCs/>
        </w:rPr>
        <w:t>Constitutions of the Honourable Society of Cymmrodorion in London</w:t>
      </w:r>
      <w:r>
        <w:t>,</w:t>
      </w:r>
      <w:r>
        <w:rPr>
          <w:i/>
          <w:iCs/>
        </w:rPr>
        <w:t xml:space="preserve"> </w:t>
      </w:r>
      <w:r w:rsidRPr="00D32510">
        <w:t>p</w:t>
      </w:r>
      <w:r>
        <w:t>p. 3</w:t>
      </w:r>
      <w:r>
        <w:t>18-332</w:t>
      </w:r>
      <w:r>
        <w:t>.</w:t>
      </w:r>
    </w:p>
  </w:footnote>
  <w:footnote w:id="13">
    <w:p w14:paraId="4F38CF53" w14:textId="6FBE883D" w:rsidR="004B6F13" w:rsidRDefault="004B6F13">
      <w:pPr>
        <w:pStyle w:val="FootnoteText"/>
      </w:pPr>
      <w:r>
        <w:rPr>
          <w:rStyle w:val="FootnoteReference"/>
        </w:rPr>
        <w:footnoteRef/>
      </w:r>
      <w:r>
        <w:t xml:space="preserve"> </w:t>
      </w:r>
      <w:r>
        <w:t xml:space="preserve">Augusta Hall, </w:t>
      </w:r>
      <w:r>
        <w:rPr>
          <w:i/>
          <w:iCs/>
        </w:rPr>
        <w:t xml:space="preserve"> Advantages Resulting from the Preservation of the Welsh Language and National Costume of Wales</w:t>
      </w:r>
      <w:r>
        <w:t xml:space="preserve">, </w:t>
      </w:r>
      <w:r>
        <w:t>p</w:t>
      </w:r>
      <w:r>
        <w:t xml:space="preserve">p. </w:t>
      </w:r>
      <w:r>
        <w:t>10-12</w:t>
      </w:r>
      <w:r>
        <w:t>.</w:t>
      </w:r>
    </w:p>
  </w:footnote>
  <w:footnote w:id="14">
    <w:p w14:paraId="161AB007" w14:textId="359D122D" w:rsidR="004B6F13" w:rsidRDefault="004B6F13">
      <w:pPr>
        <w:pStyle w:val="FootnoteText"/>
      </w:pPr>
      <w:r>
        <w:rPr>
          <w:rStyle w:val="FootnoteReference"/>
        </w:rPr>
        <w:footnoteRef/>
      </w:r>
      <w:r>
        <w:t xml:space="preserve"> Ibid, pp. 12-13. </w:t>
      </w:r>
    </w:p>
  </w:footnote>
  <w:footnote w:id="15">
    <w:p w14:paraId="2B760791" w14:textId="6EDD9940" w:rsidR="003F2A93" w:rsidRDefault="003F2A93">
      <w:pPr>
        <w:pStyle w:val="FootnoteText"/>
      </w:pPr>
      <w:r>
        <w:rPr>
          <w:rStyle w:val="FootnoteReference"/>
        </w:rPr>
        <w:footnoteRef/>
      </w:r>
      <w:r>
        <w:t xml:space="preserve"> </w:t>
      </w:r>
      <w:r>
        <w:t xml:space="preserve">Augusta Hall, </w:t>
      </w:r>
      <w:r>
        <w:rPr>
          <w:i/>
          <w:iCs/>
        </w:rPr>
        <w:t xml:space="preserve"> Advantages Resulting from the Preservation of the Welsh Language and National Costume of Wales</w:t>
      </w:r>
      <w:r>
        <w:t>, p</w:t>
      </w:r>
      <w:r>
        <w:t>p. 4-</w:t>
      </w:r>
      <w:r>
        <w:t>7.</w:t>
      </w:r>
    </w:p>
  </w:footnote>
  <w:footnote w:id="16">
    <w:p w14:paraId="177049C1" w14:textId="6A2962B8" w:rsidR="003F2A93" w:rsidRPr="003F2A93" w:rsidRDefault="003F2A93">
      <w:pPr>
        <w:pStyle w:val="FootnoteText"/>
      </w:pPr>
      <w:r>
        <w:rPr>
          <w:rStyle w:val="FootnoteReference"/>
        </w:rPr>
        <w:footnoteRef/>
      </w:r>
      <w:r>
        <w:t xml:space="preserve"> Peter Clark, </w:t>
      </w:r>
      <w:r>
        <w:rPr>
          <w:i/>
          <w:iCs/>
        </w:rPr>
        <w:t>British Clubs and Societies 1580-1800</w:t>
      </w:r>
      <w:r>
        <w:t xml:space="preserve">, p. 20. </w:t>
      </w:r>
    </w:p>
  </w:footnote>
  <w:footnote w:id="17">
    <w:p w14:paraId="2E44AA4A" w14:textId="278173F5" w:rsidR="003F2A93" w:rsidRDefault="003F2A93">
      <w:pPr>
        <w:pStyle w:val="FootnoteText"/>
      </w:pPr>
      <w:r>
        <w:rPr>
          <w:rStyle w:val="FootnoteReference"/>
        </w:rPr>
        <w:footnoteRef/>
      </w:r>
      <w:r>
        <w:t xml:space="preserve"> </w:t>
      </w:r>
      <w:r>
        <w:t xml:space="preserve">Augusta Hall, </w:t>
      </w:r>
      <w:r>
        <w:rPr>
          <w:i/>
          <w:iCs/>
        </w:rPr>
        <w:t xml:space="preserve"> Advantages Resulting from the Preservation of the Welsh Language and National Costume of Wales</w:t>
      </w:r>
      <w:r>
        <w:t>, pp. 10-12.</w:t>
      </w:r>
    </w:p>
  </w:footnote>
  <w:footnote w:id="18">
    <w:p w14:paraId="3AFC0C6F" w14:textId="42CFF3B0" w:rsidR="003F2A93" w:rsidRPr="008E5EB1" w:rsidRDefault="003F2A93">
      <w:pPr>
        <w:pStyle w:val="FootnoteText"/>
      </w:pPr>
      <w:r>
        <w:rPr>
          <w:rStyle w:val="FootnoteReference"/>
        </w:rPr>
        <w:footnoteRef/>
      </w:r>
      <w:r>
        <w:t xml:space="preserve"> </w:t>
      </w:r>
      <w:r w:rsidR="00BF0D39">
        <w:t>Miki Iwa</w:t>
      </w:r>
      <w:r w:rsidR="008E5EB1">
        <w:t xml:space="preserve">gami, </w:t>
      </w:r>
      <w:r w:rsidR="008E5EB1">
        <w:rPr>
          <w:i/>
          <w:iCs/>
        </w:rPr>
        <w:t>Fashion History from the 18</w:t>
      </w:r>
      <w:r w:rsidR="008E5EB1" w:rsidRPr="008E5EB1">
        <w:rPr>
          <w:i/>
          <w:iCs/>
          <w:vertAlign w:val="superscript"/>
        </w:rPr>
        <w:t>th</w:t>
      </w:r>
      <w:r w:rsidR="008E5EB1">
        <w:rPr>
          <w:i/>
          <w:iCs/>
        </w:rPr>
        <w:t xml:space="preserve"> to the 20</w:t>
      </w:r>
      <w:r w:rsidR="008E5EB1" w:rsidRPr="008E5EB1">
        <w:rPr>
          <w:i/>
          <w:iCs/>
          <w:vertAlign w:val="superscript"/>
        </w:rPr>
        <w:t>th</w:t>
      </w:r>
      <w:r w:rsidR="008E5EB1">
        <w:rPr>
          <w:i/>
          <w:iCs/>
        </w:rPr>
        <w:t xml:space="preserve"> Century</w:t>
      </w:r>
      <w:r w:rsidR="008E5EB1">
        <w:t xml:space="preserve">, </w:t>
      </w:r>
      <w:r w:rsidR="00DC614D">
        <w:t xml:space="preserve">(Köln: Taschen, </w:t>
      </w:r>
      <w:r w:rsidR="0000619B">
        <w:t xml:space="preserve">2022) </w:t>
      </w:r>
      <w:r w:rsidR="006272B9">
        <w:t>pp. 129-147.</w:t>
      </w:r>
      <w:r w:rsidR="00DC614D">
        <w:t xml:space="preserve"> </w:t>
      </w:r>
    </w:p>
  </w:footnote>
  <w:footnote w:id="19">
    <w:p w14:paraId="15D1C9D8" w14:textId="640ECEE5" w:rsidR="006272B9" w:rsidRDefault="006272B9">
      <w:pPr>
        <w:pStyle w:val="FootnoteText"/>
      </w:pPr>
      <w:r>
        <w:rPr>
          <w:rStyle w:val="FootnoteReference"/>
        </w:rPr>
        <w:footnoteRef/>
      </w:r>
      <w:r>
        <w:t xml:space="preserve"> </w:t>
      </w:r>
      <w:proofErr w:type="spellStart"/>
      <w:r w:rsidR="001D4EAA">
        <w:t>Amgueddfa</w:t>
      </w:r>
      <w:proofErr w:type="spellEnd"/>
      <w:r w:rsidR="001D4EAA">
        <w:t xml:space="preserve"> Cymru</w:t>
      </w:r>
      <w:r w:rsidR="007825CA" w:rsidRPr="007825CA">
        <w:t xml:space="preserve">, </w:t>
      </w:r>
      <w:r w:rsidR="001D4EAA">
        <w:rPr>
          <w:i/>
          <w:iCs/>
        </w:rPr>
        <w:t xml:space="preserve">History of the Welsh Eisteddfod </w:t>
      </w:r>
      <w:r w:rsidR="007825CA" w:rsidRPr="007825CA">
        <w:t xml:space="preserve"> &lt;</w:t>
      </w:r>
      <w:r w:rsidR="00C67A31" w:rsidRPr="00C67A31">
        <w:t>https://museum.wales/curatorial/social-cultural-history/online-collections/what-is-the-eisteddfod/</w:t>
      </w:r>
      <w:r w:rsidR="007825CA" w:rsidRPr="007825CA">
        <w:t xml:space="preserve">&gt; [accessed </w:t>
      </w:r>
      <w:r w:rsidR="00C67A31">
        <w:t>24</w:t>
      </w:r>
      <w:r w:rsidR="007825CA" w:rsidRPr="007825CA">
        <w:t xml:space="preserve"> </w:t>
      </w:r>
      <w:r w:rsidR="00C67A31">
        <w:t>November</w:t>
      </w:r>
      <w:r w:rsidR="007825CA" w:rsidRPr="007825CA">
        <w:t xml:space="preserve"> </w:t>
      </w:r>
      <w:r w:rsidR="00C67A31">
        <w:t>2025</w:t>
      </w:r>
      <w:r w:rsidR="007825CA" w:rsidRPr="007825CA">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99BC0C" w14:textId="77777777" w:rsidR="005231B7" w:rsidRDefault="008E49D3" w:rsidP="008E49D3">
    <w:pPr>
      <w:pStyle w:val="Header"/>
      <w:jc w:val="both"/>
      <w:rPr>
        <w:b/>
        <w:bCs/>
      </w:rPr>
    </w:pPr>
    <w:r w:rsidRPr="009A1E2E">
      <w:rPr>
        <w:b/>
        <w:bCs/>
      </w:rPr>
      <w:t>Chris Guy</w:t>
    </w:r>
    <w:r w:rsidRPr="009A1E2E">
      <w:rPr>
        <w:b/>
        <w:bCs/>
      </w:rPr>
      <w:tab/>
    </w:r>
    <w:r w:rsidR="005231B7" w:rsidRPr="005231B7">
      <w:rPr>
        <w:b/>
        <w:bCs/>
      </w:rPr>
      <w:t>Relics of the Celtic Revival: Ten Key Texts in Context</w:t>
    </w:r>
  </w:p>
  <w:p w14:paraId="3DEB59E1" w14:textId="6AAAFBCB" w:rsidR="008E49D3" w:rsidRPr="00207205" w:rsidRDefault="008E49D3" w:rsidP="008E49D3">
    <w:pPr>
      <w:pStyle w:val="Header"/>
      <w:jc w:val="both"/>
      <w:rPr>
        <w:b/>
        <w:bCs/>
        <w:sz w:val="22"/>
        <w:szCs w:val="22"/>
      </w:rPr>
    </w:pPr>
    <w:r w:rsidRPr="009A1E2E">
      <w:rPr>
        <w:sz w:val="22"/>
        <w:szCs w:val="22"/>
      </w:rPr>
      <w:t>(</w:t>
    </w:r>
    <w:r w:rsidR="00207205" w:rsidRPr="00207205">
      <w:rPr>
        <w:b/>
        <w:bCs/>
        <w:sz w:val="22"/>
        <w:szCs w:val="22"/>
      </w:rPr>
      <w:t>HPCS5011,HPCS6011</w:t>
    </w:r>
    <w:r w:rsidRPr="009A1E2E">
      <w:rPr>
        <w:sz w:val="22"/>
        <w:szCs w:val="22"/>
      </w:rPr>
      <w:t>)</w:t>
    </w:r>
    <w:r w:rsidRPr="009A1E2E">
      <w:rPr>
        <w:sz w:val="22"/>
        <w:szCs w:val="22"/>
      </w:rPr>
      <w:tab/>
    </w:r>
    <w:r w:rsidRPr="009A1E2E">
      <w:rPr>
        <w:sz w:val="22"/>
        <w:szCs w:val="22"/>
      </w:rPr>
      <w:tab/>
    </w:r>
    <w:r w:rsidR="005231B7" w:rsidRPr="005231B7">
      <w:rPr>
        <w:b/>
        <w:bCs/>
        <w:sz w:val="22"/>
        <w:szCs w:val="22"/>
      </w:rPr>
      <w:t>24</w:t>
    </w:r>
    <w:r w:rsidRPr="005231B7">
      <w:rPr>
        <w:b/>
        <w:bCs/>
        <w:sz w:val="22"/>
        <w:szCs w:val="22"/>
      </w:rPr>
      <w:t>/11/2025</w:t>
    </w:r>
  </w:p>
  <w:p w14:paraId="544148C1" w14:textId="77777777" w:rsidR="00D35336" w:rsidRDefault="00D353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403F5A"/>
    <w:multiLevelType w:val="multilevel"/>
    <w:tmpl w:val="32740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0653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913"/>
    <w:rsid w:val="0000619B"/>
    <w:rsid w:val="00010A60"/>
    <w:rsid w:val="0003011F"/>
    <w:rsid w:val="000413BB"/>
    <w:rsid w:val="00047E24"/>
    <w:rsid w:val="00075355"/>
    <w:rsid w:val="00082BDE"/>
    <w:rsid w:val="00086955"/>
    <w:rsid w:val="000A7DC7"/>
    <w:rsid w:val="000C62B5"/>
    <w:rsid w:val="000F7174"/>
    <w:rsid w:val="001134E0"/>
    <w:rsid w:val="001A27B1"/>
    <w:rsid w:val="001C1995"/>
    <w:rsid w:val="001C28F9"/>
    <w:rsid w:val="001C6CD1"/>
    <w:rsid w:val="001D4EAA"/>
    <w:rsid w:val="001D62D9"/>
    <w:rsid w:val="001D7E59"/>
    <w:rsid w:val="001F4FA5"/>
    <w:rsid w:val="00207205"/>
    <w:rsid w:val="0025297F"/>
    <w:rsid w:val="002E1A0F"/>
    <w:rsid w:val="002E67C7"/>
    <w:rsid w:val="0030552B"/>
    <w:rsid w:val="00344BBD"/>
    <w:rsid w:val="00374ED5"/>
    <w:rsid w:val="003D286F"/>
    <w:rsid w:val="003E19C2"/>
    <w:rsid w:val="003F2A93"/>
    <w:rsid w:val="003F48C9"/>
    <w:rsid w:val="004031A1"/>
    <w:rsid w:val="00453397"/>
    <w:rsid w:val="00474743"/>
    <w:rsid w:val="004B6F13"/>
    <w:rsid w:val="004E1E77"/>
    <w:rsid w:val="004F4764"/>
    <w:rsid w:val="004F59B0"/>
    <w:rsid w:val="005231B7"/>
    <w:rsid w:val="00570627"/>
    <w:rsid w:val="00570859"/>
    <w:rsid w:val="00585BCB"/>
    <w:rsid w:val="005D50AE"/>
    <w:rsid w:val="00615913"/>
    <w:rsid w:val="006272B9"/>
    <w:rsid w:val="00637FD0"/>
    <w:rsid w:val="00656C09"/>
    <w:rsid w:val="00671CFB"/>
    <w:rsid w:val="006A35C0"/>
    <w:rsid w:val="006B4F02"/>
    <w:rsid w:val="006B5DDE"/>
    <w:rsid w:val="006B7040"/>
    <w:rsid w:val="006C06F8"/>
    <w:rsid w:val="006C44E3"/>
    <w:rsid w:val="006C751C"/>
    <w:rsid w:val="00712061"/>
    <w:rsid w:val="00726368"/>
    <w:rsid w:val="00762FEE"/>
    <w:rsid w:val="00763D08"/>
    <w:rsid w:val="00765652"/>
    <w:rsid w:val="007825CA"/>
    <w:rsid w:val="00782F2D"/>
    <w:rsid w:val="00786F4F"/>
    <w:rsid w:val="007A4542"/>
    <w:rsid w:val="007B7409"/>
    <w:rsid w:val="007C5ACD"/>
    <w:rsid w:val="007D5570"/>
    <w:rsid w:val="00854769"/>
    <w:rsid w:val="00870CC7"/>
    <w:rsid w:val="00872AD2"/>
    <w:rsid w:val="00895BAD"/>
    <w:rsid w:val="008C5264"/>
    <w:rsid w:val="008E3273"/>
    <w:rsid w:val="008E49D3"/>
    <w:rsid w:val="008E5EB1"/>
    <w:rsid w:val="009114C9"/>
    <w:rsid w:val="00926296"/>
    <w:rsid w:val="0092772C"/>
    <w:rsid w:val="00927E2E"/>
    <w:rsid w:val="009859A9"/>
    <w:rsid w:val="009A4CC2"/>
    <w:rsid w:val="009B07BF"/>
    <w:rsid w:val="00A04207"/>
    <w:rsid w:val="00A23712"/>
    <w:rsid w:val="00A24536"/>
    <w:rsid w:val="00A30709"/>
    <w:rsid w:val="00A32841"/>
    <w:rsid w:val="00AA394C"/>
    <w:rsid w:val="00AC2738"/>
    <w:rsid w:val="00B23BF0"/>
    <w:rsid w:val="00B4768F"/>
    <w:rsid w:val="00B70A38"/>
    <w:rsid w:val="00B93707"/>
    <w:rsid w:val="00BB561B"/>
    <w:rsid w:val="00BE4C8A"/>
    <w:rsid w:val="00BF0D39"/>
    <w:rsid w:val="00BF6778"/>
    <w:rsid w:val="00C14BCA"/>
    <w:rsid w:val="00C44342"/>
    <w:rsid w:val="00C67A31"/>
    <w:rsid w:val="00CB7F91"/>
    <w:rsid w:val="00D07BFA"/>
    <w:rsid w:val="00D32510"/>
    <w:rsid w:val="00D35336"/>
    <w:rsid w:val="00D37D62"/>
    <w:rsid w:val="00D400A9"/>
    <w:rsid w:val="00D40DE3"/>
    <w:rsid w:val="00D67C0F"/>
    <w:rsid w:val="00D7173D"/>
    <w:rsid w:val="00DA2D2D"/>
    <w:rsid w:val="00DA59F9"/>
    <w:rsid w:val="00DC614D"/>
    <w:rsid w:val="00DD49D1"/>
    <w:rsid w:val="00DE26D3"/>
    <w:rsid w:val="00E16E66"/>
    <w:rsid w:val="00E44C9F"/>
    <w:rsid w:val="00E577C8"/>
    <w:rsid w:val="00EA39C4"/>
    <w:rsid w:val="00ED66A8"/>
    <w:rsid w:val="00EF6364"/>
    <w:rsid w:val="00F01D52"/>
    <w:rsid w:val="00F33544"/>
    <w:rsid w:val="00F35F3F"/>
    <w:rsid w:val="00F403DD"/>
    <w:rsid w:val="00F47C60"/>
    <w:rsid w:val="00F578EB"/>
    <w:rsid w:val="00F81E19"/>
    <w:rsid w:val="00FA108D"/>
    <w:rsid w:val="00FA2A3F"/>
    <w:rsid w:val="00FD65B7"/>
    <w:rsid w:val="00FF7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B6F06F"/>
  <w15:chartTrackingRefBased/>
  <w15:docId w15:val="{8B8F608D-7FEA-405F-8CA7-445079533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59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59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59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59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59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59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59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59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59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9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59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59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59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59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59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59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59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5913"/>
    <w:rPr>
      <w:rFonts w:eastAsiaTheme="majorEastAsia" w:cstheme="majorBidi"/>
      <w:color w:val="272727" w:themeColor="text1" w:themeTint="D8"/>
    </w:rPr>
  </w:style>
  <w:style w:type="paragraph" w:styleId="Title">
    <w:name w:val="Title"/>
    <w:basedOn w:val="Normal"/>
    <w:next w:val="Normal"/>
    <w:link w:val="TitleChar"/>
    <w:uiPriority w:val="10"/>
    <w:qFormat/>
    <w:rsid w:val="006159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59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59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59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5913"/>
    <w:pPr>
      <w:spacing w:before="160"/>
      <w:jc w:val="center"/>
    </w:pPr>
    <w:rPr>
      <w:i/>
      <w:iCs/>
      <w:color w:val="404040" w:themeColor="text1" w:themeTint="BF"/>
    </w:rPr>
  </w:style>
  <w:style w:type="character" w:customStyle="1" w:styleId="QuoteChar">
    <w:name w:val="Quote Char"/>
    <w:basedOn w:val="DefaultParagraphFont"/>
    <w:link w:val="Quote"/>
    <w:uiPriority w:val="29"/>
    <w:rsid w:val="00615913"/>
    <w:rPr>
      <w:i/>
      <w:iCs/>
      <w:color w:val="404040" w:themeColor="text1" w:themeTint="BF"/>
    </w:rPr>
  </w:style>
  <w:style w:type="paragraph" w:styleId="ListParagraph">
    <w:name w:val="List Paragraph"/>
    <w:basedOn w:val="Normal"/>
    <w:uiPriority w:val="34"/>
    <w:qFormat/>
    <w:rsid w:val="00615913"/>
    <w:pPr>
      <w:ind w:left="720"/>
      <w:contextualSpacing/>
    </w:pPr>
  </w:style>
  <w:style w:type="character" w:styleId="IntenseEmphasis">
    <w:name w:val="Intense Emphasis"/>
    <w:basedOn w:val="DefaultParagraphFont"/>
    <w:uiPriority w:val="21"/>
    <w:qFormat/>
    <w:rsid w:val="00615913"/>
    <w:rPr>
      <w:i/>
      <w:iCs/>
      <w:color w:val="0F4761" w:themeColor="accent1" w:themeShade="BF"/>
    </w:rPr>
  </w:style>
  <w:style w:type="paragraph" w:styleId="IntenseQuote">
    <w:name w:val="Intense Quote"/>
    <w:basedOn w:val="Normal"/>
    <w:next w:val="Normal"/>
    <w:link w:val="IntenseQuoteChar"/>
    <w:uiPriority w:val="30"/>
    <w:qFormat/>
    <w:rsid w:val="006159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5913"/>
    <w:rPr>
      <w:i/>
      <w:iCs/>
      <w:color w:val="0F4761" w:themeColor="accent1" w:themeShade="BF"/>
    </w:rPr>
  </w:style>
  <w:style w:type="character" w:styleId="IntenseReference">
    <w:name w:val="Intense Reference"/>
    <w:basedOn w:val="DefaultParagraphFont"/>
    <w:uiPriority w:val="32"/>
    <w:qFormat/>
    <w:rsid w:val="00615913"/>
    <w:rPr>
      <w:b/>
      <w:bCs/>
      <w:smallCaps/>
      <w:color w:val="0F4761" w:themeColor="accent1" w:themeShade="BF"/>
      <w:spacing w:val="5"/>
    </w:rPr>
  </w:style>
  <w:style w:type="character" w:styleId="CommentReference">
    <w:name w:val="annotation reference"/>
    <w:basedOn w:val="DefaultParagraphFont"/>
    <w:uiPriority w:val="99"/>
    <w:semiHidden/>
    <w:unhideWhenUsed/>
    <w:rsid w:val="00926296"/>
    <w:rPr>
      <w:sz w:val="16"/>
      <w:szCs w:val="16"/>
    </w:rPr>
  </w:style>
  <w:style w:type="paragraph" w:styleId="CommentText">
    <w:name w:val="annotation text"/>
    <w:basedOn w:val="Normal"/>
    <w:link w:val="CommentTextChar"/>
    <w:uiPriority w:val="99"/>
    <w:unhideWhenUsed/>
    <w:rsid w:val="00926296"/>
    <w:pPr>
      <w:spacing w:line="240" w:lineRule="auto"/>
    </w:pPr>
    <w:rPr>
      <w:sz w:val="20"/>
      <w:szCs w:val="20"/>
    </w:rPr>
  </w:style>
  <w:style w:type="character" w:customStyle="1" w:styleId="CommentTextChar">
    <w:name w:val="Comment Text Char"/>
    <w:basedOn w:val="DefaultParagraphFont"/>
    <w:link w:val="CommentText"/>
    <w:uiPriority w:val="99"/>
    <w:rsid w:val="00926296"/>
    <w:rPr>
      <w:sz w:val="20"/>
      <w:szCs w:val="20"/>
    </w:rPr>
  </w:style>
  <w:style w:type="paragraph" w:styleId="CommentSubject">
    <w:name w:val="annotation subject"/>
    <w:basedOn w:val="CommentText"/>
    <w:next w:val="CommentText"/>
    <w:link w:val="CommentSubjectChar"/>
    <w:uiPriority w:val="99"/>
    <w:semiHidden/>
    <w:unhideWhenUsed/>
    <w:rsid w:val="00926296"/>
    <w:rPr>
      <w:b/>
      <w:bCs/>
    </w:rPr>
  </w:style>
  <w:style w:type="character" w:customStyle="1" w:styleId="CommentSubjectChar">
    <w:name w:val="Comment Subject Char"/>
    <w:basedOn w:val="CommentTextChar"/>
    <w:link w:val="CommentSubject"/>
    <w:uiPriority w:val="99"/>
    <w:semiHidden/>
    <w:rsid w:val="00926296"/>
    <w:rPr>
      <w:b/>
      <w:bCs/>
      <w:sz w:val="20"/>
      <w:szCs w:val="20"/>
    </w:rPr>
  </w:style>
  <w:style w:type="character" w:styleId="Hyperlink">
    <w:name w:val="Hyperlink"/>
    <w:basedOn w:val="DefaultParagraphFont"/>
    <w:uiPriority w:val="99"/>
    <w:unhideWhenUsed/>
    <w:rsid w:val="00926296"/>
    <w:rPr>
      <w:color w:val="467886" w:themeColor="hyperlink"/>
      <w:u w:val="single"/>
    </w:rPr>
  </w:style>
  <w:style w:type="character" w:styleId="UnresolvedMention">
    <w:name w:val="Unresolved Mention"/>
    <w:basedOn w:val="DefaultParagraphFont"/>
    <w:uiPriority w:val="99"/>
    <w:semiHidden/>
    <w:unhideWhenUsed/>
    <w:rsid w:val="00926296"/>
    <w:rPr>
      <w:color w:val="605E5C"/>
      <w:shd w:val="clear" w:color="auto" w:fill="E1DFDD"/>
    </w:rPr>
  </w:style>
  <w:style w:type="paragraph" w:styleId="FootnoteText">
    <w:name w:val="footnote text"/>
    <w:basedOn w:val="Normal"/>
    <w:link w:val="FootnoteTextChar"/>
    <w:uiPriority w:val="99"/>
    <w:semiHidden/>
    <w:unhideWhenUsed/>
    <w:rsid w:val="007263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6368"/>
    <w:rPr>
      <w:sz w:val="20"/>
      <w:szCs w:val="20"/>
    </w:rPr>
  </w:style>
  <w:style w:type="character" w:styleId="FootnoteReference">
    <w:name w:val="footnote reference"/>
    <w:basedOn w:val="DefaultParagraphFont"/>
    <w:uiPriority w:val="99"/>
    <w:semiHidden/>
    <w:unhideWhenUsed/>
    <w:rsid w:val="00726368"/>
    <w:rPr>
      <w:vertAlign w:val="superscript"/>
    </w:rPr>
  </w:style>
  <w:style w:type="paragraph" w:styleId="Header">
    <w:name w:val="header"/>
    <w:basedOn w:val="Normal"/>
    <w:link w:val="HeaderChar"/>
    <w:uiPriority w:val="99"/>
    <w:unhideWhenUsed/>
    <w:rsid w:val="00D353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336"/>
  </w:style>
  <w:style w:type="paragraph" w:styleId="Footer">
    <w:name w:val="footer"/>
    <w:basedOn w:val="Normal"/>
    <w:link w:val="FooterChar"/>
    <w:uiPriority w:val="99"/>
    <w:unhideWhenUsed/>
    <w:rsid w:val="00D353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3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0be4aad1f981351f5e6e0556ada09c38">
  <xsd:schema xmlns:xsd="http://www.w3.org/2001/XMLSchema" xmlns:xs="http://www.w3.org/2001/XMLSchema" xmlns:p="http://schemas.microsoft.com/office/2006/metadata/properties" xmlns:ns3="bf244c3e-e0b4-4871-bb4e-fd032a14544d" targetNamespace="http://schemas.microsoft.com/office/2006/metadata/properties" ma:root="true" ma:fieldsID="5ca9ab1eab11ac381aa26e4b712ae91b"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D9343-85AF-4C34-AC83-59DCBFBCEC98}">
  <ds:schemaRefs>
    <ds:schemaRef ds:uri="http://schemas.microsoft.com/office/infopath/2007/PartnerControls"/>
    <ds:schemaRef ds:uri="http://purl.org/dc/terms/"/>
    <ds:schemaRef ds:uri="http://schemas.openxmlformats.org/package/2006/metadata/core-properties"/>
    <ds:schemaRef ds:uri="bf244c3e-e0b4-4871-bb4e-fd032a14544d"/>
    <ds:schemaRef ds:uri="http://purl.org/dc/elements/1.1/"/>
    <ds:schemaRef ds:uri="http://schemas.microsoft.com/office/2006/documentManagement/types"/>
    <ds:schemaRef ds:uri="http://www.w3.org/XML/1998/namespace"/>
    <ds:schemaRef ds:uri="http://purl.org/dc/dcmitype/"/>
    <ds:schemaRef ds:uri="http://schemas.microsoft.com/office/2006/metadata/properties"/>
  </ds:schemaRefs>
</ds:datastoreItem>
</file>

<file path=customXml/itemProps2.xml><?xml version="1.0" encoding="utf-8"?>
<ds:datastoreItem xmlns:ds="http://schemas.openxmlformats.org/officeDocument/2006/customXml" ds:itemID="{21113987-3452-44DE-864A-3E400CB014FA}">
  <ds:schemaRefs>
    <ds:schemaRef ds:uri="http://schemas.microsoft.com/sharepoint/v3/contenttype/forms"/>
  </ds:schemaRefs>
</ds:datastoreItem>
</file>

<file path=customXml/itemProps3.xml><?xml version="1.0" encoding="utf-8"?>
<ds:datastoreItem xmlns:ds="http://schemas.openxmlformats.org/officeDocument/2006/customXml" ds:itemID="{4B13AF1A-5113-45F4-852A-5456E38FF1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44A9CA-FFFB-4BEF-BFE2-AA8433721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2743</Words>
  <Characters>15937</Characters>
  <Application>Microsoft Office Word</Application>
  <DocSecurity>0</DocSecurity>
  <Lines>257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Guy (2404993)</dc:creator>
  <cp:keywords/>
  <dc:description/>
  <cp:lastModifiedBy>Chris Guy (2404993)</cp:lastModifiedBy>
  <cp:revision>2</cp:revision>
  <dcterms:created xsi:type="dcterms:W3CDTF">2025-11-24T22:05:00Z</dcterms:created>
  <dcterms:modified xsi:type="dcterms:W3CDTF">2025-11-24T22:05:00Z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