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C68550" w14:textId="760CEEBB" w:rsidR="000264A1" w:rsidRDefault="000264A1" w:rsidP="000264A1">
      <w:r>
        <w:fldChar w:fldCharType="begin"/>
      </w:r>
      <w:r w:rsidR="00662BD3">
        <w:instrText xml:space="preserve"> INCLUDEPICTURE "C:\\Users\\biancasanfilippo\\Library\\Group Containers\\UBF8T346G9.ms\\WebArchiveCopyPasteTempFiles\\com.microsoft.Word\\UWTSD-Logo.jpg" \* MERGEFORMAT </w:instrText>
      </w:r>
      <w:r>
        <w:fldChar w:fldCharType="separate"/>
      </w:r>
      <w:r>
        <w:rPr>
          <w:noProof/>
        </w:rPr>
        <w:drawing>
          <wp:inline distT="0" distB="0" distL="0" distR="0" wp14:anchorId="351214E0" wp14:editId="7163A632">
            <wp:extent cx="3347049" cy="1339785"/>
            <wp:effectExtent l="0" t="0" r="0" b="0"/>
            <wp:docPr id="644124987"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29590" cy="1412854"/>
                    </a:xfrm>
                    <a:prstGeom prst="rect">
                      <a:avLst/>
                    </a:prstGeom>
                    <a:noFill/>
                    <a:ln>
                      <a:noFill/>
                    </a:ln>
                  </pic:spPr>
                </pic:pic>
              </a:graphicData>
            </a:graphic>
          </wp:inline>
        </w:drawing>
      </w:r>
      <w:r>
        <w:fldChar w:fldCharType="end"/>
      </w:r>
    </w:p>
    <w:p w14:paraId="26F548A6" w14:textId="77777777" w:rsidR="000264A1" w:rsidRDefault="000264A1" w:rsidP="000264A1">
      <w:pPr>
        <w:rPr>
          <w:rStyle w:val="Strong"/>
          <w:rFonts w:ascii="Segoe UI" w:hAnsi="Segoe UI" w:cs="Segoe UI"/>
          <w:color w:val="1D2125"/>
        </w:rPr>
      </w:pPr>
    </w:p>
    <w:p w14:paraId="5CD81D6D" w14:textId="77777777" w:rsidR="000264A1" w:rsidRPr="000264A1" w:rsidRDefault="000264A1" w:rsidP="000264A1">
      <w:pPr>
        <w:rPr>
          <w:rStyle w:val="Strong"/>
          <w:rFonts w:ascii="Arial" w:hAnsi="Arial" w:cs="Arial"/>
          <w:color w:val="1D2125"/>
          <w:sz w:val="36"/>
          <w:szCs w:val="36"/>
        </w:rPr>
      </w:pPr>
    </w:p>
    <w:p w14:paraId="63EE22A3" w14:textId="77777777" w:rsidR="000264A1" w:rsidRPr="000264A1" w:rsidRDefault="000264A1" w:rsidP="000264A1">
      <w:pPr>
        <w:jc w:val="center"/>
        <w:rPr>
          <w:rStyle w:val="Strong"/>
          <w:rFonts w:ascii="Arial" w:hAnsi="Arial" w:cs="Arial"/>
          <w:color w:val="1D2125"/>
          <w:sz w:val="36"/>
          <w:szCs w:val="36"/>
        </w:rPr>
      </w:pPr>
    </w:p>
    <w:p w14:paraId="195602A5" w14:textId="1473614C" w:rsidR="00722ABC" w:rsidRPr="00410CC5" w:rsidRDefault="000264A1" w:rsidP="000264A1">
      <w:pPr>
        <w:jc w:val="center"/>
        <w:rPr>
          <w:rStyle w:val="Strong"/>
          <w:rFonts w:ascii="Arial" w:hAnsi="Arial" w:cs="Arial"/>
          <w:color w:val="1D2125"/>
        </w:rPr>
      </w:pPr>
      <w:r w:rsidRPr="00410CC5">
        <w:rPr>
          <w:rStyle w:val="Strong"/>
          <w:rFonts w:ascii="Arial" w:hAnsi="Arial" w:cs="Arial"/>
          <w:color w:val="1D2125"/>
        </w:rPr>
        <w:t>BMHP6029-Psychopathological Classifications and Provisions</w:t>
      </w:r>
    </w:p>
    <w:p w14:paraId="2A88E453" w14:textId="77777777" w:rsidR="000264A1" w:rsidRPr="00410CC5" w:rsidRDefault="000264A1" w:rsidP="000264A1">
      <w:pPr>
        <w:jc w:val="center"/>
        <w:rPr>
          <w:rStyle w:val="Strong"/>
          <w:rFonts w:ascii="Arial" w:hAnsi="Arial" w:cs="Arial"/>
          <w:color w:val="1D2125"/>
        </w:rPr>
      </w:pPr>
    </w:p>
    <w:p w14:paraId="34AAAB14" w14:textId="77777777" w:rsidR="000264A1" w:rsidRPr="00410CC5" w:rsidRDefault="000264A1" w:rsidP="000264A1">
      <w:pPr>
        <w:jc w:val="center"/>
        <w:rPr>
          <w:rStyle w:val="Strong"/>
          <w:rFonts w:ascii="Arial" w:hAnsi="Arial" w:cs="Arial"/>
          <w:color w:val="1D2125"/>
        </w:rPr>
      </w:pPr>
    </w:p>
    <w:p w14:paraId="723DF23E" w14:textId="77777777" w:rsidR="000264A1" w:rsidRPr="00410CC5" w:rsidRDefault="000264A1" w:rsidP="000264A1">
      <w:pPr>
        <w:jc w:val="center"/>
        <w:rPr>
          <w:rStyle w:val="Strong"/>
          <w:rFonts w:ascii="Arial" w:hAnsi="Arial" w:cs="Arial"/>
          <w:color w:val="1D2125"/>
        </w:rPr>
      </w:pPr>
    </w:p>
    <w:p w14:paraId="25159706" w14:textId="77777777" w:rsidR="000264A1" w:rsidRPr="00410CC5" w:rsidRDefault="000264A1" w:rsidP="000264A1">
      <w:pPr>
        <w:rPr>
          <w:rStyle w:val="Strong"/>
          <w:rFonts w:ascii="Arial" w:hAnsi="Arial" w:cs="Arial"/>
          <w:b w:val="0"/>
          <w:bCs w:val="0"/>
          <w:color w:val="1D2125"/>
        </w:rPr>
      </w:pPr>
      <w:r w:rsidRPr="00410CC5">
        <w:rPr>
          <w:rFonts w:ascii="Arial" w:hAnsi="Arial" w:cs="Arial"/>
          <w:b/>
          <w:bCs/>
          <w:color w:val="000000"/>
        </w:rPr>
        <w:t>Component 2: Written Assignment (Report)</w:t>
      </w:r>
      <w:r w:rsidRPr="00410CC5">
        <w:rPr>
          <w:rStyle w:val="Strong"/>
          <w:rFonts w:ascii="Arial" w:hAnsi="Arial" w:cs="Arial"/>
          <w:b w:val="0"/>
          <w:bCs w:val="0"/>
          <w:color w:val="1D2125"/>
        </w:rPr>
        <w:t xml:space="preserve"> </w:t>
      </w:r>
    </w:p>
    <w:p w14:paraId="3DB89340" w14:textId="2A679D0B" w:rsidR="000264A1" w:rsidRPr="00410CC5" w:rsidRDefault="000264A1" w:rsidP="000264A1">
      <w:pPr>
        <w:rPr>
          <w:rStyle w:val="Strong"/>
          <w:rFonts w:ascii="Arial" w:hAnsi="Arial" w:cs="Arial"/>
          <w:color w:val="1D2125"/>
        </w:rPr>
      </w:pPr>
      <w:r w:rsidRPr="00410CC5">
        <w:rPr>
          <w:rStyle w:val="Strong"/>
          <w:rFonts w:ascii="Arial" w:hAnsi="Arial" w:cs="Arial"/>
          <w:color w:val="1D2125"/>
        </w:rPr>
        <w:t xml:space="preserve">Student </w:t>
      </w:r>
      <w:r w:rsidR="00410CC5" w:rsidRPr="00410CC5">
        <w:rPr>
          <w:rStyle w:val="Strong"/>
          <w:rFonts w:ascii="Arial" w:hAnsi="Arial" w:cs="Arial"/>
          <w:color w:val="1D2125"/>
        </w:rPr>
        <w:t>name:</w:t>
      </w:r>
      <w:r w:rsidRPr="00410CC5">
        <w:rPr>
          <w:rStyle w:val="Strong"/>
          <w:rFonts w:ascii="Arial" w:hAnsi="Arial" w:cs="Arial"/>
          <w:color w:val="1D2125"/>
        </w:rPr>
        <w:t xml:space="preserve"> </w:t>
      </w:r>
      <w:r w:rsidR="004269CC" w:rsidRPr="00410CC5">
        <w:rPr>
          <w:rStyle w:val="Strong"/>
          <w:rFonts w:ascii="Arial" w:hAnsi="Arial" w:cs="Arial"/>
          <w:color w:val="1D2125"/>
        </w:rPr>
        <w:t>Yvette Roberts</w:t>
      </w:r>
    </w:p>
    <w:p w14:paraId="3F25C99D" w14:textId="1E9807E5" w:rsidR="000264A1" w:rsidRPr="00410CC5" w:rsidRDefault="000264A1" w:rsidP="000264A1">
      <w:pPr>
        <w:rPr>
          <w:rStyle w:val="Strong"/>
          <w:rFonts w:ascii="Arial" w:hAnsi="Arial" w:cs="Arial"/>
          <w:color w:val="1D2125"/>
        </w:rPr>
      </w:pPr>
      <w:r w:rsidRPr="00410CC5">
        <w:rPr>
          <w:rStyle w:val="Strong"/>
          <w:rFonts w:ascii="Arial" w:hAnsi="Arial" w:cs="Arial"/>
          <w:color w:val="1D2125"/>
        </w:rPr>
        <w:t xml:space="preserve">Student number </w:t>
      </w:r>
      <w:r w:rsidR="00662BD3" w:rsidRPr="00410CC5">
        <w:rPr>
          <w:rStyle w:val="Strong"/>
          <w:rFonts w:ascii="Arial" w:hAnsi="Arial" w:cs="Arial"/>
          <w:color w:val="1D2125"/>
        </w:rPr>
        <w:t>2311414</w:t>
      </w:r>
    </w:p>
    <w:p w14:paraId="7DD82387" w14:textId="77777777" w:rsidR="000264A1" w:rsidRDefault="000264A1" w:rsidP="000264A1">
      <w:pPr>
        <w:rPr>
          <w:rFonts w:ascii="Arial" w:hAnsi="Arial" w:cs="Arial"/>
          <w:sz w:val="36"/>
          <w:szCs w:val="36"/>
        </w:rPr>
      </w:pPr>
    </w:p>
    <w:p w14:paraId="563A7395" w14:textId="77777777" w:rsidR="000264A1" w:rsidRDefault="000264A1" w:rsidP="000264A1">
      <w:pPr>
        <w:rPr>
          <w:rFonts w:ascii="Arial" w:hAnsi="Arial" w:cs="Arial"/>
          <w:sz w:val="36"/>
          <w:szCs w:val="36"/>
        </w:rPr>
      </w:pPr>
    </w:p>
    <w:p w14:paraId="5805392B" w14:textId="77777777" w:rsidR="000264A1" w:rsidRDefault="000264A1" w:rsidP="000264A1">
      <w:pPr>
        <w:rPr>
          <w:rFonts w:ascii="Arial" w:hAnsi="Arial" w:cs="Arial"/>
          <w:sz w:val="36"/>
          <w:szCs w:val="36"/>
        </w:rPr>
      </w:pPr>
    </w:p>
    <w:p w14:paraId="4F5FBEC9" w14:textId="77777777" w:rsidR="000264A1" w:rsidRDefault="000264A1" w:rsidP="000264A1">
      <w:pPr>
        <w:rPr>
          <w:rFonts w:ascii="Arial" w:hAnsi="Arial" w:cs="Arial"/>
          <w:sz w:val="36"/>
          <w:szCs w:val="36"/>
        </w:rPr>
      </w:pPr>
    </w:p>
    <w:p w14:paraId="1DC432D4" w14:textId="77777777" w:rsidR="000264A1" w:rsidRDefault="000264A1" w:rsidP="000264A1">
      <w:pPr>
        <w:rPr>
          <w:rFonts w:ascii="Arial" w:hAnsi="Arial" w:cs="Arial"/>
          <w:sz w:val="36"/>
          <w:szCs w:val="36"/>
        </w:rPr>
      </w:pPr>
    </w:p>
    <w:p w14:paraId="6B65CDD9" w14:textId="77777777" w:rsidR="008A6D32" w:rsidRDefault="008A6D32" w:rsidP="000264A1">
      <w:pPr>
        <w:rPr>
          <w:rFonts w:ascii="Arial" w:hAnsi="Arial" w:cs="Arial"/>
          <w:sz w:val="36"/>
          <w:szCs w:val="36"/>
        </w:rPr>
      </w:pPr>
    </w:p>
    <w:p w14:paraId="1DEC40D5" w14:textId="77777777" w:rsidR="000264A1" w:rsidRDefault="000264A1" w:rsidP="000264A1">
      <w:pPr>
        <w:rPr>
          <w:rFonts w:ascii="Arial" w:hAnsi="Arial" w:cs="Arial"/>
          <w:sz w:val="36"/>
          <w:szCs w:val="36"/>
        </w:rPr>
      </w:pPr>
    </w:p>
    <w:p w14:paraId="432AEE04" w14:textId="22F7E692" w:rsidR="00BF0975" w:rsidRDefault="00BF0975">
      <w:pPr>
        <w:rPr>
          <w:rFonts w:ascii="Arial" w:hAnsi="Arial" w:cs="Arial"/>
          <w:sz w:val="36"/>
          <w:szCs w:val="36"/>
        </w:rPr>
      </w:pPr>
      <w:r>
        <w:rPr>
          <w:rFonts w:ascii="Arial" w:hAnsi="Arial" w:cs="Arial"/>
          <w:sz w:val="36"/>
          <w:szCs w:val="36"/>
        </w:rPr>
        <w:br w:type="page"/>
      </w:r>
    </w:p>
    <w:sdt>
      <w:sdtPr>
        <w:rPr>
          <w:rFonts w:asciiTheme="minorHAnsi" w:eastAsiaTheme="minorHAnsi" w:hAnsiTheme="minorHAnsi" w:cstheme="minorBidi"/>
          <w:color w:val="auto"/>
          <w:kern w:val="2"/>
          <w:sz w:val="24"/>
          <w:szCs w:val="24"/>
          <w:lang w:val="en-GB"/>
          <w14:ligatures w14:val="standardContextual"/>
        </w:rPr>
        <w:id w:val="-795600970"/>
        <w:docPartObj>
          <w:docPartGallery w:val="Table of Contents"/>
          <w:docPartUnique/>
        </w:docPartObj>
      </w:sdtPr>
      <w:sdtEndPr>
        <w:rPr>
          <w:b/>
          <w:bCs/>
          <w:noProof/>
        </w:rPr>
      </w:sdtEndPr>
      <w:sdtContent>
        <w:p w14:paraId="1A4EA4CB" w14:textId="1283E08F" w:rsidR="00BF0975" w:rsidRDefault="00BF0975">
          <w:pPr>
            <w:pStyle w:val="TOCHeading"/>
          </w:pPr>
          <w:r>
            <w:t>Contents</w:t>
          </w:r>
        </w:p>
        <w:p w14:paraId="27FCCD50" w14:textId="794BD2D9" w:rsidR="00BF0975" w:rsidRDefault="00BF0975">
          <w:pPr>
            <w:pStyle w:val="TOC1"/>
            <w:tabs>
              <w:tab w:val="right" w:leader="dot" w:pos="9016"/>
            </w:tabs>
            <w:rPr>
              <w:noProof/>
            </w:rPr>
          </w:pPr>
          <w:r>
            <w:fldChar w:fldCharType="begin"/>
          </w:r>
          <w:r>
            <w:instrText xml:space="preserve"> TOC \o "1-3" \h \z \u </w:instrText>
          </w:r>
          <w:r>
            <w:fldChar w:fldCharType="separate"/>
          </w:r>
          <w:hyperlink w:anchor="_Toc214888147" w:history="1">
            <w:r w:rsidRPr="00197F36">
              <w:rPr>
                <w:rStyle w:val="Hyperlink"/>
                <w:noProof/>
              </w:rPr>
              <w:t>Introduction</w:t>
            </w:r>
            <w:r>
              <w:rPr>
                <w:noProof/>
                <w:webHidden/>
              </w:rPr>
              <w:tab/>
            </w:r>
            <w:r>
              <w:rPr>
                <w:noProof/>
                <w:webHidden/>
              </w:rPr>
              <w:fldChar w:fldCharType="begin"/>
            </w:r>
            <w:r>
              <w:rPr>
                <w:noProof/>
                <w:webHidden/>
              </w:rPr>
              <w:instrText xml:space="preserve"> PAGEREF _Toc214888147 \h </w:instrText>
            </w:r>
            <w:r>
              <w:rPr>
                <w:noProof/>
                <w:webHidden/>
              </w:rPr>
            </w:r>
            <w:r>
              <w:rPr>
                <w:noProof/>
                <w:webHidden/>
              </w:rPr>
              <w:fldChar w:fldCharType="separate"/>
            </w:r>
            <w:r>
              <w:rPr>
                <w:noProof/>
                <w:webHidden/>
              </w:rPr>
              <w:t>3</w:t>
            </w:r>
            <w:r>
              <w:rPr>
                <w:noProof/>
                <w:webHidden/>
              </w:rPr>
              <w:fldChar w:fldCharType="end"/>
            </w:r>
          </w:hyperlink>
        </w:p>
        <w:p w14:paraId="285D2FD6" w14:textId="637F11F8" w:rsidR="00BF0975" w:rsidRDefault="00000000">
          <w:pPr>
            <w:pStyle w:val="TOC1"/>
            <w:tabs>
              <w:tab w:val="right" w:leader="dot" w:pos="9016"/>
            </w:tabs>
            <w:rPr>
              <w:noProof/>
            </w:rPr>
          </w:pPr>
          <w:hyperlink w:anchor="_Toc214888148" w:history="1">
            <w:r w:rsidR="00BF0975" w:rsidRPr="00197F36">
              <w:rPr>
                <w:rStyle w:val="Hyperlink"/>
                <w:noProof/>
              </w:rPr>
              <w:t>Classification and Diagnosis:</w:t>
            </w:r>
            <w:r w:rsidR="00BF0975">
              <w:rPr>
                <w:noProof/>
                <w:webHidden/>
              </w:rPr>
              <w:tab/>
            </w:r>
            <w:r w:rsidR="00BF0975">
              <w:rPr>
                <w:noProof/>
                <w:webHidden/>
              </w:rPr>
              <w:fldChar w:fldCharType="begin"/>
            </w:r>
            <w:r w:rsidR="00BF0975">
              <w:rPr>
                <w:noProof/>
                <w:webHidden/>
              </w:rPr>
              <w:instrText xml:space="preserve"> PAGEREF _Toc214888148 \h </w:instrText>
            </w:r>
            <w:r w:rsidR="00BF0975">
              <w:rPr>
                <w:noProof/>
                <w:webHidden/>
              </w:rPr>
            </w:r>
            <w:r w:rsidR="00BF0975">
              <w:rPr>
                <w:noProof/>
                <w:webHidden/>
              </w:rPr>
              <w:fldChar w:fldCharType="separate"/>
            </w:r>
            <w:r w:rsidR="00BF0975">
              <w:rPr>
                <w:noProof/>
                <w:webHidden/>
              </w:rPr>
              <w:t>3</w:t>
            </w:r>
            <w:r w:rsidR="00BF0975">
              <w:rPr>
                <w:noProof/>
                <w:webHidden/>
              </w:rPr>
              <w:fldChar w:fldCharType="end"/>
            </w:r>
          </w:hyperlink>
        </w:p>
        <w:p w14:paraId="1A00D9F2" w14:textId="1F9498CF" w:rsidR="00BF0975" w:rsidRDefault="00000000">
          <w:pPr>
            <w:pStyle w:val="TOC2"/>
            <w:tabs>
              <w:tab w:val="right" w:leader="dot" w:pos="9016"/>
            </w:tabs>
            <w:rPr>
              <w:noProof/>
            </w:rPr>
          </w:pPr>
          <w:hyperlink w:anchor="_Toc214888149" w:history="1">
            <w:r w:rsidR="00BF0975" w:rsidRPr="00197F36">
              <w:rPr>
                <w:rStyle w:val="Hyperlink"/>
                <w:noProof/>
              </w:rPr>
              <w:t>Classification</w:t>
            </w:r>
            <w:r w:rsidR="00BF0975">
              <w:rPr>
                <w:noProof/>
                <w:webHidden/>
              </w:rPr>
              <w:tab/>
            </w:r>
            <w:r w:rsidR="00BF0975">
              <w:rPr>
                <w:noProof/>
                <w:webHidden/>
              </w:rPr>
              <w:fldChar w:fldCharType="begin"/>
            </w:r>
            <w:r w:rsidR="00BF0975">
              <w:rPr>
                <w:noProof/>
                <w:webHidden/>
              </w:rPr>
              <w:instrText xml:space="preserve"> PAGEREF _Toc214888149 \h </w:instrText>
            </w:r>
            <w:r w:rsidR="00BF0975">
              <w:rPr>
                <w:noProof/>
                <w:webHidden/>
              </w:rPr>
            </w:r>
            <w:r w:rsidR="00BF0975">
              <w:rPr>
                <w:noProof/>
                <w:webHidden/>
              </w:rPr>
              <w:fldChar w:fldCharType="separate"/>
            </w:r>
            <w:r w:rsidR="00BF0975">
              <w:rPr>
                <w:noProof/>
                <w:webHidden/>
              </w:rPr>
              <w:t>3</w:t>
            </w:r>
            <w:r w:rsidR="00BF0975">
              <w:rPr>
                <w:noProof/>
                <w:webHidden/>
              </w:rPr>
              <w:fldChar w:fldCharType="end"/>
            </w:r>
          </w:hyperlink>
        </w:p>
        <w:p w14:paraId="2DB5CB0B" w14:textId="1698AB01" w:rsidR="00BF0975" w:rsidRDefault="00000000">
          <w:pPr>
            <w:pStyle w:val="TOC2"/>
            <w:tabs>
              <w:tab w:val="right" w:leader="dot" w:pos="9016"/>
            </w:tabs>
            <w:rPr>
              <w:noProof/>
            </w:rPr>
          </w:pPr>
          <w:hyperlink w:anchor="_Toc214888150" w:history="1">
            <w:r w:rsidR="00BF0975" w:rsidRPr="00197F36">
              <w:rPr>
                <w:rStyle w:val="Hyperlink"/>
                <w:noProof/>
              </w:rPr>
              <w:t>Diagnostic features.</w:t>
            </w:r>
            <w:r w:rsidR="00BF0975">
              <w:rPr>
                <w:noProof/>
                <w:webHidden/>
              </w:rPr>
              <w:tab/>
            </w:r>
            <w:r w:rsidR="00BF0975">
              <w:rPr>
                <w:noProof/>
                <w:webHidden/>
              </w:rPr>
              <w:fldChar w:fldCharType="begin"/>
            </w:r>
            <w:r w:rsidR="00BF0975">
              <w:rPr>
                <w:noProof/>
                <w:webHidden/>
              </w:rPr>
              <w:instrText xml:space="preserve"> PAGEREF _Toc214888150 \h </w:instrText>
            </w:r>
            <w:r w:rsidR="00BF0975">
              <w:rPr>
                <w:noProof/>
                <w:webHidden/>
              </w:rPr>
            </w:r>
            <w:r w:rsidR="00BF0975">
              <w:rPr>
                <w:noProof/>
                <w:webHidden/>
              </w:rPr>
              <w:fldChar w:fldCharType="separate"/>
            </w:r>
            <w:r w:rsidR="00BF0975">
              <w:rPr>
                <w:noProof/>
                <w:webHidden/>
              </w:rPr>
              <w:t>3</w:t>
            </w:r>
            <w:r w:rsidR="00BF0975">
              <w:rPr>
                <w:noProof/>
                <w:webHidden/>
              </w:rPr>
              <w:fldChar w:fldCharType="end"/>
            </w:r>
          </w:hyperlink>
        </w:p>
        <w:p w14:paraId="323B2C54" w14:textId="7976561E" w:rsidR="00BF0975" w:rsidRDefault="00000000">
          <w:pPr>
            <w:pStyle w:val="TOC2"/>
            <w:tabs>
              <w:tab w:val="right" w:leader="dot" w:pos="9016"/>
            </w:tabs>
            <w:rPr>
              <w:noProof/>
            </w:rPr>
          </w:pPr>
          <w:hyperlink w:anchor="_Toc214888151" w:history="1">
            <w:r w:rsidR="00BF0975" w:rsidRPr="00197F36">
              <w:rPr>
                <w:rStyle w:val="Hyperlink"/>
                <w:noProof/>
              </w:rPr>
              <w:t>Assessment processes.</w:t>
            </w:r>
            <w:r w:rsidR="00BF0975">
              <w:rPr>
                <w:noProof/>
                <w:webHidden/>
              </w:rPr>
              <w:tab/>
            </w:r>
            <w:r w:rsidR="00BF0975">
              <w:rPr>
                <w:noProof/>
                <w:webHidden/>
              </w:rPr>
              <w:fldChar w:fldCharType="begin"/>
            </w:r>
            <w:r w:rsidR="00BF0975">
              <w:rPr>
                <w:noProof/>
                <w:webHidden/>
              </w:rPr>
              <w:instrText xml:space="preserve"> PAGEREF _Toc214888151 \h </w:instrText>
            </w:r>
            <w:r w:rsidR="00BF0975">
              <w:rPr>
                <w:noProof/>
                <w:webHidden/>
              </w:rPr>
            </w:r>
            <w:r w:rsidR="00BF0975">
              <w:rPr>
                <w:noProof/>
                <w:webHidden/>
              </w:rPr>
              <w:fldChar w:fldCharType="separate"/>
            </w:r>
            <w:r w:rsidR="00BF0975">
              <w:rPr>
                <w:noProof/>
                <w:webHidden/>
              </w:rPr>
              <w:t>4</w:t>
            </w:r>
            <w:r w:rsidR="00BF0975">
              <w:rPr>
                <w:noProof/>
                <w:webHidden/>
              </w:rPr>
              <w:fldChar w:fldCharType="end"/>
            </w:r>
          </w:hyperlink>
        </w:p>
        <w:p w14:paraId="2320695C" w14:textId="71112DDB" w:rsidR="00BF0975" w:rsidRDefault="00000000">
          <w:pPr>
            <w:pStyle w:val="TOC2"/>
            <w:tabs>
              <w:tab w:val="right" w:leader="dot" w:pos="9016"/>
            </w:tabs>
            <w:rPr>
              <w:noProof/>
            </w:rPr>
          </w:pPr>
          <w:hyperlink w:anchor="_Toc214888152" w:history="1">
            <w:r w:rsidR="00BF0975" w:rsidRPr="00197F36">
              <w:rPr>
                <w:rStyle w:val="Hyperlink"/>
                <w:noProof/>
              </w:rPr>
              <w:t>Language and stigma.</w:t>
            </w:r>
            <w:r w:rsidR="00BF0975">
              <w:rPr>
                <w:noProof/>
                <w:webHidden/>
              </w:rPr>
              <w:tab/>
            </w:r>
            <w:r w:rsidR="00BF0975">
              <w:rPr>
                <w:noProof/>
                <w:webHidden/>
              </w:rPr>
              <w:fldChar w:fldCharType="begin"/>
            </w:r>
            <w:r w:rsidR="00BF0975">
              <w:rPr>
                <w:noProof/>
                <w:webHidden/>
              </w:rPr>
              <w:instrText xml:space="preserve"> PAGEREF _Toc214888152 \h </w:instrText>
            </w:r>
            <w:r w:rsidR="00BF0975">
              <w:rPr>
                <w:noProof/>
                <w:webHidden/>
              </w:rPr>
            </w:r>
            <w:r w:rsidR="00BF0975">
              <w:rPr>
                <w:noProof/>
                <w:webHidden/>
              </w:rPr>
              <w:fldChar w:fldCharType="separate"/>
            </w:r>
            <w:r w:rsidR="00BF0975">
              <w:rPr>
                <w:noProof/>
                <w:webHidden/>
              </w:rPr>
              <w:t>4</w:t>
            </w:r>
            <w:r w:rsidR="00BF0975">
              <w:rPr>
                <w:noProof/>
                <w:webHidden/>
              </w:rPr>
              <w:fldChar w:fldCharType="end"/>
            </w:r>
          </w:hyperlink>
        </w:p>
        <w:p w14:paraId="2D76B5E8" w14:textId="310F097A" w:rsidR="00BF0975" w:rsidRDefault="00000000">
          <w:pPr>
            <w:pStyle w:val="TOC2"/>
            <w:tabs>
              <w:tab w:val="right" w:leader="dot" w:pos="9016"/>
            </w:tabs>
            <w:rPr>
              <w:noProof/>
            </w:rPr>
          </w:pPr>
          <w:hyperlink w:anchor="_Toc214888153" w:history="1">
            <w:r w:rsidR="00BF0975" w:rsidRPr="00197F36">
              <w:rPr>
                <w:rStyle w:val="Hyperlink"/>
                <w:noProof/>
              </w:rPr>
              <w:t>Prognostic uncertainty and follow-up.</w:t>
            </w:r>
            <w:r w:rsidR="00BF0975">
              <w:rPr>
                <w:noProof/>
                <w:webHidden/>
              </w:rPr>
              <w:tab/>
            </w:r>
            <w:r w:rsidR="00BF0975">
              <w:rPr>
                <w:noProof/>
                <w:webHidden/>
              </w:rPr>
              <w:fldChar w:fldCharType="begin"/>
            </w:r>
            <w:r w:rsidR="00BF0975">
              <w:rPr>
                <w:noProof/>
                <w:webHidden/>
              </w:rPr>
              <w:instrText xml:space="preserve"> PAGEREF _Toc214888153 \h </w:instrText>
            </w:r>
            <w:r w:rsidR="00BF0975">
              <w:rPr>
                <w:noProof/>
                <w:webHidden/>
              </w:rPr>
            </w:r>
            <w:r w:rsidR="00BF0975">
              <w:rPr>
                <w:noProof/>
                <w:webHidden/>
              </w:rPr>
              <w:fldChar w:fldCharType="separate"/>
            </w:r>
            <w:r w:rsidR="00BF0975">
              <w:rPr>
                <w:noProof/>
                <w:webHidden/>
              </w:rPr>
              <w:t>4</w:t>
            </w:r>
            <w:r w:rsidR="00BF0975">
              <w:rPr>
                <w:noProof/>
                <w:webHidden/>
              </w:rPr>
              <w:fldChar w:fldCharType="end"/>
            </w:r>
          </w:hyperlink>
        </w:p>
        <w:p w14:paraId="3E2D43B2" w14:textId="5FA45125" w:rsidR="00BF0975" w:rsidRDefault="00000000">
          <w:pPr>
            <w:pStyle w:val="TOC1"/>
            <w:tabs>
              <w:tab w:val="right" w:leader="dot" w:pos="9016"/>
            </w:tabs>
            <w:rPr>
              <w:noProof/>
            </w:rPr>
          </w:pPr>
          <w:hyperlink w:anchor="_Toc214888154" w:history="1">
            <w:r w:rsidR="00BF0975" w:rsidRPr="00197F36">
              <w:rPr>
                <w:rStyle w:val="Hyperlink"/>
                <w:noProof/>
              </w:rPr>
              <w:t>Treatment and Rehabilitation</w:t>
            </w:r>
            <w:r w:rsidR="00BF0975">
              <w:rPr>
                <w:noProof/>
                <w:webHidden/>
              </w:rPr>
              <w:tab/>
            </w:r>
            <w:r w:rsidR="00BF0975">
              <w:rPr>
                <w:noProof/>
                <w:webHidden/>
              </w:rPr>
              <w:fldChar w:fldCharType="begin"/>
            </w:r>
            <w:r w:rsidR="00BF0975">
              <w:rPr>
                <w:noProof/>
                <w:webHidden/>
              </w:rPr>
              <w:instrText xml:space="preserve"> PAGEREF _Toc214888154 \h </w:instrText>
            </w:r>
            <w:r w:rsidR="00BF0975">
              <w:rPr>
                <w:noProof/>
                <w:webHidden/>
              </w:rPr>
            </w:r>
            <w:r w:rsidR="00BF0975">
              <w:rPr>
                <w:noProof/>
                <w:webHidden/>
              </w:rPr>
              <w:fldChar w:fldCharType="separate"/>
            </w:r>
            <w:r w:rsidR="00BF0975">
              <w:rPr>
                <w:noProof/>
                <w:webHidden/>
              </w:rPr>
              <w:t>4</w:t>
            </w:r>
            <w:r w:rsidR="00BF0975">
              <w:rPr>
                <w:noProof/>
                <w:webHidden/>
              </w:rPr>
              <w:fldChar w:fldCharType="end"/>
            </w:r>
          </w:hyperlink>
        </w:p>
        <w:p w14:paraId="698AE944" w14:textId="521852D6" w:rsidR="00BF0975" w:rsidRDefault="00000000">
          <w:pPr>
            <w:pStyle w:val="TOC2"/>
            <w:tabs>
              <w:tab w:val="right" w:leader="dot" w:pos="9016"/>
            </w:tabs>
            <w:rPr>
              <w:noProof/>
            </w:rPr>
          </w:pPr>
          <w:hyperlink w:anchor="_Toc214888155" w:history="1">
            <w:r w:rsidR="00BF0975" w:rsidRPr="00197F36">
              <w:rPr>
                <w:rStyle w:val="Hyperlink"/>
                <w:noProof/>
              </w:rPr>
              <w:t>Treatment approaches</w:t>
            </w:r>
            <w:r w:rsidR="00BF0975">
              <w:rPr>
                <w:noProof/>
                <w:webHidden/>
              </w:rPr>
              <w:tab/>
            </w:r>
            <w:r w:rsidR="00BF0975">
              <w:rPr>
                <w:noProof/>
                <w:webHidden/>
              </w:rPr>
              <w:fldChar w:fldCharType="begin"/>
            </w:r>
            <w:r w:rsidR="00BF0975">
              <w:rPr>
                <w:noProof/>
                <w:webHidden/>
              </w:rPr>
              <w:instrText xml:space="preserve"> PAGEREF _Toc214888155 \h </w:instrText>
            </w:r>
            <w:r w:rsidR="00BF0975">
              <w:rPr>
                <w:noProof/>
                <w:webHidden/>
              </w:rPr>
            </w:r>
            <w:r w:rsidR="00BF0975">
              <w:rPr>
                <w:noProof/>
                <w:webHidden/>
              </w:rPr>
              <w:fldChar w:fldCharType="separate"/>
            </w:r>
            <w:r w:rsidR="00BF0975">
              <w:rPr>
                <w:noProof/>
                <w:webHidden/>
              </w:rPr>
              <w:t>4</w:t>
            </w:r>
            <w:r w:rsidR="00BF0975">
              <w:rPr>
                <w:noProof/>
                <w:webHidden/>
              </w:rPr>
              <w:fldChar w:fldCharType="end"/>
            </w:r>
          </w:hyperlink>
        </w:p>
        <w:p w14:paraId="1123BB3C" w14:textId="35A203ED" w:rsidR="00BF0975" w:rsidRDefault="00000000">
          <w:pPr>
            <w:pStyle w:val="TOC2"/>
            <w:tabs>
              <w:tab w:val="right" w:leader="dot" w:pos="9016"/>
            </w:tabs>
            <w:rPr>
              <w:noProof/>
            </w:rPr>
          </w:pPr>
          <w:hyperlink w:anchor="_Toc214888156" w:history="1">
            <w:r w:rsidR="00BF0975" w:rsidRPr="00197F36">
              <w:rPr>
                <w:rStyle w:val="Hyperlink"/>
                <w:noProof/>
              </w:rPr>
              <w:t>Rehabilitation and recovery-focused practice</w:t>
            </w:r>
            <w:r w:rsidR="00BF0975">
              <w:rPr>
                <w:noProof/>
                <w:webHidden/>
              </w:rPr>
              <w:tab/>
            </w:r>
            <w:r w:rsidR="00BF0975">
              <w:rPr>
                <w:noProof/>
                <w:webHidden/>
              </w:rPr>
              <w:fldChar w:fldCharType="begin"/>
            </w:r>
            <w:r w:rsidR="00BF0975">
              <w:rPr>
                <w:noProof/>
                <w:webHidden/>
              </w:rPr>
              <w:instrText xml:space="preserve"> PAGEREF _Toc214888156 \h </w:instrText>
            </w:r>
            <w:r w:rsidR="00BF0975">
              <w:rPr>
                <w:noProof/>
                <w:webHidden/>
              </w:rPr>
            </w:r>
            <w:r w:rsidR="00BF0975">
              <w:rPr>
                <w:noProof/>
                <w:webHidden/>
              </w:rPr>
              <w:fldChar w:fldCharType="separate"/>
            </w:r>
            <w:r w:rsidR="00BF0975">
              <w:rPr>
                <w:noProof/>
                <w:webHidden/>
              </w:rPr>
              <w:t>5</w:t>
            </w:r>
            <w:r w:rsidR="00BF0975">
              <w:rPr>
                <w:noProof/>
                <w:webHidden/>
              </w:rPr>
              <w:fldChar w:fldCharType="end"/>
            </w:r>
          </w:hyperlink>
        </w:p>
        <w:p w14:paraId="22D2A4FF" w14:textId="069AE495" w:rsidR="00BF0975" w:rsidRDefault="00000000">
          <w:pPr>
            <w:pStyle w:val="TOC1"/>
            <w:tabs>
              <w:tab w:val="right" w:leader="dot" w:pos="9016"/>
            </w:tabs>
            <w:rPr>
              <w:noProof/>
            </w:rPr>
          </w:pPr>
          <w:hyperlink w:anchor="_Toc214888157" w:history="1">
            <w:r w:rsidR="00BF0975" w:rsidRPr="00197F36">
              <w:rPr>
                <w:rStyle w:val="Hyperlink"/>
                <w:noProof/>
              </w:rPr>
              <w:t>Current Debates and Emerging Issues:</w:t>
            </w:r>
            <w:r w:rsidR="00BF0975">
              <w:rPr>
                <w:noProof/>
                <w:webHidden/>
              </w:rPr>
              <w:tab/>
            </w:r>
            <w:r w:rsidR="00BF0975">
              <w:rPr>
                <w:noProof/>
                <w:webHidden/>
              </w:rPr>
              <w:fldChar w:fldCharType="begin"/>
            </w:r>
            <w:r w:rsidR="00BF0975">
              <w:rPr>
                <w:noProof/>
                <w:webHidden/>
              </w:rPr>
              <w:instrText xml:space="preserve"> PAGEREF _Toc214888157 \h </w:instrText>
            </w:r>
            <w:r w:rsidR="00BF0975">
              <w:rPr>
                <w:noProof/>
                <w:webHidden/>
              </w:rPr>
            </w:r>
            <w:r w:rsidR="00BF0975">
              <w:rPr>
                <w:noProof/>
                <w:webHidden/>
              </w:rPr>
              <w:fldChar w:fldCharType="separate"/>
            </w:r>
            <w:r w:rsidR="00BF0975">
              <w:rPr>
                <w:noProof/>
                <w:webHidden/>
              </w:rPr>
              <w:t>6</w:t>
            </w:r>
            <w:r w:rsidR="00BF0975">
              <w:rPr>
                <w:noProof/>
                <w:webHidden/>
              </w:rPr>
              <w:fldChar w:fldCharType="end"/>
            </w:r>
          </w:hyperlink>
        </w:p>
        <w:p w14:paraId="061086F5" w14:textId="577DFFDA" w:rsidR="00BF0975" w:rsidRDefault="00000000">
          <w:pPr>
            <w:pStyle w:val="TOC2"/>
            <w:tabs>
              <w:tab w:val="right" w:leader="dot" w:pos="9016"/>
            </w:tabs>
            <w:rPr>
              <w:noProof/>
            </w:rPr>
          </w:pPr>
          <w:hyperlink w:anchor="_Toc214888158" w:history="1">
            <w:r w:rsidR="00BF0975" w:rsidRPr="00197F36">
              <w:rPr>
                <w:rStyle w:val="Hyperlink"/>
                <w:noProof/>
              </w:rPr>
              <w:t>The role of neurodivergence and any relevant reclassification issues.</w:t>
            </w:r>
            <w:r w:rsidR="00BF0975">
              <w:rPr>
                <w:noProof/>
                <w:webHidden/>
              </w:rPr>
              <w:tab/>
            </w:r>
            <w:r w:rsidR="00BF0975">
              <w:rPr>
                <w:noProof/>
                <w:webHidden/>
              </w:rPr>
              <w:fldChar w:fldCharType="begin"/>
            </w:r>
            <w:r w:rsidR="00BF0975">
              <w:rPr>
                <w:noProof/>
                <w:webHidden/>
              </w:rPr>
              <w:instrText xml:space="preserve"> PAGEREF _Toc214888158 \h </w:instrText>
            </w:r>
            <w:r w:rsidR="00BF0975">
              <w:rPr>
                <w:noProof/>
                <w:webHidden/>
              </w:rPr>
            </w:r>
            <w:r w:rsidR="00BF0975">
              <w:rPr>
                <w:noProof/>
                <w:webHidden/>
              </w:rPr>
              <w:fldChar w:fldCharType="separate"/>
            </w:r>
            <w:r w:rsidR="00BF0975">
              <w:rPr>
                <w:noProof/>
                <w:webHidden/>
              </w:rPr>
              <w:t>6</w:t>
            </w:r>
            <w:r w:rsidR="00BF0975">
              <w:rPr>
                <w:noProof/>
                <w:webHidden/>
              </w:rPr>
              <w:fldChar w:fldCharType="end"/>
            </w:r>
          </w:hyperlink>
        </w:p>
        <w:p w14:paraId="431620F2" w14:textId="331E404F" w:rsidR="00BF0975" w:rsidRDefault="00000000">
          <w:pPr>
            <w:pStyle w:val="TOC2"/>
            <w:tabs>
              <w:tab w:val="right" w:leader="dot" w:pos="9016"/>
            </w:tabs>
            <w:rPr>
              <w:noProof/>
            </w:rPr>
          </w:pPr>
          <w:hyperlink w:anchor="_Toc214888159" w:history="1">
            <w:r w:rsidR="00BF0975" w:rsidRPr="00197F36">
              <w:rPr>
                <w:rStyle w:val="Hyperlink"/>
                <w:noProof/>
              </w:rPr>
              <w:t>The impact of these debates on practice and policy.</w:t>
            </w:r>
            <w:r w:rsidR="00BF0975">
              <w:rPr>
                <w:noProof/>
                <w:webHidden/>
              </w:rPr>
              <w:tab/>
            </w:r>
            <w:r w:rsidR="00BF0975">
              <w:rPr>
                <w:noProof/>
                <w:webHidden/>
              </w:rPr>
              <w:fldChar w:fldCharType="begin"/>
            </w:r>
            <w:r w:rsidR="00BF0975">
              <w:rPr>
                <w:noProof/>
                <w:webHidden/>
              </w:rPr>
              <w:instrText xml:space="preserve"> PAGEREF _Toc214888159 \h </w:instrText>
            </w:r>
            <w:r w:rsidR="00BF0975">
              <w:rPr>
                <w:noProof/>
                <w:webHidden/>
              </w:rPr>
            </w:r>
            <w:r w:rsidR="00BF0975">
              <w:rPr>
                <w:noProof/>
                <w:webHidden/>
              </w:rPr>
              <w:fldChar w:fldCharType="separate"/>
            </w:r>
            <w:r w:rsidR="00BF0975">
              <w:rPr>
                <w:noProof/>
                <w:webHidden/>
              </w:rPr>
              <w:t>7</w:t>
            </w:r>
            <w:r w:rsidR="00BF0975">
              <w:rPr>
                <w:noProof/>
                <w:webHidden/>
              </w:rPr>
              <w:fldChar w:fldCharType="end"/>
            </w:r>
          </w:hyperlink>
        </w:p>
        <w:p w14:paraId="42FAC9BE" w14:textId="197EBAF9" w:rsidR="00BF0975" w:rsidRDefault="00000000">
          <w:pPr>
            <w:pStyle w:val="TOC1"/>
            <w:tabs>
              <w:tab w:val="right" w:leader="dot" w:pos="9016"/>
            </w:tabs>
            <w:rPr>
              <w:noProof/>
            </w:rPr>
          </w:pPr>
          <w:hyperlink w:anchor="_Toc214888160" w:history="1">
            <w:r w:rsidR="00BF0975" w:rsidRPr="00197F36">
              <w:rPr>
                <w:rStyle w:val="Hyperlink"/>
                <w:noProof/>
              </w:rPr>
              <w:t>Recommendations:</w:t>
            </w:r>
            <w:r w:rsidR="00BF0975">
              <w:rPr>
                <w:noProof/>
                <w:webHidden/>
              </w:rPr>
              <w:tab/>
            </w:r>
            <w:r w:rsidR="00BF0975">
              <w:rPr>
                <w:noProof/>
                <w:webHidden/>
              </w:rPr>
              <w:fldChar w:fldCharType="begin"/>
            </w:r>
            <w:r w:rsidR="00BF0975">
              <w:rPr>
                <w:noProof/>
                <w:webHidden/>
              </w:rPr>
              <w:instrText xml:space="preserve"> PAGEREF _Toc214888160 \h </w:instrText>
            </w:r>
            <w:r w:rsidR="00BF0975">
              <w:rPr>
                <w:noProof/>
                <w:webHidden/>
              </w:rPr>
            </w:r>
            <w:r w:rsidR="00BF0975">
              <w:rPr>
                <w:noProof/>
                <w:webHidden/>
              </w:rPr>
              <w:fldChar w:fldCharType="separate"/>
            </w:r>
            <w:r w:rsidR="00BF0975">
              <w:rPr>
                <w:noProof/>
                <w:webHidden/>
              </w:rPr>
              <w:t>8</w:t>
            </w:r>
            <w:r w:rsidR="00BF0975">
              <w:rPr>
                <w:noProof/>
                <w:webHidden/>
              </w:rPr>
              <w:fldChar w:fldCharType="end"/>
            </w:r>
          </w:hyperlink>
        </w:p>
        <w:p w14:paraId="2A1A5218" w14:textId="35175A3C" w:rsidR="00BF0975" w:rsidRDefault="00000000">
          <w:pPr>
            <w:pStyle w:val="TOC1"/>
            <w:tabs>
              <w:tab w:val="right" w:leader="dot" w:pos="9016"/>
            </w:tabs>
            <w:rPr>
              <w:noProof/>
            </w:rPr>
          </w:pPr>
          <w:hyperlink w:anchor="_Toc214888161" w:history="1">
            <w:r w:rsidR="00BF0975" w:rsidRPr="00197F36">
              <w:rPr>
                <w:rStyle w:val="Hyperlink"/>
                <w:noProof/>
              </w:rPr>
              <w:t>Conclusion</w:t>
            </w:r>
            <w:r w:rsidR="00BF0975">
              <w:rPr>
                <w:noProof/>
                <w:webHidden/>
              </w:rPr>
              <w:tab/>
            </w:r>
            <w:r w:rsidR="00BF0975">
              <w:rPr>
                <w:noProof/>
                <w:webHidden/>
              </w:rPr>
              <w:fldChar w:fldCharType="begin"/>
            </w:r>
            <w:r w:rsidR="00BF0975">
              <w:rPr>
                <w:noProof/>
                <w:webHidden/>
              </w:rPr>
              <w:instrText xml:space="preserve"> PAGEREF _Toc214888161 \h </w:instrText>
            </w:r>
            <w:r w:rsidR="00BF0975">
              <w:rPr>
                <w:noProof/>
                <w:webHidden/>
              </w:rPr>
            </w:r>
            <w:r w:rsidR="00BF0975">
              <w:rPr>
                <w:noProof/>
                <w:webHidden/>
              </w:rPr>
              <w:fldChar w:fldCharType="separate"/>
            </w:r>
            <w:r w:rsidR="00BF0975">
              <w:rPr>
                <w:noProof/>
                <w:webHidden/>
              </w:rPr>
              <w:t>9</w:t>
            </w:r>
            <w:r w:rsidR="00BF0975">
              <w:rPr>
                <w:noProof/>
                <w:webHidden/>
              </w:rPr>
              <w:fldChar w:fldCharType="end"/>
            </w:r>
          </w:hyperlink>
        </w:p>
        <w:p w14:paraId="4ECC34EA" w14:textId="5B043853" w:rsidR="00BF0975" w:rsidRDefault="00000000">
          <w:pPr>
            <w:pStyle w:val="TOC1"/>
            <w:tabs>
              <w:tab w:val="right" w:leader="dot" w:pos="9016"/>
            </w:tabs>
            <w:rPr>
              <w:noProof/>
            </w:rPr>
          </w:pPr>
          <w:hyperlink w:anchor="_Toc214888162" w:history="1">
            <w:r w:rsidR="00BF0975" w:rsidRPr="00197F36">
              <w:rPr>
                <w:rStyle w:val="Hyperlink"/>
                <w:noProof/>
              </w:rPr>
              <w:t>References</w:t>
            </w:r>
            <w:r w:rsidR="00BF0975">
              <w:rPr>
                <w:noProof/>
                <w:webHidden/>
              </w:rPr>
              <w:tab/>
            </w:r>
            <w:r w:rsidR="00BF0975">
              <w:rPr>
                <w:noProof/>
                <w:webHidden/>
              </w:rPr>
              <w:fldChar w:fldCharType="begin"/>
            </w:r>
            <w:r w:rsidR="00BF0975">
              <w:rPr>
                <w:noProof/>
                <w:webHidden/>
              </w:rPr>
              <w:instrText xml:space="preserve"> PAGEREF _Toc214888162 \h </w:instrText>
            </w:r>
            <w:r w:rsidR="00BF0975">
              <w:rPr>
                <w:noProof/>
                <w:webHidden/>
              </w:rPr>
            </w:r>
            <w:r w:rsidR="00BF0975">
              <w:rPr>
                <w:noProof/>
                <w:webHidden/>
              </w:rPr>
              <w:fldChar w:fldCharType="separate"/>
            </w:r>
            <w:r w:rsidR="00BF0975">
              <w:rPr>
                <w:noProof/>
                <w:webHidden/>
              </w:rPr>
              <w:t>10</w:t>
            </w:r>
            <w:r w:rsidR="00BF0975">
              <w:rPr>
                <w:noProof/>
                <w:webHidden/>
              </w:rPr>
              <w:fldChar w:fldCharType="end"/>
            </w:r>
          </w:hyperlink>
        </w:p>
        <w:p w14:paraId="5614C0EF" w14:textId="4BF1B399" w:rsidR="00BF0975" w:rsidRDefault="00BF0975">
          <w:r>
            <w:rPr>
              <w:b/>
              <w:bCs/>
              <w:noProof/>
            </w:rPr>
            <w:fldChar w:fldCharType="end"/>
          </w:r>
        </w:p>
      </w:sdtContent>
    </w:sdt>
    <w:p w14:paraId="1B5545A9" w14:textId="7D2C74C7" w:rsidR="00BF0975" w:rsidRDefault="00BF0975">
      <w:pPr>
        <w:rPr>
          <w:rFonts w:ascii="Arial" w:hAnsi="Arial" w:cs="Arial"/>
          <w:sz w:val="36"/>
          <w:szCs w:val="36"/>
        </w:rPr>
      </w:pPr>
    </w:p>
    <w:p w14:paraId="770C9E6B" w14:textId="77777777" w:rsidR="00BF0975" w:rsidRDefault="00BF0975">
      <w:pPr>
        <w:rPr>
          <w:rFonts w:ascii="Arial" w:hAnsi="Arial" w:cs="Arial"/>
          <w:sz w:val="36"/>
          <w:szCs w:val="36"/>
        </w:rPr>
      </w:pPr>
    </w:p>
    <w:p w14:paraId="708B518B" w14:textId="77777777" w:rsidR="00BF0975" w:rsidRDefault="00BF0975">
      <w:pPr>
        <w:rPr>
          <w:rFonts w:ascii="Arial" w:hAnsi="Arial" w:cs="Arial"/>
          <w:sz w:val="36"/>
          <w:szCs w:val="36"/>
        </w:rPr>
      </w:pPr>
    </w:p>
    <w:p w14:paraId="231661FB" w14:textId="77777777" w:rsidR="00BF0975" w:rsidRDefault="00BF0975">
      <w:pPr>
        <w:rPr>
          <w:rFonts w:ascii="Arial" w:hAnsi="Arial" w:cs="Arial"/>
          <w:sz w:val="36"/>
          <w:szCs w:val="36"/>
        </w:rPr>
      </w:pPr>
    </w:p>
    <w:p w14:paraId="681FDFAC" w14:textId="77777777" w:rsidR="00BF0975" w:rsidRDefault="00BF0975">
      <w:pPr>
        <w:rPr>
          <w:rFonts w:ascii="Arial" w:hAnsi="Arial" w:cs="Arial"/>
          <w:sz w:val="36"/>
          <w:szCs w:val="36"/>
        </w:rPr>
      </w:pPr>
    </w:p>
    <w:p w14:paraId="61D1A78D" w14:textId="77777777" w:rsidR="00BF0975" w:rsidRDefault="00BF0975">
      <w:pPr>
        <w:rPr>
          <w:rFonts w:ascii="Arial" w:hAnsi="Arial" w:cs="Arial"/>
          <w:sz w:val="36"/>
          <w:szCs w:val="36"/>
        </w:rPr>
      </w:pPr>
    </w:p>
    <w:p w14:paraId="30E9A17A" w14:textId="77777777" w:rsidR="00BF0975" w:rsidRDefault="00BF0975">
      <w:pPr>
        <w:rPr>
          <w:rFonts w:ascii="Arial" w:hAnsi="Arial" w:cs="Arial"/>
          <w:sz w:val="36"/>
          <w:szCs w:val="36"/>
        </w:rPr>
      </w:pPr>
    </w:p>
    <w:p w14:paraId="01A4193D" w14:textId="77777777" w:rsidR="000264A1" w:rsidRDefault="000264A1" w:rsidP="000264A1">
      <w:pPr>
        <w:rPr>
          <w:rFonts w:ascii="Arial" w:hAnsi="Arial" w:cs="Arial"/>
          <w:sz w:val="36"/>
          <w:szCs w:val="36"/>
        </w:rPr>
      </w:pPr>
    </w:p>
    <w:p w14:paraId="08E4AAA3" w14:textId="77777777" w:rsidR="004269CC" w:rsidRPr="00662BD3" w:rsidRDefault="004269CC" w:rsidP="00BF0975">
      <w:pPr>
        <w:pStyle w:val="Heading1"/>
      </w:pPr>
      <w:bookmarkStart w:id="0" w:name="_Toc214888147"/>
      <w:r w:rsidRPr="00662BD3">
        <w:lastRenderedPageBreak/>
        <w:t>Introduction</w:t>
      </w:r>
      <w:bookmarkEnd w:id="0"/>
    </w:p>
    <w:p w14:paraId="4772DB46" w14:textId="6843E86C" w:rsidR="004269CC" w:rsidRPr="004269CC" w:rsidRDefault="004269CC" w:rsidP="004269CC">
      <w:pPr>
        <w:spacing w:line="360" w:lineRule="auto"/>
        <w:jc w:val="both"/>
        <w:rPr>
          <w:rFonts w:ascii="Arial" w:hAnsi="Arial" w:cs="Arial"/>
          <w:sz w:val="22"/>
          <w:szCs w:val="22"/>
        </w:rPr>
      </w:pPr>
      <w:r w:rsidRPr="004269CC">
        <w:rPr>
          <w:rFonts w:ascii="Arial" w:hAnsi="Arial" w:cs="Arial"/>
          <w:sz w:val="22"/>
          <w:szCs w:val="22"/>
        </w:rPr>
        <w:t xml:space="preserve">This report critically examines ATPD as presented in the World Health Organization’s International Classification of Diseases, 11th Revision (ICD-11), considering classification language, diagnostic procedures, evidence-based treatments, rehabilitation measures, and contemporary debates. </w:t>
      </w:r>
      <w:r w:rsidR="00156198" w:rsidRPr="004269CC">
        <w:rPr>
          <w:rFonts w:ascii="Arial" w:hAnsi="Arial" w:cs="Arial"/>
          <w:sz w:val="22"/>
          <w:szCs w:val="22"/>
        </w:rPr>
        <w:t xml:space="preserve">Acute and transient psychotic disorder (ATPD) describes a group of short-lived psychotic presentations characterised by a rapid onset of psychotic symptoms and frequently a favourable short-term outcome. </w:t>
      </w:r>
      <w:r w:rsidRPr="004269CC">
        <w:rPr>
          <w:rFonts w:ascii="Arial" w:hAnsi="Arial" w:cs="Arial"/>
          <w:sz w:val="22"/>
          <w:szCs w:val="22"/>
        </w:rPr>
        <w:t>The aim is to provide reasoned recommendations to improve clinical practice, policy, and future research.</w:t>
      </w:r>
    </w:p>
    <w:p w14:paraId="5DD55A3B" w14:textId="77777777" w:rsidR="008A6D32" w:rsidRPr="008A6D32" w:rsidRDefault="008A6D32" w:rsidP="00BF0975">
      <w:pPr>
        <w:pStyle w:val="Heading1"/>
      </w:pPr>
      <w:bookmarkStart w:id="1" w:name="_Toc214888148"/>
      <w:r w:rsidRPr="008A6D32">
        <w:t>Classification and Diagnosis:</w:t>
      </w:r>
      <w:bookmarkEnd w:id="1"/>
      <w:r w:rsidRPr="008A6D32">
        <w:rPr>
          <w:rStyle w:val="apple-converted-space"/>
          <w:rFonts w:ascii="Arial" w:hAnsi="Arial" w:cs="Arial"/>
          <w:b/>
          <w:bCs/>
          <w:color w:val="000000"/>
        </w:rPr>
        <w:t> </w:t>
      </w:r>
    </w:p>
    <w:p w14:paraId="6D7163D0" w14:textId="04EFE1FE" w:rsidR="00156198" w:rsidRDefault="00156198" w:rsidP="00BF0975">
      <w:pPr>
        <w:pStyle w:val="Heading2"/>
      </w:pPr>
      <w:bookmarkStart w:id="2" w:name="_Toc214888149"/>
      <w:r>
        <w:t>Classification</w:t>
      </w:r>
      <w:bookmarkEnd w:id="2"/>
    </w:p>
    <w:p w14:paraId="72CEAB77" w14:textId="48008027" w:rsidR="00156198" w:rsidRPr="009D53DD" w:rsidRDefault="00156198" w:rsidP="00156198">
      <w:pPr>
        <w:spacing w:line="360" w:lineRule="auto"/>
        <w:jc w:val="both"/>
        <w:rPr>
          <w:rFonts w:ascii="Arial" w:hAnsi="Arial" w:cs="Arial"/>
          <w:sz w:val="22"/>
          <w:szCs w:val="22"/>
        </w:rPr>
      </w:pPr>
      <w:r w:rsidRPr="009D53DD">
        <w:rPr>
          <w:rFonts w:ascii="Arial" w:hAnsi="Arial" w:cs="Arial"/>
          <w:sz w:val="22"/>
          <w:szCs w:val="22"/>
        </w:rPr>
        <w:t xml:space="preserve">ICD-11 locates ATPD within the chapter for mental, behavioural and neurodevelopmental disorders. The term </w:t>
      </w:r>
      <w:r w:rsidR="00410CC5">
        <w:rPr>
          <w:rFonts w:ascii="Arial" w:hAnsi="Arial" w:cs="Arial"/>
          <w:sz w:val="22"/>
          <w:szCs w:val="22"/>
        </w:rPr>
        <w:t>used is</w:t>
      </w:r>
      <w:r>
        <w:rPr>
          <w:rFonts w:ascii="Arial" w:hAnsi="Arial" w:cs="Arial"/>
          <w:sz w:val="22"/>
          <w:szCs w:val="22"/>
        </w:rPr>
        <w:t xml:space="preserve"> </w:t>
      </w:r>
      <w:r w:rsidRPr="009D53DD">
        <w:rPr>
          <w:rFonts w:ascii="Arial" w:hAnsi="Arial" w:cs="Arial"/>
          <w:sz w:val="22"/>
          <w:szCs w:val="22"/>
        </w:rPr>
        <w:t xml:space="preserve">‘acute and transient psychotic </w:t>
      </w:r>
      <w:r w:rsidR="00410CC5">
        <w:rPr>
          <w:rFonts w:ascii="Arial" w:hAnsi="Arial" w:cs="Arial"/>
          <w:sz w:val="22"/>
          <w:szCs w:val="22"/>
        </w:rPr>
        <w:t>disorder’,</w:t>
      </w:r>
      <w:r>
        <w:rPr>
          <w:rFonts w:ascii="Arial" w:hAnsi="Arial" w:cs="Arial"/>
          <w:sz w:val="22"/>
          <w:szCs w:val="22"/>
        </w:rPr>
        <w:t xml:space="preserve"> which </w:t>
      </w:r>
      <w:r w:rsidRPr="009D53DD">
        <w:rPr>
          <w:rFonts w:ascii="Arial" w:hAnsi="Arial" w:cs="Arial"/>
          <w:sz w:val="22"/>
          <w:szCs w:val="22"/>
        </w:rPr>
        <w:t>emphasises both the rapid onset (‘acute’) and temporally limited nature (‘transient’) of the condition. Clinical descriptions in ICD-11 highlight an onset of symptoms that typically reaches maximal severity within two weeks and is often associated with marked day-to-day fluctuation in symptomatology.</w:t>
      </w:r>
    </w:p>
    <w:p w14:paraId="7D94F3AE" w14:textId="77777777" w:rsidR="00156198" w:rsidRPr="009D53DD" w:rsidRDefault="00156198" w:rsidP="00156198">
      <w:pPr>
        <w:spacing w:line="360" w:lineRule="auto"/>
        <w:jc w:val="both"/>
        <w:rPr>
          <w:rFonts w:ascii="Arial" w:hAnsi="Arial" w:cs="Arial"/>
          <w:sz w:val="22"/>
          <w:szCs w:val="22"/>
        </w:rPr>
      </w:pPr>
      <w:r w:rsidRPr="009D53DD">
        <w:rPr>
          <w:rFonts w:ascii="Arial" w:hAnsi="Arial" w:cs="Arial"/>
          <w:sz w:val="22"/>
          <w:szCs w:val="22"/>
        </w:rPr>
        <w:t>ICD-11 retains a categorical approach, but it modifies subtyping and diagnostic thresholds relative to ICD-10 and differs from DSM-5 conceptualisations (which favour the term 'brief psychotic disorder'). ICD-11's clinical descriptions emphasise phenomenology (e.g., delusions, hallucinations, perplexity, disorganisation, affective disturbance) and temporal features rather than rigid symptom-count thresholds. This shift reflects a pragmatic attempt to balance reliability and clinical utility across diverse settings.</w:t>
      </w:r>
    </w:p>
    <w:p w14:paraId="5655595D" w14:textId="314F5B21" w:rsidR="00156198" w:rsidRDefault="00156198" w:rsidP="00156198">
      <w:pPr>
        <w:spacing w:line="360" w:lineRule="auto"/>
        <w:jc w:val="both"/>
        <w:rPr>
          <w:rFonts w:ascii="Arial" w:hAnsi="Arial" w:cs="Arial"/>
          <w:sz w:val="22"/>
          <w:szCs w:val="22"/>
        </w:rPr>
      </w:pPr>
      <w:r w:rsidRPr="009D53DD">
        <w:rPr>
          <w:rFonts w:ascii="Arial" w:hAnsi="Arial" w:cs="Arial"/>
          <w:sz w:val="22"/>
          <w:szCs w:val="22"/>
        </w:rPr>
        <w:t xml:space="preserve">Strengths of the ICD-11 classification include clarity about temporal criteria and attention to fluctuating phenomenology, which can aid clinicians in distinguishing ATPD from longer-term psychotic disorders such as schizophrenia. However, limitations </w:t>
      </w:r>
      <w:proofErr w:type="gramStart"/>
      <w:r w:rsidR="00410CC5">
        <w:rPr>
          <w:rFonts w:ascii="Arial" w:hAnsi="Arial" w:cs="Arial"/>
          <w:sz w:val="22"/>
          <w:szCs w:val="22"/>
        </w:rPr>
        <w:t>remain:</w:t>
      </w:r>
      <w:proofErr w:type="gramEnd"/>
      <w:r w:rsidRPr="009D53DD">
        <w:rPr>
          <w:rFonts w:ascii="Arial" w:hAnsi="Arial" w:cs="Arial"/>
          <w:sz w:val="22"/>
          <w:szCs w:val="22"/>
        </w:rPr>
        <w:t xml:space="preserve"> categorical boundaries are still disputed, and there is variability in how ATPD is used across cultures and services; this affects epidemiological comparisons and prognostic expectations.</w:t>
      </w:r>
    </w:p>
    <w:p w14:paraId="44A5972C" w14:textId="77777777" w:rsidR="00156198" w:rsidRDefault="00156198" w:rsidP="00BF0975">
      <w:pPr>
        <w:pStyle w:val="Heading2"/>
      </w:pPr>
      <w:bookmarkStart w:id="3" w:name="_Toc214888150"/>
      <w:r w:rsidRPr="009D53DD">
        <w:t>Diagnostic features.</w:t>
      </w:r>
      <w:bookmarkEnd w:id="3"/>
      <w:r w:rsidRPr="009D53DD">
        <w:t xml:space="preserve"> </w:t>
      </w:r>
    </w:p>
    <w:p w14:paraId="0E6043D1" w14:textId="67CF3382" w:rsidR="00156198" w:rsidRPr="009D53DD" w:rsidRDefault="00156198" w:rsidP="00156198">
      <w:pPr>
        <w:spacing w:line="360" w:lineRule="auto"/>
        <w:jc w:val="both"/>
        <w:rPr>
          <w:rFonts w:ascii="Arial" w:hAnsi="Arial" w:cs="Arial"/>
          <w:sz w:val="22"/>
          <w:szCs w:val="22"/>
        </w:rPr>
      </w:pPr>
      <w:r w:rsidRPr="009D53DD">
        <w:rPr>
          <w:rFonts w:ascii="Arial" w:hAnsi="Arial" w:cs="Arial"/>
          <w:sz w:val="22"/>
          <w:szCs w:val="22"/>
        </w:rPr>
        <w:t xml:space="preserve">The ICD-11 description of ATPD foregrounds acute onset (typically within two weeks), prominent psychotic symptoms (e.g., hallucinations, delusions), rapid changes in symptom content and intensity, and often a brief course. Importantly, ICD-11 permits clinicians to specify whether the episode is a first episode or a recurring episode. ICD-11 also retains the clinical </w:t>
      </w:r>
      <w:r w:rsidRPr="009D53DD">
        <w:rPr>
          <w:rFonts w:ascii="Arial" w:hAnsi="Arial" w:cs="Arial"/>
          <w:sz w:val="22"/>
          <w:szCs w:val="22"/>
        </w:rPr>
        <w:lastRenderedPageBreak/>
        <w:t>judgement element</w:t>
      </w:r>
      <w:r>
        <w:rPr>
          <w:rFonts w:ascii="Arial" w:hAnsi="Arial" w:cs="Arial"/>
          <w:sz w:val="22"/>
          <w:szCs w:val="22"/>
        </w:rPr>
        <w:t xml:space="preserve">, </w:t>
      </w:r>
      <w:r w:rsidRPr="009D53DD">
        <w:rPr>
          <w:rFonts w:ascii="Arial" w:hAnsi="Arial" w:cs="Arial"/>
          <w:sz w:val="22"/>
          <w:szCs w:val="22"/>
        </w:rPr>
        <w:t>requiring clinicians to evaluate whether symptoms are better accounted for by substance use, a general medical condition, or another mental disorder.</w:t>
      </w:r>
    </w:p>
    <w:p w14:paraId="41085407" w14:textId="77777777" w:rsidR="00156198" w:rsidRDefault="00156198" w:rsidP="00BF0975">
      <w:pPr>
        <w:pStyle w:val="Heading2"/>
      </w:pPr>
      <w:bookmarkStart w:id="4" w:name="_Toc214888151"/>
      <w:r w:rsidRPr="009D53DD">
        <w:t>Assessment processes.</w:t>
      </w:r>
      <w:bookmarkEnd w:id="4"/>
    </w:p>
    <w:p w14:paraId="1E166878" w14:textId="003891D4" w:rsidR="00156198" w:rsidRPr="009D53DD" w:rsidRDefault="00156198" w:rsidP="00156198">
      <w:pPr>
        <w:spacing w:line="360" w:lineRule="auto"/>
        <w:jc w:val="both"/>
        <w:rPr>
          <w:rFonts w:ascii="Arial" w:hAnsi="Arial" w:cs="Arial"/>
          <w:sz w:val="22"/>
          <w:szCs w:val="22"/>
        </w:rPr>
      </w:pPr>
      <w:r w:rsidRPr="009D53DD">
        <w:rPr>
          <w:rFonts w:ascii="Arial" w:hAnsi="Arial" w:cs="Arial"/>
          <w:sz w:val="22"/>
          <w:szCs w:val="22"/>
        </w:rPr>
        <w:t xml:space="preserve">Good diagnostic practice for ATPD </w:t>
      </w:r>
      <w:r w:rsidR="00410CC5">
        <w:rPr>
          <w:rFonts w:ascii="Arial" w:hAnsi="Arial" w:cs="Arial"/>
          <w:sz w:val="22"/>
          <w:szCs w:val="22"/>
        </w:rPr>
        <w:t>includes a</w:t>
      </w:r>
      <w:r w:rsidRPr="009D53DD">
        <w:rPr>
          <w:rFonts w:ascii="Arial" w:hAnsi="Arial" w:cs="Arial"/>
          <w:sz w:val="22"/>
          <w:szCs w:val="22"/>
        </w:rPr>
        <w:t xml:space="preserve"> comprehensive psychiatric history; collateral information from family or carers; assessment of risk (to self or others); physical and neurological examination; toxicology screening where indicated; and consideration of organic causes (e.g., infections, metabolic disturbance, head injury). Standardised instruments (e.g., brief psychosis rating scales) can assist but are not a substitute for careful clinical formulation. Differential diagnosis should explicitly consider acute confusional states (delirium), affective psychoses (bipolar mania with psychotic features), brief psychotic disorder (DSM-5), and emerging schizophrenia-spectrum disorders.</w:t>
      </w:r>
    </w:p>
    <w:p w14:paraId="28547EE4" w14:textId="77777777" w:rsidR="00156198" w:rsidRDefault="00156198" w:rsidP="00BF0975">
      <w:pPr>
        <w:pStyle w:val="Heading2"/>
      </w:pPr>
      <w:bookmarkStart w:id="5" w:name="_Toc214888152"/>
      <w:r w:rsidRPr="009D53DD">
        <w:t>Language and stigma.</w:t>
      </w:r>
      <w:bookmarkEnd w:id="5"/>
      <w:r w:rsidRPr="009D53DD">
        <w:t xml:space="preserve"> </w:t>
      </w:r>
    </w:p>
    <w:p w14:paraId="5CB27844" w14:textId="529566EE" w:rsidR="00156198" w:rsidRPr="009D53DD" w:rsidRDefault="00156198" w:rsidP="00156198">
      <w:pPr>
        <w:spacing w:line="360" w:lineRule="auto"/>
        <w:jc w:val="both"/>
        <w:rPr>
          <w:rFonts w:ascii="Arial" w:hAnsi="Arial" w:cs="Arial"/>
          <w:sz w:val="22"/>
          <w:szCs w:val="22"/>
        </w:rPr>
      </w:pPr>
      <w:r w:rsidRPr="009D53DD">
        <w:rPr>
          <w:rFonts w:ascii="Arial" w:hAnsi="Arial" w:cs="Arial"/>
          <w:sz w:val="22"/>
          <w:szCs w:val="22"/>
        </w:rPr>
        <w:t xml:space="preserve">ICD-11 uses the term ‘disorder’ rather than ‘condition’ or ‘illness’; this medicalising language can aid access to services and treatments but may also carry stigma. Clinicians should use person-centred, explanatory language in communication with service users to reduce </w:t>
      </w:r>
      <w:r w:rsidR="00410CC5">
        <w:rPr>
          <w:rFonts w:ascii="Arial" w:hAnsi="Arial" w:cs="Arial"/>
          <w:sz w:val="22"/>
          <w:szCs w:val="22"/>
        </w:rPr>
        <w:t>stigma,</w:t>
      </w:r>
      <w:r>
        <w:rPr>
          <w:rFonts w:ascii="Arial" w:hAnsi="Arial" w:cs="Arial"/>
          <w:sz w:val="22"/>
          <w:szCs w:val="22"/>
        </w:rPr>
        <w:t xml:space="preserve"> </w:t>
      </w:r>
      <w:r w:rsidRPr="009D53DD">
        <w:rPr>
          <w:rFonts w:ascii="Arial" w:hAnsi="Arial" w:cs="Arial"/>
          <w:sz w:val="22"/>
          <w:szCs w:val="22"/>
        </w:rPr>
        <w:t>e.g., emphasising the episode’s acute nature and the high likelihood of recovery while discussing potential risks and follow-up plans.</w:t>
      </w:r>
    </w:p>
    <w:p w14:paraId="45BCBD24" w14:textId="77777777" w:rsidR="00156198" w:rsidRPr="009D53DD" w:rsidRDefault="00156198" w:rsidP="00156198">
      <w:pPr>
        <w:spacing w:line="360" w:lineRule="auto"/>
        <w:jc w:val="both"/>
        <w:rPr>
          <w:rFonts w:ascii="Arial" w:hAnsi="Arial" w:cs="Arial"/>
          <w:sz w:val="22"/>
          <w:szCs w:val="22"/>
        </w:rPr>
      </w:pPr>
      <w:bookmarkStart w:id="6" w:name="_Toc214888153"/>
      <w:r w:rsidRPr="00BF0975">
        <w:rPr>
          <w:rStyle w:val="Heading2Char"/>
        </w:rPr>
        <w:t>Prognostic uncertainty and follow-up.</w:t>
      </w:r>
      <w:bookmarkEnd w:id="6"/>
      <w:r w:rsidRPr="009D53DD">
        <w:rPr>
          <w:rFonts w:ascii="Arial" w:hAnsi="Arial" w:cs="Arial"/>
          <w:sz w:val="22"/>
          <w:szCs w:val="22"/>
        </w:rPr>
        <w:t xml:space="preserve"> Although many ATPD cases resolve rapidly, a significant minority later receive diagnoses on the schizophrenia spectrum. Diagnostic stability is therefore an important clinical and research question. Good practice is to plan early follow-up, psychoeducation, and monitoring (for relapse or diagnostic evolution) rather than adopting a ‘one-off’ acute care approach.</w:t>
      </w:r>
    </w:p>
    <w:p w14:paraId="23CCEF70" w14:textId="288D59F7" w:rsidR="008A6D32" w:rsidRPr="008A6D32" w:rsidRDefault="008A6D32" w:rsidP="00BF0975">
      <w:pPr>
        <w:pStyle w:val="Heading1"/>
      </w:pPr>
      <w:bookmarkStart w:id="7" w:name="_Toc214888154"/>
      <w:r w:rsidRPr="008A6D32">
        <w:t>Treatment and Rehabilitation</w:t>
      </w:r>
      <w:bookmarkEnd w:id="7"/>
    </w:p>
    <w:p w14:paraId="4C1A3E67" w14:textId="77777777" w:rsidR="00006183" w:rsidRPr="009D53DD" w:rsidRDefault="00006183" w:rsidP="00BF0975">
      <w:pPr>
        <w:pStyle w:val="Heading2"/>
      </w:pPr>
      <w:bookmarkStart w:id="8" w:name="_Toc214888155"/>
      <w:r w:rsidRPr="009D53DD">
        <w:t>Treatment approaches</w:t>
      </w:r>
      <w:bookmarkEnd w:id="8"/>
    </w:p>
    <w:p w14:paraId="25D8D88D" w14:textId="77777777" w:rsidR="00006183" w:rsidRPr="009D53DD" w:rsidRDefault="00006183" w:rsidP="00006183">
      <w:pPr>
        <w:spacing w:line="360" w:lineRule="auto"/>
        <w:jc w:val="both"/>
        <w:rPr>
          <w:rFonts w:ascii="Arial" w:hAnsi="Arial" w:cs="Arial"/>
          <w:sz w:val="22"/>
          <w:szCs w:val="22"/>
        </w:rPr>
      </w:pPr>
      <w:r w:rsidRPr="009D53DD">
        <w:rPr>
          <w:rFonts w:ascii="Arial" w:hAnsi="Arial" w:cs="Arial"/>
          <w:b/>
          <w:bCs/>
          <w:sz w:val="22"/>
          <w:szCs w:val="22"/>
        </w:rPr>
        <w:t>Pharmacological interventions.</w:t>
      </w:r>
      <w:r w:rsidRPr="009D53DD">
        <w:rPr>
          <w:rFonts w:ascii="Arial" w:hAnsi="Arial" w:cs="Arial"/>
          <w:sz w:val="22"/>
          <w:szCs w:val="22"/>
        </w:rPr>
        <w:t xml:space="preserve"> Short-term antipsychotic medication is commonly used in the management of ATPD to reduce acute psychotic symptoms, agitation, and risk. Evidence supports rapid symptomatic benefit from antipsychotics, but trials specifically targeting ATPD are limited; much guidance is extrapolated from studies of first-episode psychosis and brief psychotic presentations. Benzodiazepines may be used short-term for severe agitation. Clinicians must weigh benefits against side-effect risks (e.g., extrapyramidal symptoms, metabolic effects) and adopt the lowest effective dose for the shortest necessary duration.</w:t>
      </w:r>
    </w:p>
    <w:p w14:paraId="0AF8589E" w14:textId="1D92CF20" w:rsidR="00006183" w:rsidRPr="009D53DD" w:rsidRDefault="00006183" w:rsidP="00006183">
      <w:pPr>
        <w:spacing w:line="360" w:lineRule="auto"/>
        <w:jc w:val="both"/>
        <w:rPr>
          <w:rFonts w:ascii="Arial" w:hAnsi="Arial" w:cs="Arial"/>
          <w:sz w:val="22"/>
          <w:szCs w:val="22"/>
        </w:rPr>
      </w:pPr>
      <w:r w:rsidRPr="009D53DD">
        <w:rPr>
          <w:rFonts w:ascii="Arial" w:hAnsi="Arial" w:cs="Arial"/>
          <w:b/>
          <w:bCs/>
          <w:sz w:val="22"/>
          <w:szCs w:val="22"/>
        </w:rPr>
        <w:lastRenderedPageBreak/>
        <w:t>Psychosocial interventions.</w:t>
      </w:r>
      <w:r w:rsidRPr="009D53DD">
        <w:rPr>
          <w:rFonts w:ascii="Arial" w:hAnsi="Arial" w:cs="Arial"/>
          <w:sz w:val="22"/>
          <w:szCs w:val="22"/>
        </w:rPr>
        <w:t xml:space="preserve"> Psychological interventions</w:t>
      </w:r>
      <w:r>
        <w:rPr>
          <w:rFonts w:ascii="Arial" w:hAnsi="Arial" w:cs="Arial"/>
          <w:sz w:val="22"/>
          <w:szCs w:val="22"/>
        </w:rPr>
        <w:t xml:space="preserve"> </w:t>
      </w:r>
      <w:r w:rsidRPr="009D53DD">
        <w:rPr>
          <w:rFonts w:ascii="Arial" w:hAnsi="Arial" w:cs="Arial"/>
          <w:sz w:val="22"/>
          <w:szCs w:val="22"/>
        </w:rPr>
        <w:t>such as brief cognitive-behavioural approaches (CBT), crisis-focused therapy, family interventions, and supportive psychotherapy</w:t>
      </w:r>
      <w:r>
        <w:rPr>
          <w:rFonts w:ascii="Arial" w:hAnsi="Arial" w:cs="Arial"/>
          <w:sz w:val="22"/>
          <w:szCs w:val="22"/>
        </w:rPr>
        <w:t xml:space="preserve"> a</w:t>
      </w:r>
      <w:r w:rsidRPr="009D53DD">
        <w:rPr>
          <w:rFonts w:ascii="Arial" w:hAnsi="Arial" w:cs="Arial"/>
          <w:sz w:val="22"/>
          <w:szCs w:val="22"/>
        </w:rPr>
        <w:t xml:space="preserve">re recommended alongside pharmacotherapy. Psychoeducation for the service user and </w:t>
      </w:r>
      <w:r w:rsidR="00410CC5">
        <w:rPr>
          <w:rFonts w:ascii="Arial" w:hAnsi="Arial" w:cs="Arial"/>
          <w:sz w:val="22"/>
          <w:szCs w:val="22"/>
        </w:rPr>
        <w:t>family/carers</w:t>
      </w:r>
      <w:r w:rsidRPr="009D53DD">
        <w:rPr>
          <w:rFonts w:ascii="Arial" w:hAnsi="Arial" w:cs="Arial"/>
          <w:sz w:val="22"/>
          <w:szCs w:val="22"/>
        </w:rPr>
        <w:t xml:space="preserve"> improves understanding, adherence, and relapse detection. Early Intervention in Psychosis (EIP) models, where available, provide comprehensive packages (medication, psychotherapy, social support, vocational rehabilitation) and have demonstrated improved outcomes for first-episode psychosis; these elements are highly relevant for ATPD management.</w:t>
      </w:r>
    </w:p>
    <w:p w14:paraId="746C4C22" w14:textId="77777777" w:rsidR="00006183" w:rsidRPr="009D53DD" w:rsidRDefault="00006183" w:rsidP="00006183">
      <w:pPr>
        <w:spacing w:line="360" w:lineRule="auto"/>
        <w:jc w:val="both"/>
        <w:rPr>
          <w:rFonts w:ascii="Arial" w:hAnsi="Arial" w:cs="Arial"/>
          <w:sz w:val="22"/>
          <w:szCs w:val="22"/>
        </w:rPr>
      </w:pPr>
      <w:r w:rsidRPr="009D53DD">
        <w:rPr>
          <w:rFonts w:ascii="Arial" w:hAnsi="Arial" w:cs="Arial"/>
          <w:b/>
          <w:bCs/>
          <w:sz w:val="22"/>
          <w:szCs w:val="22"/>
        </w:rPr>
        <w:t>Evidence and limitations.</w:t>
      </w:r>
      <w:r w:rsidRPr="009D53DD">
        <w:rPr>
          <w:rFonts w:ascii="Arial" w:hAnsi="Arial" w:cs="Arial"/>
          <w:sz w:val="22"/>
          <w:szCs w:val="22"/>
        </w:rPr>
        <w:t xml:space="preserve"> Randomised controlled trials specifically in ATPD are scarce, so much practice is guided by extrapolations from broader psychosis research. This paucity limits high-certainty recommendations on optimal medication duration and psychosocial package composition. Moreover, pharmaco-centric approaches risk over-medicalising transient episodes with uncertain long-term benefit; clinicians therefore should regularly review the ongoing need for antipsychotics and consider tailored step-down strategies.</w:t>
      </w:r>
    </w:p>
    <w:p w14:paraId="79B1B107" w14:textId="1F88C592" w:rsidR="00006183" w:rsidRPr="009D53DD" w:rsidRDefault="00410CC5" w:rsidP="00BF0975">
      <w:pPr>
        <w:pStyle w:val="Heading2"/>
      </w:pPr>
      <w:bookmarkStart w:id="9" w:name="_Toc214888156"/>
      <w:r>
        <w:t>Rehabilitation-</w:t>
      </w:r>
      <w:r w:rsidR="00006183" w:rsidRPr="009D53DD">
        <w:t xml:space="preserve"> and recovery-focused practice</w:t>
      </w:r>
      <w:bookmarkEnd w:id="9"/>
    </w:p>
    <w:p w14:paraId="30E16356" w14:textId="18AA7B19" w:rsidR="00006183" w:rsidRPr="009D53DD" w:rsidRDefault="00006183" w:rsidP="00006183">
      <w:pPr>
        <w:spacing w:line="360" w:lineRule="auto"/>
        <w:jc w:val="both"/>
        <w:rPr>
          <w:rFonts w:ascii="Arial" w:hAnsi="Arial" w:cs="Arial"/>
          <w:sz w:val="22"/>
          <w:szCs w:val="22"/>
        </w:rPr>
      </w:pPr>
      <w:r w:rsidRPr="009D53DD">
        <w:rPr>
          <w:rFonts w:ascii="Arial" w:hAnsi="Arial" w:cs="Arial"/>
          <w:sz w:val="22"/>
          <w:szCs w:val="22"/>
        </w:rPr>
        <w:t xml:space="preserve">ICD-11 and contemporary clinical practice emphasise </w:t>
      </w:r>
      <w:r w:rsidR="00410CC5">
        <w:rPr>
          <w:rFonts w:ascii="Arial" w:hAnsi="Arial" w:cs="Arial"/>
          <w:sz w:val="22"/>
          <w:szCs w:val="22"/>
        </w:rPr>
        <w:t>recovery-orientated</w:t>
      </w:r>
      <w:r w:rsidRPr="009D53DD">
        <w:rPr>
          <w:rFonts w:ascii="Arial" w:hAnsi="Arial" w:cs="Arial"/>
          <w:sz w:val="22"/>
          <w:szCs w:val="22"/>
        </w:rPr>
        <w:t xml:space="preserve"> care, including rehabilitation targeting social, occupational, and functional recovery rather than symptom reduction alone. Key rehabilitation measures for ATPD include:</w:t>
      </w:r>
    </w:p>
    <w:p w14:paraId="51ACB594" w14:textId="77777777" w:rsidR="00006183" w:rsidRPr="009D53DD" w:rsidRDefault="00006183" w:rsidP="00006183">
      <w:pPr>
        <w:numPr>
          <w:ilvl w:val="0"/>
          <w:numId w:val="1"/>
        </w:numPr>
        <w:spacing w:line="360" w:lineRule="auto"/>
        <w:jc w:val="both"/>
        <w:rPr>
          <w:rFonts w:ascii="Arial" w:hAnsi="Arial" w:cs="Arial"/>
          <w:sz w:val="22"/>
          <w:szCs w:val="22"/>
        </w:rPr>
      </w:pPr>
      <w:r w:rsidRPr="009D53DD">
        <w:rPr>
          <w:rFonts w:ascii="Arial" w:hAnsi="Arial" w:cs="Arial"/>
          <w:b/>
          <w:bCs/>
          <w:sz w:val="22"/>
          <w:szCs w:val="22"/>
        </w:rPr>
        <w:t>Early follow-up and monitoring:</w:t>
      </w:r>
      <w:r w:rsidRPr="009D53DD">
        <w:rPr>
          <w:rFonts w:ascii="Arial" w:hAnsi="Arial" w:cs="Arial"/>
          <w:sz w:val="22"/>
          <w:szCs w:val="22"/>
        </w:rPr>
        <w:t xml:space="preserve"> scheduled reviews to detect relapse and reassess diagnosis.</w:t>
      </w:r>
    </w:p>
    <w:p w14:paraId="69BED8B6" w14:textId="77777777" w:rsidR="00006183" w:rsidRPr="009D53DD" w:rsidRDefault="00006183" w:rsidP="00006183">
      <w:pPr>
        <w:numPr>
          <w:ilvl w:val="0"/>
          <w:numId w:val="1"/>
        </w:numPr>
        <w:spacing w:line="360" w:lineRule="auto"/>
        <w:jc w:val="both"/>
        <w:rPr>
          <w:rFonts w:ascii="Arial" w:hAnsi="Arial" w:cs="Arial"/>
          <w:sz w:val="22"/>
          <w:szCs w:val="22"/>
        </w:rPr>
      </w:pPr>
      <w:r w:rsidRPr="009D53DD">
        <w:rPr>
          <w:rFonts w:ascii="Arial" w:hAnsi="Arial" w:cs="Arial"/>
          <w:b/>
          <w:bCs/>
          <w:sz w:val="22"/>
          <w:szCs w:val="22"/>
        </w:rPr>
        <w:t>Psychoeducation and relapse planning:</w:t>
      </w:r>
      <w:r w:rsidRPr="009D53DD">
        <w:rPr>
          <w:rFonts w:ascii="Arial" w:hAnsi="Arial" w:cs="Arial"/>
          <w:sz w:val="22"/>
          <w:szCs w:val="22"/>
        </w:rPr>
        <w:t xml:space="preserve"> educating the person and family about triggers, early warning signs, and when to seek help.</w:t>
      </w:r>
    </w:p>
    <w:p w14:paraId="598CB82D" w14:textId="77777777" w:rsidR="00006183" w:rsidRPr="009D53DD" w:rsidRDefault="00006183" w:rsidP="00006183">
      <w:pPr>
        <w:numPr>
          <w:ilvl w:val="0"/>
          <w:numId w:val="1"/>
        </w:numPr>
        <w:spacing w:line="360" w:lineRule="auto"/>
        <w:jc w:val="both"/>
        <w:rPr>
          <w:rFonts w:ascii="Arial" w:hAnsi="Arial" w:cs="Arial"/>
          <w:sz w:val="22"/>
          <w:szCs w:val="22"/>
        </w:rPr>
      </w:pPr>
      <w:r w:rsidRPr="009D53DD">
        <w:rPr>
          <w:rFonts w:ascii="Arial" w:hAnsi="Arial" w:cs="Arial"/>
          <w:b/>
          <w:bCs/>
          <w:sz w:val="22"/>
          <w:szCs w:val="22"/>
        </w:rPr>
        <w:t>Vocational and educational support:</w:t>
      </w:r>
      <w:r w:rsidRPr="009D53DD">
        <w:rPr>
          <w:rFonts w:ascii="Arial" w:hAnsi="Arial" w:cs="Arial"/>
          <w:sz w:val="22"/>
          <w:szCs w:val="22"/>
        </w:rPr>
        <w:t xml:space="preserve"> enabling return-to-role through supported employment, flexible study arrangements, and workplace liaison when needed.</w:t>
      </w:r>
    </w:p>
    <w:p w14:paraId="06826C12" w14:textId="77777777" w:rsidR="00006183" w:rsidRPr="009D53DD" w:rsidRDefault="00006183" w:rsidP="00006183">
      <w:pPr>
        <w:numPr>
          <w:ilvl w:val="0"/>
          <w:numId w:val="1"/>
        </w:numPr>
        <w:spacing w:line="360" w:lineRule="auto"/>
        <w:jc w:val="both"/>
        <w:rPr>
          <w:rFonts w:ascii="Arial" w:hAnsi="Arial" w:cs="Arial"/>
          <w:sz w:val="22"/>
          <w:szCs w:val="22"/>
        </w:rPr>
      </w:pPr>
      <w:r w:rsidRPr="009D53DD">
        <w:rPr>
          <w:rFonts w:ascii="Arial" w:hAnsi="Arial" w:cs="Arial"/>
          <w:b/>
          <w:bCs/>
          <w:sz w:val="22"/>
          <w:szCs w:val="22"/>
        </w:rPr>
        <w:t>Social support and housing stability:</w:t>
      </w:r>
      <w:r w:rsidRPr="009D53DD">
        <w:rPr>
          <w:rFonts w:ascii="Arial" w:hAnsi="Arial" w:cs="Arial"/>
          <w:sz w:val="22"/>
          <w:szCs w:val="22"/>
        </w:rPr>
        <w:t xml:space="preserve"> ensuring safe and stable living arrangements during recovery.</w:t>
      </w:r>
    </w:p>
    <w:p w14:paraId="54789A39" w14:textId="77777777" w:rsidR="00006183" w:rsidRPr="009D53DD" w:rsidRDefault="00006183" w:rsidP="00006183">
      <w:pPr>
        <w:numPr>
          <w:ilvl w:val="0"/>
          <w:numId w:val="1"/>
        </w:numPr>
        <w:spacing w:line="360" w:lineRule="auto"/>
        <w:jc w:val="both"/>
        <w:rPr>
          <w:rFonts w:ascii="Arial" w:hAnsi="Arial" w:cs="Arial"/>
          <w:sz w:val="22"/>
          <w:szCs w:val="22"/>
        </w:rPr>
      </w:pPr>
      <w:r w:rsidRPr="009D53DD">
        <w:rPr>
          <w:rFonts w:ascii="Arial" w:hAnsi="Arial" w:cs="Arial"/>
          <w:b/>
          <w:bCs/>
          <w:sz w:val="22"/>
          <w:szCs w:val="22"/>
        </w:rPr>
        <w:t>Psychological therapies:</w:t>
      </w:r>
      <w:r w:rsidRPr="009D53DD">
        <w:rPr>
          <w:rFonts w:ascii="Arial" w:hAnsi="Arial" w:cs="Arial"/>
          <w:sz w:val="22"/>
          <w:szCs w:val="22"/>
        </w:rPr>
        <w:t xml:space="preserve"> brief CBT to address residual symptoms, trauma-informed approaches where relevant, and family interventions to strengthen social networks.</w:t>
      </w:r>
    </w:p>
    <w:p w14:paraId="31C15293" w14:textId="630721B8" w:rsidR="00006183" w:rsidRPr="009D53DD" w:rsidRDefault="00006183" w:rsidP="00006183">
      <w:pPr>
        <w:spacing w:line="360" w:lineRule="auto"/>
        <w:jc w:val="both"/>
        <w:rPr>
          <w:rFonts w:ascii="Arial" w:hAnsi="Arial" w:cs="Arial"/>
          <w:sz w:val="22"/>
          <w:szCs w:val="22"/>
        </w:rPr>
      </w:pPr>
      <w:r w:rsidRPr="009D53DD">
        <w:rPr>
          <w:rFonts w:ascii="Arial" w:hAnsi="Arial" w:cs="Arial"/>
          <w:sz w:val="22"/>
          <w:szCs w:val="22"/>
        </w:rPr>
        <w:t xml:space="preserve">Evidence suggests that rehabilitation-focused interventions mitigate functional decline and support reintegration. However, access to comprehensive rehabilitation varies </w:t>
      </w:r>
      <w:r w:rsidR="00410CC5">
        <w:rPr>
          <w:rFonts w:ascii="Arial" w:hAnsi="Arial" w:cs="Arial"/>
          <w:sz w:val="22"/>
          <w:szCs w:val="22"/>
        </w:rPr>
        <w:t>widely;</w:t>
      </w:r>
      <w:r>
        <w:rPr>
          <w:rFonts w:ascii="Arial" w:hAnsi="Arial" w:cs="Arial"/>
          <w:sz w:val="22"/>
          <w:szCs w:val="22"/>
        </w:rPr>
        <w:t xml:space="preserve"> </w:t>
      </w:r>
      <w:r w:rsidRPr="009D53DD">
        <w:rPr>
          <w:rFonts w:ascii="Arial" w:hAnsi="Arial" w:cs="Arial"/>
          <w:sz w:val="22"/>
          <w:szCs w:val="22"/>
        </w:rPr>
        <w:t>services are patchy in low-resource settings and often constrained by funding and workforce shortages. Rehabilitation planning must therefore be realistic and system-aware, integrating community resources and peer-support models when formal services are limited.</w:t>
      </w:r>
    </w:p>
    <w:p w14:paraId="668504A0" w14:textId="77777777" w:rsidR="008A6D32" w:rsidRPr="008A6D32" w:rsidRDefault="008A6D32" w:rsidP="008A6D32">
      <w:pPr>
        <w:pStyle w:val="NormalWeb"/>
        <w:rPr>
          <w:rFonts w:ascii="Arial" w:hAnsi="Arial" w:cs="Arial"/>
          <w:b/>
          <w:bCs/>
          <w:color w:val="000000"/>
        </w:rPr>
      </w:pPr>
    </w:p>
    <w:p w14:paraId="0D06B3CB" w14:textId="29B381BD" w:rsidR="008A6D32" w:rsidRPr="008A6D32" w:rsidRDefault="008A6D32" w:rsidP="00BF0975">
      <w:pPr>
        <w:pStyle w:val="Heading1"/>
      </w:pPr>
      <w:bookmarkStart w:id="10" w:name="_Toc214888157"/>
      <w:r w:rsidRPr="008A6D32">
        <w:t>Current Debates and Emerging Issues:</w:t>
      </w:r>
      <w:bookmarkEnd w:id="10"/>
      <w:r w:rsidRPr="008A6D32">
        <w:rPr>
          <w:rStyle w:val="apple-converted-space"/>
          <w:rFonts w:ascii="Arial" w:hAnsi="Arial" w:cs="Arial"/>
          <w:b/>
          <w:bCs/>
          <w:color w:val="000000"/>
        </w:rPr>
        <w:t> </w:t>
      </w:r>
    </w:p>
    <w:p w14:paraId="3E63E319" w14:textId="77777777" w:rsidR="00E17E41" w:rsidRPr="00EB03F2" w:rsidRDefault="00E17E41" w:rsidP="00E17E41">
      <w:pPr>
        <w:spacing w:line="360" w:lineRule="auto"/>
        <w:jc w:val="both"/>
        <w:rPr>
          <w:rFonts w:ascii="Arial" w:hAnsi="Arial" w:cs="Arial"/>
          <w:sz w:val="22"/>
          <w:szCs w:val="22"/>
        </w:rPr>
      </w:pPr>
      <w:r w:rsidRPr="00EB03F2">
        <w:rPr>
          <w:rFonts w:ascii="Arial" w:hAnsi="Arial" w:cs="Arial"/>
          <w:sz w:val="22"/>
          <w:szCs w:val="22"/>
        </w:rPr>
        <w:t>There are persistent controversies on the issue of classification and treatment.</w:t>
      </w:r>
    </w:p>
    <w:p w14:paraId="190BFE8A" w14:textId="544C1837" w:rsidR="00E17E41" w:rsidRPr="00EB03F2" w:rsidRDefault="00E17E41" w:rsidP="00E17E41">
      <w:pPr>
        <w:spacing w:line="360" w:lineRule="auto"/>
        <w:jc w:val="both"/>
        <w:rPr>
          <w:rFonts w:ascii="Arial" w:hAnsi="Arial" w:cs="Arial"/>
          <w:sz w:val="22"/>
          <w:szCs w:val="22"/>
        </w:rPr>
      </w:pPr>
      <w:r w:rsidRPr="00EB03F2">
        <w:rPr>
          <w:rFonts w:ascii="Arial" w:hAnsi="Arial" w:cs="Arial"/>
          <w:sz w:val="22"/>
          <w:szCs w:val="22"/>
        </w:rPr>
        <w:t xml:space="preserve">One of the brightest discussions in the modern literature relates to the conceptualisation of Acute and Transient Psychotic Disorder (ATPD) in psychiatric nosology. One problem issue is whether ATPD is a distinct diagnosis or whether it is a heterogeneous group of transient psychoses with various underlying causes, illness courses, and prognoses. Though the ICD-11 still has ATPD as a distinct diagnosis, its critics note its diagnostic </w:t>
      </w:r>
      <w:r w:rsidR="00410CC5">
        <w:rPr>
          <w:rFonts w:ascii="Arial" w:hAnsi="Arial" w:cs="Arial"/>
          <w:sz w:val="22"/>
          <w:szCs w:val="22"/>
        </w:rPr>
        <w:t>instability,</w:t>
      </w:r>
      <w:r w:rsidRPr="00EB03F2">
        <w:rPr>
          <w:rFonts w:ascii="Arial" w:hAnsi="Arial" w:cs="Arial"/>
          <w:sz w:val="22"/>
          <w:szCs w:val="22"/>
        </w:rPr>
        <w:t xml:space="preserve"> with a percentage of people initially diagnosed with ATPD subsequently developing schizophrenia or other psychotic-spectrum disorders. This volatility casts some of the usefulness of holding to strictly categorical boundaries into question and has led to more general debates on whether modern classification systems are viable.</w:t>
      </w:r>
    </w:p>
    <w:p w14:paraId="7C30C068" w14:textId="521104C9" w:rsidR="00E17E41" w:rsidRPr="00EB03F2" w:rsidRDefault="00E17E41" w:rsidP="00E17E41">
      <w:pPr>
        <w:spacing w:line="360" w:lineRule="auto"/>
        <w:jc w:val="both"/>
        <w:rPr>
          <w:rFonts w:ascii="Arial" w:hAnsi="Arial" w:cs="Arial"/>
          <w:sz w:val="22"/>
          <w:szCs w:val="22"/>
        </w:rPr>
      </w:pPr>
      <w:r w:rsidRPr="00EB03F2">
        <w:rPr>
          <w:rFonts w:ascii="Arial" w:hAnsi="Arial" w:cs="Arial"/>
          <w:sz w:val="22"/>
          <w:szCs w:val="22"/>
        </w:rPr>
        <w:t xml:space="preserve">The other highly debated issue is the distinction </w:t>
      </w:r>
      <w:r w:rsidR="00410CC5">
        <w:rPr>
          <w:rFonts w:ascii="Arial" w:hAnsi="Arial" w:cs="Arial"/>
          <w:sz w:val="22"/>
          <w:szCs w:val="22"/>
        </w:rPr>
        <w:t>between</w:t>
      </w:r>
      <w:r w:rsidRPr="00EB03F2">
        <w:rPr>
          <w:rFonts w:ascii="Arial" w:hAnsi="Arial" w:cs="Arial"/>
          <w:sz w:val="22"/>
          <w:szCs w:val="22"/>
        </w:rPr>
        <w:t xml:space="preserve"> the ICD-11 and DSM-5 systems of diagnoses, especially in terms of time limits and focus on symptoms. ICD-11 uses ATPD that has a standard duration of less than three months, whereas DSM-5 employs the diagnosis of Brief Psychotic Disorder with the period of one month at maximum. These discrepancies complicate global research, establish obstacles to </w:t>
      </w:r>
      <w:r w:rsidR="00410CC5">
        <w:rPr>
          <w:rFonts w:ascii="Arial" w:hAnsi="Arial" w:cs="Arial"/>
          <w:sz w:val="22"/>
          <w:szCs w:val="22"/>
        </w:rPr>
        <w:t>cross-study</w:t>
      </w:r>
      <w:r w:rsidRPr="00EB03F2">
        <w:rPr>
          <w:rFonts w:ascii="Arial" w:hAnsi="Arial" w:cs="Arial"/>
          <w:sz w:val="22"/>
          <w:szCs w:val="22"/>
        </w:rPr>
        <w:t xml:space="preserve"> comparisons, and cause assumptions of varied clinical interpretations across medical systems.</w:t>
      </w:r>
    </w:p>
    <w:p w14:paraId="75525289" w14:textId="50108D35" w:rsidR="00E17E41" w:rsidRPr="00EB03F2" w:rsidRDefault="00E17E41" w:rsidP="00E17E41">
      <w:pPr>
        <w:spacing w:line="360" w:lineRule="auto"/>
        <w:jc w:val="both"/>
        <w:rPr>
          <w:rFonts w:ascii="Arial" w:hAnsi="Arial" w:cs="Arial"/>
          <w:sz w:val="22"/>
          <w:szCs w:val="22"/>
        </w:rPr>
      </w:pPr>
      <w:r w:rsidRPr="00EB03F2">
        <w:rPr>
          <w:rFonts w:ascii="Arial" w:hAnsi="Arial" w:cs="Arial"/>
          <w:sz w:val="22"/>
          <w:szCs w:val="22"/>
        </w:rPr>
        <w:t xml:space="preserve">The antipsychotic medication in self-limiting episodes is another contentious argument in treating an episode. According to the opinion of some scholars, immediate pharmacological intervention is necessary due to symptom reduction and safety, whereas others emphasise the ethical aspects of medicating patients who are less certain about the diagnosis, symptoms can be remitted naturally, and side </w:t>
      </w:r>
      <w:r w:rsidR="00410CC5">
        <w:rPr>
          <w:rFonts w:ascii="Arial" w:hAnsi="Arial" w:cs="Arial"/>
          <w:sz w:val="22"/>
          <w:szCs w:val="22"/>
        </w:rPr>
        <w:t>effect</w:t>
      </w:r>
      <w:r w:rsidRPr="00EB03F2">
        <w:rPr>
          <w:rFonts w:ascii="Arial" w:hAnsi="Arial" w:cs="Arial"/>
          <w:sz w:val="22"/>
          <w:szCs w:val="22"/>
        </w:rPr>
        <w:t xml:space="preserve"> risks are significant. Consequently, increased attention is paid to shared decision-making, </w:t>
      </w:r>
      <w:r w:rsidR="00410CC5">
        <w:rPr>
          <w:rFonts w:ascii="Arial" w:hAnsi="Arial" w:cs="Arial"/>
          <w:sz w:val="22"/>
          <w:szCs w:val="22"/>
        </w:rPr>
        <w:t>early psychosocial intervention,</w:t>
      </w:r>
      <w:r w:rsidRPr="00EB03F2">
        <w:rPr>
          <w:rFonts w:ascii="Arial" w:hAnsi="Arial" w:cs="Arial"/>
          <w:sz w:val="22"/>
          <w:szCs w:val="22"/>
        </w:rPr>
        <w:t xml:space="preserve"> and the rejection of coercive or excessively restrictive practices.</w:t>
      </w:r>
    </w:p>
    <w:p w14:paraId="19F6E80E" w14:textId="1E0745FD" w:rsidR="008A6D32" w:rsidRDefault="00BF0975" w:rsidP="00BF0975">
      <w:pPr>
        <w:pStyle w:val="Heading2"/>
        <w:rPr>
          <w:rStyle w:val="apple-converted-space"/>
          <w:rFonts w:ascii="Arial" w:hAnsi="Arial" w:cs="Arial"/>
          <w:color w:val="000000"/>
        </w:rPr>
      </w:pPr>
      <w:bookmarkStart w:id="11" w:name="_Toc214888158"/>
      <w:r>
        <w:t>T</w:t>
      </w:r>
      <w:r w:rsidR="008A6D32" w:rsidRPr="008A6D32">
        <w:t>he role of neurodivergence and any relevant reclassification issues.</w:t>
      </w:r>
      <w:bookmarkEnd w:id="11"/>
      <w:r w:rsidR="008A6D32" w:rsidRPr="008A6D32">
        <w:rPr>
          <w:rStyle w:val="apple-converted-space"/>
          <w:rFonts w:ascii="Arial" w:hAnsi="Arial" w:cs="Arial"/>
          <w:color w:val="000000"/>
        </w:rPr>
        <w:t> </w:t>
      </w:r>
    </w:p>
    <w:p w14:paraId="724E4847" w14:textId="73D9CC7F" w:rsidR="00E17E41" w:rsidRPr="00EB03F2" w:rsidRDefault="00E17E41" w:rsidP="00E17E41">
      <w:pPr>
        <w:spacing w:line="360" w:lineRule="auto"/>
        <w:jc w:val="both"/>
        <w:rPr>
          <w:rFonts w:ascii="Arial" w:hAnsi="Arial" w:cs="Arial"/>
          <w:sz w:val="22"/>
          <w:szCs w:val="22"/>
        </w:rPr>
      </w:pPr>
      <w:r w:rsidRPr="00EB03F2">
        <w:rPr>
          <w:rFonts w:ascii="Arial" w:hAnsi="Arial" w:cs="Arial"/>
          <w:sz w:val="22"/>
          <w:szCs w:val="22"/>
        </w:rPr>
        <w:t xml:space="preserve">Though ATPD is mainly located within the psychosis spectrum and is not yet being regarded as a neurodevelopmental disorder, there is an emergent discourse that may prompt clinicians to think about the possibility of neurodivergence, specifically, autism spectrum disorders, ADHD, and other cognitive or developmental discrepancies. </w:t>
      </w:r>
      <w:r w:rsidR="00410CC5">
        <w:rPr>
          <w:rFonts w:ascii="Arial" w:hAnsi="Arial" w:cs="Arial"/>
          <w:sz w:val="22"/>
          <w:szCs w:val="22"/>
        </w:rPr>
        <w:t>Neurodivergent</w:t>
      </w:r>
      <w:r w:rsidRPr="00EB03F2">
        <w:rPr>
          <w:rFonts w:ascii="Arial" w:hAnsi="Arial" w:cs="Arial"/>
          <w:sz w:val="22"/>
          <w:szCs w:val="22"/>
        </w:rPr>
        <w:t xml:space="preserve"> persons might have unusual communication patterns, sensory sensitivities or stress responses that are wrongly interpreted as psychotic symptoms and difficult to diagnose. Such symptoms as autistic shutdowns, strong interests, or social withdrawal can be confused with the negative </w:t>
      </w:r>
      <w:r w:rsidRPr="00EB03F2">
        <w:rPr>
          <w:rFonts w:ascii="Arial" w:hAnsi="Arial" w:cs="Arial"/>
          <w:sz w:val="22"/>
          <w:szCs w:val="22"/>
        </w:rPr>
        <w:lastRenderedPageBreak/>
        <w:t xml:space="preserve">symptoms, whereas stress responses that are highly reactive, which </w:t>
      </w:r>
      <w:r w:rsidR="00410CC5">
        <w:rPr>
          <w:rFonts w:ascii="Arial" w:hAnsi="Arial" w:cs="Arial"/>
          <w:sz w:val="22"/>
          <w:szCs w:val="22"/>
        </w:rPr>
        <w:t>are</w:t>
      </w:r>
      <w:r w:rsidRPr="00EB03F2">
        <w:rPr>
          <w:rFonts w:ascii="Arial" w:hAnsi="Arial" w:cs="Arial"/>
          <w:sz w:val="22"/>
          <w:szCs w:val="22"/>
        </w:rPr>
        <w:t xml:space="preserve"> a risk factor, can trigger temporary psychotic episodes in a vulnerable population.</w:t>
      </w:r>
    </w:p>
    <w:p w14:paraId="4037C3C1" w14:textId="2AB1DFC9" w:rsidR="00E17E41" w:rsidRPr="00EB03F2" w:rsidRDefault="00E17E41" w:rsidP="00E17E41">
      <w:pPr>
        <w:spacing w:line="360" w:lineRule="auto"/>
        <w:jc w:val="both"/>
        <w:rPr>
          <w:rFonts w:ascii="Arial" w:hAnsi="Arial" w:cs="Arial"/>
          <w:sz w:val="22"/>
          <w:szCs w:val="22"/>
        </w:rPr>
      </w:pPr>
      <w:r w:rsidRPr="00EB03F2">
        <w:rPr>
          <w:rFonts w:ascii="Arial" w:hAnsi="Arial" w:cs="Arial"/>
          <w:sz w:val="22"/>
          <w:szCs w:val="22"/>
        </w:rPr>
        <w:t xml:space="preserve">No organised change towards </w:t>
      </w:r>
      <w:r w:rsidR="00410CC5">
        <w:rPr>
          <w:rFonts w:ascii="Arial" w:hAnsi="Arial" w:cs="Arial"/>
          <w:sz w:val="22"/>
          <w:szCs w:val="22"/>
        </w:rPr>
        <w:t>reauthorising</w:t>
      </w:r>
      <w:r w:rsidRPr="00EB03F2">
        <w:rPr>
          <w:rFonts w:ascii="Arial" w:hAnsi="Arial" w:cs="Arial"/>
          <w:sz w:val="22"/>
          <w:szCs w:val="22"/>
        </w:rPr>
        <w:t xml:space="preserve"> ATPD as a neurodevelopmental condition exists. The rise in neurodivergence interest, however, brings up the issues of diagnostic overlap, possible misdiagnosis, and the possibility of underlying neurodevelopmental characteristics influencing the development of symptoms, risks, and the recovery requirements. This has prompted the suggestion of routine neurodevelopmental screening of neurodevelopmental conditions in early psychotic </w:t>
      </w:r>
      <w:r w:rsidR="00410CC5">
        <w:rPr>
          <w:rFonts w:ascii="Arial" w:hAnsi="Arial" w:cs="Arial"/>
          <w:sz w:val="22"/>
          <w:szCs w:val="22"/>
        </w:rPr>
        <w:t>services and</w:t>
      </w:r>
      <w:r w:rsidRPr="00EB03F2">
        <w:rPr>
          <w:rFonts w:ascii="Arial" w:hAnsi="Arial" w:cs="Arial"/>
          <w:sz w:val="22"/>
          <w:szCs w:val="22"/>
        </w:rPr>
        <w:t xml:space="preserve"> that the support plans should include communication adaptations, sensory, and strengths-based approaches that are conversant in the neurodiversity-affirming </w:t>
      </w:r>
      <w:r w:rsidR="00410CC5">
        <w:rPr>
          <w:rFonts w:ascii="Arial" w:hAnsi="Arial" w:cs="Arial"/>
          <w:sz w:val="22"/>
          <w:szCs w:val="22"/>
        </w:rPr>
        <w:t>practice.</w:t>
      </w:r>
    </w:p>
    <w:p w14:paraId="365D959C" w14:textId="03FC7DB4" w:rsidR="00E17E41" w:rsidRPr="00EB03F2" w:rsidRDefault="00E17E41" w:rsidP="00E17E41">
      <w:pPr>
        <w:spacing w:line="360" w:lineRule="auto"/>
        <w:jc w:val="both"/>
        <w:rPr>
          <w:rFonts w:ascii="Arial" w:hAnsi="Arial" w:cs="Arial"/>
          <w:sz w:val="22"/>
          <w:szCs w:val="22"/>
        </w:rPr>
      </w:pPr>
      <w:r w:rsidRPr="00EB03F2">
        <w:rPr>
          <w:rFonts w:ascii="Arial" w:hAnsi="Arial" w:cs="Arial"/>
          <w:sz w:val="22"/>
          <w:szCs w:val="22"/>
        </w:rPr>
        <w:t xml:space="preserve">Finally, neurodivergence has led to discussions that render clinicians to be more </w:t>
      </w:r>
      <w:r w:rsidR="00410CC5">
        <w:rPr>
          <w:rFonts w:ascii="Arial" w:hAnsi="Arial" w:cs="Arial"/>
          <w:sz w:val="22"/>
          <w:szCs w:val="22"/>
        </w:rPr>
        <w:t>subtle and</w:t>
      </w:r>
      <w:r w:rsidRPr="00EB03F2">
        <w:rPr>
          <w:rFonts w:ascii="Arial" w:hAnsi="Arial" w:cs="Arial"/>
          <w:sz w:val="22"/>
          <w:szCs w:val="22"/>
        </w:rPr>
        <w:t xml:space="preserve"> person-centred and combine biological, psychological, developmental, and sociocultural components instead of solely using traditional psychosis paradigms.</w:t>
      </w:r>
    </w:p>
    <w:p w14:paraId="303116A9" w14:textId="33B2AD6F" w:rsidR="008A6D32" w:rsidRPr="008A6D32" w:rsidRDefault="0018285C" w:rsidP="00BF0975">
      <w:pPr>
        <w:pStyle w:val="Heading2"/>
      </w:pPr>
      <w:bookmarkStart w:id="12" w:name="_Toc214888159"/>
      <w:r>
        <w:t>T</w:t>
      </w:r>
      <w:r w:rsidR="008A6D32" w:rsidRPr="008A6D32">
        <w:t>he impact of these debates on practice and policy.</w:t>
      </w:r>
      <w:bookmarkEnd w:id="12"/>
      <w:r w:rsidR="008A6D32" w:rsidRPr="008A6D32">
        <w:rPr>
          <w:rStyle w:val="apple-converted-space"/>
          <w:rFonts w:ascii="Arial" w:hAnsi="Arial" w:cs="Arial"/>
          <w:color w:val="000000"/>
        </w:rPr>
        <w:t> </w:t>
      </w:r>
    </w:p>
    <w:p w14:paraId="3F1590F3" w14:textId="1FFB02EB" w:rsidR="0018285C" w:rsidRPr="00EB03F2" w:rsidRDefault="0018285C" w:rsidP="0018285C">
      <w:pPr>
        <w:spacing w:line="360" w:lineRule="auto"/>
        <w:jc w:val="both"/>
        <w:rPr>
          <w:rFonts w:ascii="Arial" w:hAnsi="Arial" w:cs="Arial"/>
          <w:sz w:val="22"/>
          <w:szCs w:val="22"/>
        </w:rPr>
      </w:pPr>
      <w:r w:rsidRPr="00EB03F2">
        <w:rPr>
          <w:rFonts w:ascii="Arial" w:hAnsi="Arial" w:cs="Arial"/>
          <w:sz w:val="22"/>
          <w:szCs w:val="22"/>
        </w:rPr>
        <w:t xml:space="preserve">These debates have far-reaching implications about clinical </w:t>
      </w:r>
      <w:r w:rsidR="00410CC5">
        <w:rPr>
          <w:rFonts w:ascii="Arial" w:hAnsi="Arial" w:cs="Arial"/>
          <w:sz w:val="22"/>
          <w:szCs w:val="22"/>
        </w:rPr>
        <w:t>practice</w:t>
      </w:r>
      <w:r w:rsidRPr="00EB03F2">
        <w:rPr>
          <w:rFonts w:ascii="Arial" w:hAnsi="Arial" w:cs="Arial"/>
          <w:sz w:val="22"/>
          <w:szCs w:val="22"/>
        </w:rPr>
        <w:t xml:space="preserve"> and mental health policy. To begin with, diagnostic uncertainty and reclassification risk </w:t>
      </w:r>
      <w:r w:rsidR="00410CC5">
        <w:rPr>
          <w:rFonts w:ascii="Arial" w:hAnsi="Arial" w:cs="Arial"/>
          <w:sz w:val="22"/>
          <w:szCs w:val="22"/>
        </w:rPr>
        <w:t>put</w:t>
      </w:r>
      <w:r w:rsidRPr="00EB03F2">
        <w:rPr>
          <w:rFonts w:ascii="Arial" w:hAnsi="Arial" w:cs="Arial"/>
          <w:sz w:val="22"/>
          <w:szCs w:val="22"/>
        </w:rPr>
        <w:t xml:space="preserve"> a strain on clinicians to embrace more flexible and continuous assessment models, as opposed to assuming that an individual incidence of acute psychosis can be a predictor of long-term outcomes. This facilitates application of early intervention in psychosis (EIP) principles also in </w:t>
      </w:r>
      <w:r w:rsidR="00410CC5">
        <w:rPr>
          <w:rFonts w:ascii="Arial" w:hAnsi="Arial" w:cs="Arial"/>
          <w:sz w:val="22"/>
          <w:szCs w:val="22"/>
        </w:rPr>
        <w:t>the case</w:t>
      </w:r>
      <w:r w:rsidRPr="00EB03F2">
        <w:rPr>
          <w:rFonts w:ascii="Arial" w:hAnsi="Arial" w:cs="Arial"/>
          <w:sz w:val="22"/>
          <w:szCs w:val="22"/>
        </w:rPr>
        <w:t xml:space="preserve"> of brief time duration disorders </w:t>
      </w:r>
      <w:r w:rsidR="00BF0975" w:rsidRPr="00EB03F2">
        <w:rPr>
          <w:rFonts w:ascii="Arial" w:hAnsi="Arial" w:cs="Arial"/>
          <w:sz w:val="22"/>
          <w:szCs w:val="22"/>
        </w:rPr>
        <w:t>to</w:t>
      </w:r>
      <w:r w:rsidRPr="00EB03F2">
        <w:rPr>
          <w:rFonts w:ascii="Arial" w:hAnsi="Arial" w:cs="Arial"/>
          <w:sz w:val="22"/>
          <w:szCs w:val="22"/>
        </w:rPr>
        <w:t xml:space="preserve"> maintain continuity of care as well as closer observation past the acute episode.</w:t>
      </w:r>
    </w:p>
    <w:p w14:paraId="3966A07B" w14:textId="2CF16AB3" w:rsidR="0018285C" w:rsidRPr="00EB03F2" w:rsidRDefault="0018285C" w:rsidP="0018285C">
      <w:pPr>
        <w:spacing w:line="360" w:lineRule="auto"/>
        <w:jc w:val="both"/>
        <w:rPr>
          <w:rFonts w:ascii="Arial" w:hAnsi="Arial" w:cs="Arial"/>
          <w:sz w:val="22"/>
          <w:szCs w:val="22"/>
        </w:rPr>
      </w:pPr>
      <w:r w:rsidRPr="00EB03F2">
        <w:rPr>
          <w:rFonts w:ascii="Arial" w:hAnsi="Arial" w:cs="Arial"/>
          <w:sz w:val="22"/>
          <w:szCs w:val="22"/>
        </w:rPr>
        <w:t xml:space="preserve">Practically, increased awareness of sociocultural and stress-related factors of ATPD stimulates services to integrate trauma-informed and culturally responsive care. These encompass the recognition of the contribution of the migration stress, discrimination, and social adversity and </w:t>
      </w:r>
      <w:r w:rsidR="00410CC5">
        <w:rPr>
          <w:rFonts w:ascii="Arial" w:hAnsi="Arial" w:cs="Arial"/>
          <w:sz w:val="22"/>
          <w:szCs w:val="22"/>
        </w:rPr>
        <w:t>the incorporation</w:t>
      </w:r>
      <w:r w:rsidRPr="00EB03F2">
        <w:rPr>
          <w:rFonts w:ascii="Arial" w:hAnsi="Arial" w:cs="Arial"/>
          <w:sz w:val="22"/>
          <w:szCs w:val="22"/>
        </w:rPr>
        <w:t xml:space="preserve"> of organised cultural formulation instruments into the assessment system. All these requirements are reflected in the growing quantity of policies that promote </w:t>
      </w:r>
      <w:r w:rsidR="00410CC5">
        <w:rPr>
          <w:rFonts w:ascii="Arial" w:hAnsi="Arial" w:cs="Arial"/>
          <w:sz w:val="22"/>
          <w:szCs w:val="22"/>
        </w:rPr>
        <w:t>equity-orientated</w:t>
      </w:r>
      <w:r w:rsidRPr="00EB03F2">
        <w:rPr>
          <w:rFonts w:ascii="Arial" w:hAnsi="Arial" w:cs="Arial"/>
          <w:sz w:val="22"/>
          <w:szCs w:val="22"/>
        </w:rPr>
        <w:t xml:space="preserve"> mental health care delivery, access to interpreters, community-based care, and less use of coercion interventions.</w:t>
      </w:r>
    </w:p>
    <w:p w14:paraId="31275F3C" w14:textId="77777777" w:rsidR="0018285C" w:rsidRPr="00EB03F2" w:rsidRDefault="0018285C" w:rsidP="0018285C">
      <w:pPr>
        <w:spacing w:line="360" w:lineRule="auto"/>
        <w:jc w:val="both"/>
        <w:rPr>
          <w:rFonts w:ascii="Arial" w:hAnsi="Arial" w:cs="Arial"/>
          <w:sz w:val="22"/>
          <w:szCs w:val="22"/>
        </w:rPr>
      </w:pPr>
      <w:r w:rsidRPr="00EB03F2">
        <w:rPr>
          <w:rFonts w:ascii="Arial" w:hAnsi="Arial" w:cs="Arial"/>
          <w:sz w:val="22"/>
          <w:szCs w:val="22"/>
        </w:rPr>
        <w:t>In terms of treatment, ethical issues have solidified expectations on policy regarding shared decision-making, minimisation of restraint, and the application of the least restrictive treatment options. This is consistent with general rights-based approaches and the international mental health reforms to achieve the balance between safety and autonomy.</w:t>
      </w:r>
    </w:p>
    <w:p w14:paraId="4E7D3E63" w14:textId="77777777" w:rsidR="0018285C" w:rsidRPr="00EB03F2" w:rsidRDefault="0018285C" w:rsidP="0018285C">
      <w:pPr>
        <w:spacing w:line="360" w:lineRule="auto"/>
        <w:jc w:val="both"/>
        <w:rPr>
          <w:rFonts w:ascii="Arial" w:hAnsi="Arial" w:cs="Arial"/>
          <w:sz w:val="22"/>
          <w:szCs w:val="22"/>
        </w:rPr>
      </w:pPr>
      <w:r w:rsidRPr="00EB03F2">
        <w:rPr>
          <w:rFonts w:ascii="Arial" w:hAnsi="Arial" w:cs="Arial"/>
          <w:sz w:val="22"/>
          <w:szCs w:val="22"/>
        </w:rPr>
        <w:t xml:space="preserve">Lastly, the new emphasis on neurodivergence is affecting policy in the direction of making reasonable changes and requiring mental health teams to train on autism and ADHD and </w:t>
      </w:r>
      <w:r w:rsidRPr="00EB03F2">
        <w:rPr>
          <w:rFonts w:ascii="Arial" w:hAnsi="Arial" w:cs="Arial"/>
          <w:sz w:val="22"/>
          <w:szCs w:val="22"/>
        </w:rPr>
        <w:lastRenderedPageBreak/>
        <w:t>adopt personalised care pathways. Guidelines in service development are now more and more in line with the need to consider neurodevelopmental differences that mental health professionals need to be aware of when performing the overall assessment task, as it seeks to reduce diagnostic error and enhance therapeutic engagement.</w:t>
      </w:r>
    </w:p>
    <w:p w14:paraId="35CF41A5" w14:textId="394CBD8D" w:rsidR="0018285C" w:rsidRPr="00EB03F2" w:rsidRDefault="0018285C" w:rsidP="0018285C">
      <w:pPr>
        <w:spacing w:line="360" w:lineRule="auto"/>
        <w:jc w:val="both"/>
        <w:rPr>
          <w:rFonts w:ascii="Arial" w:hAnsi="Arial" w:cs="Arial"/>
          <w:sz w:val="22"/>
          <w:szCs w:val="22"/>
        </w:rPr>
      </w:pPr>
      <w:r w:rsidRPr="00EB03F2">
        <w:rPr>
          <w:rFonts w:ascii="Arial" w:hAnsi="Arial" w:cs="Arial"/>
          <w:sz w:val="22"/>
          <w:szCs w:val="22"/>
        </w:rPr>
        <w:t xml:space="preserve">In totality, these discussions all move </w:t>
      </w:r>
      <w:r w:rsidR="00410CC5">
        <w:rPr>
          <w:rFonts w:ascii="Arial" w:hAnsi="Arial" w:cs="Arial"/>
          <w:sz w:val="22"/>
          <w:szCs w:val="22"/>
        </w:rPr>
        <w:t>practice</w:t>
      </w:r>
      <w:r w:rsidRPr="00EB03F2">
        <w:rPr>
          <w:rFonts w:ascii="Arial" w:hAnsi="Arial" w:cs="Arial"/>
          <w:sz w:val="22"/>
          <w:szCs w:val="22"/>
        </w:rPr>
        <w:t xml:space="preserve"> and policy in </w:t>
      </w:r>
      <w:r w:rsidR="00410CC5">
        <w:rPr>
          <w:rFonts w:ascii="Arial" w:hAnsi="Arial" w:cs="Arial"/>
          <w:sz w:val="22"/>
          <w:szCs w:val="22"/>
        </w:rPr>
        <w:t>a more</w:t>
      </w:r>
      <w:r w:rsidRPr="00EB03F2">
        <w:rPr>
          <w:rFonts w:ascii="Arial" w:hAnsi="Arial" w:cs="Arial"/>
          <w:sz w:val="22"/>
          <w:szCs w:val="22"/>
        </w:rPr>
        <w:t xml:space="preserve"> integrated, person-centred, culturally informed, and ethically sensitive direction in the management of ATPD and other acute psychoses.</w:t>
      </w:r>
    </w:p>
    <w:p w14:paraId="663F265C" w14:textId="180F6D95" w:rsidR="008A6D32" w:rsidRPr="008A6D32" w:rsidRDefault="008A6D32" w:rsidP="00BF0975">
      <w:pPr>
        <w:pStyle w:val="Heading1"/>
      </w:pPr>
      <w:bookmarkStart w:id="13" w:name="_Toc214888160"/>
      <w:r w:rsidRPr="008A6D32">
        <w:t>Recommendations:</w:t>
      </w:r>
      <w:bookmarkEnd w:id="13"/>
      <w:r w:rsidRPr="008A6D32">
        <w:rPr>
          <w:rStyle w:val="apple-converted-space"/>
          <w:rFonts w:ascii="Arial" w:hAnsi="Arial" w:cs="Arial"/>
          <w:b/>
          <w:bCs/>
          <w:color w:val="000000"/>
        </w:rPr>
        <w:t> </w:t>
      </w:r>
    </w:p>
    <w:p w14:paraId="2A59C6CE" w14:textId="77777777" w:rsidR="0018285C" w:rsidRPr="009D53DD" w:rsidRDefault="0018285C" w:rsidP="0018285C">
      <w:pPr>
        <w:numPr>
          <w:ilvl w:val="0"/>
          <w:numId w:val="2"/>
        </w:numPr>
        <w:spacing w:line="360" w:lineRule="auto"/>
        <w:jc w:val="both"/>
        <w:rPr>
          <w:rFonts w:ascii="Arial" w:hAnsi="Arial" w:cs="Arial"/>
          <w:sz w:val="22"/>
          <w:szCs w:val="22"/>
        </w:rPr>
      </w:pPr>
      <w:r w:rsidRPr="009D53DD">
        <w:rPr>
          <w:rFonts w:ascii="Arial" w:hAnsi="Arial" w:cs="Arial"/>
          <w:b/>
          <w:bCs/>
          <w:sz w:val="22"/>
          <w:szCs w:val="22"/>
        </w:rPr>
        <w:t>Standardise assessment pathways.</w:t>
      </w:r>
      <w:r w:rsidRPr="009D53DD">
        <w:rPr>
          <w:rFonts w:ascii="Arial" w:hAnsi="Arial" w:cs="Arial"/>
          <w:sz w:val="22"/>
          <w:szCs w:val="22"/>
        </w:rPr>
        <w:t xml:space="preserve"> Develop and implement evidence-informed assessment algorithms for suspected ATPD that include organic screens, toxicology, and routine risk assessment, with clear transfer/referral criteria to early intervention services.</w:t>
      </w:r>
    </w:p>
    <w:p w14:paraId="512C98BD" w14:textId="77777777" w:rsidR="0018285C" w:rsidRPr="009D53DD" w:rsidRDefault="0018285C" w:rsidP="0018285C">
      <w:pPr>
        <w:numPr>
          <w:ilvl w:val="0"/>
          <w:numId w:val="2"/>
        </w:numPr>
        <w:spacing w:line="360" w:lineRule="auto"/>
        <w:jc w:val="both"/>
        <w:rPr>
          <w:rFonts w:ascii="Arial" w:hAnsi="Arial" w:cs="Arial"/>
          <w:sz w:val="22"/>
          <w:szCs w:val="22"/>
        </w:rPr>
      </w:pPr>
      <w:r w:rsidRPr="009D53DD">
        <w:rPr>
          <w:rFonts w:ascii="Arial" w:hAnsi="Arial" w:cs="Arial"/>
          <w:b/>
          <w:bCs/>
          <w:sz w:val="22"/>
          <w:szCs w:val="22"/>
        </w:rPr>
        <w:t>Time-limited pharmacotherapy protocols.</w:t>
      </w:r>
      <w:r w:rsidRPr="009D53DD">
        <w:rPr>
          <w:rFonts w:ascii="Arial" w:hAnsi="Arial" w:cs="Arial"/>
          <w:sz w:val="22"/>
          <w:szCs w:val="22"/>
        </w:rPr>
        <w:t xml:space="preserve"> Adopt protocols that favour short, closely monitored antipsychotic trials (e.g., review within 2–4 weeks) with clear criteria for tapering when remission occurs.</w:t>
      </w:r>
    </w:p>
    <w:p w14:paraId="36EC6493" w14:textId="77777777" w:rsidR="0018285C" w:rsidRPr="009D53DD" w:rsidRDefault="0018285C" w:rsidP="0018285C">
      <w:pPr>
        <w:numPr>
          <w:ilvl w:val="0"/>
          <w:numId w:val="2"/>
        </w:numPr>
        <w:spacing w:line="360" w:lineRule="auto"/>
        <w:jc w:val="both"/>
        <w:rPr>
          <w:rFonts w:ascii="Arial" w:hAnsi="Arial" w:cs="Arial"/>
          <w:sz w:val="22"/>
          <w:szCs w:val="22"/>
        </w:rPr>
      </w:pPr>
      <w:r w:rsidRPr="009D53DD">
        <w:rPr>
          <w:rFonts w:ascii="Arial" w:hAnsi="Arial" w:cs="Arial"/>
          <w:b/>
          <w:bCs/>
          <w:sz w:val="22"/>
          <w:szCs w:val="22"/>
        </w:rPr>
        <w:t>Expand access to brief psychosocial packages.</w:t>
      </w:r>
      <w:r w:rsidRPr="009D53DD">
        <w:rPr>
          <w:rFonts w:ascii="Arial" w:hAnsi="Arial" w:cs="Arial"/>
          <w:sz w:val="22"/>
          <w:szCs w:val="22"/>
        </w:rPr>
        <w:t xml:space="preserve"> Commission accessible brief CBT, family interventions, and vocational support as core components of ATPD care—integrated within crisis services and early intervention teams.</w:t>
      </w:r>
    </w:p>
    <w:p w14:paraId="25DB340B" w14:textId="77777777" w:rsidR="0018285C" w:rsidRPr="009D53DD" w:rsidRDefault="0018285C" w:rsidP="0018285C">
      <w:pPr>
        <w:numPr>
          <w:ilvl w:val="0"/>
          <w:numId w:val="2"/>
        </w:numPr>
        <w:spacing w:line="360" w:lineRule="auto"/>
        <w:jc w:val="both"/>
        <w:rPr>
          <w:rFonts w:ascii="Arial" w:hAnsi="Arial" w:cs="Arial"/>
          <w:sz w:val="22"/>
          <w:szCs w:val="22"/>
        </w:rPr>
      </w:pPr>
      <w:r w:rsidRPr="009D53DD">
        <w:rPr>
          <w:rFonts w:ascii="Arial" w:hAnsi="Arial" w:cs="Arial"/>
          <w:b/>
          <w:bCs/>
          <w:sz w:val="22"/>
          <w:szCs w:val="22"/>
        </w:rPr>
        <w:t>Improve diagnostic follow-up and data collection.</w:t>
      </w:r>
      <w:r w:rsidRPr="009D53DD">
        <w:rPr>
          <w:rFonts w:ascii="Arial" w:hAnsi="Arial" w:cs="Arial"/>
          <w:sz w:val="22"/>
          <w:szCs w:val="22"/>
        </w:rPr>
        <w:t xml:space="preserve"> Establish routine follow-up at 3, 6 and 12 months with standardised outcome measures to monitor diagnostic stability, functional recovery, and service needs; use collected data to inform service planning and research.</w:t>
      </w:r>
    </w:p>
    <w:p w14:paraId="65685F43" w14:textId="77777777" w:rsidR="0018285C" w:rsidRPr="009D53DD" w:rsidRDefault="0018285C" w:rsidP="0018285C">
      <w:pPr>
        <w:numPr>
          <w:ilvl w:val="0"/>
          <w:numId w:val="2"/>
        </w:numPr>
        <w:spacing w:line="360" w:lineRule="auto"/>
        <w:jc w:val="both"/>
        <w:rPr>
          <w:rFonts w:ascii="Arial" w:hAnsi="Arial" w:cs="Arial"/>
          <w:sz w:val="22"/>
          <w:szCs w:val="22"/>
        </w:rPr>
      </w:pPr>
      <w:r w:rsidRPr="009D53DD">
        <w:rPr>
          <w:rFonts w:ascii="Arial" w:hAnsi="Arial" w:cs="Arial"/>
          <w:b/>
          <w:bCs/>
          <w:sz w:val="22"/>
          <w:szCs w:val="22"/>
        </w:rPr>
        <w:t>Culture- and context-sensitive care.</w:t>
      </w:r>
      <w:r w:rsidRPr="009D53DD">
        <w:rPr>
          <w:rFonts w:ascii="Arial" w:hAnsi="Arial" w:cs="Arial"/>
          <w:sz w:val="22"/>
          <w:szCs w:val="22"/>
        </w:rPr>
        <w:t xml:space="preserve"> Incorporate sociocultural formulation in assessment to contextualise precipitating stressors and to co-produce care plans that respect cultural narratives and social realities.</w:t>
      </w:r>
    </w:p>
    <w:p w14:paraId="701B824D" w14:textId="77777777" w:rsidR="0018285C" w:rsidRPr="009D53DD" w:rsidRDefault="0018285C" w:rsidP="0018285C">
      <w:pPr>
        <w:numPr>
          <w:ilvl w:val="0"/>
          <w:numId w:val="2"/>
        </w:numPr>
        <w:spacing w:line="360" w:lineRule="auto"/>
        <w:jc w:val="both"/>
        <w:rPr>
          <w:rFonts w:ascii="Arial" w:hAnsi="Arial" w:cs="Arial"/>
          <w:sz w:val="22"/>
          <w:szCs w:val="22"/>
        </w:rPr>
      </w:pPr>
      <w:r w:rsidRPr="009D53DD">
        <w:rPr>
          <w:rFonts w:ascii="Arial" w:hAnsi="Arial" w:cs="Arial"/>
          <w:b/>
          <w:bCs/>
          <w:sz w:val="22"/>
          <w:szCs w:val="22"/>
        </w:rPr>
        <w:t>Research priorities.</w:t>
      </w:r>
      <w:r w:rsidRPr="009D53DD">
        <w:rPr>
          <w:rFonts w:ascii="Arial" w:hAnsi="Arial" w:cs="Arial"/>
          <w:sz w:val="22"/>
          <w:szCs w:val="22"/>
        </w:rPr>
        <w:t xml:space="preserve"> Fund RCTs and longitudinal cohort studies focused on ATPD to clarify optimal medication duration, psychosocial interventions, and early prognostic markers (including neurodevelopmental and biomarker studies).</w:t>
      </w:r>
    </w:p>
    <w:p w14:paraId="1AECE137" w14:textId="77777777" w:rsidR="008A6D32" w:rsidRPr="008A6D32" w:rsidRDefault="008A6D32" w:rsidP="008A6D32">
      <w:pPr>
        <w:pStyle w:val="NormalWeb"/>
        <w:rPr>
          <w:rFonts w:ascii="Arial" w:hAnsi="Arial" w:cs="Arial"/>
          <w:color w:val="000000"/>
        </w:rPr>
      </w:pPr>
    </w:p>
    <w:p w14:paraId="75C42BB4" w14:textId="71763F0B" w:rsidR="008A6D32" w:rsidRPr="008A6D32" w:rsidRDefault="008A6D32" w:rsidP="00BF0975">
      <w:pPr>
        <w:pStyle w:val="Heading1"/>
      </w:pPr>
      <w:bookmarkStart w:id="14" w:name="_Toc214888161"/>
      <w:r w:rsidRPr="008A6D32">
        <w:lastRenderedPageBreak/>
        <w:t>Conclusion</w:t>
      </w:r>
      <w:bookmarkEnd w:id="14"/>
    </w:p>
    <w:p w14:paraId="5F4BD174" w14:textId="77777777" w:rsidR="0018285C" w:rsidRPr="009D53DD" w:rsidRDefault="0018285C" w:rsidP="0018285C">
      <w:pPr>
        <w:spacing w:line="360" w:lineRule="auto"/>
        <w:jc w:val="both"/>
        <w:rPr>
          <w:rFonts w:ascii="Arial" w:hAnsi="Arial" w:cs="Arial"/>
          <w:sz w:val="22"/>
          <w:szCs w:val="22"/>
        </w:rPr>
      </w:pPr>
      <w:r w:rsidRPr="009D53DD">
        <w:rPr>
          <w:rFonts w:ascii="Arial" w:hAnsi="Arial" w:cs="Arial"/>
          <w:sz w:val="22"/>
          <w:szCs w:val="22"/>
        </w:rPr>
        <w:t>Acute and transient psychotic disorder occupies a clinically important space in modern psychiatric classification: its hallmark rapid onset and frequently favourable short-term course distinguish it from chronic psychoses, but diagnostic instability and heterogeneity pose challenges. ICD-11 has improved clarity by emphasising temporal features and fluctuating phenomenology, yet important questions remain about optimal treatment, rehabilitation provision, and the influence of sociocultural factors. Prioritising short, monitored pharmacotherapy; integrating psychosocial rehabilitation; and investing in longitudinal research would enhance outcomes for people who experience ATPD.</w:t>
      </w:r>
    </w:p>
    <w:p w14:paraId="45A36524" w14:textId="5211E48E" w:rsidR="00BF0975" w:rsidRDefault="00BF0975" w:rsidP="008A6D32">
      <w:pPr>
        <w:pStyle w:val="NormalWeb"/>
        <w:rPr>
          <w:rFonts w:ascii="Arial" w:hAnsi="Arial" w:cs="Arial"/>
          <w:color w:val="000000"/>
        </w:rPr>
      </w:pPr>
      <w:r>
        <w:rPr>
          <w:rFonts w:ascii="Arial" w:hAnsi="Arial" w:cs="Arial"/>
          <w:color w:val="000000"/>
        </w:rPr>
        <w:br/>
      </w:r>
    </w:p>
    <w:p w14:paraId="137A0467" w14:textId="77777777" w:rsidR="00BF0975" w:rsidRDefault="00BF0975">
      <w:pPr>
        <w:rPr>
          <w:rFonts w:ascii="Arial" w:eastAsia="Times New Roman" w:hAnsi="Arial" w:cs="Arial"/>
          <w:color w:val="000000"/>
          <w:kern w:val="0"/>
          <w:lang w:eastAsia="en-GB"/>
          <w14:ligatures w14:val="none"/>
        </w:rPr>
      </w:pPr>
      <w:r>
        <w:rPr>
          <w:rFonts w:ascii="Arial" w:hAnsi="Arial" w:cs="Arial"/>
          <w:color w:val="000000"/>
        </w:rPr>
        <w:br w:type="page"/>
      </w:r>
    </w:p>
    <w:p w14:paraId="464E4062" w14:textId="02CAC658" w:rsidR="008A6D32" w:rsidRPr="008A6D32" w:rsidRDefault="008A6D32" w:rsidP="00BF0975">
      <w:pPr>
        <w:pStyle w:val="Heading1"/>
      </w:pPr>
      <w:bookmarkStart w:id="15" w:name="_Toc214888162"/>
      <w:r w:rsidRPr="008A6D32">
        <w:lastRenderedPageBreak/>
        <w:t>References</w:t>
      </w:r>
      <w:bookmarkEnd w:id="15"/>
      <w:r w:rsidRPr="008A6D32">
        <w:t xml:space="preserve"> </w:t>
      </w:r>
    </w:p>
    <w:p w14:paraId="3E7CFDE0" w14:textId="77777777" w:rsidR="0018285C" w:rsidRPr="009D53DD" w:rsidRDefault="0018285C" w:rsidP="0018285C">
      <w:pPr>
        <w:spacing w:line="360" w:lineRule="auto"/>
        <w:jc w:val="both"/>
        <w:rPr>
          <w:rFonts w:ascii="Arial" w:hAnsi="Arial" w:cs="Arial"/>
          <w:sz w:val="22"/>
          <w:szCs w:val="22"/>
        </w:rPr>
      </w:pPr>
      <w:proofErr w:type="spellStart"/>
      <w:r w:rsidRPr="009D53DD">
        <w:rPr>
          <w:rFonts w:ascii="Arial" w:hAnsi="Arial" w:cs="Arial"/>
          <w:sz w:val="22"/>
          <w:szCs w:val="22"/>
        </w:rPr>
        <w:t>Castagnini</w:t>
      </w:r>
      <w:proofErr w:type="spellEnd"/>
      <w:r w:rsidRPr="009D53DD">
        <w:rPr>
          <w:rFonts w:ascii="Arial" w:hAnsi="Arial" w:cs="Arial"/>
          <w:sz w:val="22"/>
          <w:szCs w:val="22"/>
        </w:rPr>
        <w:t xml:space="preserve">, A., 2016. Acute and transient psychoses: clinical and </w:t>
      </w:r>
      <w:proofErr w:type="spellStart"/>
      <w:r w:rsidRPr="009D53DD">
        <w:rPr>
          <w:rFonts w:ascii="Arial" w:hAnsi="Arial" w:cs="Arial"/>
          <w:sz w:val="22"/>
          <w:szCs w:val="22"/>
        </w:rPr>
        <w:t>nosological</w:t>
      </w:r>
      <w:proofErr w:type="spellEnd"/>
      <w:r w:rsidRPr="009D53DD">
        <w:rPr>
          <w:rFonts w:ascii="Arial" w:hAnsi="Arial" w:cs="Arial"/>
          <w:sz w:val="22"/>
          <w:szCs w:val="22"/>
        </w:rPr>
        <w:t xml:space="preserve"> issues. </w:t>
      </w:r>
      <w:proofErr w:type="spellStart"/>
      <w:r w:rsidRPr="009D53DD">
        <w:rPr>
          <w:rFonts w:ascii="Arial" w:hAnsi="Arial" w:cs="Arial"/>
          <w:i/>
          <w:iCs/>
          <w:sz w:val="22"/>
          <w:szCs w:val="22"/>
        </w:rPr>
        <w:t>BJPsych</w:t>
      </w:r>
      <w:proofErr w:type="spellEnd"/>
      <w:r w:rsidRPr="009D53DD">
        <w:rPr>
          <w:rFonts w:ascii="Arial" w:hAnsi="Arial" w:cs="Arial"/>
          <w:i/>
          <w:iCs/>
          <w:sz w:val="22"/>
          <w:szCs w:val="22"/>
        </w:rPr>
        <w:t xml:space="preserve"> Advances</w:t>
      </w:r>
      <w:r w:rsidRPr="009D53DD">
        <w:rPr>
          <w:rFonts w:ascii="Arial" w:hAnsi="Arial" w:cs="Arial"/>
          <w:sz w:val="22"/>
          <w:szCs w:val="22"/>
        </w:rPr>
        <w:t>.</w:t>
      </w:r>
    </w:p>
    <w:p w14:paraId="5C24588F" w14:textId="77777777" w:rsidR="0018285C" w:rsidRPr="009D53DD" w:rsidRDefault="0018285C" w:rsidP="0018285C">
      <w:pPr>
        <w:spacing w:line="360" w:lineRule="auto"/>
        <w:jc w:val="both"/>
        <w:rPr>
          <w:rFonts w:ascii="Arial" w:hAnsi="Arial" w:cs="Arial"/>
          <w:sz w:val="22"/>
          <w:szCs w:val="22"/>
        </w:rPr>
      </w:pPr>
      <w:proofErr w:type="spellStart"/>
      <w:r w:rsidRPr="009D53DD">
        <w:rPr>
          <w:rFonts w:ascii="Arial" w:hAnsi="Arial" w:cs="Arial"/>
          <w:sz w:val="22"/>
          <w:szCs w:val="22"/>
        </w:rPr>
        <w:t>Fusar</w:t>
      </w:r>
      <w:proofErr w:type="spellEnd"/>
      <w:r w:rsidRPr="009D53DD">
        <w:rPr>
          <w:rFonts w:ascii="Arial" w:hAnsi="Arial" w:cs="Arial"/>
          <w:sz w:val="22"/>
          <w:szCs w:val="22"/>
        </w:rPr>
        <w:t xml:space="preserve">-Poli, P., 2022. Diagnosis, prognosis, and treatment of brief psychotic episodes. </w:t>
      </w:r>
      <w:r w:rsidRPr="009D53DD">
        <w:rPr>
          <w:rFonts w:ascii="Arial" w:hAnsi="Arial" w:cs="Arial"/>
          <w:i/>
          <w:iCs/>
          <w:sz w:val="22"/>
          <w:szCs w:val="22"/>
        </w:rPr>
        <w:t>Current Opinion in Psychiatry</w:t>
      </w:r>
      <w:r w:rsidRPr="009D53DD">
        <w:rPr>
          <w:rFonts w:ascii="Arial" w:hAnsi="Arial" w:cs="Arial"/>
          <w:sz w:val="22"/>
          <w:szCs w:val="22"/>
        </w:rPr>
        <w:t>.</w:t>
      </w:r>
    </w:p>
    <w:p w14:paraId="79664C26" w14:textId="77777777" w:rsidR="0018285C" w:rsidRPr="009D53DD" w:rsidRDefault="0018285C" w:rsidP="0018285C">
      <w:pPr>
        <w:spacing w:line="360" w:lineRule="auto"/>
        <w:jc w:val="both"/>
        <w:rPr>
          <w:rFonts w:ascii="Arial" w:hAnsi="Arial" w:cs="Arial"/>
          <w:sz w:val="22"/>
          <w:szCs w:val="22"/>
        </w:rPr>
      </w:pPr>
      <w:r w:rsidRPr="009D53DD">
        <w:rPr>
          <w:rFonts w:ascii="Arial" w:hAnsi="Arial" w:cs="Arial"/>
          <w:sz w:val="22"/>
          <w:szCs w:val="22"/>
        </w:rPr>
        <w:t xml:space="preserve">Grover, S. and Sahoo, S., 2023. Acute and transient psychotic disorders: A review of Indian research. </w:t>
      </w:r>
      <w:r w:rsidRPr="009D53DD">
        <w:rPr>
          <w:rFonts w:ascii="Arial" w:hAnsi="Arial" w:cs="Arial"/>
          <w:i/>
          <w:iCs/>
          <w:sz w:val="22"/>
          <w:szCs w:val="22"/>
        </w:rPr>
        <w:t>Indian Journal of Psychiatry</w:t>
      </w:r>
      <w:r w:rsidRPr="009D53DD">
        <w:rPr>
          <w:rFonts w:ascii="Arial" w:hAnsi="Arial" w:cs="Arial"/>
          <w:sz w:val="22"/>
          <w:szCs w:val="22"/>
        </w:rPr>
        <w:t>.</w:t>
      </w:r>
    </w:p>
    <w:p w14:paraId="648444B7" w14:textId="77777777" w:rsidR="0018285C" w:rsidRPr="009D53DD" w:rsidRDefault="0018285C" w:rsidP="0018285C">
      <w:pPr>
        <w:spacing w:line="360" w:lineRule="auto"/>
        <w:jc w:val="both"/>
        <w:rPr>
          <w:rFonts w:ascii="Arial" w:hAnsi="Arial" w:cs="Arial"/>
          <w:sz w:val="22"/>
          <w:szCs w:val="22"/>
        </w:rPr>
      </w:pPr>
      <w:r w:rsidRPr="009D53DD">
        <w:rPr>
          <w:rFonts w:ascii="Arial" w:hAnsi="Arial" w:cs="Arial"/>
          <w:sz w:val="22"/>
          <w:szCs w:val="22"/>
        </w:rPr>
        <w:t>MRC Psych, 2022. ICD-11 criteria for acute and transient psychotic disorder. Royal College of Psychiatrists: MRC Psych blog.</w:t>
      </w:r>
    </w:p>
    <w:p w14:paraId="414D0483" w14:textId="77777777" w:rsidR="0018285C" w:rsidRPr="009D53DD" w:rsidRDefault="0018285C" w:rsidP="0018285C">
      <w:pPr>
        <w:spacing w:line="360" w:lineRule="auto"/>
        <w:jc w:val="both"/>
        <w:rPr>
          <w:rFonts w:ascii="Arial" w:hAnsi="Arial" w:cs="Arial"/>
          <w:sz w:val="22"/>
          <w:szCs w:val="22"/>
        </w:rPr>
      </w:pPr>
      <w:r w:rsidRPr="009D53DD">
        <w:rPr>
          <w:rFonts w:ascii="Arial" w:hAnsi="Arial" w:cs="Arial"/>
          <w:sz w:val="22"/>
          <w:szCs w:val="22"/>
        </w:rPr>
        <w:t xml:space="preserve">World Health Organization, 2024. </w:t>
      </w:r>
      <w:r w:rsidRPr="009D53DD">
        <w:rPr>
          <w:rFonts w:ascii="Arial" w:hAnsi="Arial" w:cs="Arial"/>
          <w:i/>
          <w:iCs/>
          <w:sz w:val="22"/>
          <w:szCs w:val="22"/>
        </w:rPr>
        <w:t>Clinical descriptions and diagnostic requirements for ICD-11 mental, behavioural and neurodevelopmental disorders</w:t>
      </w:r>
      <w:r w:rsidRPr="009D53DD">
        <w:rPr>
          <w:rFonts w:ascii="Arial" w:hAnsi="Arial" w:cs="Arial"/>
          <w:sz w:val="22"/>
          <w:szCs w:val="22"/>
        </w:rPr>
        <w:t>. Geneva: WHO.</w:t>
      </w:r>
    </w:p>
    <w:p w14:paraId="41393BD6" w14:textId="77777777" w:rsidR="008A6D32" w:rsidRPr="008A6D32" w:rsidRDefault="008A6D32" w:rsidP="008A6D32">
      <w:pPr>
        <w:pStyle w:val="NormalWeb"/>
        <w:rPr>
          <w:rFonts w:ascii="Arial" w:hAnsi="Arial" w:cs="Arial"/>
          <w:color w:val="000000"/>
        </w:rPr>
      </w:pPr>
    </w:p>
    <w:p w14:paraId="6E41165F" w14:textId="77777777" w:rsidR="000264A1" w:rsidRPr="008A6D32" w:rsidRDefault="000264A1" w:rsidP="000264A1">
      <w:pPr>
        <w:rPr>
          <w:rFonts w:ascii="Arial" w:hAnsi="Arial" w:cs="Arial"/>
          <w:sz w:val="36"/>
          <w:szCs w:val="36"/>
        </w:rPr>
      </w:pPr>
    </w:p>
    <w:p w14:paraId="07786E37" w14:textId="77777777" w:rsidR="000264A1" w:rsidRPr="000264A1" w:rsidRDefault="000264A1" w:rsidP="000264A1">
      <w:pPr>
        <w:rPr>
          <w:rFonts w:ascii="Arial" w:hAnsi="Arial" w:cs="Arial"/>
          <w:sz w:val="36"/>
          <w:szCs w:val="36"/>
        </w:rPr>
      </w:pPr>
    </w:p>
    <w:sectPr w:rsidR="000264A1" w:rsidRPr="000264A1">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167E3A" w14:textId="77777777" w:rsidR="0008416C" w:rsidRDefault="0008416C" w:rsidP="000264A1">
      <w:pPr>
        <w:spacing w:after="0" w:line="240" w:lineRule="auto"/>
      </w:pPr>
      <w:r>
        <w:separator/>
      </w:r>
    </w:p>
  </w:endnote>
  <w:endnote w:type="continuationSeparator" w:id="0">
    <w:p w14:paraId="5A3B26C2" w14:textId="77777777" w:rsidR="0008416C" w:rsidRDefault="0008416C" w:rsidP="000264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43280839"/>
      <w:docPartObj>
        <w:docPartGallery w:val="Page Numbers (Bottom of Page)"/>
        <w:docPartUnique/>
      </w:docPartObj>
    </w:sdtPr>
    <w:sdtContent>
      <w:p w14:paraId="4FDE4EC7" w14:textId="59635FAE" w:rsidR="000264A1" w:rsidRDefault="000264A1" w:rsidP="00CF11E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73D25C3" w14:textId="77777777" w:rsidR="000264A1" w:rsidRDefault="000264A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70438059"/>
      <w:docPartObj>
        <w:docPartGallery w:val="Page Numbers (Bottom of Page)"/>
        <w:docPartUnique/>
      </w:docPartObj>
    </w:sdtPr>
    <w:sdtContent>
      <w:p w14:paraId="686F83AA" w14:textId="6256BCB1" w:rsidR="000264A1" w:rsidRDefault="000264A1" w:rsidP="00CF11E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20D046D" w14:textId="77777777" w:rsidR="000264A1" w:rsidRDefault="000264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901DD1" w14:textId="77777777" w:rsidR="0008416C" w:rsidRDefault="0008416C" w:rsidP="000264A1">
      <w:pPr>
        <w:spacing w:after="0" w:line="240" w:lineRule="auto"/>
      </w:pPr>
      <w:r>
        <w:separator/>
      </w:r>
    </w:p>
  </w:footnote>
  <w:footnote w:type="continuationSeparator" w:id="0">
    <w:p w14:paraId="7A1A9199" w14:textId="77777777" w:rsidR="0008416C" w:rsidRDefault="0008416C" w:rsidP="000264A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01598D"/>
    <w:multiLevelType w:val="multilevel"/>
    <w:tmpl w:val="9F9A60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2B6086F"/>
    <w:multiLevelType w:val="multilevel"/>
    <w:tmpl w:val="604014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14995838">
    <w:abstractNumId w:val="1"/>
  </w:num>
  <w:num w:numId="2" w16cid:durableId="6215725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64A1"/>
    <w:rsid w:val="00006183"/>
    <w:rsid w:val="000264A1"/>
    <w:rsid w:val="00060FB4"/>
    <w:rsid w:val="0008416C"/>
    <w:rsid w:val="00156198"/>
    <w:rsid w:val="0018285C"/>
    <w:rsid w:val="00410CC5"/>
    <w:rsid w:val="004269CC"/>
    <w:rsid w:val="004B7D74"/>
    <w:rsid w:val="00500A93"/>
    <w:rsid w:val="00556503"/>
    <w:rsid w:val="00637171"/>
    <w:rsid w:val="00662BD3"/>
    <w:rsid w:val="00722ABC"/>
    <w:rsid w:val="00751A8F"/>
    <w:rsid w:val="00843325"/>
    <w:rsid w:val="008A6D32"/>
    <w:rsid w:val="00BF0975"/>
    <w:rsid w:val="00DC0882"/>
    <w:rsid w:val="00E17E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A4C6F0"/>
  <w15:chartTrackingRefBased/>
  <w15:docId w15:val="{2B0B94F5-90B5-C240-86BD-13C918C6B1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64A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264A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264A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264A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264A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264A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64A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64A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64A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64A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264A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264A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264A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264A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264A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64A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64A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64A1"/>
    <w:rPr>
      <w:rFonts w:eastAsiaTheme="majorEastAsia" w:cstheme="majorBidi"/>
      <w:color w:val="272727" w:themeColor="text1" w:themeTint="D8"/>
    </w:rPr>
  </w:style>
  <w:style w:type="paragraph" w:styleId="Title">
    <w:name w:val="Title"/>
    <w:basedOn w:val="Normal"/>
    <w:next w:val="Normal"/>
    <w:link w:val="TitleChar"/>
    <w:uiPriority w:val="10"/>
    <w:qFormat/>
    <w:rsid w:val="000264A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64A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264A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64A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64A1"/>
    <w:pPr>
      <w:spacing w:before="160"/>
      <w:jc w:val="center"/>
    </w:pPr>
    <w:rPr>
      <w:i/>
      <w:iCs/>
      <w:color w:val="404040" w:themeColor="text1" w:themeTint="BF"/>
    </w:rPr>
  </w:style>
  <w:style w:type="character" w:customStyle="1" w:styleId="QuoteChar">
    <w:name w:val="Quote Char"/>
    <w:basedOn w:val="DefaultParagraphFont"/>
    <w:link w:val="Quote"/>
    <w:uiPriority w:val="29"/>
    <w:rsid w:val="000264A1"/>
    <w:rPr>
      <w:i/>
      <w:iCs/>
      <w:color w:val="404040" w:themeColor="text1" w:themeTint="BF"/>
    </w:rPr>
  </w:style>
  <w:style w:type="paragraph" w:styleId="ListParagraph">
    <w:name w:val="List Paragraph"/>
    <w:basedOn w:val="Normal"/>
    <w:uiPriority w:val="34"/>
    <w:qFormat/>
    <w:rsid w:val="000264A1"/>
    <w:pPr>
      <w:ind w:left="720"/>
      <w:contextualSpacing/>
    </w:pPr>
  </w:style>
  <w:style w:type="character" w:styleId="IntenseEmphasis">
    <w:name w:val="Intense Emphasis"/>
    <w:basedOn w:val="DefaultParagraphFont"/>
    <w:uiPriority w:val="21"/>
    <w:qFormat/>
    <w:rsid w:val="000264A1"/>
    <w:rPr>
      <w:i/>
      <w:iCs/>
      <w:color w:val="0F4761" w:themeColor="accent1" w:themeShade="BF"/>
    </w:rPr>
  </w:style>
  <w:style w:type="paragraph" w:styleId="IntenseQuote">
    <w:name w:val="Intense Quote"/>
    <w:basedOn w:val="Normal"/>
    <w:next w:val="Normal"/>
    <w:link w:val="IntenseQuoteChar"/>
    <w:uiPriority w:val="30"/>
    <w:qFormat/>
    <w:rsid w:val="000264A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264A1"/>
    <w:rPr>
      <w:i/>
      <w:iCs/>
      <w:color w:val="0F4761" w:themeColor="accent1" w:themeShade="BF"/>
    </w:rPr>
  </w:style>
  <w:style w:type="character" w:styleId="IntenseReference">
    <w:name w:val="Intense Reference"/>
    <w:basedOn w:val="DefaultParagraphFont"/>
    <w:uiPriority w:val="32"/>
    <w:qFormat/>
    <w:rsid w:val="000264A1"/>
    <w:rPr>
      <w:b/>
      <w:bCs/>
      <w:smallCaps/>
      <w:color w:val="0F4761" w:themeColor="accent1" w:themeShade="BF"/>
      <w:spacing w:val="5"/>
    </w:rPr>
  </w:style>
  <w:style w:type="character" w:styleId="Strong">
    <w:name w:val="Strong"/>
    <w:basedOn w:val="DefaultParagraphFont"/>
    <w:uiPriority w:val="22"/>
    <w:qFormat/>
    <w:rsid w:val="000264A1"/>
    <w:rPr>
      <w:b/>
      <w:bCs/>
    </w:rPr>
  </w:style>
  <w:style w:type="paragraph" w:styleId="Footer">
    <w:name w:val="footer"/>
    <w:basedOn w:val="Normal"/>
    <w:link w:val="FooterChar"/>
    <w:uiPriority w:val="99"/>
    <w:unhideWhenUsed/>
    <w:rsid w:val="000264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64A1"/>
  </w:style>
  <w:style w:type="character" w:styleId="PageNumber">
    <w:name w:val="page number"/>
    <w:basedOn w:val="DefaultParagraphFont"/>
    <w:uiPriority w:val="99"/>
    <w:semiHidden/>
    <w:unhideWhenUsed/>
    <w:rsid w:val="000264A1"/>
  </w:style>
  <w:style w:type="paragraph" w:styleId="NormalWeb">
    <w:name w:val="Normal (Web)"/>
    <w:basedOn w:val="Normal"/>
    <w:uiPriority w:val="99"/>
    <w:semiHidden/>
    <w:unhideWhenUsed/>
    <w:rsid w:val="008A6D3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8A6D32"/>
  </w:style>
  <w:style w:type="paragraph" w:styleId="TOCHeading">
    <w:name w:val="TOC Heading"/>
    <w:basedOn w:val="Heading1"/>
    <w:next w:val="Normal"/>
    <w:uiPriority w:val="39"/>
    <w:unhideWhenUsed/>
    <w:qFormat/>
    <w:rsid w:val="00BF0975"/>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BF0975"/>
    <w:pPr>
      <w:spacing w:after="100"/>
    </w:pPr>
  </w:style>
  <w:style w:type="paragraph" w:styleId="TOC2">
    <w:name w:val="toc 2"/>
    <w:basedOn w:val="Normal"/>
    <w:next w:val="Normal"/>
    <w:autoRedefine/>
    <w:uiPriority w:val="39"/>
    <w:unhideWhenUsed/>
    <w:rsid w:val="00BF0975"/>
    <w:pPr>
      <w:spacing w:after="100"/>
      <w:ind w:left="240"/>
    </w:pPr>
  </w:style>
  <w:style w:type="character" w:styleId="Hyperlink">
    <w:name w:val="Hyperlink"/>
    <w:basedOn w:val="DefaultParagraphFont"/>
    <w:uiPriority w:val="99"/>
    <w:unhideWhenUsed/>
    <w:rsid w:val="00BF0975"/>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69626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47201B-BD13-4570-8A52-9EA717231F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2701</Words>
  <Characters>15399</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Sanfilippo</dc:creator>
  <cp:keywords/>
  <dc:description/>
  <cp:lastModifiedBy>Larry Osei Kofi (2308809)</cp:lastModifiedBy>
  <cp:revision>2</cp:revision>
  <dcterms:created xsi:type="dcterms:W3CDTF">2025-11-29T15:08:00Z</dcterms:created>
  <dcterms:modified xsi:type="dcterms:W3CDTF">2025-11-29T15:08:00Z</dcterms:modified>
</cp:coreProperties>
</file>