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94C8B0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14FC2">
              <w:rPr>
                <w:rFonts w:ascii="Times New Roman" w:hAnsi="Times New Roman" w:cs="Times New Roman"/>
                <w:b/>
                <w:color w:val="auto"/>
                <w:sz w:val="48"/>
              </w:rPr>
              <w:t>Tiffany Jade Gitsham</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EFCFF3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14FC2">
              <w:rPr>
                <w:rFonts w:ascii="Times New Roman" w:hAnsi="Times New Roman" w:cs="Times New Roman"/>
                <w:b/>
                <w:color w:val="auto"/>
                <w:sz w:val="48"/>
              </w:rPr>
              <w:t xml:space="preserve"> j.t.gitsham@npt.gov.uk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AAA109A" w:rsidR="0085230E" w:rsidRPr="005D3F07" w:rsidRDefault="00C14FC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1900578</w:t>
            </w:r>
            <w:r>
              <w:rPr>
                <w:rFonts w:ascii="Times New Roman" w:hAnsi="Times New Roman" w:cs="Times New Roman"/>
                <w:b/>
                <w:color w:val="auto"/>
                <w:sz w:val="48"/>
              </w:rPr>
              <w:br/>
            </w: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14AD3FC1" w14:textId="77777777" w:rsidR="002C6785" w:rsidRPr="002C6785" w:rsidRDefault="00045C40" w:rsidP="002C6785">
            <w:pPr>
              <w:spacing w:line="276" w:lineRule="auto"/>
              <w:rPr>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r w:rsidR="00482DF5">
              <w:rPr>
                <w:i/>
                <w:sz w:val="24"/>
                <w:szCs w:val="24"/>
              </w:rPr>
              <w:br/>
            </w:r>
            <w:r w:rsidR="00482DF5" w:rsidRPr="00482DF5">
              <w:rPr>
                <w:i/>
                <w:sz w:val="32"/>
                <w:szCs w:val="32"/>
              </w:rPr>
              <w:br/>
            </w:r>
            <w:r w:rsidR="002C6785" w:rsidRPr="002C6785">
              <w:rPr>
                <w:sz w:val="24"/>
                <w:szCs w:val="24"/>
              </w:rPr>
              <w:t>This case study explores the safeguarding concerns and complexities involved in supporting Individual 1, a 70-year-old man who had a long-standing history of living with a learning disability, Type 2 diabetes, and early mixed dementia. His health had significantly deteriorated, which resulted in multiple hospital admissions and increased dependency on care services. The assessment and decision-making process involved multiple professionals and agencies, culminating in a best interest decision to place Individual 1 in a long-term nursing care home placement. This case study critically reflects on the safeguarding legislation, professional judgement, collaborative working, and the complexities of practice within the Welsh context, drawing on the Social Services and Well-being (Wales) Act 2014, the Mental Capacity Act 2005, and other relevant frameworks (Welsh Government, 2014; Department of Health, 2005).</w:t>
            </w:r>
          </w:p>
          <w:p w14:paraId="557396D2" w14:textId="77777777" w:rsidR="002C6785" w:rsidRPr="002C6785" w:rsidRDefault="002C6785" w:rsidP="002C6785">
            <w:pPr>
              <w:spacing w:line="276" w:lineRule="auto"/>
              <w:rPr>
                <w:sz w:val="24"/>
                <w:szCs w:val="24"/>
              </w:rPr>
            </w:pPr>
          </w:p>
          <w:p w14:paraId="4E6DC99C" w14:textId="77777777" w:rsidR="002C6785" w:rsidRDefault="002C6785" w:rsidP="002C6785">
            <w:pPr>
              <w:spacing w:line="276" w:lineRule="auto"/>
              <w:rPr>
                <w:sz w:val="24"/>
                <w:szCs w:val="24"/>
              </w:rPr>
            </w:pPr>
            <w:r w:rsidRPr="002C6785">
              <w:rPr>
                <w:sz w:val="24"/>
                <w:szCs w:val="24"/>
              </w:rPr>
              <w:t xml:space="preserve">The case is underpinned by several key legislative frameworks including the Social Services and Well-being (Wales) Act 2014. Individual 1 meets the eligibility criteria under Part 4, with needs arising from physical and mental ill-health, learning disability, inability to meet those needs independently, and risk of neglect. The Act’s emphasis on safeguarding and promoting well-being is central to this case (Welsh Government, 2014). The Mental Capacity Act 2005 was also pivotal: a formal mental capacity assessment concluded that Individual 1 </w:t>
            </w:r>
            <w:r w:rsidRPr="002C6785">
              <w:rPr>
                <w:sz w:val="24"/>
                <w:szCs w:val="24"/>
              </w:rPr>
              <w:lastRenderedPageBreak/>
              <w:t>lacked capacity to make decisions about his care and accommodation (Insert MCA ref). In accordance with the Act’s guidance, checklist, and procedures, a best interest meeting followed make decisions around how Individual 1’s long-term care and support needs would be met and where he would reside (Department of Health, 2005).</w:t>
            </w:r>
          </w:p>
          <w:p w14:paraId="2F96B56B" w14:textId="77777777" w:rsidR="002C6785" w:rsidRPr="002C6785" w:rsidRDefault="002C6785" w:rsidP="002C6785">
            <w:pPr>
              <w:spacing w:line="276" w:lineRule="auto"/>
              <w:rPr>
                <w:sz w:val="24"/>
                <w:szCs w:val="24"/>
              </w:rPr>
            </w:pPr>
          </w:p>
          <w:p w14:paraId="64DC3EE9" w14:textId="722D2165" w:rsidR="002C6785" w:rsidRPr="002C6785" w:rsidRDefault="002C6785" w:rsidP="002C6785">
            <w:pPr>
              <w:spacing w:line="276" w:lineRule="auto"/>
              <w:rPr>
                <w:sz w:val="24"/>
                <w:szCs w:val="24"/>
              </w:rPr>
            </w:pPr>
            <w:r w:rsidRPr="002C6785">
              <w:rPr>
                <w:sz w:val="24"/>
                <w:szCs w:val="24"/>
              </w:rPr>
              <w:t>The Human Rights Act 1998, specifically Article 8 (right to private and family life), was considered in relation to Individual 1’s expressed wish to remain living at home or move to Cardiff (</w:t>
            </w:r>
            <w:r w:rsidR="00C14FC2">
              <w:rPr>
                <w:sz w:val="24"/>
                <w:szCs w:val="24"/>
              </w:rPr>
              <w:t>Welsh Government, 2023</w:t>
            </w:r>
            <w:r w:rsidRPr="002C6785">
              <w:rPr>
                <w:sz w:val="24"/>
                <w:szCs w:val="24"/>
              </w:rPr>
              <w:t>). However, the risks to his life and well-being due to self-neglect, refusal of care, and environmental hazards were deemed to outweigh the right to autonomy, making protective intervention necessary (Liberty, 2018). A Deprivation of Liberty Safeguards (</w:t>
            </w:r>
            <w:proofErr w:type="spellStart"/>
            <w:r w:rsidRPr="002C6785">
              <w:rPr>
                <w:sz w:val="24"/>
                <w:szCs w:val="24"/>
              </w:rPr>
              <w:t>DoLS</w:t>
            </w:r>
            <w:proofErr w:type="spellEnd"/>
            <w:r w:rsidRPr="002C6785">
              <w:rPr>
                <w:sz w:val="24"/>
                <w:szCs w:val="24"/>
              </w:rPr>
              <w:t xml:space="preserve">) referral was made due to the nature of the care home placement, which involved continuous supervision and control, thereby constituting a deprivation of liberty under the Mental Capacity Act 2005 (Department of Health, 2005). The </w:t>
            </w:r>
            <w:proofErr w:type="spellStart"/>
            <w:r w:rsidRPr="002C6785">
              <w:rPr>
                <w:sz w:val="24"/>
                <w:szCs w:val="24"/>
              </w:rPr>
              <w:t>DoLS</w:t>
            </w:r>
            <w:proofErr w:type="spellEnd"/>
            <w:r w:rsidRPr="002C6785">
              <w:rPr>
                <w:sz w:val="24"/>
                <w:szCs w:val="24"/>
              </w:rPr>
              <w:t xml:space="preserve"> was granted.</w:t>
            </w:r>
          </w:p>
          <w:p w14:paraId="7066574B" w14:textId="77777777" w:rsidR="002C6785" w:rsidRDefault="002C6785" w:rsidP="002C6785">
            <w:pPr>
              <w:spacing w:line="276" w:lineRule="auto"/>
              <w:rPr>
                <w:sz w:val="24"/>
                <w:szCs w:val="24"/>
              </w:rPr>
            </w:pPr>
            <w:r w:rsidRPr="002C6785">
              <w:rPr>
                <w:sz w:val="24"/>
                <w:szCs w:val="24"/>
              </w:rPr>
              <w:t>This case also illustrates the interface between Welsh and UK-wide legislation- specifically, the application of the UK-wide Mental Capacity Act 2005 and Deprivation of Liberty Safeguards (</w:t>
            </w:r>
            <w:proofErr w:type="spellStart"/>
            <w:r w:rsidRPr="002C6785">
              <w:rPr>
                <w:sz w:val="24"/>
                <w:szCs w:val="24"/>
              </w:rPr>
              <w:t>DoLS</w:t>
            </w:r>
            <w:proofErr w:type="spellEnd"/>
            <w:r w:rsidRPr="002C6785">
              <w:rPr>
                <w:sz w:val="24"/>
                <w:szCs w:val="24"/>
              </w:rPr>
              <w:t>), alongside the Welsh-specific Social Services and Well-being (Wales) Act 2014 (Welsh Government, 2014). Navigating these frameworks required careful legal literacy and professional judgement to uphold Individual 1’s rights while safeguarding his well-being.</w:t>
            </w:r>
          </w:p>
          <w:p w14:paraId="671F31B4" w14:textId="77777777" w:rsidR="002C6785" w:rsidRPr="002C6785" w:rsidRDefault="002C6785" w:rsidP="002C6785">
            <w:pPr>
              <w:spacing w:line="276" w:lineRule="auto"/>
              <w:rPr>
                <w:sz w:val="24"/>
                <w:szCs w:val="24"/>
              </w:rPr>
            </w:pPr>
          </w:p>
          <w:p w14:paraId="212FD29B" w14:textId="77777777" w:rsidR="002C6785" w:rsidRPr="002C6785" w:rsidRDefault="002C6785" w:rsidP="002C6785">
            <w:pPr>
              <w:spacing w:line="276" w:lineRule="auto"/>
              <w:rPr>
                <w:sz w:val="24"/>
                <w:szCs w:val="24"/>
              </w:rPr>
            </w:pPr>
            <w:r w:rsidRPr="002C6785">
              <w:rPr>
                <w:sz w:val="24"/>
                <w:szCs w:val="24"/>
              </w:rPr>
              <w:t>Individual 1’s situation exemplifies the complexity of safeguarding in practice, this is evidenced by the repeated self-neglect that took place. Individual 1 continuously refused support with personal care, medication, and skin integrity monitoring which led to a severe deterioration in his health and overall wellbeing, including a toe infection requiring hospitalisation. There were environmental risks to consider as Individual 1 resided in a second-floor flat with no lift access which posed significant fire evacuation risks, this was further amplified as Individual 1 was bedfast and unable to call for help due to his cognitive impairments. There was also the matter of fluctuating engagement to consider, as despite Individual 1 displaying periods of apparent understanding, he consistently reverted to refusing care, indicating behavioural patterns rather than informed decision-making. Conflicting wishes and risks were also a factor as Individual 1’s desire to return home or move to Cardiff conflicted with professional assessments of risk and feasibility. This required careful balancing of autonomy and protection, using ethical frameworks and professional judgement.</w:t>
            </w:r>
          </w:p>
          <w:p w14:paraId="42AF4F9D" w14:textId="77777777" w:rsidR="002C6785" w:rsidRPr="002C6785" w:rsidRDefault="002C6785" w:rsidP="002C6785">
            <w:pPr>
              <w:spacing w:line="276" w:lineRule="auto"/>
              <w:rPr>
                <w:sz w:val="24"/>
                <w:szCs w:val="24"/>
              </w:rPr>
            </w:pPr>
          </w:p>
          <w:p w14:paraId="5A8E0290" w14:textId="77777777" w:rsidR="002C6785" w:rsidRPr="002C6785" w:rsidRDefault="002C6785" w:rsidP="002C6785">
            <w:pPr>
              <w:spacing w:line="276" w:lineRule="auto"/>
              <w:rPr>
                <w:sz w:val="24"/>
                <w:szCs w:val="24"/>
              </w:rPr>
            </w:pPr>
            <w:r w:rsidRPr="002C6785">
              <w:rPr>
                <w:sz w:val="24"/>
                <w:szCs w:val="24"/>
              </w:rPr>
              <w:t xml:space="preserve">The case involved extensive multi-agency collaboration, including; District Nurses, who provided clinical insight into skin integrity and infection risks; hospital staff, who contributed to discharge planning and risk assessment, in line with the Welsh Government’s Hospital Discharge Guidance (Welsh Government, 2023); Care providers who monitored and reported on engagement and refusal patterns; the LA’s Court Deputy Service who managed </w:t>
            </w:r>
            <w:r w:rsidRPr="002C6785">
              <w:rPr>
                <w:sz w:val="24"/>
                <w:szCs w:val="24"/>
              </w:rPr>
              <w:lastRenderedPageBreak/>
              <w:t xml:space="preserve">Individual 1’s finances and confirmed legal status; and an Independent Professional Advocate (IPA), who captured Individual 1’s wishes and feelings. The best interest meeting was a robust example of collaborative decision-making, with all professionals agreeing that a care home was the least restrictive and safest option on this occasion due to the significant risk to Individual 1’s overall health and wellbeing if he was to return home. </w:t>
            </w:r>
          </w:p>
          <w:p w14:paraId="150547ED" w14:textId="77777777" w:rsidR="002C6785" w:rsidRPr="002C6785" w:rsidRDefault="002C6785" w:rsidP="002C6785">
            <w:pPr>
              <w:spacing w:line="276" w:lineRule="auto"/>
              <w:rPr>
                <w:sz w:val="24"/>
                <w:szCs w:val="24"/>
              </w:rPr>
            </w:pPr>
          </w:p>
          <w:p w14:paraId="06A4FB02" w14:textId="77777777" w:rsidR="002C6785" w:rsidRPr="002C6785" w:rsidRDefault="002C6785" w:rsidP="002C6785">
            <w:pPr>
              <w:spacing w:line="276" w:lineRule="auto"/>
              <w:rPr>
                <w:sz w:val="24"/>
                <w:szCs w:val="24"/>
              </w:rPr>
            </w:pPr>
            <w:r w:rsidRPr="002C6785">
              <w:rPr>
                <w:sz w:val="24"/>
                <w:szCs w:val="24"/>
              </w:rPr>
              <w:t>Several social work theories informed practice in this case. Systems Theory provided a framework for understanding how Individual 1’s well-being was influenced by the dynamic interplay between his environment, social networks, and service systems (Friedman and Allen, 2014; O’Connor et al., 2008). Person-Centred Practice was also central; although Individual 1 lacked capacity, his wishes were explored and respected through advocacy and rapport-building, aligning with the principles of empathy, respect, and empowerment (Symonds et al., 2019; Rogers, 1951).</w:t>
            </w:r>
          </w:p>
          <w:p w14:paraId="023E4024" w14:textId="77777777" w:rsidR="002C6785" w:rsidRPr="002C6785" w:rsidRDefault="002C6785" w:rsidP="002C6785">
            <w:pPr>
              <w:spacing w:line="276" w:lineRule="auto"/>
              <w:rPr>
                <w:sz w:val="24"/>
                <w:szCs w:val="24"/>
              </w:rPr>
            </w:pPr>
          </w:p>
          <w:p w14:paraId="292F5256" w14:textId="77777777" w:rsidR="002C6785" w:rsidRDefault="002C6785" w:rsidP="002C6785">
            <w:pPr>
              <w:spacing w:line="276" w:lineRule="auto"/>
              <w:rPr>
                <w:sz w:val="24"/>
                <w:szCs w:val="24"/>
              </w:rPr>
            </w:pPr>
            <w:r w:rsidRPr="002C6785">
              <w:rPr>
                <w:sz w:val="24"/>
                <w:szCs w:val="24"/>
              </w:rPr>
              <w:t>Ethical decision-making models, such as Congress’s ETHIC model (2000), were used to weigh competing values- particularly the tension between respecting autonomy and ensuring protection. This involved examining relevant ethical standards, hypothesising outcomes, identifying who may be harmed or benefit, and consulting with colleagues to reach a balanced decision (Congress, 2000; Reamer, 2020). The case required navigating this ethical tension with professional judgement, ensuring that Individual 1’s rights were upheld while safeguarding his well-being.</w:t>
            </w:r>
          </w:p>
          <w:p w14:paraId="753E0768" w14:textId="77777777" w:rsidR="002C6785" w:rsidRPr="002C6785" w:rsidRDefault="002C6785" w:rsidP="002C6785">
            <w:pPr>
              <w:spacing w:line="276" w:lineRule="auto"/>
              <w:rPr>
                <w:sz w:val="24"/>
                <w:szCs w:val="24"/>
              </w:rPr>
            </w:pPr>
          </w:p>
          <w:p w14:paraId="17767BFF" w14:textId="4EDF86CE" w:rsidR="002C6785" w:rsidRPr="002C6785" w:rsidRDefault="002C6785" w:rsidP="002C6785">
            <w:pPr>
              <w:spacing w:line="276" w:lineRule="auto"/>
              <w:rPr>
                <w:sz w:val="24"/>
                <w:szCs w:val="24"/>
              </w:rPr>
            </w:pPr>
            <w:r w:rsidRPr="002C6785">
              <w:rPr>
                <w:sz w:val="24"/>
                <w:szCs w:val="24"/>
              </w:rPr>
              <w:t>The safeguarding concerns in Individual 1’s case are multifaceted and require a robust legislative response. The Social Services and Well-being (Wales) Act 2014 provides the overarching framework for adult social care in Wales. Under Part 4 of the Act, Individual 1 meets the eligibility criteria due to his physical and mental ill-health, inability to meet his needs independently, and the risk of neglect. The Act emphasizes a person-centred approach, focusing on well-being and the prevention of abuse and neglect (Welsh Government, 2014). In Individual 1’</w:t>
            </w:r>
            <w:r w:rsidR="00C14FC2">
              <w:rPr>
                <w:sz w:val="24"/>
                <w:szCs w:val="24"/>
              </w:rPr>
              <w:t>s</w:t>
            </w:r>
            <w:r w:rsidRPr="002C6785">
              <w:rPr>
                <w:sz w:val="24"/>
                <w:szCs w:val="24"/>
              </w:rPr>
              <w:t xml:space="preserve"> case, the risks of self-neglect, poor hygiene, refusal of medication, and inability to mobili</w:t>
            </w:r>
            <w:r w:rsidR="008A2842">
              <w:rPr>
                <w:sz w:val="24"/>
                <w:szCs w:val="24"/>
              </w:rPr>
              <w:t>s</w:t>
            </w:r>
            <w:r w:rsidRPr="002C6785">
              <w:rPr>
                <w:sz w:val="24"/>
                <w:szCs w:val="24"/>
              </w:rPr>
              <w:t>e or call for help necessitated intervention.</w:t>
            </w:r>
          </w:p>
          <w:p w14:paraId="377FAC72" w14:textId="77777777" w:rsidR="002C6785" w:rsidRPr="002C6785" w:rsidRDefault="002C6785" w:rsidP="002C6785">
            <w:pPr>
              <w:spacing w:line="276" w:lineRule="auto"/>
              <w:rPr>
                <w:sz w:val="24"/>
                <w:szCs w:val="24"/>
              </w:rPr>
            </w:pPr>
          </w:p>
          <w:p w14:paraId="38075DD7" w14:textId="70436BEB" w:rsidR="002C6785" w:rsidRPr="002C6785" w:rsidRDefault="002C6785" w:rsidP="002C6785">
            <w:pPr>
              <w:spacing w:line="276" w:lineRule="auto"/>
              <w:rPr>
                <w:sz w:val="24"/>
                <w:szCs w:val="24"/>
              </w:rPr>
            </w:pPr>
            <w:r w:rsidRPr="002C6785">
              <w:rPr>
                <w:sz w:val="24"/>
                <w:szCs w:val="24"/>
              </w:rPr>
              <w:t>The Mental Capacity Act 2005 was pivotal in assessing Individual 1’</w:t>
            </w:r>
            <w:r w:rsidR="008A2842">
              <w:rPr>
                <w:sz w:val="24"/>
                <w:szCs w:val="24"/>
              </w:rPr>
              <w:t>s</w:t>
            </w:r>
            <w:r w:rsidRPr="002C6785">
              <w:rPr>
                <w:sz w:val="24"/>
                <w:szCs w:val="24"/>
              </w:rPr>
              <w:t xml:space="preserve"> ability to make decisions about his care and accommodation. The formal capacity assessment conducted in May 2025 concluded that Individual 1 lacked capacity to make these decisions. The assessment followed the statutory two-stage test: the diagnostic test identified cognitive impairment due to dementia and learning disability, and the functional test demonstrated his inability to understand, retain, or weigh relevant information (Department of Health, 2005). Consequently, a best interest meeting was convened, involving professionals from health and social care, advocacy, and informal support networks.</w:t>
            </w:r>
          </w:p>
          <w:p w14:paraId="0DA7E570" w14:textId="77777777" w:rsidR="002C6785" w:rsidRPr="002C6785" w:rsidRDefault="002C6785" w:rsidP="002C6785">
            <w:pPr>
              <w:spacing w:line="276" w:lineRule="auto"/>
              <w:rPr>
                <w:sz w:val="24"/>
                <w:szCs w:val="24"/>
              </w:rPr>
            </w:pPr>
          </w:p>
          <w:p w14:paraId="7D19B57A" w14:textId="77777777" w:rsidR="002C6785" w:rsidRPr="002C6785" w:rsidRDefault="002C6785" w:rsidP="002C6785">
            <w:pPr>
              <w:spacing w:line="276" w:lineRule="auto"/>
              <w:rPr>
                <w:sz w:val="24"/>
                <w:szCs w:val="24"/>
              </w:rPr>
            </w:pPr>
            <w:r w:rsidRPr="002C6785">
              <w:rPr>
                <w:sz w:val="24"/>
                <w:szCs w:val="24"/>
              </w:rPr>
              <w:lastRenderedPageBreak/>
              <w:t>As noted earlier, The Human Rights Act 1998 was critical, particularly in relation to Article 8, and Individual 1’s wishes about where he might like to reside. The decision to place Individual 1 in a care home was deemed proportionate and necessary to safeguard his well-being (Liberty, 2018). The Deprivation of Liberty Safeguards (</w:t>
            </w:r>
            <w:proofErr w:type="spellStart"/>
            <w:r w:rsidRPr="002C6785">
              <w:rPr>
                <w:sz w:val="24"/>
                <w:szCs w:val="24"/>
              </w:rPr>
              <w:t>DoLS</w:t>
            </w:r>
            <w:proofErr w:type="spellEnd"/>
            <w:r w:rsidRPr="002C6785">
              <w:rPr>
                <w:sz w:val="24"/>
                <w:szCs w:val="24"/>
              </w:rPr>
              <w:t>) were also considered and utlilised, to ensure compliance with legal requirements and uphold Individual 1’s rights (SCIE, 2022).</w:t>
            </w:r>
          </w:p>
          <w:p w14:paraId="5E540793" w14:textId="77777777" w:rsidR="002C6785" w:rsidRPr="002C6785" w:rsidRDefault="002C6785" w:rsidP="002C6785">
            <w:pPr>
              <w:spacing w:line="276" w:lineRule="auto"/>
              <w:rPr>
                <w:sz w:val="24"/>
                <w:szCs w:val="24"/>
              </w:rPr>
            </w:pPr>
          </w:p>
          <w:p w14:paraId="58B36ECA" w14:textId="77777777" w:rsidR="002C6785" w:rsidRPr="002C6785" w:rsidRDefault="002C6785" w:rsidP="002C6785">
            <w:pPr>
              <w:spacing w:line="276" w:lineRule="auto"/>
              <w:rPr>
                <w:sz w:val="24"/>
                <w:szCs w:val="24"/>
              </w:rPr>
            </w:pPr>
            <w:r w:rsidRPr="002C6785">
              <w:rPr>
                <w:sz w:val="24"/>
                <w:szCs w:val="24"/>
              </w:rPr>
              <w:t>Individual 1’s case exemplifies the complexity of safeguarding practice in adult social care. His refusal of care, medication, and personal hygiene posed significant risks to his health and safety. The deterioration in his physical condition, including pressure sores and a severe toe infection (which placed him at high risk of possible amputation of the toe), highlighted the consequences of unmet care needs and significant risk of harm. The environmental risks associated with his second-floor flat, which lacked lift access and required emergency services for evacuation, further compounded the situation.</w:t>
            </w:r>
          </w:p>
          <w:p w14:paraId="76AE13CC" w14:textId="77777777" w:rsidR="002C6785" w:rsidRPr="002C6785" w:rsidRDefault="002C6785" w:rsidP="002C6785">
            <w:pPr>
              <w:spacing w:line="276" w:lineRule="auto"/>
              <w:rPr>
                <w:sz w:val="24"/>
                <w:szCs w:val="24"/>
              </w:rPr>
            </w:pPr>
          </w:p>
          <w:p w14:paraId="0F3A5FD7" w14:textId="77777777" w:rsidR="002C6785" w:rsidRPr="002C6785" w:rsidRDefault="002C6785" w:rsidP="002C6785">
            <w:pPr>
              <w:spacing w:line="276" w:lineRule="auto"/>
              <w:rPr>
                <w:sz w:val="24"/>
                <w:szCs w:val="24"/>
              </w:rPr>
            </w:pPr>
            <w:r w:rsidRPr="002C6785">
              <w:rPr>
                <w:sz w:val="24"/>
                <w:szCs w:val="24"/>
              </w:rPr>
              <w:t>The complexity was heightened by Individual 1’s fluctuating engagement and progressive cognitive impairment associated with both his learning disability and his Dementia diagnosis. Despite expressing a desire to return home, he lacked insight into the risks and was unable to retain or process information about his care needs. This required professionals to navigate ethical dilemmas, balancing respect for autonomy with the duty of care. The use of ethical decision-making models, such as the least restrictive option and proportionality, guided the intervention (Banks, 2012).</w:t>
            </w:r>
          </w:p>
          <w:p w14:paraId="4D7B6FC8" w14:textId="77777777" w:rsidR="002C6785" w:rsidRPr="002C6785" w:rsidRDefault="002C6785" w:rsidP="002C6785">
            <w:pPr>
              <w:spacing w:line="276" w:lineRule="auto"/>
              <w:rPr>
                <w:sz w:val="24"/>
                <w:szCs w:val="24"/>
              </w:rPr>
            </w:pPr>
          </w:p>
          <w:p w14:paraId="137C19BC" w14:textId="77777777" w:rsidR="002C6785" w:rsidRPr="002C6785" w:rsidRDefault="002C6785" w:rsidP="002C6785">
            <w:pPr>
              <w:spacing w:line="276" w:lineRule="auto"/>
              <w:rPr>
                <w:sz w:val="24"/>
                <w:szCs w:val="24"/>
              </w:rPr>
            </w:pPr>
            <w:r w:rsidRPr="002C6785">
              <w:rPr>
                <w:sz w:val="24"/>
                <w:szCs w:val="24"/>
              </w:rPr>
              <w:t>Collaborative working was central to the assessment and decision-making process. Each member of the multi-disciplinary team brought a unique perspective, contributing to a holistic understanding of Individual 1’s needs and risks. It is acknowledged that sometimes, competing views of differing professionals can lead to tension and difficulties in these decision-making processes and meetings. However, in Individual 1’s case, the ongoing significant risk of harm was very apparent to all, which meant that all parties had a shared understanding and agreement. While all professionals acknowledged Individual 1’s wishes, the consensus was that a care home placement was necessary to prevent harm and ensure consistent care. This required clear communication, documentation, and adherence to legal frameworks (Thompson, 2020).</w:t>
            </w:r>
          </w:p>
          <w:p w14:paraId="1AF3FF1E" w14:textId="77777777" w:rsidR="002C6785" w:rsidRPr="002C6785" w:rsidRDefault="002C6785" w:rsidP="002C6785">
            <w:pPr>
              <w:spacing w:line="276" w:lineRule="auto"/>
              <w:rPr>
                <w:sz w:val="24"/>
                <w:szCs w:val="24"/>
              </w:rPr>
            </w:pPr>
          </w:p>
          <w:p w14:paraId="1D8ECFC2" w14:textId="77777777" w:rsidR="002C6785" w:rsidRPr="002C6785" w:rsidRDefault="002C6785" w:rsidP="002C6785">
            <w:pPr>
              <w:spacing w:line="276" w:lineRule="auto"/>
              <w:rPr>
                <w:sz w:val="24"/>
                <w:szCs w:val="24"/>
              </w:rPr>
            </w:pPr>
            <w:r w:rsidRPr="002C6785">
              <w:rPr>
                <w:sz w:val="24"/>
                <w:szCs w:val="24"/>
              </w:rPr>
              <w:t xml:space="preserve">The assessment was social work led, coordinating input from various agencies and facilitating the best interest meeting. District nurses provided clinical insight into skin integrity and infection risks, while hospital staff contributed to discharge planning. Care providers reported on Individual 1’s engagement and refusal patterns, highlighting the limitations of domiciliary care. The court deputy confirmed legal arrangements and financial management, ensuring compliance with statutory responsibilities. The advocate played a crucial role in </w:t>
            </w:r>
            <w:r w:rsidRPr="002C6785">
              <w:rPr>
                <w:sz w:val="24"/>
                <w:szCs w:val="24"/>
              </w:rPr>
              <w:lastRenderedPageBreak/>
              <w:t>capturing Individual 1’s voice, ensuring that his wishes and feelings were considered. Although Individual 1 lacked capacity, the advocate’s input informed the best interest decision, aligning with the principles of the Mental Capacity Act (Department of Health, 2005).</w:t>
            </w:r>
          </w:p>
          <w:p w14:paraId="0AC4FF40" w14:textId="77777777" w:rsidR="002C6785" w:rsidRPr="002C6785" w:rsidRDefault="002C6785" w:rsidP="002C6785">
            <w:pPr>
              <w:spacing w:line="276" w:lineRule="auto"/>
              <w:rPr>
                <w:sz w:val="24"/>
                <w:szCs w:val="24"/>
              </w:rPr>
            </w:pPr>
          </w:p>
          <w:p w14:paraId="4280EF73" w14:textId="65900377" w:rsidR="002C6785" w:rsidRPr="002C6785" w:rsidRDefault="002C6785" w:rsidP="002C6785">
            <w:pPr>
              <w:spacing w:line="276" w:lineRule="auto"/>
              <w:rPr>
                <w:sz w:val="24"/>
                <w:szCs w:val="24"/>
              </w:rPr>
            </w:pPr>
            <w:r w:rsidRPr="002C6785">
              <w:rPr>
                <w:sz w:val="24"/>
                <w:szCs w:val="24"/>
              </w:rPr>
              <w:t>Professional judgement was exercised throughout the process, guided by legal frameworks, ethical principles, and evidence-based practice. The decision to place Individual 1 in a care home was not taken lightly; it was the result of careful deliberation, risk assessment, and consensus among professionals (Trevithick, 2012). Several social work theories informed practice in Individual 1’</w:t>
            </w:r>
            <w:r w:rsidR="008A2842">
              <w:rPr>
                <w:sz w:val="24"/>
                <w:szCs w:val="24"/>
              </w:rPr>
              <w:t>s</w:t>
            </w:r>
            <w:r w:rsidRPr="002C6785">
              <w:rPr>
                <w:sz w:val="24"/>
                <w:szCs w:val="24"/>
              </w:rPr>
              <w:t xml:space="preserve"> case. Systems theory provided a framework for understanding the interplay between Individual 1’s environment, social networks, and service systems. His isolation, lack of family support, and inaccessible housing contributed to his vulnerability and risk of harm (Payne, 2020).</w:t>
            </w:r>
          </w:p>
          <w:p w14:paraId="676EE744" w14:textId="77777777" w:rsidR="002C6785" w:rsidRPr="002C6785" w:rsidRDefault="002C6785" w:rsidP="002C6785">
            <w:pPr>
              <w:spacing w:line="276" w:lineRule="auto"/>
              <w:rPr>
                <w:sz w:val="24"/>
                <w:szCs w:val="24"/>
              </w:rPr>
            </w:pPr>
          </w:p>
          <w:p w14:paraId="24AB0966" w14:textId="77777777" w:rsidR="002C6785" w:rsidRPr="002C6785" w:rsidRDefault="002C6785" w:rsidP="002C6785">
            <w:pPr>
              <w:spacing w:line="276" w:lineRule="auto"/>
              <w:rPr>
                <w:sz w:val="24"/>
                <w:szCs w:val="24"/>
              </w:rPr>
            </w:pPr>
            <w:r w:rsidRPr="002C6785">
              <w:rPr>
                <w:sz w:val="24"/>
                <w:szCs w:val="24"/>
              </w:rPr>
              <w:t>Person-centred practice was evident in the efforts to engage Individual 1, explore his wishes, and provide care that respected his dignity and preferences. Despite his cognitive impairment, professionals sought to build rapport, use familiar routines, and incorporate his interests, such as watching sports, into care planning (Thompson, 2020). Ethical decision-making models guided the intervention, particularly in balancing autonomy and protection. The principles of beneficence, non-maleficence, and justice were applied to ensure that Individual 1 received care that was safe, respectful, and equitable (Banks, 2012).</w:t>
            </w:r>
          </w:p>
          <w:p w14:paraId="509464E5" w14:textId="77777777" w:rsidR="002C6785" w:rsidRPr="002C6785" w:rsidRDefault="002C6785" w:rsidP="002C6785">
            <w:pPr>
              <w:spacing w:line="276" w:lineRule="auto"/>
              <w:rPr>
                <w:sz w:val="24"/>
                <w:szCs w:val="24"/>
              </w:rPr>
            </w:pPr>
          </w:p>
          <w:p w14:paraId="67EF9309" w14:textId="77777777" w:rsidR="002C6785" w:rsidRPr="002C6785" w:rsidRDefault="002C6785" w:rsidP="002C6785">
            <w:pPr>
              <w:spacing w:line="276" w:lineRule="auto"/>
              <w:rPr>
                <w:sz w:val="24"/>
                <w:szCs w:val="24"/>
              </w:rPr>
            </w:pPr>
            <w:r w:rsidRPr="002C6785">
              <w:rPr>
                <w:sz w:val="24"/>
                <w:szCs w:val="24"/>
              </w:rPr>
              <w:t>The empowerment vs. protection dilemma was central to the case. While Individual 1 expressed a desire to live independently, his inability to manage risks and engage with care necessitated protective measures. The decision to place him in a care home was framed as the least restrictive option that could meet his complex needs (SCIE, 2022).</w:t>
            </w:r>
          </w:p>
          <w:p w14:paraId="6CE8A50C" w14:textId="77777777" w:rsidR="002C6785" w:rsidRPr="002C6785" w:rsidRDefault="002C6785" w:rsidP="002C6785">
            <w:pPr>
              <w:spacing w:line="276" w:lineRule="auto"/>
              <w:rPr>
                <w:sz w:val="24"/>
                <w:szCs w:val="24"/>
              </w:rPr>
            </w:pPr>
          </w:p>
          <w:p w14:paraId="3410A2F7" w14:textId="77777777" w:rsidR="002C6785" w:rsidRPr="002C6785" w:rsidRDefault="002C6785" w:rsidP="002C6785">
            <w:pPr>
              <w:spacing w:line="276" w:lineRule="auto"/>
              <w:rPr>
                <w:sz w:val="24"/>
                <w:szCs w:val="24"/>
              </w:rPr>
            </w:pPr>
            <w:r w:rsidRPr="002C6785">
              <w:rPr>
                <w:sz w:val="24"/>
                <w:szCs w:val="24"/>
              </w:rPr>
              <w:t>The case reflects the specific dimensions of working in Wales. The Social Services and Well-being (Wales) Act 2014 provided the legal framework for assessment, eligibility, and care planning. The Act’s emphasis on well-being, prevention, and co-production aligns with the principles of person-centred practice (Welsh Government, 2014). The use of the “What Matters” approach was evident in the assessment, which explored Individual 1’s outcomes, strengths, and preferences. His desire to live somewhere safe, be treated with dignity, and maintain his interests informed the care plan.</w:t>
            </w:r>
          </w:p>
          <w:p w14:paraId="7D489CE4" w14:textId="77777777" w:rsidR="002C6785" w:rsidRPr="002C6785" w:rsidRDefault="002C6785" w:rsidP="002C6785">
            <w:pPr>
              <w:spacing w:line="276" w:lineRule="auto"/>
              <w:rPr>
                <w:sz w:val="24"/>
                <w:szCs w:val="24"/>
              </w:rPr>
            </w:pPr>
          </w:p>
          <w:p w14:paraId="65B7DBC0" w14:textId="77777777" w:rsidR="002C6785" w:rsidRPr="002C6785" w:rsidRDefault="002C6785" w:rsidP="002C6785">
            <w:pPr>
              <w:spacing w:line="276" w:lineRule="auto"/>
              <w:rPr>
                <w:sz w:val="24"/>
                <w:szCs w:val="24"/>
              </w:rPr>
            </w:pPr>
            <w:r w:rsidRPr="002C6785">
              <w:rPr>
                <w:sz w:val="24"/>
                <w:szCs w:val="24"/>
              </w:rPr>
              <w:t xml:space="preserve">The offer of assessment in Welsh, although declined, demonstrates compliance with the Welsh Language Standards and respect for linguistic preferences. The involvement of regional services, including statutory services and third sector, illustrate the integrated nature of adult social care in Wales (Social Care Wales, 2017). </w:t>
            </w:r>
          </w:p>
          <w:p w14:paraId="59763794" w14:textId="77777777" w:rsidR="002C6785" w:rsidRPr="002C6785" w:rsidRDefault="002C6785" w:rsidP="002C6785">
            <w:pPr>
              <w:spacing w:line="276" w:lineRule="auto"/>
              <w:rPr>
                <w:sz w:val="24"/>
                <w:szCs w:val="24"/>
              </w:rPr>
            </w:pPr>
          </w:p>
          <w:p w14:paraId="273F1903" w14:textId="77777777" w:rsidR="002C6785" w:rsidRDefault="002C6785" w:rsidP="002C6785">
            <w:pPr>
              <w:spacing w:line="276" w:lineRule="auto"/>
              <w:rPr>
                <w:sz w:val="24"/>
                <w:szCs w:val="24"/>
              </w:rPr>
            </w:pPr>
            <w:r w:rsidRPr="002C6785">
              <w:rPr>
                <w:sz w:val="24"/>
                <w:szCs w:val="24"/>
              </w:rPr>
              <w:lastRenderedPageBreak/>
              <w:t>As the lead social worker in Individual 1’s case, I was required to exercise a high level of professional judgement, ethical reasoning, and emotional resilience. The complexity of the safeguarding concerns ranging from self-neglect to fluctuating capacity demanded a nuanced understanding of legislation, multi-agency dynamics, and the individual's lived experience. This section reflects critically on my role, the challenges encountered, and the learning gained.</w:t>
            </w:r>
          </w:p>
          <w:p w14:paraId="41389BD5" w14:textId="77777777" w:rsidR="002C6785" w:rsidRPr="002C6785" w:rsidRDefault="002C6785" w:rsidP="002C6785">
            <w:pPr>
              <w:spacing w:line="276" w:lineRule="auto"/>
              <w:rPr>
                <w:sz w:val="24"/>
                <w:szCs w:val="24"/>
              </w:rPr>
            </w:pPr>
          </w:p>
          <w:p w14:paraId="3AAF3F50" w14:textId="4DB55A9D" w:rsidR="002C6785" w:rsidRPr="002C6785" w:rsidRDefault="002C6785" w:rsidP="002C6785">
            <w:pPr>
              <w:spacing w:line="276" w:lineRule="auto"/>
              <w:rPr>
                <w:sz w:val="24"/>
                <w:szCs w:val="24"/>
              </w:rPr>
            </w:pPr>
            <w:r w:rsidRPr="002C6785">
              <w:rPr>
                <w:sz w:val="24"/>
                <w:szCs w:val="24"/>
              </w:rPr>
              <w:t xml:space="preserve">One of the most significant challenges for me, was navigating the ethical tension between respecting Individual 1’s autonomy and ensuring his safety. I had formed an excellent working relationship with him, he trusted me, and I did not want him to feel I had betrayed his trust if I went against his wishes, to protect him. At times, he exhibited anger towards </w:t>
            </w:r>
            <w:r w:rsidR="008A2842" w:rsidRPr="002C6785">
              <w:rPr>
                <w:sz w:val="24"/>
                <w:szCs w:val="24"/>
              </w:rPr>
              <w:t>me,</w:t>
            </w:r>
            <w:r w:rsidRPr="002C6785">
              <w:rPr>
                <w:sz w:val="24"/>
                <w:szCs w:val="24"/>
              </w:rPr>
              <w:t xml:space="preserve"> and I had to manage this sensitively. His repeated refusals of care, despite evident risks, placed me in a position where I had to balance the principles of empowerment and protection. Banks (2012) highlights that ethical dilemmas in social work often arise when values such as autonomy and beneficence conflict. In this case, I had to apply the Mental Capacity Act</w:t>
            </w:r>
            <w:r w:rsidR="008A2842">
              <w:rPr>
                <w:sz w:val="24"/>
                <w:szCs w:val="24"/>
              </w:rPr>
              <w:t>,</w:t>
            </w:r>
            <w:r w:rsidRPr="002C6785">
              <w:rPr>
                <w:sz w:val="24"/>
                <w:szCs w:val="24"/>
              </w:rPr>
              <w:t xml:space="preserve"> 2005 rigorously, ensuring that the two-stage test was conducted fairly and that the best interest decision was not only legally sound but ethically justified.</w:t>
            </w:r>
          </w:p>
          <w:p w14:paraId="701CB4E1" w14:textId="77777777" w:rsidR="002C6785" w:rsidRPr="002C6785" w:rsidRDefault="002C6785" w:rsidP="002C6785">
            <w:pPr>
              <w:spacing w:line="276" w:lineRule="auto"/>
              <w:rPr>
                <w:sz w:val="24"/>
                <w:szCs w:val="24"/>
              </w:rPr>
            </w:pPr>
          </w:p>
          <w:p w14:paraId="18540D42" w14:textId="77777777" w:rsidR="002C6785" w:rsidRPr="002C6785" w:rsidRDefault="002C6785" w:rsidP="002C6785">
            <w:pPr>
              <w:spacing w:line="276" w:lineRule="auto"/>
              <w:rPr>
                <w:sz w:val="24"/>
                <w:szCs w:val="24"/>
              </w:rPr>
            </w:pPr>
            <w:r w:rsidRPr="002C6785">
              <w:rPr>
                <w:sz w:val="24"/>
                <w:szCs w:val="24"/>
              </w:rPr>
              <w:t>My role also involved coordinating the best interest meeting, which required facilitating dialogue between professionals with differing perspectives. This demanded strong communication and leadership skills, as well as the ability to remain impartial and focused on the individual's needs. Trevithick (2012) emphasises the importance of relationship-based practice in complex situations, and I found that building rapport with both Individual 1 and the wider team was essential to achieving a consensus. The inclusion of the Independent Professional Advocate (IPA) was particularly valuable, as it ensured that Individual 1’s voice was heard, from an additional source, even though he lacked decision-making capacity.</w:t>
            </w:r>
          </w:p>
          <w:p w14:paraId="6B8D57A5" w14:textId="77777777" w:rsidR="002C6785" w:rsidRPr="002C6785" w:rsidRDefault="002C6785" w:rsidP="002C6785">
            <w:pPr>
              <w:spacing w:line="276" w:lineRule="auto"/>
              <w:rPr>
                <w:sz w:val="24"/>
                <w:szCs w:val="24"/>
              </w:rPr>
            </w:pPr>
          </w:p>
          <w:p w14:paraId="28683766" w14:textId="77777777" w:rsidR="002C6785" w:rsidRPr="002C6785" w:rsidRDefault="002C6785" w:rsidP="002C6785">
            <w:pPr>
              <w:spacing w:line="276" w:lineRule="auto"/>
              <w:rPr>
                <w:sz w:val="24"/>
                <w:szCs w:val="24"/>
              </w:rPr>
            </w:pPr>
            <w:r w:rsidRPr="002C6785">
              <w:rPr>
                <w:sz w:val="24"/>
                <w:szCs w:val="24"/>
              </w:rPr>
              <w:t>Reflecting on my practice, I recognised the importance of emotional intelligence and self-awareness. The case was emotionally demanding, especially when witnessing the deterioration in Individual 1’s health and the impact of his isolation. I engaged in supervision regularly, using it as a space to reflect on my emotional responses and to ensure that my decision-making remained objective and grounded in professional standards. Morrison (2007) argues that supervision is a critical tool for reflective practice, particularly in safeguarding work where the stakes are high and the decisions complex.</w:t>
            </w:r>
          </w:p>
          <w:p w14:paraId="4122119B" w14:textId="77777777" w:rsidR="002C6785" w:rsidRPr="002C6785" w:rsidRDefault="002C6785" w:rsidP="002C6785">
            <w:pPr>
              <w:spacing w:line="276" w:lineRule="auto"/>
              <w:rPr>
                <w:sz w:val="24"/>
                <w:szCs w:val="24"/>
              </w:rPr>
            </w:pPr>
          </w:p>
          <w:p w14:paraId="530A4112" w14:textId="5515F0F1" w:rsidR="002C6785" w:rsidRPr="002C6785" w:rsidRDefault="002C6785" w:rsidP="002C6785">
            <w:pPr>
              <w:spacing w:line="276" w:lineRule="auto"/>
              <w:rPr>
                <w:sz w:val="24"/>
                <w:szCs w:val="24"/>
              </w:rPr>
            </w:pPr>
            <w:r w:rsidRPr="002C6785">
              <w:rPr>
                <w:sz w:val="24"/>
                <w:szCs w:val="24"/>
              </w:rPr>
              <w:t xml:space="preserve">I also became more aware of the importance of cultural competence and the specific dimensions of working in Wales. Although Individual 1 declined the offer of assessment in Welsh, I ensured that all communication was respectful of his linguistic preferences and cultural identity. The Welsh Language Standards (Welsh Government, 2016) reinforce the </w:t>
            </w:r>
            <w:r w:rsidRPr="002C6785">
              <w:rPr>
                <w:sz w:val="24"/>
                <w:szCs w:val="24"/>
              </w:rPr>
              <w:lastRenderedPageBreak/>
              <w:t>need for inclusive practice, and I reflected on how language can be a barrier or a bridge in building trust with</w:t>
            </w:r>
            <w:r w:rsidR="008A2842">
              <w:rPr>
                <w:sz w:val="24"/>
                <w:szCs w:val="24"/>
              </w:rPr>
              <w:t xml:space="preserve"> individuals</w:t>
            </w:r>
            <w:r w:rsidRPr="002C6785">
              <w:rPr>
                <w:sz w:val="24"/>
                <w:szCs w:val="24"/>
              </w:rPr>
              <w:t>.</w:t>
            </w:r>
          </w:p>
          <w:p w14:paraId="4B6F409B" w14:textId="77777777" w:rsidR="002C6785" w:rsidRPr="002C6785" w:rsidRDefault="002C6785" w:rsidP="002C6785">
            <w:pPr>
              <w:spacing w:line="276" w:lineRule="auto"/>
              <w:rPr>
                <w:sz w:val="24"/>
                <w:szCs w:val="24"/>
              </w:rPr>
            </w:pPr>
          </w:p>
          <w:p w14:paraId="060E57D3" w14:textId="77777777" w:rsidR="002C6785" w:rsidRDefault="002C6785" w:rsidP="002C6785">
            <w:pPr>
              <w:spacing w:line="276" w:lineRule="auto"/>
              <w:rPr>
                <w:sz w:val="24"/>
                <w:szCs w:val="24"/>
              </w:rPr>
            </w:pPr>
            <w:r w:rsidRPr="002C6785">
              <w:rPr>
                <w:sz w:val="24"/>
                <w:szCs w:val="24"/>
              </w:rPr>
              <w:t>This case has deepened my understanding of the role of the social worker as both a protector and an advocate. It has reinforced the need for critical thinking, legal literacy, and ethical sensitivity in safeguarding practice. As Payne (2020) notes, social work is inherently complex and value-laden, requiring practitioners to constantly reflect on their actions and assumptions. Through this case, I have developed greater confidence in my ability to lead complex assessments, facilitate multi-agency collaboration, and uphold the rights and dignity of vulnerable adults.</w:t>
            </w:r>
          </w:p>
          <w:p w14:paraId="4582CDFD" w14:textId="77777777" w:rsidR="002C6785" w:rsidRPr="002C6785" w:rsidRDefault="002C6785" w:rsidP="002C6785">
            <w:pPr>
              <w:spacing w:line="276" w:lineRule="auto"/>
              <w:rPr>
                <w:sz w:val="24"/>
                <w:szCs w:val="24"/>
              </w:rPr>
            </w:pPr>
          </w:p>
          <w:p w14:paraId="6F4BE123" w14:textId="0B646224" w:rsidR="002C6785" w:rsidRPr="002C6785" w:rsidRDefault="002C6785" w:rsidP="002C6785">
            <w:pPr>
              <w:spacing w:line="276" w:lineRule="auto"/>
              <w:rPr>
                <w:sz w:val="24"/>
                <w:szCs w:val="24"/>
              </w:rPr>
            </w:pPr>
            <w:r w:rsidRPr="002C6785">
              <w:rPr>
                <w:sz w:val="24"/>
                <w:szCs w:val="24"/>
              </w:rPr>
              <w:t>Th</w:t>
            </w:r>
            <w:r w:rsidR="008A2842">
              <w:rPr>
                <w:sz w:val="24"/>
                <w:szCs w:val="24"/>
              </w:rPr>
              <w:t>e</w:t>
            </w:r>
            <w:r w:rsidRPr="002C6785">
              <w:rPr>
                <w:sz w:val="24"/>
                <w:szCs w:val="24"/>
              </w:rPr>
              <w:t xml:space="preserve"> dual legal framework</w:t>
            </w:r>
            <w:r w:rsidR="008A2842">
              <w:rPr>
                <w:sz w:val="24"/>
                <w:szCs w:val="24"/>
              </w:rPr>
              <w:t xml:space="preserve"> that underpinned this case</w:t>
            </w:r>
            <w:r w:rsidRPr="002C6785">
              <w:rPr>
                <w:sz w:val="24"/>
                <w:szCs w:val="24"/>
              </w:rPr>
              <w:t xml:space="preserve"> created complexity. While the Welsh legislation promotes autonomy and strengths-based practice, the </w:t>
            </w:r>
            <w:proofErr w:type="spellStart"/>
            <w:r w:rsidRPr="002C6785">
              <w:rPr>
                <w:sz w:val="24"/>
                <w:szCs w:val="24"/>
              </w:rPr>
              <w:t>DoLS</w:t>
            </w:r>
            <w:proofErr w:type="spellEnd"/>
            <w:r w:rsidRPr="002C6785">
              <w:rPr>
                <w:sz w:val="24"/>
                <w:szCs w:val="24"/>
              </w:rPr>
              <w:t xml:space="preserve"> process is often criticised for being bureaucratic and slow, which can delay protective interventions (Care Quality Commission, 2024). In Individual 1’s case, the urgency of safeguarding action, due to his refusal of care, deteriorating health, and environmental risks meant that delays in </w:t>
            </w:r>
            <w:proofErr w:type="spellStart"/>
            <w:r w:rsidRPr="002C6785">
              <w:rPr>
                <w:sz w:val="24"/>
                <w:szCs w:val="24"/>
              </w:rPr>
              <w:t>DoLS</w:t>
            </w:r>
            <w:proofErr w:type="spellEnd"/>
            <w:r w:rsidRPr="002C6785">
              <w:rPr>
                <w:sz w:val="24"/>
                <w:szCs w:val="24"/>
              </w:rPr>
              <w:t xml:space="preserve"> authorisation could have compromised his safety. The team had to proceed with the best interest decision while initiating </w:t>
            </w:r>
            <w:proofErr w:type="spellStart"/>
            <w:r w:rsidRPr="002C6785">
              <w:rPr>
                <w:sz w:val="24"/>
                <w:szCs w:val="24"/>
              </w:rPr>
              <w:t>DoLS</w:t>
            </w:r>
            <w:proofErr w:type="spellEnd"/>
            <w:r w:rsidRPr="002C6785">
              <w:rPr>
                <w:sz w:val="24"/>
                <w:szCs w:val="24"/>
              </w:rPr>
              <w:t>, highlighting the tension between legal compliance and timely safeguarding.</w:t>
            </w:r>
            <w:r w:rsidR="008A2842">
              <w:rPr>
                <w:sz w:val="24"/>
                <w:szCs w:val="24"/>
              </w:rPr>
              <w:br/>
            </w:r>
          </w:p>
          <w:p w14:paraId="4D08F15A" w14:textId="77777777" w:rsidR="002C6785" w:rsidRDefault="002C6785" w:rsidP="002C6785">
            <w:pPr>
              <w:spacing w:line="276" w:lineRule="auto"/>
              <w:rPr>
                <w:sz w:val="24"/>
                <w:szCs w:val="24"/>
              </w:rPr>
            </w:pPr>
            <w:r w:rsidRPr="002C6785">
              <w:rPr>
                <w:sz w:val="24"/>
                <w:szCs w:val="24"/>
              </w:rPr>
              <w:t xml:space="preserve">The proposed Liberty Protection Safeguards (LPS), intended to replace </w:t>
            </w:r>
            <w:proofErr w:type="spellStart"/>
            <w:r w:rsidRPr="002C6785">
              <w:rPr>
                <w:sz w:val="24"/>
                <w:szCs w:val="24"/>
              </w:rPr>
              <w:t>DoLS</w:t>
            </w:r>
            <w:proofErr w:type="spellEnd"/>
            <w:r w:rsidRPr="002C6785">
              <w:rPr>
                <w:sz w:val="24"/>
                <w:szCs w:val="24"/>
              </w:rPr>
              <w:t>, would have been more appropriate for Individual 1’s situation. LPS is designed to be more flexible, covering care arrangements in a wider range of settings, including supported living and private homes (</w:t>
            </w:r>
            <w:proofErr w:type="spellStart"/>
            <w:r w:rsidRPr="002C6785">
              <w:rPr>
                <w:sz w:val="24"/>
                <w:szCs w:val="24"/>
              </w:rPr>
              <w:t>Shortis</w:t>
            </w:r>
            <w:proofErr w:type="spellEnd"/>
            <w:r w:rsidRPr="002C6785">
              <w:rPr>
                <w:sz w:val="24"/>
                <w:szCs w:val="24"/>
              </w:rPr>
              <w:t xml:space="preserve"> et al., 2023; Series, 2020). Had LPS been implemented, it could have streamlined the authorisation process and better aligned with the Welsh emphasis on least restrictive care. However, the UK Government’s delay in rolling out LPS left practitioners reliant on the outdated </w:t>
            </w:r>
            <w:proofErr w:type="spellStart"/>
            <w:r w:rsidRPr="002C6785">
              <w:rPr>
                <w:sz w:val="24"/>
                <w:szCs w:val="24"/>
              </w:rPr>
              <w:t>DoLS</w:t>
            </w:r>
            <w:proofErr w:type="spellEnd"/>
            <w:r w:rsidRPr="002C6785">
              <w:rPr>
                <w:sz w:val="24"/>
                <w:szCs w:val="24"/>
              </w:rPr>
              <w:t xml:space="preserve"> framework, which did not fully reflect the complexity of Individual 1’s needs or the collaborative nature of the decision-making process.</w:t>
            </w:r>
          </w:p>
          <w:p w14:paraId="1D95838E" w14:textId="77777777" w:rsidR="002C6785" w:rsidRPr="002C6785" w:rsidRDefault="002C6785" w:rsidP="002C6785">
            <w:pPr>
              <w:spacing w:line="276" w:lineRule="auto"/>
              <w:rPr>
                <w:sz w:val="24"/>
                <w:szCs w:val="24"/>
              </w:rPr>
            </w:pPr>
          </w:p>
          <w:p w14:paraId="6B1FEA6D" w14:textId="77777777" w:rsidR="002C6785" w:rsidRDefault="002C6785" w:rsidP="002C6785">
            <w:pPr>
              <w:spacing w:line="276" w:lineRule="auto"/>
              <w:rPr>
                <w:sz w:val="24"/>
                <w:szCs w:val="24"/>
              </w:rPr>
            </w:pPr>
            <w:r w:rsidRPr="002C6785">
              <w:rPr>
                <w:sz w:val="24"/>
                <w:szCs w:val="24"/>
              </w:rPr>
              <w:t>Additionally, the impact of Brexit indirectly influenced the safeguarding context. Workforce shortages in social care, exacerbated by reduced EU migration meant that domiciliary care providers struggled to maintain consistent support for Individual 1. This contributed to the decision that a home-based care package was no longer viable. The lack of available carers, combined with Individual 1’s refusal of support, created a safeguarding risk that could not be mitigated in the community setting. This reflects broader concerns about how Brexit has strained adult social care services, particularly in rural and semi-rural areas of Wales (Age UK, 2023; Read and Fenge, 2018).</w:t>
            </w:r>
          </w:p>
          <w:p w14:paraId="5B511B25" w14:textId="77777777" w:rsidR="002C6785" w:rsidRPr="002C6785" w:rsidRDefault="002C6785" w:rsidP="002C6785">
            <w:pPr>
              <w:spacing w:line="276" w:lineRule="auto"/>
              <w:rPr>
                <w:sz w:val="24"/>
                <w:szCs w:val="24"/>
              </w:rPr>
            </w:pPr>
          </w:p>
          <w:p w14:paraId="4271448B" w14:textId="77777777" w:rsidR="002C6785" w:rsidRDefault="002C6785" w:rsidP="002C6785">
            <w:pPr>
              <w:spacing w:line="276" w:lineRule="auto"/>
              <w:rPr>
                <w:sz w:val="24"/>
                <w:szCs w:val="24"/>
              </w:rPr>
            </w:pPr>
            <w:r w:rsidRPr="002C6785">
              <w:rPr>
                <w:sz w:val="24"/>
                <w:szCs w:val="24"/>
              </w:rPr>
              <w:lastRenderedPageBreak/>
              <w:t>The case highlights the need for practitioners to interpret UK-wide legislation through a Welsh lens. For example, while the Mental Capacity Act provides the legal test for decision-making, the assessment process incorporated the “What Matters” approach from the Welsh Act, ensuring that Individual 1’s wishes and feelings were explored through advocacy. The offer of assessment in Welsh, although declined, demonstrated compliance with the Welsh Language Standards, reinforcing the importance of cultural and linguistic sensitivity in safeguarding (Social Care Wales, 2025).</w:t>
            </w:r>
          </w:p>
          <w:p w14:paraId="688BEFD9" w14:textId="77777777" w:rsidR="002C6785" w:rsidRPr="002C6785" w:rsidRDefault="002C6785" w:rsidP="002C6785">
            <w:pPr>
              <w:spacing w:line="276" w:lineRule="auto"/>
              <w:rPr>
                <w:sz w:val="24"/>
                <w:szCs w:val="24"/>
              </w:rPr>
            </w:pPr>
          </w:p>
          <w:p w14:paraId="0E5F6689" w14:textId="77777777" w:rsidR="002C6785" w:rsidRDefault="002C6785" w:rsidP="002C6785">
            <w:pPr>
              <w:spacing w:line="276" w:lineRule="auto"/>
              <w:rPr>
                <w:sz w:val="24"/>
                <w:szCs w:val="24"/>
              </w:rPr>
            </w:pPr>
            <w:r w:rsidRPr="002C6785">
              <w:rPr>
                <w:sz w:val="24"/>
                <w:szCs w:val="24"/>
              </w:rPr>
              <w:t>Individual 1’s case required careful navigation of legal and policy frameworks across devolved and UK-wide systems. The interplay between legislation, workforce realities, and ethical practice shaped the safeguarding response. This complexity underscores the importance of legal literacy, adaptability, and reflective practice in social work, particularly within the Welsh context (Tarrant, 2023).</w:t>
            </w:r>
          </w:p>
          <w:p w14:paraId="6DADBC3B" w14:textId="77777777" w:rsidR="002C6785" w:rsidRPr="002C6785" w:rsidRDefault="002C6785" w:rsidP="002C6785">
            <w:pPr>
              <w:spacing w:line="276" w:lineRule="auto"/>
              <w:rPr>
                <w:sz w:val="24"/>
                <w:szCs w:val="24"/>
              </w:rPr>
            </w:pPr>
          </w:p>
          <w:p w14:paraId="7CED47AB" w14:textId="77777777" w:rsidR="002C6785" w:rsidRDefault="002C6785" w:rsidP="002C6785">
            <w:pPr>
              <w:spacing w:line="276" w:lineRule="auto"/>
              <w:rPr>
                <w:sz w:val="24"/>
                <w:szCs w:val="24"/>
              </w:rPr>
            </w:pPr>
            <w:r w:rsidRPr="002C6785">
              <w:rPr>
                <w:sz w:val="24"/>
                <w:szCs w:val="24"/>
              </w:rPr>
              <w:t xml:space="preserve">In addition to Systems Theory and Person-Centred Practice, two further theoretical frameworks, Ecological Systems Theory and Risk and Resilience Theory, offer valuable insights into the complexity of safeguarding decisions in Individual 1’s case. Originally developed by Bronfenbrenner (1979), Ecological Systems Theory posits that individuals are influenced by multiple layers of their environment, ranging from immediate relationships (microsystem) to broader societal structures (macrosystem). In social work, this theory has been adapted through the Life Model (Germain and </w:t>
            </w:r>
            <w:proofErr w:type="spellStart"/>
            <w:r w:rsidRPr="002C6785">
              <w:rPr>
                <w:sz w:val="24"/>
                <w:szCs w:val="24"/>
              </w:rPr>
              <w:t>Gitterman</w:t>
            </w:r>
            <w:proofErr w:type="spellEnd"/>
            <w:r w:rsidRPr="002C6785">
              <w:rPr>
                <w:sz w:val="24"/>
                <w:szCs w:val="24"/>
              </w:rPr>
              <w:t>, 1996), which emphasises the reciprocal relationship between individuals and their environments.</w:t>
            </w:r>
          </w:p>
          <w:p w14:paraId="52C33219" w14:textId="77777777" w:rsidR="002C6785" w:rsidRPr="002C6785" w:rsidRDefault="002C6785" w:rsidP="002C6785">
            <w:pPr>
              <w:spacing w:line="276" w:lineRule="auto"/>
              <w:rPr>
                <w:sz w:val="24"/>
                <w:szCs w:val="24"/>
              </w:rPr>
            </w:pPr>
          </w:p>
          <w:p w14:paraId="7070E2B5" w14:textId="675F1954" w:rsidR="002C6785" w:rsidRPr="002C6785" w:rsidRDefault="002C6785" w:rsidP="002C6785">
            <w:pPr>
              <w:spacing w:line="276" w:lineRule="auto"/>
              <w:rPr>
                <w:sz w:val="24"/>
                <w:szCs w:val="24"/>
              </w:rPr>
            </w:pPr>
            <w:r w:rsidRPr="002C6785">
              <w:rPr>
                <w:sz w:val="24"/>
                <w:szCs w:val="24"/>
              </w:rPr>
              <w:t xml:space="preserve">Individual 1’s circumstances were shaped by various environmental systems. His microsystem included care providers, hospital staff, and the district nurse, all of whom interacted directly with him. The mesosystem involved the coordination between these professionals, particularly during the best interest meeting. The </w:t>
            </w:r>
            <w:proofErr w:type="spellStart"/>
            <w:r w:rsidRPr="002C6785">
              <w:rPr>
                <w:sz w:val="24"/>
                <w:szCs w:val="24"/>
              </w:rPr>
              <w:t>exosystem</w:t>
            </w:r>
            <w:proofErr w:type="spellEnd"/>
            <w:r w:rsidRPr="002C6785">
              <w:rPr>
                <w:sz w:val="24"/>
                <w:szCs w:val="24"/>
              </w:rPr>
              <w:t>, such as housing policy and local authority service availability had a significant impact, as his second-floor flat with no lift access posed evacuation risks and limited his independence. The macrosystem, including Welsh social care legislation and cultural norms around autonomy and protection, framed the ethical and legal decisions made by professionals</w:t>
            </w:r>
            <w:r w:rsidR="00C8181A">
              <w:rPr>
                <w:sz w:val="24"/>
                <w:szCs w:val="24"/>
              </w:rPr>
              <w:t xml:space="preserve"> (Crawford, 2020).</w:t>
            </w:r>
            <w:r w:rsidR="00C8181A">
              <w:rPr>
                <w:sz w:val="24"/>
                <w:szCs w:val="24"/>
              </w:rPr>
              <w:br/>
            </w:r>
          </w:p>
          <w:p w14:paraId="35B62D72" w14:textId="77777777" w:rsidR="002C6785" w:rsidRPr="002C6785" w:rsidRDefault="002C6785" w:rsidP="002C6785">
            <w:pPr>
              <w:spacing w:line="276" w:lineRule="auto"/>
              <w:rPr>
                <w:sz w:val="24"/>
                <w:szCs w:val="24"/>
              </w:rPr>
            </w:pPr>
            <w:r w:rsidRPr="002C6785">
              <w:rPr>
                <w:sz w:val="24"/>
                <w:szCs w:val="24"/>
              </w:rPr>
              <w:t>This ecological lens helps explain how Individual 1’s safeguarding needs were not solely a result of personal health conditions, but also of systemic factors such as inaccessible housing, limited community support, and service pressures. It reinforces the importance of holistic assessment and multi-agency collaboration in adult safeguarding (Lee, 2025; Merritt, 2025).</w:t>
            </w:r>
          </w:p>
          <w:p w14:paraId="28FA3346" w14:textId="77777777" w:rsidR="002C6785" w:rsidRPr="002C6785" w:rsidRDefault="002C6785" w:rsidP="002C6785">
            <w:pPr>
              <w:spacing w:line="276" w:lineRule="auto"/>
              <w:rPr>
                <w:sz w:val="24"/>
                <w:szCs w:val="24"/>
              </w:rPr>
            </w:pPr>
          </w:p>
          <w:p w14:paraId="218DDB80" w14:textId="77777777" w:rsidR="002C6785" w:rsidRDefault="002C6785" w:rsidP="002C6785">
            <w:pPr>
              <w:spacing w:line="276" w:lineRule="auto"/>
              <w:rPr>
                <w:sz w:val="24"/>
                <w:szCs w:val="24"/>
              </w:rPr>
            </w:pPr>
            <w:r w:rsidRPr="002C6785">
              <w:rPr>
                <w:sz w:val="24"/>
                <w:szCs w:val="24"/>
              </w:rPr>
              <w:t xml:space="preserve">Risk and Resilience Theory provides a framework for understanding how individuals respond to adversity and the factors that promote recovery and adaptation. Greene (2014) </w:t>
            </w:r>
            <w:r w:rsidRPr="002C6785">
              <w:rPr>
                <w:sz w:val="24"/>
                <w:szCs w:val="24"/>
              </w:rPr>
              <w:lastRenderedPageBreak/>
              <w:t>and Walsh (2021) describe resilience as a dynamic process shaped by both internal traits and external supports. In Individual 1’s case, his fluctuating engagement, periods of apparent understanding followed by refusal of care can be viewed through the lens of resilience. Despite cognitive impairments, he demonstrated moments of clarity and expressed preferences, such as wanting to move to Cardiff. These expressions may reflect residual resilience, even amid declining capacity. However, the absence of consistent support networks and the deterioration of his physical health reduced his ability to adapt to stressors, increasing his vulnerability.</w:t>
            </w:r>
          </w:p>
          <w:p w14:paraId="4FC21D90" w14:textId="77777777" w:rsidR="002C6785" w:rsidRPr="002C6785" w:rsidRDefault="002C6785" w:rsidP="002C6785">
            <w:pPr>
              <w:spacing w:line="276" w:lineRule="auto"/>
              <w:rPr>
                <w:sz w:val="24"/>
                <w:szCs w:val="24"/>
              </w:rPr>
            </w:pPr>
          </w:p>
          <w:p w14:paraId="5A2A7386" w14:textId="77777777" w:rsidR="002C6785" w:rsidRPr="002C6785" w:rsidRDefault="002C6785" w:rsidP="002C6785">
            <w:pPr>
              <w:spacing w:line="276" w:lineRule="auto"/>
              <w:rPr>
                <w:sz w:val="24"/>
                <w:szCs w:val="24"/>
              </w:rPr>
            </w:pPr>
            <w:r w:rsidRPr="002C6785">
              <w:rPr>
                <w:sz w:val="24"/>
                <w:szCs w:val="24"/>
              </w:rPr>
              <w:t>The Resilience-Enhancing Stress Model (RESM) suggests that resilience can be supported through therapeutic and environmental interventions (Greene et al., 2022). In this case, the involvement of an Independent Professional Advocate (IPA), the use of familiar routines, and the consideration of his interests were strategies aimed at enhancing his resilience and maintaining dignity in care planning. This theory also highlights the importance of protective factors, such as advocacy and coordinated care, in mitigating risk. Conversely, the lack of informal support and the limitations of domiciliary care acted as risk factors, contributing to the decision that a care home was the safest and least restrictive option.</w:t>
            </w:r>
          </w:p>
          <w:p w14:paraId="299EB419" w14:textId="77777777" w:rsidR="002C6785" w:rsidRPr="002C6785" w:rsidRDefault="002C6785" w:rsidP="002C6785">
            <w:pPr>
              <w:spacing w:line="276" w:lineRule="auto"/>
              <w:rPr>
                <w:sz w:val="24"/>
                <w:szCs w:val="24"/>
              </w:rPr>
            </w:pPr>
          </w:p>
          <w:p w14:paraId="486FE372" w14:textId="77777777" w:rsidR="002C6785" w:rsidRPr="002C6785" w:rsidRDefault="002C6785" w:rsidP="002C6785">
            <w:pPr>
              <w:spacing w:line="276" w:lineRule="auto"/>
              <w:rPr>
                <w:sz w:val="24"/>
                <w:szCs w:val="24"/>
              </w:rPr>
            </w:pPr>
            <w:r w:rsidRPr="002C6785">
              <w:rPr>
                <w:sz w:val="24"/>
                <w:szCs w:val="24"/>
              </w:rPr>
              <w:t xml:space="preserve">The safeguarding case involving Individual 1 has been a pivotal learning experience in my development as a social worker. It challenged my understanding of risk, capacity, autonomy, and multi-agency collaboration, and has significantly shaped my approach to complex decision-making in adult social care. One of the key lessons was the importance of balancing autonomy with protection. Individual 1 expressed clear wishes to remain at home or move to Cardiff, and whilst I put time and effort into exploring this option for him, his inability to engage with care and the risks posed by his environment required a more immediate protective intervention. This highlighted the ethical tension between respecting rights and preventing harm, a dilemma frequently encountered in adult safeguarding (Banks, 2012). </w:t>
            </w:r>
          </w:p>
          <w:p w14:paraId="07756761" w14:textId="77777777" w:rsidR="002C6785" w:rsidRPr="002C6785" w:rsidRDefault="002C6785" w:rsidP="002C6785">
            <w:pPr>
              <w:spacing w:line="276" w:lineRule="auto"/>
              <w:rPr>
                <w:sz w:val="24"/>
                <w:szCs w:val="24"/>
              </w:rPr>
            </w:pPr>
          </w:p>
          <w:p w14:paraId="3E0BBB58" w14:textId="77777777" w:rsidR="002C6785" w:rsidRDefault="002C6785" w:rsidP="002C6785">
            <w:pPr>
              <w:spacing w:line="276" w:lineRule="auto"/>
              <w:rPr>
                <w:sz w:val="24"/>
                <w:szCs w:val="24"/>
              </w:rPr>
            </w:pPr>
            <w:r w:rsidRPr="002C6785">
              <w:rPr>
                <w:sz w:val="24"/>
                <w:szCs w:val="24"/>
              </w:rPr>
              <w:t>I learned that applying the Mental Capacity Act 2005 requires not only legal knowledge but also sensitivity to the person’s lived experience and fluctuating engagement. The case also reinforced the value of multi-agency working. The best interest meeting brought together professionals from health, social care, advocacy, and legal services, each contributing unique insights. Coordinating this process taught me the importance of clear communication, shared decision-making, and professional respect. As Trevithick (2012) notes, effective collaboration is central to safeguarding practice, particularly when decisions carry significant consequences for the individual’s liberty and well-being.</w:t>
            </w:r>
          </w:p>
          <w:p w14:paraId="28049EF3" w14:textId="77777777" w:rsidR="002C6785" w:rsidRPr="002C6785" w:rsidRDefault="002C6785" w:rsidP="002C6785">
            <w:pPr>
              <w:spacing w:line="276" w:lineRule="auto"/>
              <w:rPr>
                <w:sz w:val="24"/>
                <w:szCs w:val="24"/>
              </w:rPr>
            </w:pPr>
          </w:p>
          <w:p w14:paraId="631F0744" w14:textId="77777777" w:rsidR="002C6785" w:rsidRDefault="002C6785" w:rsidP="002C6785">
            <w:pPr>
              <w:spacing w:line="276" w:lineRule="auto"/>
              <w:rPr>
                <w:sz w:val="24"/>
                <w:szCs w:val="24"/>
              </w:rPr>
            </w:pPr>
            <w:r w:rsidRPr="002C6785">
              <w:rPr>
                <w:sz w:val="24"/>
                <w:szCs w:val="24"/>
              </w:rPr>
              <w:t xml:space="preserve">Reflecting on the outcome, I recognise that I would approach certain aspects differently in future. For example, I would advocate earlier for a review of Individual 1’s housing situation, </w:t>
            </w:r>
            <w:r w:rsidRPr="002C6785">
              <w:rPr>
                <w:sz w:val="24"/>
                <w:szCs w:val="24"/>
              </w:rPr>
              <w:lastRenderedPageBreak/>
              <w:t xml:space="preserve">as the environmental risks were evident long before hospitalisation. This aligns with the preventative ethos of the Social Services and Well-being (Wales) Act 2014, which encourages early intervention to reduce escalation (Welsh Government, 2014). I also learned the importance of documenting fluctuating capacity and engagement patterns more robustly, to support timely legal authorisations such as </w:t>
            </w:r>
            <w:proofErr w:type="spellStart"/>
            <w:r w:rsidRPr="002C6785">
              <w:rPr>
                <w:sz w:val="24"/>
                <w:szCs w:val="24"/>
              </w:rPr>
              <w:t>DoLS</w:t>
            </w:r>
            <w:proofErr w:type="spellEnd"/>
            <w:r w:rsidRPr="002C6785">
              <w:rPr>
                <w:sz w:val="24"/>
                <w:szCs w:val="24"/>
              </w:rPr>
              <w:t>.</w:t>
            </w:r>
          </w:p>
          <w:p w14:paraId="7F8952C5" w14:textId="77777777" w:rsidR="002C6785" w:rsidRPr="002C6785" w:rsidRDefault="002C6785" w:rsidP="002C6785">
            <w:pPr>
              <w:spacing w:line="276" w:lineRule="auto"/>
              <w:rPr>
                <w:sz w:val="24"/>
                <w:szCs w:val="24"/>
              </w:rPr>
            </w:pPr>
          </w:p>
          <w:p w14:paraId="3866B5E9" w14:textId="77777777" w:rsidR="002C6785" w:rsidRDefault="002C6785" w:rsidP="002C6785">
            <w:pPr>
              <w:spacing w:line="276" w:lineRule="auto"/>
              <w:rPr>
                <w:sz w:val="24"/>
                <w:szCs w:val="24"/>
              </w:rPr>
            </w:pPr>
            <w:r w:rsidRPr="002C6785">
              <w:rPr>
                <w:sz w:val="24"/>
                <w:szCs w:val="24"/>
              </w:rPr>
              <w:t xml:space="preserve">This case has informed my continuing professional development in several ways. Firstly, I have committed to deepening my understanding of Liberty Protection Safeguards (LPS), which will eventually replace </w:t>
            </w:r>
            <w:proofErr w:type="spellStart"/>
            <w:r w:rsidRPr="002C6785">
              <w:rPr>
                <w:sz w:val="24"/>
                <w:szCs w:val="24"/>
              </w:rPr>
              <w:t>DoLS</w:t>
            </w:r>
            <w:proofErr w:type="spellEnd"/>
            <w:r w:rsidRPr="002C6785">
              <w:rPr>
                <w:sz w:val="24"/>
                <w:szCs w:val="24"/>
              </w:rPr>
              <w:t>. Staying informed about legislative reform is essential for lawful and ethical practice (Series, 2020). Secondly, I plan to undertake further training in risk assessment and resilience theory, to better understand how individuals like Individual 1 respond to adversity and how protective factors can be strengthened (Greene, 2014). The case has also reinforced the importance of reflective supervision. Discussing the emotional and ethical challenges with my supervisor helped me process the complexity of the situation and maintain professional boundaries. Morrison (2005) emphasises that supervision is not just a managerial tool but a space for critical reflection and emotional support, especially in safeguarding work.</w:t>
            </w:r>
          </w:p>
          <w:p w14:paraId="208AC196" w14:textId="77777777" w:rsidR="002C6785" w:rsidRPr="002C6785" w:rsidRDefault="002C6785" w:rsidP="002C6785">
            <w:pPr>
              <w:spacing w:line="276" w:lineRule="auto"/>
              <w:rPr>
                <w:sz w:val="24"/>
                <w:szCs w:val="24"/>
              </w:rPr>
            </w:pPr>
          </w:p>
          <w:p w14:paraId="7A31FBB2" w14:textId="77777777" w:rsidR="002C6785" w:rsidRDefault="002C6785" w:rsidP="002C6785">
            <w:pPr>
              <w:spacing w:line="276" w:lineRule="auto"/>
              <w:rPr>
                <w:sz w:val="24"/>
                <w:szCs w:val="24"/>
              </w:rPr>
            </w:pPr>
            <w:r w:rsidRPr="002C6785">
              <w:rPr>
                <w:sz w:val="24"/>
                <w:szCs w:val="24"/>
              </w:rPr>
              <w:t xml:space="preserve">The case of Individual 1 has been a rich source of learning. It has enhanced my legal literacy, ethical reasoning, and collaborative skills, and has prompted me to reflect deeply on the role of the social worker in safeguarding vulnerable adults. These insights will continue to shape my practice and professional growth. This case study demonstrates the importance of safeguarding legislation, collaborative working, and professional judgement in complex situations. Individual 1’s case required navigating ethical dilemmas, balancing rights and risks, and applying legislation within the Welsh context. The decision to place Individual 1 in a nursing home was made in his best interest, ensuring his safety, dignity, and well-being. </w:t>
            </w:r>
          </w:p>
          <w:p w14:paraId="75BE6739" w14:textId="77777777" w:rsidR="002C6785" w:rsidRDefault="002C6785" w:rsidP="002C6785">
            <w:pPr>
              <w:spacing w:line="276" w:lineRule="auto"/>
              <w:rPr>
                <w:sz w:val="24"/>
                <w:szCs w:val="24"/>
              </w:rPr>
            </w:pPr>
          </w:p>
          <w:p w14:paraId="575D8F4C" w14:textId="6A91C84F" w:rsidR="002C6785" w:rsidRPr="002C6785" w:rsidRDefault="002C6785" w:rsidP="002C6785">
            <w:pPr>
              <w:spacing w:line="276" w:lineRule="auto"/>
              <w:rPr>
                <w:sz w:val="24"/>
                <w:szCs w:val="24"/>
              </w:rPr>
            </w:pPr>
            <w:r w:rsidRPr="002C6785">
              <w:rPr>
                <w:sz w:val="24"/>
                <w:szCs w:val="24"/>
              </w:rPr>
              <w:t>The case underscores the value of multi-disciplinary collaboration, person-centred practice, and the application of social work theories in safeguarding vulnerable adults. It also highlights the challenges of working in complex situations, where professional judgement must be exercised within legal and ethical boundaries. The lessons learned from this case can inform future practice, policy development, and training in adult social care (Payne, 2020; Trevithick, 2012; Thompson, 2020).</w:t>
            </w:r>
          </w:p>
          <w:p w14:paraId="7E09031B" w14:textId="3B4F46C7" w:rsidR="00146C18" w:rsidRDefault="00146C18" w:rsidP="002C6785">
            <w:pPr>
              <w:spacing w:line="276" w:lineRule="auto"/>
              <w:rPr>
                <w:sz w:val="24"/>
                <w:szCs w:val="24"/>
              </w:rPr>
            </w:pPr>
          </w:p>
          <w:p w14:paraId="7E8505F1" w14:textId="45174CA0" w:rsidR="002C6785" w:rsidRPr="00C8181A" w:rsidRDefault="002C6785" w:rsidP="002C6785">
            <w:pPr>
              <w:spacing w:line="276" w:lineRule="auto"/>
              <w:rPr>
                <w:b/>
                <w:bCs/>
                <w:sz w:val="24"/>
                <w:szCs w:val="24"/>
              </w:rPr>
            </w:pPr>
            <w:r w:rsidRPr="00C8181A">
              <w:rPr>
                <w:b/>
                <w:bCs/>
                <w:sz w:val="24"/>
                <w:szCs w:val="24"/>
              </w:rPr>
              <w:t>Word Count: 3940</w:t>
            </w: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BF8"/>
    <w:rsid w:val="00062E39"/>
    <w:rsid w:val="00064063"/>
    <w:rsid w:val="0006581A"/>
    <w:rsid w:val="00074461"/>
    <w:rsid w:val="000766EC"/>
    <w:rsid w:val="00080E58"/>
    <w:rsid w:val="00083D99"/>
    <w:rsid w:val="00084DA6"/>
    <w:rsid w:val="00085699"/>
    <w:rsid w:val="00090160"/>
    <w:rsid w:val="00091F52"/>
    <w:rsid w:val="00092970"/>
    <w:rsid w:val="00092FC3"/>
    <w:rsid w:val="00093720"/>
    <w:rsid w:val="000938E6"/>
    <w:rsid w:val="00093B3C"/>
    <w:rsid w:val="0009488C"/>
    <w:rsid w:val="00095C1B"/>
    <w:rsid w:val="00096DEA"/>
    <w:rsid w:val="000A4240"/>
    <w:rsid w:val="000A469A"/>
    <w:rsid w:val="000A584A"/>
    <w:rsid w:val="000A6458"/>
    <w:rsid w:val="000A710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0F6C82"/>
    <w:rsid w:val="0010312C"/>
    <w:rsid w:val="00105026"/>
    <w:rsid w:val="0010662B"/>
    <w:rsid w:val="00106DC7"/>
    <w:rsid w:val="00112391"/>
    <w:rsid w:val="00114F52"/>
    <w:rsid w:val="00130119"/>
    <w:rsid w:val="00132812"/>
    <w:rsid w:val="001347F8"/>
    <w:rsid w:val="001359EE"/>
    <w:rsid w:val="00135EF0"/>
    <w:rsid w:val="00137BB5"/>
    <w:rsid w:val="00137E05"/>
    <w:rsid w:val="001447F6"/>
    <w:rsid w:val="00146C18"/>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4AE0"/>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6785"/>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1C8E"/>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6A4C"/>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1DB"/>
    <w:rsid w:val="004667B1"/>
    <w:rsid w:val="00467F66"/>
    <w:rsid w:val="00470461"/>
    <w:rsid w:val="00470BB1"/>
    <w:rsid w:val="00473153"/>
    <w:rsid w:val="0047350F"/>
    <w:rsid w:val="004743AF"/>
    <w:rsid w:val="0048181D"/>
    <w:rsid w:val="00482C17"/>
    <w:rsid w:val="00482DF5"/>
    <w:rsid w:val="00484CE3"/>
    <w:rsid w:val="0048757C"/>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6D5"/>
    <w:rsid w:val="005113D4"/>
    <w:rsid w:val="0051287D"/>
    <w:rsid w:val="00513C7D"/>
    <w:rsid w:val="00521123"/>
    <w:rsid w:val="00521221"/>
    <w:rsid w:val="0052250B"/>
    <w:rsid w:val="005305C6"/>
    <w:rsid w:val="00540EEC"/>
    <w:rsid w:val="005414F4"/>
    <w:rsid w:val="00542A23"/>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1273"/>
    <w:rsid w:val="005D3F07"/>
    <w:rsid w:val="005D4A1E"/>
    <w:rsid w:val="005D4F2F"/>
    <w:rsid w:val="005D4F72"/>
    <w:rsid w:val="005D6BBD"/>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630F"/>
    <w:rsid w:val="006579FD"/>
    <w:rsid w:val="006635E3"/>
    <w:rsid w:val="006669F3"/>
    <w:rsid w:val="006712A7"/>
    <w:rsid w:val="00672CED"/>
    <w:rsid w:val="00674FC2"/>
    <w:rsid w:val="00676E35"/>
    <w:rsid w:val="00677E42"/>
    <w:rsid w:val="00682334"/>
    <w:rsid w:val="00683C09"/>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4DFA"/>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3CD"/>
    <w:rsid w:val="00764C84"/>
    <w:rsid w:val="007658A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1DEA"/>
    <w:rsid w:val="00892716"/>
    <w:rsid w:val="00893067"/>
    <w:rsid w:val="008933DE"/>
    <w:rsid w:val="00895FCE"/>
    <w:rsid w:val="00897F3E"/>
    <w:rsid w:val="008A21B4"/>
    <w:rsid w:val="008A2842"/>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6148"/>
    <w:rsid w:val="0098262C"/>
    <w:rsid w:val="0098427C"/>
    <w:rsid w:val="00986B43"/>
    <w:rsid w:val="00986C0B"/>
    <w:rsid w:val="00986D46"/>
    <w:rsid w:val="00991FDA"/>
    <w:rsid w:val="00992ACA"/>
    <w:rsid w:val="009A0A39"/>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7FA"/>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241E"/>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5071"/>
    <w:rsid w:val="00C13CF1"/>
    <w:rsid w:val="00C14FC2"/>
    <w:rsid w:val="00C161FD"/>
    <w:rsid w:val="00C17C9F"/>
    <w:rsid w:val="00C23E70"/>
    <w:rsid w:val="00C23F17"/>
    <w:rsid w:val="00C246F2"/>
    <w:rsid w:val="00C26D0D"/>
    <w:rsid w:val="00C27C95"/>
    <w:rsid w:val="00C300D2"/>
    <w:rsid w:val="00C3270F"/>
    <w:rsid w:val="00C3278B"/>
    <w:rsid w:val="00C33375"/>
    <w:rsid w:val="00C34C23"/>
    <w:rsid w:val="00C368FA"/>
    <w:rsid w:val="00C42005"/>
    <w:rsid w:val="00C4664D"/>
    <w:rsid w:val="00C466CB"/>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181A"/>
    <w:rsid w:val="00C835FE"/>
    <w:rsid w:val="00C836CC"/>
    <w:rsid w:val="00C852D6"/>
    <w:rsid w:val="00C87A74"/>
    <w:rsid w:val="00C92C71"/>
    <w:rsid w:val="00C93702"/>
    <w:rsid w:val="00C93F8F"/>
    <w:rsid w:val="00CA0894"/>
    <w:rsid w:val="00CA3593"/>
    <w:rsid w:val="00CA5726"/>
    <w:rsid w:val="00CA7E6A"/>
    <w:rsid w:val="00CB258E"/>
    <w:rsid w:val="00CB3C8F"/>
    <w:rsid w:val="00CC02F1"/>
    <w:rsid w:val="00CC1122"/>
    <w:rsid w:val="00CC11A6"/>
    <w:rsid w:val="00CC135E"/>
    <w:rsid w:val="00CC1B06"/>
    <w:rsid w:val="00CC7226"/>
    <w:rsid w:val="00CD0735"/>
    <w:rsid w:val="00CD45E3"/>
    <w:rsid w:val="00CD4771"/>
    <w:rsid w:val="00CD5089"/>
    <w:rsid w:val="00CD5D3F"/>
    <w:rsid w:val="00CD7E1F"/>
    <w:rsid w:val="00CE1317"/>
    <w:rsid w:val="00CE4BC4"/>
    <w:rsid w:val="00CE7DA2"/>
    <w:rsid w:val="00CF0B50"/>
    <w:rsid w:val="00CF2F8A"/>
    <w:rsid w:val="00CF3DB3"/>
    <w:rsid w:val="00CF59F7"/>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708F"/>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54C"/>
    <w:rsid w:val="00E60D6C"/>
    <w:rsid w:val="00E60F42"/>
    <w:rsid w:val="00E6746C"/>
    <w:rsid w:val="00E7086E"/>
    <w:rsid w:val="00E71248"/>
    <w:rsid w:val="00E73C41"/>
    <w:rsid w:val="00E75911"/>
    <w:rsid w:val="00E7598F"/>
    <w:rsid w:val="00E76F60"/>
    <w:rsid w:val="00E812B5"/>
    <w:rsid w:val="00E83D90"/>
    <w:rsid w:val="00E83EE6"/>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1854"/>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C93702"/>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46C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4152</Words>
  <Characters>24918</Characters>
  <Application>Microsoft Office Word</Application>
  <DocSecurity>0</DocSecurity>
  <Lines>425</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Jade T. Gitsham</cp:lastModifiedBy>
  <cp:revision>3</cp:revision>
  <cp:lastPrinted>2020-02-11T19:20:00Z</cp:lastPrinted>
  <dcterms:created xsi:type="dcterms:W3CDTF">2025-10-03T15:20:00Z</dcterms:created>
  <dcterms:modified xsi:type="dcterms:W3CDTF">2025-10-07T17:31:00Z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