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CBDF3" w14:textId="068CE2BF" w:rsidR="00F56FB0" w:rsidRDefault="00725294"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Nazish Shazady</w:t>
      </w:r>
    </w:p>
    <w:p w14:paraId="5EFCC12A" w14:textId="698ACCC5" w:rsidR="00725294" w:rsidRDefault="00725294"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2224320</w:t>
      </w:r>
    </w:p>
    <w:p w14:paraId="6C4E6A36" w14:textId="088A2C91" w:rsidR="00A72042" w:rsidRDefault="00F31DAA"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L</w:t>
      </w:r>
      <w:r w:rsidR="00D20508" w:rsidRPr="56C33A9D">
        <w:rPr>
          <w:rFonts w:ascii="Arial Nova" w:eastAsia="Arial Nova" w:hAnsi="Arial Nova" w:cs="Arial Nova"/>
          <w:sz w:val="22"/>
          <w:szCs w:val="22"/>
        </w:rPr>
        <w:t>CHHS7006</w:t>
      </w:r>
    </w:p>
    <w:p w14:paraId="0D865182" w14:textId="063FFCA1" w:rsidR="00BD1231" w:rsidRDefault="00B32D14"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Service Improvements and Quality Assurance</w:t>
      </w:r>
    </w:p>
    <w:p w14:paraId="27D17C40" w14:textId="1061265E" w:rsidR="002E68D7" w:rsidRDefault="002E68D7"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Dr Fahad Khan</w:t>
      </w:r>
    </w:p>
    <w:p w14:paraId="50F9F661" w14:textId="25C7E20E" w:rsidR="00725294" w:rsidRDefault="00340C80"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Component 2</w:t>
      </w:r>
      <w:r w:rsidR="00BD1231" w:rsidRPr="56C33A9D">
        <w:rPr>
          <w:rFonts w:ascii="Arial Nova" w:eastAsia="Arial Nova" w:hAnsi="Arial Nova" w:cs="Arial Nova"/>
          <w:sz w:val="22"/>
          <w:szCs w:val="22"/>
        </w:rPr>
        <w:t xml:space="preserve"> Report</w:t>
      </w:r>
      <w:r w:rsidR="00BD1231" w:rsidRPr="1B0E3B3F">
        <w:rPr>
          <w:rFonts w:ascii="Arial Nova" w:eastAsia="Arial Nova" w:hAnsi="Arial Nova" w:cs="Arial Nova"/>
          <w:sz w:val="22"/>
          <w:szCs w:val="22"/>
        </w:rPr>
        <w:t xml:space="preserve"> </w:t>
      </w:r>
    </w:p>
    <w:p w14:paraId="53E4FDC4" w14:textId="258CCE7B" w:rsidR="00B32D14" w:rsidRDefault="00B32D14" w:rsidP="6C086335">
      <w:pPr>
        <w:spacing w:line="360" w:lineRule="auto"/>
        <w:rPr>
          <w:rFonts w:ascii="Arial Nova" w:eastAsia="Arial Nova" w:hAnsi="Arial Nova" w:cs="Arial Nova"/>
          <w:sz w:val="22"/>
          <w:szCs w:val="22"/>
        </w:rPr>
      </w:pPr>
    </w:p>
    <w:p w14:paraId="0D4E860C" w14:textId="69FC1914" w:rsidR="00B32D14" w:rsidRDefault="00B32D14" w:rsidP="6C086335">
      <w:pPr>
        <w:spacing w:line="360" w:lineRule="auto"/>
        <w:rPr>
          <w:rFonts w:ascii="Arial Nova" w:eastAsia="Arial Nova" w:hAnsi="Arial Nova" w:cs="Arial Nova"/>
          <w:sz w:val="22"/>
          <w:szCs w:val="22"/>
        </w:rPr>
      </w:pPr>
    </w:p>
    <w:p w14:paraId="27D54149" w14:textId="741C94B8" w:rsidR="00B32D14" w:rsidRDefault="00B32D14" w:rsidP="6C086335">
      <w:pPr>
        <w:spacing w:line="360" w:lineRule="auto"/>
        <w:rPr>
          <w:rFonts w:ascii="Arial Nova" w:eastAsia="Arial Nova" w:hAnsi="Arial Nova" w:cs="Arial Nova"/>
          <w:sz w:val="22"/>
          <w:szCs w:val="22"/>
        </w:rPr>
      </w:pPr>
    </w:p>
    <w:p w14:paraId="54A8F18F" w14:textId="3A0EB9A3" w:rsidR="00B32D14" w:rsidRDefault="00B32D14" w:rsidP="6C086335">
      <w:pPr>
        <w:spacing w:line="360" w:lineRule="auto"/>
        <w:rPr>
          <w:rFonts w:ascii="Arial Nova" w:eastAsia="Arial Nova" w:hAnsi="Arial Nova" w:cs="Arial Nova"/>
          <w:sz w:val="22"/>
          <w:szCs w:val="22"/>
        </w:rPr>
      </w:pPr>
    </w:p>
    <w:p w14:paraId="059D299A" w14:textId="22366B05" w:rsidR="00B32D14" w:rsidRDefault="00B32D14" w:rsidP="6C086335">
      <w:pPr>
        <w:spacing w:line="360" w:lineRule="auto"/>
        <w:rPr>
          <w:rFonts w:ascii="Arial Nova" w:eastAsia="Arial Nova" w:hAnsi="Arial Nova" w:cs="Arial Nova"/>
          <w:sz w:val="22"/>
          <w:szCs w:val="22"/>
        </w:rPr>
      </w:pPr>
    </w:p>
    <w:p w14:paraId="67F62F11" w14:textId="421C4617" w:rsidR="00B32D14" w:rsidRDefault="00B32D14" w:rsidP="6C086335">
      <w:pPr>
        <w:spacing w:line="360" w:lineRule="auto"/>
        <w:rPr>
          <w:rFonts w:ascii="Arial Nova" w:eastAsia="Arial Nova" w:hAnsi="Arial Nova" w:cs="Arial Nova"/>
          <w:sz w:val="22"/>
          <w:szCs w:val="22"/>
        </w:rPr>
      </w:pPr>
    </w:p>
    <w:p w14:paraId="3626024B" w14:textId="5D575D43" w:rsidR="00B32D14" w:rsidRDefault="00B32D14" w:rsidP="6C086335">
      <w:pPr>
        <w:spacing w:line="360" w:lineRule="auto"/>
        <w:rPr>
          <w:rFonts w:ascii="Arial Nova" w:eastAsia="Arial Nova" w:hAnsi="Arial Nova" w:cs="Arial Nova"/>
          <w:sz w:val="22"/>
          <w:szCs w:val="22"/>
        </w:rPr>
      </w:pPr>
    </w:p>
    <w:p w14:paraId="027F4080" w14:textId="34294E8F" w:rsidR="00B32D14" w:rsidRDefault="00B32D14" w:rsidP="6C086335">
      <w:pPr>
        <w:spacing w:line="360" w:lineRule="auto"/>
        <w:rPr>
          <w:rFonts w:ascii="Arial Nova" w:eastAsia="Arial Nova" w:hAnsi="Arial Nova" w:cs="Arial Nova"/>
          <w:sz w:val="22"/>
          <w:szCs w:val="22"/>
        </w:rPr>
      </w:pPr>
    </w:p>
    <w:p w14:paraId="6296D20C" w14:textId="4BD48082" w:rsidR="00B32D14" w:rsidRDefault="00B32D14" w:rsidP="6C086335">
      <w:pPr>
        <w:spacing w:line="360" w:lineRule="auto"/>
        <w:rPr>
          <w:rFonts w:ascii="Arial Nova" w:eastAsia="Arial Nova" w:hAnsi="Arial Nova" w:cs="Arial Nova"/>
          <w:sz w:val="22"/>
          <w:szCs w:val="22"/>
        </w:rPr>
      </w:pPr>
    </w:p>
    <w:p w14:paraId="78A7ADC8" w14:textId="13360386" w:rsidR="00B32D14" w:rsidRDefault="00B32D14" w:rsidP="6C086335">
      <w:pPr>
        <w:spacing w:line="360" w:lineRule="auto"/>
        <w:rPr>
          <w:rFonts w:ascii="Arial Nova" w:eastAsia="Arial Nova" w:hAnsi="Arial Nova" w:cs="Arial Nova"/>
          <w:sz w:val="22"/>
          <w:szCs w:val="22"/>
        </w:rPr>
      </w:pPr>
    </w:p>
    <w:p w14:paraId="7EB30DA0" w14:textId="0915A3C6" w:rsidR="00B32D14" w:rsidRDefault="00B32D14" w:rsidP="6C086335">
      <w:pPr>
        <w:spacing w:line="360" w:lineRule="auto"/>
        <w:rPr>
          <w:rFonts w:ascii="Arial Nova" w:eastAsia="Arial Nova" w:hAnsi="Arial Nova" w:cs="Arial Nova"/>
          <w:sz w:val="22"/>
          <w:szCs w:val="22"/>
        </w:rPr>
      </w:pPr>
    </w:p>
    <w:p w14:paraId="5674FB34" w14:textId="08606D4D" w:rsidR="00B32D14" w:rsidRDefault="00B32D14" w:rsidP="6C086335">
      <w:pPr>
        <w:spacing w:line="360" w:lineRule="auto"/>
        <w:rPr>
          <w:rFonts w:ascii="Arial Nova" w:eastAsia="Arial Nova" w:hAnsi="Arial Nova" w:cs="Arial Nova"/>
          <w:sz w:val="22"/>
          <w:szCs w:val="22"/>
        </w:rPr>
      </w:pPr>
    </w:p>
    <w:p w14:paraId="163E268A" w14:textId="69D44DB3" w:rsidR="00B32D14" w:rsidRDefault="00B32D14" w:rsidP="6C086335">
      <w:pPr>
        <w:spacing w:line="360" w:lineRule="auto"/>
        <w:rPr>
          <w:rFonts w:ascii="Arial Nova" w:eastAsia="Arial Nova" w:hAnsi="Arial Nova" w:cs="Arial Nova"/>
          <w:sz w:val="22"/>
          <w:szCs w:val="22"/>
        </w:rPr>
      </w:pPr>
    </w:p>
    <w:p w14:paraId="50E0A079" w14:textId="3C6E2A2B" w:rsidR="00B32D14" w:rsidRDefault="00B32D14" w:rsidP="6C086335">
      <w:pPr>
        <w:spacing w:line="360" w:lineRule="auto"/>
        <w:rPr>
          <w:rFonts w:ascii="Arial Nova" w:eastAsia="Arial Nova" w:hAnsi="Arial Nova" w:cs="Arial Nova"/>
          <w:sz w:val="22"/>
          <w:szCs w:val="22"/>
        </w:rPr>
      </w:pPr>
    </w:p>
    <w:p w14:paraId="5684FD11" w14:textId="0261B147" w:rsidR="00B32D14" w:rsidRDefault="00B32D14" w:rsidP="6C086335">
      <w:pPr>
        <w:spacing w:line="360" w:lineRule="auto"/>
        <w:rPr>
          <w:rFonts w:ascii="Arial Nova" w:eastAsia="Arial Nova" w:hAnsi="Arial Nova" w:cs="Arial Nova"/>
          <w:sz w:val="22"/>
          <w:szCs w:val="22"/>
        </w:rPr>
      </w:pPr>
    </w:p>
    <w:p w14:paraId="1C2762D7" w14:textId="210E1A84" w:rsidR="00B32D14" w:rsidRDefault="00B32D14" w:rsidP="6C086335">
      <w:pPr>
        <w:spacing w:line="360" w:lineRule="auto"/>
        <w:rPr>
          <w:rFonts w:ascii="Arial Nova" w:eastAsia="Arial Nova" w:hAnsi="Arial Nova" w:cs="Arial Nova"/>
          <w:sz w:val="22"/>
          <w:szCs w:val="22"/>
        </w:rPr>
      </w:pPr>
    </w:p>
    <w:p w14:paraId="2BB9BD99" w14:textId="0995378A" w:rsidR="00B32D14" w:rsidRDefault="00B32D14" w:rsidP="6C086335">
      <w:pPr>
        <w:spacing w:line="360" w:lineRule="auto"/>
        <w:rPr>
          <w:rFonts w:ascii="Arial Nova" w:eastAsia="Arial Nova" w:hAnsi="Arial Nova" w:cs="Arial Nova"/>
          <w:sz w:val="22"/>
          <w:szCs w:val="22"/>
        </w:rPr>
      </w:pPr>
    </w:p>
    <w:p w14:paraId="451A1297" w14:textId="010EC6BD" w:rsidR="00B32D14" w:rsidRDefault="00B32D14" w:rsidP="6C086335">
      <w:pPr>
        <w:spacing w:line="360" w:lineRule="auto"/>
        <w:rPr>
          <w:rFonts w:ascii="Arial Nova" w:eastAsia="Arial Nova" w:hAnsi="Arial Nova" w:cs="Arial Nova"/>
          <w:sz w:val="22"/>
          <w:szCs w:val="22"/>
        </w:rPr>
      </w:pPr>
    </w:p>
    <w:p w14:paraId="47C6A1E6" w14:textId="57366575" w:rsidR="00B32D14" w:rsidRDefault="00B32D14" w:rsidP="6C086335">
      <w:pPr>
        <w:spacing w:line="360" w:lineRule="auto"/>
        <w:rPr>
          <w:rFonts w:ascii="Arial Nova" w:eastAsia="Arial Nova" w:hAnsi="Arial Nova" w:cs="Arial Nova"/>
          <w:sz w:val="22"/>
          <w:szCs w:val="22"/>
        </w:rPr>
      </w:pPr>
    </w:p>
    <w:sdt>
      <w:sdtPr>
        <w:id w:val="1356952649"/>
        <w:docPartObj>
          <w:docPartGallery w:val="Table of Contents"/>
          <w:docPartUnique/>
        </w:docPartObj>
      </w:sdtPr>
      <w:sdtContent>
        <w:p w14:paraId="1421C329" w14:textId="5D3C965C" w:rsidR="7C9E7632" w:rsidRDefault="7C9E7632" w:rsidP="7C9E7632">
          <w:pPr>
            <w:pStyle w:val="TOC1"/>
            <w:tabs>
              <w:tab w:val="right" w:leader="dot" w:pos="9015"/>
            </w:tabs>
            <w:rPr>
              <w:rStyle w:val="Hyperlink"/>
            </w:rPr>
          </w:pPr>
          <w:r>
            <w:fldChar w:fldCharType="begin"/>
          </w:r>
          <w:r>
            <w:instrText>TOC \o \z \u \h</w:instrText>
          </w:r>
          <w:r>
            <w:fldChar w:fldCharType="separate"/>
          </w:r>
          <w:hyperlink w:anchor="_Toc1732148538">
            <w:r w:rsidRPr="7C9E7632">
              <w:rPr>
                <w:rStyle w:val="Hyperlink"/>
              </w:rPr>
              <w:t>1. Introduction</w:t>
            </w:r>
            <w:r>
              <w:tab/>
            </w:r>
            <w:r>
              <w:fldChar w:fldCharType="begin"/>
            </w:r>
            <w:r>
              <w:instrText>PAGEREF _Toc1732148538 \h</w:instrText>
            </w:r>
            <w:r>
              <w:fldChar w:fldCharType="separate"/>
            </w:r>
            <w:r w:rsidRPr="7C9E7632">
              <w:rPr>
                <w:rStyle w:val="Hyperlink"/>
              </w:rPr>
              <w:t>2</w:t>
            </w:r>
            <w:r>
              <w:fldChar w:fldCharType="end"/>
            </w:r>
          </w:hyperlink>
        </w:p>
        <w:p w14:paraId="10200ED5" w14:textId="5C4B159B" w:rsidR="7C9E7632" w:rsidRDefault="7C9E7632" w:rsidP="7C9E7632">
          <w:pPr>
            <w:pStyle w:val="TOC2"/>
            <w:tabs>
              <w:tab w:val="right" w:leader="dot" w:pos="9015"/>
            </w:tabs>
            <w:rPr>
              <w:rStyle w:val="Hyperlink"/>
            </w:rPr>
          </w:pPr>
          <w:hyperlink w:anchor="_Toc215781926">
            <w:r w:rsidRPr="7C9E7632">
              <w:rPr>
                <w:rStyle w:val="Hyperlink"/>
              </w:rPr>
              <w:t>2.1 Case Study Evaluation</w:t>
            </w:r>
            <w:r>
              <w:tab/>
            </w:r>
            <w:r>
              <w:fldChar w:fldCharType="begin"/>
            </w:r>
            <w:r>
              <w:instrText>PAGEREF _Toc215781926 \h</w:instrText>
            </w:r>
            <w:r>
              <w:fldChar w:fldCharType="separate"/>
            </w:r>
            <w:r w:rsidRPr="7C9E7632">
              <w:rPr>
                <w:rStyle w:val="Hyperlink"/>
              </w:rPr>
              <w:t>4</w:t>
            </w:r>
            <w:r>
              <w:fldChar w:fldCharType="end"/>
            </w:r>
          </w:hyperlink>
        </w:p>
        <w:p w14:paraId="48961049" w14:textId="270B2E6D" w:rsidR="7C9E7632" w:rsidRDefault="7C9E7632" w:rsidP="7C9E7632">
          <w:pPr>
            <w:pStyle w:val="TOC2"/>
            <w:tabs>
              <w:tab w:val="right" w:leader="dot" w:pos="9015"/>
            </w:tabs>
            <w:rPr>
              <w:rStyle w:val="Hyperlink"/>
            </w:rPr>
          </w:pPr>
          <w:hyperlink w:anchor="_Toc1057556700">
            <w:r w:rsidRPr="7C9E7632">
              <w:rPr>
                <w:rStyle w:val="Hyperlink"/>
              </w:rPr>
              <w:t>2.2 Application of the Donabedian Model</w:t>
            </w:r>
            <w:r>
              <w:tab/>
            </w:r>
            <w:r>
              <w:fldChar w:fldCharType="begin"/>
            </w:r>
            <w:r>
              <w:instrText>PAGEREF _Toc1057556700 \h</w:instrText>
            </w:r>
            <w:r>
              <w:fldChar w:fldCharType="separate"/>
            </w:r>
            <w:r w:rsidRPr="7C9E7632">
              <w:rPr>
                <w:rStyle w:val="Hyperlink"/>
              </w:rPr>
              <w:t>5</w:t>
            </w:r>
            <w:r>
              <w:fldChar w:fldCharType="end"/>
            </w:r>
          </w:hyperlink>
        </w:p>
        <w:p w14:paraId="631A77CD" w14:textId="3093CCA5" w:rsidR="7C9E7632" w:rsidRDefault="7C9E7632" w:rsidP="7C9E7632">
          <w:pPr>
            <w:pStyle w:val="TOC3"/>
            <w:tabs>
              <w:tab w:val="right" w:leader="dot" w:pos="9015"/>
            </w:tabs>
            <w:rPr>
              <w:rStyle w:val="Hyperlink"/>
            </w:rPr>
          </w:pPr>
          <w:hyperlink w:anchor="_Toc23771630">
            <w:r w:rsidRPr="7C9E7632">
              <w:rPr>
                <w:rStyle w:val="Hyperlink"/>
              </w:rPr>
              <w:t>2.3 Fishbone Diagram</w:t>
            </w:r>
            <w:r>
              <w:tab/>
            </w:r>
            <w:r>
              <w:fldChar w:fldCharType="begin"/>
            </w:r>
            <w:r>
              <w:instrText>PAGEREF _Toc23771630 \h</w:instrText>
            </w:r>
            <w:r>
              <w:fldChar w:fldCharType="separate"/>
            </w:r>
            <w:r w:rsidRPr="7C9E7632">
              <w:rPr>
                <w:rStyle w:val="Hyperlink"/>
              </w:rPr>
              <w:t>6</w:t>
            </w:r>
            <w:r>
              <w:fldChar w:fldCharType="end"/>
            </w:r>
          </w:hyperlink>
        </w:p>
        <w:p w14:paraId="430F9009" w14:textId="4F2C92B1" w:rsidR="7C9E7632" w:rsidRDefault="7C9E7632" w:rsidP="7C9E7632">
          <w:pPr>
            <w:pStyle w:val="TOC2"/>
            <w:tabs>
              <w:tab w:val="right" w:leader="dot" w:pos="9015"/>
            </w:tabs>
            <w:rPr>
              <w:rStyle w:val="Hyperlink"/>
            </w:rPr>
          </w:pPr>
          <w:hyperlink w:anchor="_Toc94023364">
            <w:r w:rsidRPr="7C9E7632">
              <w:rPr>
                <w:rStyle w:val="Hyperlink"/>
              </w:rPr>
              <w:t>2.4 Five Whys Analysis</w:t>
            </w:r>
            <w:r>
              <w:tab/>
            </w:r>
            <w:r>
              <w:fldChar w:fldCharType="begin"/>
            </w:r>
            <w:r>
              <w:instrText>PAGEREF _Toc94023364 \h</w:instrText>
            </w:r>
            <w:r>
              <w:fldChar w:fldCharType="separate"/>
            </w:r>
            <w:r w:rsidRPr="7C9E7632">
              <w:rPr>
                <w:rStyle w:val="Hyperlink"/>
              </w:rPr>
              <w:t>8</w:t>
            </w:r>
            <w:r>
              <w:fldChar w:fldCharType="end"/>
            </w:r>
          </w:hyperlink>
        </w:p>
        <w:p w14:paraId="4548094E" w14:textId="0D9F0852" w:rsidR="7C9E7632" w:rsidRDefault="7C9E7632" w:rsidP="7C9E7632">
          <w:pPr>
            <w:pStyle w:val="TOC2"/>
            <w:tabs>
              <w:tab w:val="right" w:leader="dot" w:pos="9015"/>
            </w:tabs>
            <w:rPr>
              <w:rStyle w:val="Hyperlink"/>
            </w:rPr>
          </w:pPr>
          <w:hyperlink w:anchor="_Toc1807662340">
            <w:r w:rsidRPr="7C9E7632">
              <w:rPr>
                <w:rStyle w:val="Hyperlink"/>
              </w:rPr>
              <w:t>2.5 SWOT Analysis</w:t>
            </w:r>
            <w:r>
              <w:tab/>
            </w:r>
            <w:r>
              <w:fldChar w:fldCharType="begin"/>
            </w:r>
            <w:r>
              <w:instrText>PAGEREF _Toc1807662340 \h</w:instrText>
            </w:r>
            <w:r>
              <w:fldChar w:fldCharType="separate"/>
            </w:r>
            <w:r w:rsidRPr="7C9E7632">
              <w:rPr>
                <w:rStyle w:val="Hyperlink"/>
              </w:rPr>
              <w:t>10</w:t>
            </w:r>
            <w:r>
              <w:fldChar w:fldCharType="end"/>
            </w:r>
          </w:hyperlink>
        </w:p>
        <w:p w14:paraId="6D15CAF7" w14:textId="79909B11" w:rsidR="7C9E7632" w:rsidRDefault="7C9E7632" w:rsidP="7C9E7632">
          <w:pPr>
            <w:pStyle w:val="TOC2"/>
            <w:tabs>
              <w:tab w:val="right" w:leader="dot" w:pos="9015"/>
            </w:tabs>
            <w:rPr>
              <w:rStyle w:val="Hyperlink"/>
            </w:rPr>
          </w:pPr>
          <w:hyperlink w:anchor="_Toc818564524">
            <w:r w:rsidRPr="7C9E7632">
              <w:rPr>
                <w:rStyle w:val="Hyperlink"/>
              </w:rPr>
              <w:t>2.6 Challenges to Sustainable Quality Improvement</w:t>
            </w:r>
            <w:r>
              <w:tab/>
            </w:r>
            <w:r>
              <w:fldChar w:fldCharType="begin"/>
            </w:r>
            <w:r>
              <w:instrText>PAGEREF _Toc818564524 \h</w:instrText>
            </w:r>
            <w:r>
              <w:fldChar w:fldCharType="separate"/>
            </w:r>
            <w:r w:rsidRPr="7C9E7632">
              <w:rPr>
                <w:rStyle w:val="Hyperlink"/>
              </w:rPr>
              <w:t>11</w:t>
            </w:r>
            <w:r>
              <w:fldChar w:fldCharType="end"/>
            </w:r>
          </w:hyperlink>
        </w:p>
        <w:p w14:paraId="2EA548AB" w14:textId="37A03880" w:rsidR="7C9E7632" w:rsidRDefault="7C9E7632" w:rsidP="7C9E7632">
          <w:pPr>
            <w:pStyle w:val="TOC2"/>
            <w:tabs>
              <w:tab w:val="right" w:leader="dot" w:pos="9015"/>
            </w:tabs>
            <w:rPr>
              <w:rStyle w:val="Hyperlink"/>
            </w:rPr>
          </w:pPr>
          <w:hyperlink w:anchor="_Toc1005669944">
            <w:r w:rsidRPr="7C9E7632">
              <w:rPr>
                <w:rStyle w:val="Hyperlink"/>
              </w:rPr>
              <w:t>3. Recommendations and Implementation (PDSA Cycle)</w:t>
            </w:r>
            <w:r>
              <w:tab/>
            </w:r>
            <w:r>
              <w:fldChar w:fldCharType="begin"/>
            </w:r>
            <w:r>
              <w:instrText>PAGEREF _Toc1005669944 \h</w:instrText>
            </w:r>
            <w:r>
              <w:fldChar w:fldCharType="separate"/>
            </w:r>
            <w:r w:rsidRPr="7C9E7632">
              <w:rPr>
                <w:rStyle w:val="Hyperlink"/>
              </w:rPr>
              <w:t>11</w:t>
            </w:r>
            <w:r>
              <w:fldChar w:fldCharType="end"/>
            </w:r>
          </w:hyperlink>
        </w:p>
        <w:p w14:paraId="2F5BAFAA" w14:textId="5CD236C3" w:rsidR="7C9E7632" w:rsidRDefault="7C9E7632" w:rsidP="7C9E7632">
          <w:pPr>
            <w:pStyle w:val="TOC3"/>
            <w:tabs>
              <w:tab w:val="right" w:leader="dot" w:pos="9015"/>
            </w:tabs>
            <w:rPr>
              <w:rStyle w:val="Hyperlink"/>
            </w:rPr>
          </w:pPr>
          <w:hyperlink w:anchor="_Toc653602434">
            <w:r w:rsidRPr="7C9E7632">
              <w:rPr>
                <w:rStyle w:val="Hyperlink"/>
              </w:rPr>
              <w:t>3.1 Plan</w:t>
            </w:r>
            <w:r>
              <w:tab/>
            </w:r>
            <w:r>
              <w:fldChar w:fldCharType="begin"/>
            </w:r>
            <w:r>
              <w:instrText>PAGEREF _Toc653602434 \h</w:instrText>
            </w:r>
            <w:r>
              <w:fldChar w:fldCharType="separate"/>
            </w:r>
            <w:r w:rsidRPr="7C9E7632">
              <w:rPr>
                <w:rStyle w:val="Hyperlink"/>
              </w:rPr>
              <w:t>12</w:t>
            </w:r>
            <w:r>
              <w:fldChar w:fldCharType="end"/>
            </w:r>
          </w:hyperlink>
        </w:p>
        <w:p w14:paraId="0B3CB7DF" w14:textId="2C59FA36" w:rsidR="7C9E7632" w:rsidRDefault="7C9E7632" w:rsidP="7C9E7632">
          <w:pPr>
            <w:pStyle w:val="TOC3"/>
            <w:tabs>
              <w:tab w:val="right" w:leader="dot" w:pos="9015"/>
            </w:tabs>
            <w:rPr>
              <w:rStyle w:val="Hyperlink"/>
            </w:rPr>
          </w:pPr>
          <w:hyperlink w:anchor="_Toc318469964">
            <w:r w:rsidRPr="7C9E7632">
              <w:rPr>
                <w:rStyle w:val="Hyperlink"/>
              </w:rPr>
              <w:t>3.2 Do</w:t>
            </w:r>
            <w:r>
              <w:tab/>
            </w:r>
            <w:r>
              <w:fldChar w:fldCharType="begin"/>
            </w:r>
            <w:r>
              <w:instrText>PAGEREF _Toc318469964 \h</w:instrText>
            </w:r>
            <w:r>
              <w:fldChar w:fldCharType="separate"/>
            </w:r>
            <w:r w:rsidRPr="7C9E7632">
              <w:rPr>
                <w:rStyle w:val="Hyperlink"/>
              </w:rPr>
              <w:t>12</w:t>
            </w:r>
            <w:r>
              <w:fldChar w:fldCharType="end"/>
            </w:r>
          </w:hyperlink>
        </w:p>
        <w:p w14:paraId="1E69E9E7" w14:textId="0162418F" w:rsidR="7C9E7632" w:rsidRDefault="7C9E7632" w:rsidP="7C9E7632">
          <w:pPr>
            <w:pStyle w:val="TOC3"/>
            <w:tabs>
              <w:tab w:val="right" w:leader="dot" w:pos="9015"/>
            </w:tabs>
            <w:rPr>
              <w:rStyle w:val="Hyperlink"/>
            </w:rPr>
          </w:pPr>
          <w:hyperlink w:anchor="_Toc420518097">
            <w:r w:rsidRPr="7C9E7632">
              <w:rPr>
                <w:rStyle w:val="Hyperlink"/>
              </w:rPr>
              <w:t>3.3 Study</w:t>
            </w:r>
            <w:r>
              <w:tab/>
            </w:r>
            <w:r>
              <w:fldChar w:fldCharType="begin"/>
            </w:r>
            <w:r>
              <w:instrText>PAGEREF _Toc420518097 \h</w:instrText>
            </w:r>
            <w:r>
              <w:fldChar w:fldCharType="separate"/>
            </w:r>
            <w:r w:rsidRPr="7C9E7632">
              <w:rPr>
                <w:rStyle w:val="Hyperlink"/>
              </w:rPr>
              <w:t>12</w:t>
            </w:r>
            <w:r>
              <w:fldChar w:fldCharType="end"/>
            </w:r>
          </w:hyperlink>
        </w:p>
        <w:p w14:paraId="1B722CB1" w14:textId="1A5DF54D" w:rsidR="7C9E7632" w:rsidRDefault="7C9E7632" w:rsidP="7C9E7632">
          <w:pPr>
            <w:pStyle w:val="TOC3"/>
            <w:tabs>
              <w:tab w:val="right" w:leader="dot" w:pos="9015"/>
            </w:tabs>
            <w:rPr>
              <w:rStyle w:val="Hyperlink"/>
            </w:rPr>
          </w:pPr>
          <w:hyperlink w:anchor="_Toc153973358">
            <w:r w:rsidRPr="7C9E7632">
              <w:rPr>
                <w:rStyle w:val="Hyperlink"/>
              </w:rPr>
              <w:t>3.4 Act</w:t>
            </w:r>
            <w:r>
              <w:tab/>
            </w:r>
            <w:r>
              <w:fldChar w:fldCharType="begin"/>
            </w:r>
            <w:r>
              <w:instrText>PAGEREF _Toc153973358 \h</w:instrText>
            </w:r>
            <w:r>
              <w:fldChar w:fldCharType="separate"/>
            </w:r>
            <w:r w:rsidRPr="7C9E7632">
              <w:rPr>
                <w:rStyle w:val="Hyperlink"/>
              </w:rPr>
              <w:t>12</w:t>
            </w:r>
            <w:r>
              <w:fldChar w:fldCharType="end"/>
            </w:r>
          </w:hyperlink>
        </w:p>
        <w:p w14:paraId="178F4C5C" w14:textId="793F2489" w:rsidR="7C9E7632" w:rsidRDefault="7C9E7632" w:rsidP="7C9E7632">
          <w:pPr>
            <w:pStyle w:val="TOC2"/>
            <w:tabs>
              <w:tab w:val="right" w:leader="dot" w:pos="9015"/>
            </w:tabs>
            <w:rPr>
              <w:rStyle w:val="Hyperlink"/>
            </w:rPr>
          </w:pPr>
          <w:hyperlink w:anchor="_Toc1664567577">
            <w:r w:rsidRPr="7C9E7632">
              <w:rPr>
                <w:rStyle w:val="Hyperlink"/>
              </w:rPr>
              <w:t>3.5 Implementation, Monitoring and Evaluation</w:t>
            </w:r>
            <w:r>
              <w:tab/>
            </w:r>
            <w:r>
              <w:fldChar w:fldCharType="begin"/>
            </w:r>
            <w:r>
              <w:instrText>PAGEREF _Toc1664567577 \h</w:instrText>
            </w:r>
            <w:r>
              <w:fldChar w:fldCharType="separate"/>
            </w:r>
            <w:r w:rsidRPr="7C9E7632">
              <w:rPr>
                <w:rStyle w:val="Hyperlink"/>
              </w:rPr>
              <w:t>13</w:t>
            </w:r>
            <w:r>
              <w:fldChar w:fldCharType="end"/>
            </w:r>
          </w:hyperlink>
        </w:p>
        <w:p w14:paraId="3818B67C" w14:textId="7C83BF81" w:rsidR="7C9E7632" w:rsidRDefault="7C9E7632" w:rsidP="7C9E7632">
          <w:pPr>
            <w:pStyle w:val="TOC1"/>
            <w:tabs>
              <w:tab w:val="right" w:leader="dot" w:pos="9015"/>
            </w:tabs>
            <w:rPr>
              <w:rStyle w:val="Hyperlink"/>
            </w:rPr>
          </w:pPr>
          <w:hyperlink w:anchor="_Toc2119289593">
            <w:r w:rsidRPr="7C9E7632">
              <w:rPr>
                <w:rStyle w:val="Hyperlink"/>
              </w:rPr>
              <w:t>4. Conclusion</w:t>
            </w:r>
            <w:r>
              <w:tab/>
            </w:r>
            <w:r>
              <w:fldChar w:fldCharType="begin"/>
            </w:r>
            <w:r>
              <w:instrText>PAGEREF _Toc2119289593 \h</w:instrText>
            </w:r>
            <w:r>
              <w:fldChar w:fldCharType="separate"/>
            </w:r>
            <w:r w:rsidRPr="7C9E7632">
              <w:rPr>
                <w:rStyle w:val="Hyperlink"/>
              </w:rPr>
              <w:t>14</w:t>
            </w:r>
            <w:r>
              <w:fldChar w:fldCharType="end"/>
            </w:r>
          </w:hyperlink>
        </w:p>
        <w:p w14:paraId="3BF11DBF" w14:textId="68B2BCA6" w:rsidR="7C9E7632" w:rsidRDefault="7C9E7632" w:rsidP="7C9E7632">
          <w:pPr>
            <w:pStyle w:val="TOC2"/>
            <w:tabs>
              <w:tab w:val="right" w:leader="dot" w:pos="9015"/>
            </w:tabs>
            <w:rPr>
              <w:rStyle w:val="Hyperlink"/>
            </w:rPr>
          </w:pPr>
          <w:hyperlink w:anchor="_Toc975983136">
            <w:r w:rsidRPr="7C9E7632">
              <w:rPr>
                <w:rStyle w:val="Hyperlink"/>
              </w:rPr>
              <w:t>Reference</w:t>
            </w:r>
            <w:r>
              <w:tab/>
            </w:r>
            <w:r>
              <w:fldChar w:fldCharType="begin"/>
            </w:r>
            <w:r>
              <w:instrText>PAGEREF _Toc975983136 \h</w:instrText>
            </w:r>
            <w:r>
              <w:fldChar w:fldCharType="separate"/>
            </w:r>
            <w:r w:rsidRPr="7C9E7632">
              <w:rPr>
                <w:rStyle w:val="Hyperlink"/>
              </w:rPr>
              <w:t>15</w:t>
            </w:r>
            <w:r>
              <w:fldChar w:fldCharType="end"/>
            </w:r>
          </w:hyperlink>
        </w:p>
        <w:p w14:paraId="0D90F97F" w14:textId="6FFC333D" w:rsidR="7C9E7632" w:rsidRDefault="7C9E7632">
          <w:r>
            <w:fldChar w:fldCharType="end"/>
          </w:r>
        </w:p>
      </w:sdtContent>
    </w:sdt>
    <w:p w14:paraId="72FC0646" w14:textId="38D76AE2" w:rsidR="00B32D14" w:rsidRDefault="00B32D14" w:rsidP="7C9E7632">
      <w:pPr>
        <w:spacing w:line="360" w:lineRule="auto"/>
        <w:rPr>
          <w:rFonts w:ascii="Arial Nova" w:eastAsia="Arial Nova" w:hAnsi="Arial Nova" w:cs="Arial Nova"/>
          <w:sz w:val="22"/>
          <w:szCs w:val="22"/>
        </w:rPr>
      </w:pPr>
    </w:p>
    <w:p w14:paraId="50B3B30F" w14:textId="79C3DE26" w:rsidR="7C9E7632" w:rsidRDefault="7C9E7632" w:rsidP="7C9E7632">
      <w:pPr>
        <w:spacing w:line="360" w:lineRule="auto"/>
        <w:rPr>
          <w:rFonts w:ascii="Arial Nova" w:eastAsia="Arial Nova" w:hAnsi="Arial Nova" w:cs="Arial Nova"/>
          <w:sz w:val="22"/>
          <w:szCs w:val="22"/>
        </w:rPr>
      </w:pPr>
    </w:p>
    <w:p w14:paraId="67A62278" w14:textId="5D2C0CA4" w:rsidR="5DDBE2E8" w:rsidRDefault="5DDBE2E8" w:rsidP="5DDBE2E8">
      <w:pPr>
        <w:spacing w:line="360" w:lineRule="auto"/>
        <w:rPr>
          <w:rFonts w:ascii="Arial Nova" w:eastAsia="Arial Nova" w:hAnsi="Arial Nova" w:cs="Arial Nova"/>
          <w:sz w:val="22"/>
          <w:szCs w:val="22"/>
        </w:rPr>
      </w:pPr>
    </w:p>
    <w:p w14:paraId="766502F6" w14:textId="2D5C470B" w:rsidR="00B32D14" w:rsidRDefault="00B32D14" w:rsidP="6C086335">
      <w:pPr>
        <w:spacing w:line="360" w:lineRule="auto"/>
        <w:rPr>
          <w:rFonts w:ascii="Arial Nova" w:eastAsia="Arial Nova" w:hAnsi="Arial Nova" w:cs="Arial Nova"/>
          <w:sz w:val="22"/>
          <w:szCs w:val="22"/>
        </w:rPr>
      </w:pPr>
    </w:p>
    <w:p w14:paraId="29A5CEF0" w14:textId="01F06534" w:rsidR="00B32D14" w:rsidRDefault="00B32D14" w:rsidP="6C086335">
      <w:pPr>
        <w:spacing w:line="360" w:lineRule="auto"/>
        <w:rPr>
          <w:rFonts w:ascii="Arial Nova" w:eastAsia="Arial Nova" w:hAnsi="Arial Nova" w:cs="Arial Nova"/>
          <w:sz w:val="22"/>
          <w:szCs w:val="22"/>
        </w:rPr>
      </w:pPr>
    </w:p>
    <w:p w14:paraId="78DCDF91" w14:textId="6B4E8CB7" w:rsidR="00B32D14" w:rsidRDefault="00B32D14" w:rsidP="6C086335">
      <w:pPr>
        <w:spacing w:line="360" w:lineRule="auto"/>
        <w:rPr>
          <w:rFonts w:ascii="Arial Nova" w:eastAsia="Arial Nova" w:hAnsi="Arial Nova" w:cs="Arial Nova"/>
          <w:sz w:val="22"/>
          <w:szCs w:val="22"/>
        </w:rPr>
      </w:pPr>
    </w:p>
    <w:p w14:paraId="128042FF" w14:textId="44730A6C" w:rsidR="00B32D14" w:rsidRDefault="00B32D14" w:rsidP="6C086335">
      <w:pPr>
        <w:spacing w:line="360" w:lineRule="auto"/>
        <w:rPr>
          <w:rFonts w:ascii="Arial Nova" w:eastAsia="Arial Nova" w:hAnsi="Arial Nova" w:cs="Arial Nova"/>
          <w:sz w:val="22"/>
          <w:szCs w:val="22"/>
        </w:rPr>
      </w:pPr>
    </w:p>
    <w:p w14:paraId="7257B460" w14:textId="46BE2012" w:rsidR="00B32D14" w:rsidRDefault="00B32D14" w:rsidP="6C086335">
      <w:pPr>
        <w:spacing w:line="360" w:lineRule="auto"/>
        <w:rPr>
          <w:rFonts w:ascii="Arial Nova" w:eastAsia="Arial Nova" w:hAnsi="Arial Nova" w:cs="Arial Nova"/>
          <w:sz w:val="22"/>
          <w:szCs w:val="22"/>
        </w:rPr>
      </w:pPr>
    </w:p>
    <w:p w14:paraId="1B509DCC" w14:textId="3D7BBD5A" w:rsidR="00B32D14" w:rsidRDefault="00B32D14" w:rsidP="6C086335">
      <w:pPr>
        <w:spacing w:line="360" w:lineRule="auto"/>
        <w:rPr>
          <w:rFonts w:ascii="Arial Nova" w:eastAsia="Arial Nova" w:hAnsi="Arial Nova" w:cs="Arial Nova"/>
          <w:sz w:val="22"/>
          <w:szCs w:val="22"/>
        </w:rPr>
      </w:pPr>
    </w:p>
    <w:p w14:paraId="0ACFF877" w14:textId="77777777" w:rsidR="00B32D14" w:rsidRDefault="00B32D14" w:rsidP="6C086335">
      <w:pPr>
        <w:spacing w:line="360" w:lineRule="auto"/>
        <w:rPr>
          <w:rFonts w:ascii="Arial Nova" w:eastAsia="Arial Nova" w:hAnsi="Arial Nova" w:cs="Arial Nova"/>
          <w:sz w:val="22"/>
          <w:szCs w:val="22"/>
        </w:rPr>
      </w:pPr>
    </w:p>
    <w:p w14:paraId="7FAE4EEE" w14:textId="200D797A" w:rsidR="7C9E7632" w:rsidRDefault="7C9E7632" w:rsidP="7C9E7632">
      <w:pPr>
        <w:pStyle w:val="Heading1"/>
        <w:spacing w:line="360" w:lineRule="auto"/>
        <w:rPr>
          <w:rFonts w:ascii="Arial" w:eastAsia="Arial" w:hAnsi="Arial" w:cs="Arial"/>
          <w:b/>
          <w:bCs/>
          <w:color w:val="000000" w:themeColor="text1"/>
          <w:sz w:val="22"/>
          <w:szCs w:val="22"/>
        </w:rPr>
      </w:pPr>
    </w:p>
    <w:p w14:paraId="6ADBB7E0" w14:textId="12FF73A8" w:rsidR="00AA32BD" w:rsidRPr="0027089D" w:rsidRDefault="3B68B236" w:rsidP="7C9E7632">
      <w:pPr>
        <w:pStyle w:val="Heading1"/>
        <w:spacing w:before="100" w:beforeAutospacing="1" w:after="100" w:afterAutospacing="1" w:line="360" w:lineRule="auto"/>
        <w:rPr>
          <w:rFonts w:ascii="Arial" w:eastAsia="Arial" w:hAnsi="Arial" w:cs="Arial"/>
          <w:b/>
          <w:bCs/>
          <w:color w:val="000000" w:themeColor="text1"/>
          <w:kern w:val="36"/>
          <w:sz w:val="22"/>
          <w:szCs w:val="22"/>
          <w14:ligatures w14:val="none"/>
        </w:rPr>
      </w:pPr>
      <w:bookmarkStart w:id="0" w:name="_Toc1732148538"/>
      <w:r w:rsidRPr="7C9E7632">
        <w:rPr>
          <w:rFonts w:ascii="Arial" w:eastAsia="Arial" w:hAnsi="Arial" w:cs="Arial"/>
          <w:b/>
          <w:bCs/>
          <w:color w:val="000000" w:themeColor="text1"/>
          <w:sz w:val="22"/>
          <w:szCs w:val="22"/>
        </w:rPr>
        <w:t xml:space="preserve">1. </w:t>
      </w:r>
      <w:r w:rsidR="00AA32BD" w:rsidRPr="7C9E7632">
        <w:rPr>
          <w:rFonts w:ascii="Arial" w:eastAsia="Arial" w:hAnsi="Arial" w:cs="Arial"/>
          <w:b/>
          <w:bCs/>
          <w:color w:val="000000" w:themeColor="text1"/>
          <w:sz w:val="22"/>
          <w:szCs w:val="22"/>
        </w:rPr>
        <w:t>Introduction</w:t>
      </w:r>
      <w:bookmarkEnd w:id="0"/>
    </w:p>
    <w:p w14:paraId="1C8990F0" w14:textId="60E620E4" w:rsidR="006D41BC" w:rsidRPr="006D41BC" w:rsidRDefault="000D7784" w:rsidP="5C51180E">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Failures in maternity services </w:t>
      </w:r>
      <w:r w:rsidR="006F4A83" w:rsidRPr="56C33A9D">
        <w:rPr>
          <w:rFonts w:ascii="Arial Nova" w:eastAsia="Arial Nova" w:hAnsi="Arial Nova" w:cs="Arial Nova"/>
          <w:sz w:val="22"/>
          <w:szCs w:val="22"/>
        </w:rPr>
        <w:t>stay</w:t>
      </w:r>
      <w:r w:rsidRPr="56C33A9D">
        <w:rPr>
          <w:rFonts w:ascii="Arial Nova" w:eastAsia="Arial Nova" w:hAnsi="Arial Nova" w:cs="Arial Nova"/>
          <w:sz w:val="22"/>
          <w:szCs w:val="22"/>
        </w:rPr>
        <w:t xml:space="preserve"> a significant patient safety and public health concern within the National Health Service (NHS), despite sustained investment in quality improvement, regulatory </w:t>
      </w:r>
      <w:r w:rsidR="006F4A83" w:rsidRPr="56C33A9D">
        <w:rPr>
          <w:rFonts w:ascii="Arial Nova" w:eastAsia="Arial Nova" w:hAnsi="Arial Nova" w:cs="Arial Nova"/>
          <w:sz w:val="22"/>
          <w:szCs w:val="22"/>
        </w:rPr>
        <w:t>oversight,</w:t>
      </w:r>
      <w:r w:rsidRPr="56C33A9D">
        <w:rPr>
          <w:rFonts w:ascii="Arial Nova" w:eastAsia="Arial Nova" w:hAnsi="Arial Nova" w:cs="Arial Nova"/>
          <w:sz w:val="22"/>
          <w:szCs w:val="22"/>
        </w:rPr>
        <w:t xml:space="preserve"> and national safety programmes. Safe, </w:t>
      </w:r>
      <w:r w:rsidR="006F4A83" w:rsidRPr="56C33A9D">
        <w:rPr>
          <w:rFonts w:ascii="Arial Nova" w:eastAsia="Arial Nova" w:hAnsi="Arial Nova" w:cs="Arial Nova"/>
          <w:sz w:val="22"/>
          <w:szCs w:val="22"/>
        </w:rPr>
        <w:t>effective,</w:t>
      </w:r>
      <w:r w:rsidRPr="56C33A9D">
        <w:rPr>
          <w:rFonts w:ascii="Arial Nova" w:eastAsia="Arial Nova" w:hAnsi="Arial Nova" w:cs="Arial Nova"/>
          <w:sz w:val="22"/>
          <w:szCs w:val="22"/>
        </w:rPr>
        <w:t xml:space="preserve"> and person-centred maternity care is essential for reducing maternal and neonatal morbidity and mortality while improving women’s experiences of healthcare. However, recent evidence </w:t>
      </w:r>
      <w:r w:rsidR="004F5EFB" w:rsidRPr="56C33A9D">
        <w:rPr>
          <w:rFonts w:ascii="Arial Nova" w:eastAsia="Arial Nova" w:hAnsi="Arial Nova" w:cs="Arial Nova"/>
          <w:sz w:val="22"/>
          <w:szCs w:val="22"/>
        </w:rPr>
        <w:t>shows</w:t>
      </w:r>
      <w:r w:rsidRPr="56C33A9D">
        <w:rPr>
          <w:rFonts w:ascii="Arial Nova" w:eastAsia="Arial Nova" w:hAnsi="Arial Nova" w:cs="Arial Nova"/>
          <w:sz w:val="22"/>
          <w:szCs w:val="22"/>
        </w:rPr>
        <w:t xml:space="preserve"> that considerable variation in the quality of maternity services persists across </w:t>
      </w:r>
      <w:r w:rsidR="006D41BC" w:rsidRPr="56C33A9D">
        <w:rPr>
          <w:rFonts w:ascii="Arial Nova" w:eastAsia="Arial Nova" w:hAnsi="Arial Nova" w:cs="Arial Nova"/>
          <w:sz w:val="22"/>
          <w:szCs w:val="22"/>
        </w:rPr>
        <w:t>England</w:t>
      </w:r>
      <w:r w:rsidR="006D41BC" w:rsidRPr="1B0E3B3F">
        <w:rPr>
          <w:rFonts w:ascii="Arial Nova" w:eastAsia="Arial Nova" w:hAnsi="Arial Nova" w:cs="Arial Nova"/>
          <w:b/>
          <w:sz w:val="22"/>
          <w:szCs w:val="22"/>
        </w:rPr>
        <w:t xml:space="preserve"> (</w:t>
      </w:r>
      <w:r w:rsidR="006D41BC" w:rsidRPr="1B0E3B3F">
        <w:rPr>
          <w:rFonts w:ascii="Arial Nova" w:eastAsia="Arial Nova" w:hAnsi="Arial Nova" w:cs="Arial Nova"/>
          <w:sz w:val="22"/>
          <w:szCs w:val="22"/>
        </w:rPr>
        <w:t>World Health Organization, 2021; NHS Resolution, 2024).</w:t>
      </w:r>
    </w:p>
    <w:p w14:paraId="533F4904" w14:textId="2F87D165" w:rsidR="000D7784" w:rsidRPr="0027089D" w:rsidRDefault="000D7784" w:rsidP="6C086335">
      <w:pPr>
        <w:pStyle w:val="p1"/>
        <w:spacing w:line="360" w:lineRule="auto"/>
        <w:rPr>
          <w:rStyle w:val="s1"/>
          <w:rFonts w:ascii="Arial Nova" w:eastAsia="Arial Nova" w:hAnsi="Arial Nova" w:cs="Arial Nova"/>
          <w:sz w:val="22"/>
          <w:szCs w:val="22"/>
        </w:rPr>
      </w:pPr>
      <w:r w:rsidRPr="56C33A9D">
        <w:rPr>
          <w:rFonts w:ascii="Arial Nova" w:eastAsia="Arial Nova" w:hAnsi="Arial Nova" w:cs="Arial Nova"/>
          <w:sz w:val="22"/>
          <w:szCs w:val="22"/>
        </w:rPr>
        <w:t xml:space="preserve"> The Care Quality Commission (CQC) reported that almost half of maternity services inspected between 2022 and 2024 </w:t>
      </w:r>
      <w:bookmarkStart w:id="1" w:name="_Int_JqPA69vR"/>
      <w:r w:rsidRPr="56C33A9D">
        <w:rPr>
          <w:rFonts w:ascii="Arial Nova" w:eastAsia="Arial Nova" w:hAnsi="Arial Nova" w:cs="Arial Nova"/>
          <w:sz w:val="22"/>
          <w:szCs w:val="22"/>
        </w:rPr>
        <w:t>were rated</w:t>
      </w:r>
      <w:bookmarkEnd w:id="1"/>
      <w:r w:rsidRPr="56C33A9D">
        <w:rPr>
          <w:rFonts w:ascii="Arial Nova" w:eastAsia="Arial Nova" w:hAnsi="Arial Nova" w:cs="Arial Nova"/>
          <w:sz w:val="22"/>
          <w:szCs w:val="22"/>
        </w:rPr>
        <w:t xml:space="preserve"> either </w:t>
      </w:r>
      <w:r w:rsidRPr="56C33A9D">
        <w:rPr>
          <w:rStyle w:val="s2"/>
          <w:rFonts w:ascii="Arial Nova" w:eastAsia="Arial Nova" w:hAnsi="Arial Nova" w:cs="Arial Nova"/>
          <w:sz w:val="22"/>
          <w:szCs w:val="22"/>
        </w:rPr>
        <w:t>Requires Improvement</w:t>
      </w:r>
      <w:r w:rsidRPr="56C33A9D">
        <w:rPr>
          <w:rStyle w:val="s1"/>
          <w:rFonts w:ascii="Arial Nova" w:eastAsia="Arial Nova" w:hAnsi="Arial Nova" w:cs="Arial Nova"/>
          <w:sz w:val="22"/>
          <w:szCs w:val="22"/>
        </w:rPr>
        <w:t xml:space="preserve"> or </w:t>
      </w:r>
      <w:r w:rsidRPr="56C33A9D">
        <w:rPr>
          <w:rStyle w:val="s2"/>
          <w:rFonts w:ascii="Arial Nova" w:eastAsia="Arial Nova" w:hAnsi="Arial Nova" w:cs="Arial Nova"/>
          <w:sz w:val="22"/>
          <w:szCs w:val="22"/>
        </w:rPr>
        <w:t>Inadequate</w:t>
      </w:r>
      <w:r w:rsidRPr="56C33A9D">
        <w:rPr>
          <w:rStyle w:val="s1"/>
          <w:rFonts w:ascii="Arial Nova" w:eastAsia="Arial Nova" w:hAnsi="Arial Nova" w:cs="Arial Nova"/>
          <w:sz w:val="22"/>
          <w:szCs w:val="22"/>
        </w:rPr>
        <w:t xml:space="preserve">, with recurring concerns relating to safety, leadership, </w:t>
      </w:r>
      <w:r w:rsidR="00BF06A3" w:rsidRPr="56C33A9D">
        <w:rPr>
          <w:rStyle w:val="s1"/>
          <w:rFonts w:ascii="Arial Nova" w:eastAsia="Arial Nova" w:hAnsi="Arial Nova" w:cs="Arial Nova"/>
          <w:sz w:val="22"/>
          <w:szCs w:val="22"/>
        </w:rPr>
        <w:t>governance,</w:t>
      </w:r>
      <w:r w:rsidRPr="56C33A9D">
        <w:rPr>
          <w:rStyle w:val="s1"/>
          <w:rFonts w:ascii="Arial Nova" w:eastAsia="Arial Nova" w:hAnsi="Arial Nova" w:cs="Arial Nova"/>
          <w:sz w:val="22"/>
          <w:szCs w:val="22"/>
        </w:rPr>
        <w:t xml:space="preserve"> and organisational culture (Care Quality Commission, 2024). </w:t>
      </w:r>
      <w:r w:rsidRPr="56C33A9D">
        <w:rPr>
          <w:rStyle w:val="s2"/>
          <w:rFonts w:ascii="Arial Nova" w:eastAsia="Arial Nova" w:hAnsi="Arial Nova" w:cs="Arial Nova"/>
          <w:sz w:val="22"/>
          <w:szCs w:val="22"/>
        </w:rPr>
        <w:t>Consequently</w:t>
      </w:r>
      <w:r w:rsidRPr="56C33A9D">
        <w:rPr>
          <w:rStyle w:val="s1"/>
          <w:rFonts w:ascii="Arial Nova" w:eastAsia="Arial Nova" w:hAnsi="Arial Nova" w:cs="Arial Nova"/>
          <w:sz w:val="22"/>
          <w:szCs w:val="22"/>
        </w:rPr>
        <w:t xml:space="preserve">, these findings suggest that national policies and regulatory standards alone are insufficient unless they </w:t>
      </w:r>
      <w:bookmarkStart w:id="2" w:name="_Int_7ZbchGg2"/>
      <w:r w:rsidRPr="56C33A9D">
        <w:rPr>
          <w:rStyle w:val="s1"/>
          <w:rFonts w:ascii="Arial Nova" w:eastAsia="Arial Nova" w:hAnsi="Arial Nova" w:cs="Arial Nova"/>
          <w:sz w:val="22"/>
          <w:szCs w:val="22"/>
        </w:rPr>
        <w:t>are consistently translated</w:t>
      </w:r>
      <w:bookmarkEnd w:id="2"/>
      <w:r w:rsidRPr="56C33A9D">
        <w:rPr>
          <w:rStyle w:val="s1"/>
          <w:rFonts w:ascii="Arial Nova" w:eastAsia="Arial Nova" w:hAnsi="Arial Nova" w:cs="Arial Nova"/>
          <w:sz w:val="22"/>
          <w:szCs w:val="22"/>
        </w:rPr>
        <w:t xml:space="preserve"> into safe clinical practice.</w:t>
      </w:r>
    </w:p>
    <w:p w14:paraId="3DE10495" w14:textId="314BA7AA" w:rsidR="000D7784" w:rsidRPr="0027089D" w:rsidRDefault="000D7784" w:rsidP="6C086335">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The maternity services at </w:t>
      </w:r>
      <w:r w:rsidRPr="56C33A9D">
        <w:rPr>
          <w:rStyle w:val="s2"/>
          <w:rFonts w:ascii="Arial Nova" w:eastAsia="Arial Nova" w:hAnsi="Arial Nova" w:cs="Arial Nova"/>
          <w:sz w:val="22"/>
          <w:szCs w:val="22"/>
        </w:rPr>
        <w:t>Shrewsbury and Telford Hospital NHS Trust</w:t>
      </w:r>
      <w:r w:rsidRPr="56C33A9D">
        <w:rPr>
          <w:rStyle w:val="s1"/>
          <w:rFonts w:ascii="Arial Nova" w:eastAsia="Arial Nova" w:hAnsi="Arial Nova" w:cs="Arial Nova"/>
          <w:sz w:val="22"/>
          <w:szCs w:val="22"/>
        </w:rPr>
        <w:t xml:space="preserve"> have </w:t>
      </w:r>
      <w:bookmarkStart w:id="3" w:name="_Int_vGWgDFJ2"/>
      <w:r w:rsidRPr="56C33A9D">
        <w:rPr>
          <w:rStyle w:val="s1"/>
          <w:rFonts w:ascii="Arial Nova" w:eastAsia="Arial Nova" w:hAnsi="Arial Nova" w:cs="Arial Nova"/>
          <w:sz w:val="22"/>
          <w:szCs w:val="22"/>
        </w:rPr>
        <w:t>been selected</w:t>
      </w:r>
      <w:bookmarkEnd w:id="3"/>
      <w:r w:rsidRPr="56C33A9D">
        <w:rPr>
          <w:rStyle w:val="s1"/>
          <w:rFonts w:ascii="Arial Nova" w:eastAsia="Arial Nova" w:hAnsi="Arial Nova" w:cs="Arial Nova"/>
          <w:sz w:val="22"/>
          <w:szCs w:val="22"/>
        </w:rPr>
        <w:t xml:space="preserve"> as the focus of this report because they </w:t>
      </w:r>
      <w:bookmarkStart w:id="4" w:name="_Int_PPH3ZM99"/>
      <w:r w:rsidRPr="56C33A9D">
        <w:rPr>
          <w:rStyle w:val="s1"/>
          <w:rFonts w:ascii="Arial Nova" w:eastAsia="Arial Nova" w:hAnsi="Arial Nova" w:cs="Arial Nova"/>
          <w:sz w:val="22"/>
          <w:szCs w:val="22"/>
        </w:rPr>
        <w:t>represent</w:t>
      </w:r>
      <w:bookmarkEnd w:id="4"/>
      <w:r w:rsidRPr="56C33A9D">
        <w:rPr>
          <w:rStyle w:val="s1"/>
          <w:rFonts w:ascii="Arial Nova" w:eastAsia="Arial Nova" w:hAnsi="Arial Nova" w:cs="Arial Nova"/>
          <w:sz w:val="22"/>
          <w:szCs w:val="22"/>
        </w:rPr>
        <w:t xml:space="preserve"> one of the most significant examples of healthcare quality failure within the NHS. The independent Ockenden Review concluded that repeated failures in leadership, communication, clinical </w:t>
      </w:r>
      <w:r w:rsidR="00DC1FC9" w:rsidRPr="56C33A9D">
        <w:rPr>
          <w:rStyle w:val="s1"/>
          <w:rFonts w:ascii="Arial Nova" w:eastAsia="Arial Nova" w:hAnsi="Arial Nova" w:cs="Arial Nova"/>
          <w:sz w:val="22"/>
          <w:szCs w:val="22"/>
        </w:rPr>
        <w:t>governance,</w:t>
      </w:r>
      <w:r w:rsidRPr="56C33A9D">
        <w:rPr>
          <w:rStyle w:val="s1"/>
          <w:rFonts w:ascii="Arial Nova" w:eastAsia="Arial Nova" w:hAnsi="Arial Nova" w:cs="Arial Nova"/>
          <w:sz w:val="22"/>
          <w:szCs w:val="22"/>
        </w:rPr>
        <w:t xml:space="preserve"> and organisational learning resulted in avoidable harm to mothers and babies over many years (Ockenden, 2022). </w:t>
      </w:r>
      <w:r w:rsidRPr="56C33A9D">
        <w:rPr>
          <w:rStyle w:val="s2"/>
          <w:rFonts w:ascii="Arial Nova" w:eastAsia="Arial Nova" w:hAnsi="Arial Nova" w:cs="Arial Nova"/>
          <w:sz w:val="22"/>
          <w:szCs w:val="22"/>
        </w:rPr>
        <w:t>However</w:t>
      </w:r>
      <w:r w:rsidRPr="56C33A9D">
        <w:rPr>
          <w:rStyle w:val="s1"/>
          <w:rFonts w:ascii="Arial Nova" w:eastAsia="Arial Nova" w:hAnsi="Arial Nova" w:cs="Arial Nova"/>
          <w:sz w:val="22"/>
          <w:szCs w:val="22"/>
        </w:rPr>
        <w:t xml:space="preserve">, the importance of this case extends beyond a single NHS Trust, as </w:t>
      </w:r>
      <w:r w:rsidR="00DC1FC9" w:rsidRPr="56C33A9D">
        <w:rPr>
          <w:rStyle w:val="s1"/>
          <w:rFonts w:ascii="Arial Nova" w:eastAsia="Arial Nova" w:hAnsi="Arial Nova" w:cs="Arial Nova"/>
          <w:sz w:val="22"/>
          <w:szCs w:val="22"/>
        </w:rPr>
        <w:t>later</w:t>
      </w:r>
      <w:r w:rsidRPr="56C33A9D">
        <w:rPr>
          <w:rStyle w:val="s1"/>
          <w:rFonts w:ascii="Arial Nova" w:eastAsia="Arial Nova" w:hAnsi="Arial Nova" w:cs="Arial Nova"/>
          <w:sz w:val="22"/>
          <w:szCs w:val="22"/>
        </w:rPr>
        <w:t xml:space="preserve"> national reviews </w:t>
      </w:r>
      <w:bookmarkStart w:id="5" w:name="_Int_k4lf9haE"/>
      <w:r w:rsidRPr="56C33A9D">
        <w:rPr>
          <w:rStyle w:val="s1"/>
          <w:rFonts w:ascii="Arial Nova" w:eastAsia="Arial Nova" w:hAnsi="Arial Nova" w:cs="Arial Nova"/>
          <w:sz w:val="22"/>
          <w:szCs w:val="22"/>
        </w:rPr>
        <w:t>indicate</w:t>
      </w:r>
      <w:bookmarkEnd w:id="5"/>
      <w:r w:rsidRPr="56C33A9D">
        <w:rPr>
          <w:rStyle w:val="s1"/>
          <w:rFonts w:ascii="Arial Nova" w:eastAsia="Arial Nova" w:hAnsi="Arial Nova" w:cs="Arial Nova"/>
          <w:sz w:val="22"/>
          <w:szCs w:val="22"/>
        </w:rPr>
        <w:t xml:space="preserve"> that similar concerns continue to affect maternity services across England (Care Quality Commission, 2024). Therefore, the case provides </w:t>
      </w:r>
      <w:bookmarkStart w:id="6" w:name="_Int_gEZHIJ3O"/>
      <w:r w:rsidRPr="56C33A9D">
        <w:rPr>
          <w:rStyle w:val="s1"/>
          <w:rFonts w:ascii="Arial Nova" w:eastAsia="Arial Nova" w:hAnsi="Arial Nova" w:cs="Arial Nova"/>
          <w:sz w:val="22"/>
          <w:szCs w:val="22"/>
        </w:rPr>
        <w:t>an appropriate basis</w:t>
      </w:r>
      <w:bookmarkEnd w:id="6"/>
      <w:r w:rsidRPr="56C33A9D">
        <w:rPr>
          <w:rStyle w:val="s1"/>
          <w:rFonts w:ascii="Arial Nova" w:eastAsia="Arial Nova" w:hAnsi="Arial Nova" w:cs="Arial Nova"/>
          <w:sz w:val="22"/>
          <w:szCs w:val="22"/>
        </w:rPr>
        <w:t xml:space="preserve"> for examining how evidence-based quality improvement can strengthen patient safety and organisational performance</w:t>
      </w:r>
      <w:r w:rsidR="00247C2D" w:rsidRPr="56C33A9D">
        <w:rPr>
          <w:rStyle w:val="s1"/>
          <w:rFonts w:ascii="Arial Nova" w:eastAsia="Arial Nova" w:hAnsi="Arial Nova" w:cs="Arial Nova"/>
          <w:sz w:val="22"/>
          <w:szCs w:val="22"/>
        </w:rPr>
        <w:t xml:space="preserve"> </w:t>
      </w:r>
      <w:r w:rsidR="00247C2D" w:rsidRPr="1B0E3B3F">
        <w:rPr>
          <w:rFonts w:ascii="Arial Nova" w:eastAsia="Arial Nova" w:hAnsi="Arial Nova" w:cs="Arial Nova"/>
          <w:sz w:val="22"/>
          <w:szCs w:val="22"/>
        </w:rPr>
        <w:t>(Royal College of Obstetricians and Gynaecologists, 2024).</w:t>
      </w:r>
    </w:p>
    <w:p w14:paraId="70F2A708" w14:textId="77777777" w:rsidR="00307E4E" w:rsidRDefault="000D7784" w:rsidP="6C086335">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Although adverse events </w:t>
      </w:r>
      <w:bookmarkStart w:id="7" w:name="_Int_LLU40VpI"/>
      <w:r w:rsidRPr="56C33A9D">
        <w:rPr>
          <w:rFonts w:ascii="Arial Nova" w:eastAsia="Arial Nova" w:hAnsi="Arial Nova" w:cs="Arial Nova"/>
          <w:sz w:val="22"/>
          <w:szCs w:val="22"/>
        </w:rPr>
        <w:t>are often attributed</w:t>
      </w:r>
      <w:bookmarkEnd w:id="7"/>
      <w:r w:rsidRPr="56C33A9D">
        <w:rPr>
          <w:rFonts w:ascii="Arial Nova" w:eastAsia="Arial Nova" w:hAnsi="Arial Nova" w:cs="Arial Nova"/>
          <w:sz w:val="22"/>
          <w:szCs w:val="22"/>
        </w:rPr>
        <w:t xml:space="preserve"> to individual clinical error, this explanation provides only a partial understanding of healthcare quality failures. Reason (2000) argues that patient harm usually results from interacting organisational weaknesses rather than isolated human mistakes, while Vincent and Amalberti (2016) suggest that safer healthcare depends upon designing resilient systems capable of preventing errors before they reach patients.</w:t>
      </w:r>
    </w:p>
    <w:p w14:paraId="7C7991B5" w14:textId="53970601" w:rsidR="000D7784" w:rsidRPr="0027089D" w:rsidRDefault="000D7784" w:rsidP="6C086335">
      <w:pPr>
        <w:pStyle w:val="p1"/>
        <w:spacing w:line="360" w:lineRule="auto"/>
        <w:rPr>
          <w:rFonts w:ascii="Arial Nova" w:eastAsia="Arial Nova" w:hAnsi="Arial Nova" w:cs="Arial Nova"/>
          <w:sz w:val="22"/>
          <w:szCs w:val="22"/>
        </w:rPr>
      </w:pPr>
      <w:r w:rsidRPr="56C33A9D">
        <w:rPr>
          <w:rStyle w:val="s2"/>
          <w:rFonts w:ascii="Arial Nova" w:eastAsia="Arial Nova" w:hAnsi="Arial Nova" w:cs="Arial Nova"/>
          <w:sz w:val="22"/>
          <w:szCs w:val="22"/>
        </w:rPr>
        <w:t>Conversely</w:t>
      </w:r>
      <w:r w:rsidRPr="56C33A9D">
        <w:rPr>
          <w:rStyle w:val="s1"/>
          <w:rFonts w:ascii="Arial Nova" w:eastAsia="Arial Nova" w:hAnsi="Arial Nova" w:cs="Arial Nova"/>
          <w:sz w:val="22"/>
          <w:szCs w:val="22"/>
        </w:rPr>
        <w:t xml:space="preserve">, Mannion and Davies (2018) argue that system redesign alone is unlikely to improve outcomes unless organisations also develop effective leadership, staff engagement and a culture that supports openness and continuous learning. Furthermore, Dixon-Woods et al. (2014) found that many healthcare organisations </w:t>
      </w:r>
      <w:r w:rsidR="00CE57A6" w:rsidRPr="56C33A9D">
        <w:rPr>
          <w:rStyle w:val="s1"/>
          <w:rFonts w:ascii="Arial Nova" w:eastAsia="Arial Nova" w:hAnsi="Arial Nova" w:cs="Arial Nova"/>
          <w:sz w:val="22"/>
          <w:szCs w:val="22"/>
        </w:rPr>
        <w:t>have</w:t>
      </w:r>
      <w:r w:rsidRPr="56C33A9D">
        <w:rPr>
          <w:rStyle w:val="s1"/>
          <w:rFonts w:ascii="Arial Nova" w:eastAsia="Arial Nova" w:hAnsi="Arial Nova" w:cs="Arial Nova"/>
          <w:sz w:val="22"/>
          <w:szCs w:val="22"/>
        </w:rPr>
        <w:t xml:space="preserve"> </w:t>
      </w:r>
      <w:r w:rsidR="00947E37" w:rsidRPr="56C33A9D">
        <w:rPr>
          <w:rStyle w:val="s1"/>
          <w:rFonts w:ascii="Arial Nova" w:eastAsia="Arial Nova" w:hAnsi="Arial Nova" w:cs="Arial Nova"/>
          <w:sz w:val="22"/>
          <w:szCs w:val="22"/>
        </w:rPr>
        <w:t>governance</w:t>
      </w:r>
      <w:r w:rsidRPr="56C33A9D">
        <w:rPr>
          <w:rStyle w:val="s1"/>
          <w:rFonts w:ascii="Arial Nova" w:eastAsia="Arial Nova" w:hAnsi="Arial Nova" w:cs="Arial Nova"/>
          <w:sz w:val="22"/>
          <w:szCs w:val="22"/>
        </w:rPr>
        <w:t xml:space="preserve"> structures but fail to embed them consistently within everyday practice. </w:t>
      </w:r>
      <w:r w:rsidRPr="56C33A9D">
        <w:rPr>
          <w:rStyle w:val="s2"/>
          <w:rFonts w:ascii="Arial Nova" w:eastAsia="Arial Nova" w:hAnsi="Arial Nova" w:cs="Arial Nova"/>
          <w:sz w:val="22"/>
          <w:szCs w:val="22"/>
        </w:rPr>
        <w:t>Therefore</w:t>
      </w:r>
      <w:r w:rsidRPr="56C33A9D">
        <w:rPr>
          <w:rStyle w:val="s1"/>
          <w:rFonts w:ascii="Arial Nova" w:eastAsia="Arial Nova" w:hAnsi="Arial Nova" w:cs="Arial Nova"/>
          <w:sz w:val="22"/>
          <w:szCs w:val="22"/>
        </w:rPr>
        <w:t xml:space="preserve">, sustainable quality improvement requires leadership, governance, organisational </w:t>
      </w:r>
      <w:r w:rsidR="00654C0C" w:rsidRPr="56C33A9D">
        <w:rPr>
          <w:rStyle w:val="s1"/>
          <w:rFonts w:ascii="Arial Nova" w:eastAsia="Arial Nova" w:hAnsi="Arial Nova" w:cs="Arial Nova"/>
          <w:sz w:val="22"/>
          <w:szCs w:val="22"/>
        </w:rPr>
        <w:t>culture,</w:t>
      </w:r>
      <w:r w:rsidRPr="56C33A9D">
        <w:rPr>
          <w:rStyle w:val="s1"/>
          <w:rFonts w:ascii="Arial Nova" w:eastAsia="Arial Nova" w:hAnsi="Arial Nova" w:cs="Arial Nova"/>
          <w:sz w:val="22"/>
          <w:szCs w:val="22"/>
        </w:rPr>
        <w:t xml:space="preserve"> and evidence-based practice to </w:t>
      </w:r>
      <w:bookmarkStart w:id="8" w:name="_Int_4MkKkkwx"/>
      <w:r w:rsidRPr="56C33A9D">
        <w:rPr>
          <w:rStyle w:val="s1"/>
          <w:rFonts w:ascii="Arial Nova" w:eastAsia="Arial Nova" w:hAnsi="Arial Nova" w:cs="Arial Nova"/>
          <w:sz w:val="22"/>
          <w:szCs w:val="22"/>
        </w:rPr>
        <w:t>operate</w:t>
      </w:r>
      <w:bookmarkEnd w:id="8"/>
      <w:r w:rsidRPr="56C33A9D">
        <w:rPr>
          <w:rStyle w:val="s1"/>
          <w:rFonts w:ascii="Arial Nova" w:eastAsia="Arial Nova" w:hAnsi="Arial Nova" w:cs="Arial Nova"/>
          <w:sz w:val="22"/>
          <w:szCs w:val="22"/>
        </w:rPr>
        <w:t xml:space="preserve"> together rather than independently</w:t>
      </w:r>
      <w:r w:rsidR="00654C0C" w:rsidRPr="56C33A9D">
        <w:rPr>
          <w:rStyle w:val="s1"/>
          <w:rFonts w:ascii="Arial Nova" w:eastAsia="Arial Nova" w:hAnsi="Arial Nova" w:cs="Arial Nova"/>
          <w:sz w:val="22"/>
          <w:szCs w:val="22"/>
        </w:rPr>
        <w:t xml:space="preserve"> </w:t>
      </w:r>
      <w:r w:rsidR="00654C0C" w:rsidRPr="1B0E3B3F">
        <w:rPr>
          <w:rFonts w:ascii="Arial Nova" w:eastAsia="Arial Nova" w:hAnsi="Arial Nova" w:cs="Arial Nova"/>
          <w:sz w:val="22"/>
          <w:szCs w:val="22"/>
        </w:rPr>
        <w:t>(Institute of Medicine, 2001).</w:t>
      </w:r>
    </w:p>
    <w:p w14:paraId="5ED7B4D4" w14:textId="54AFE7BD" w:rsidR="000D7784" w:rsidRPr="0027089D" w:rsidRDefault="000D7784" w:rsidP="6C086335">
      <w:pPr>
        <w:pStyle w:val="p1"/>
        <w:spacing w:line="360" w:lineRule="auto"/>
        <w:rPr>
          <w:rStyle w:val="s1"/>
          <w:rFonts w:ascii="Arial Nova" w:eastAsia="Arial Nova" w:hAnsi="Arial Nova" w:cs="Arial Nova"/>
          <w:sz w:val="22"/>
          <w:szCs w:val="22"/>
        </w:rPr>
      </w:pPr>
      <w:r w:rsidRPr="56C33A9D">
        <w:rPr>
          <w:rFonts w:ascii="Arial Nova" w:eastAsia="Arial Nova" w:hAnsi="Arial Nova" w:cs="Arial Nova"/>
          <w:sz w:val="22"/>
          <w:szCs w:val="22"/>
        </w:rPr>
        <w:t xml:space="preserve">These principles are reinforced through the </w:t>
      </w:r>
      <w:r w:rsidRPr="56C33A9D">
        <w:rPr>
          <w:rStyle w:val="s2"/>
          <w:rFonts w:ascii="Arial Nova" w:eastAsia="Arial Nova" w:hAnsi="Arial Nova" w:cs="Arial Nova"/>
          <w:sz w:val="22"/>
          <w:szCs w:val="22"/>
        </w:rPr>
        <w:t>Health and Social Care Act 2008 (Regulated Activities) Regulations 2014</w:t>
      </w:r>
      <w:r w:rsidRPr="56C33A9D">
        <w:rPr>
          <w:rStyle w:val="s1"/>
          <w:rFonts w:ascii="Arial Nova" w:eastAsia="Arial Nova" w:hAnsi="Arial Nova" w:cs="Arial Nova"/>
          <w:sz w:val="22"/>
          <w:szCs w:val="22"/>
        </w:rPr>
        <w:t xml:space="preserve">, including </w:t>
      </w:r>
      <w:r w:rsidRPr="56C33A9D">
        <w:rPr>
          <w:rStyle w:val="s2"/>
          <w:rFonts w:ascii="Arial Nova" w:eastAsia="Arial Nova" w:hAnsi="Arial Nova" w:cs="Arial Nova"/>
          <w:sz w:val="22"/>
          <w:szCs w:val="22"/>
        </w:rPr>
        <w:t>Regulation 12 (Safe Care and Treatment)</w:t>
      </w:r>
      <w:r w:rsidRPr="56C33A9D">
        <w:rPr>
          <w:rStyle w:val="s1"/>
          <w:rFonts w:ascii="Arial Nova" w:eastAsia="Arial Nova" w:hAnsi="Arial Nova" w:cs="Arial Nova"/>
          <w:sz w:val="22"/>
          <w:szCs w:val="22"/>
        </w:rPr>
        <w:t xml:space="preserve"> and </w:t>
      </w:r>
      <w:r w:rsidRPr="56C33A9D">
        <w:rPr>
          <w:rStyle w:val="s2"/>
          <w:rFonts w:ascii="Arial Nova" w:eastAsia="Arial Nova" w:hAnsi="Arial Nova" w:cs="Arial Nova"/>
          <w:sz w:val="22"/>
          <w:szCs w:val="22"/>
        </w:rPr>
        <w:t>Regulation 20 (Duty of Candour)</w:t>
      </w:r>
      <w:r w:rsidRPr="56C33A9D">
        <w:rPr>
          <w:rStyle w:val="s1"/>
          <w:rFonts w:ascii="Arial Nova" w:eastAsia="Arial Nova" w:hAnsi="Arial Nova" w:cs="Arial Nova"/>
          <w:sz w:val="22"/>
          <w:szCs w:val="22"/>
        </w:rPr>
        <w:t xml:space="preserve">, alongside the </w:t>
      </w:r>
      <w:r w:rsidRPr="56C33A9D">
        <w:rPr>
          <w:rStyle w:val="s2"/>
          <w:rFonts w:ascii="Arial Nova" w:eastAsia="Arial Nova" w:hAnsi="Arial Nova" w:cs="Arial Nova"/>
          <w:sz w:val="22"/>
          <w:szCs w:val="22"/>
        </w:rPr>
        <w:t>NHS Patient Safety Strategy</w:t>
      </w:r>
      <w:r w:rsidRPr="56C33A9D">
        <w:rPr>
          <w:rStyle w:val="s1"/>
          <w:rFonts w:ascii="Arial Nova" w:eastAsia="Arial Nova" w:hAnsi="Arial Nova" w:cs="Arial Nova"/>
          <w:sz w:val="22"/>
          <w:szCs w:val="22"/>
        </w:rPr>
        <w:t xml:space="preserve"> (NHS England, 2019) and the </w:t>
      </w:r>
      <w:r w:rsidRPr="56C33A9D">
        <w:rPr>
          <w:rStyle w:val="s2"/>
          <w:rFonts w:ascii="Arial Nova" w:eastAsia="Arial Nova" w:hAnsi="Arial Nova" w:cs="Arial Nova"/>
          <w:sz w:val="22"/>
          <w:szCs w:val="22"/>
        </w:rPr>
        <w:t>Three-Year Delivery Plan for Maternity and Neonatal Services</w:t>
      </w:r>
      <w:r w:rsidRPr="56C33A9D">
        <w:rPr>
          <w:rStyle w:val="s1"/>
          <w:rFonts w:ascii="Arial Nova" w:eastAsia="Arial Nova" w:hAnsi="Arial Nova" w:cs="Arial Nova"/>
          <w:sz w:val="22"/>
          <w:szCs w:val="22"/>
        </w:rPr>
        <w:t xml:space="preserve"> (NHS England, 2023). </w:t>
      </w:r>
      <w:r w:rsidRPr="56C33A9D">
        <w:rPr>
          <w:rStyle w:val="s2"/>
          <w:rFonts w:ascii="Arial Nova" w:eastAsia="Arial Nova" w:hAnsi="Arial Nova" w:cs="Arial Nova"/>
          <w:sz w:val="22"/>
          <w:szCs w:val="22"/>
        </w:rPr>
        <w:t>Nevertheless</w:t>
      </w:r>
      <w:r w:rsidRPr="56C33A9D">
        <w:rPr>
          <w:rStyle w:val="s1"/>
          <w:rFonts w:ascii="Arial Nova" w:eastAsia="Arial Nova" w:hAnsi="Arial Nova" w:cs="Arial Nova"/>
          <w:sz w:val="22"/>
          <w:szCs w:val="22"/>
        </w:rPr>
        <w:t xml:space="preserve">, repeated national inquiries </w:t>
      </w:r>
      <w:bookmarkStart w:id="9" w:name="_Int_ko7SSMI2"/>
      <w:r w:rsidRPr="56C33A9D">
        <w:rPr>
          <w:rStyle w:val="s1"/>
          <w:rFonts w:ascii="Arial Nova" w:eastAsia="Arial Nova" w:hAnsi="Arial Nova" w:cs="Arial Nova"/>
          <w:sz w:val="22"/>
          <w:szCs w:val="22"/>
        </w:rPr>
        <w:t>demonstrate</w:t>
      </w:r>
      <w:bookmarkEnd w:id="9"/>
      <w:r w:rsidRPr="56C33A9D">
        <w:rPr>
          <w:rStyle w:val="s1"/>
          <w:rFonts w:ascii="Arial Nova" w:eastAsia="Arial Nova" w:hAnsi="Arial Nova" w:cs="Arial Nova"/>
          <w:sz w:val="22"/>
          <w:szCs w:val="22"/>
        </w:rPr>
        <w:t xml:space="preserve"> that regulation alone cannot prevent unsafe care without effective implementation, organisational </w:t>
      </w:r>
      <w:r w:rsidR="00CF22A9" w:rsidRPr="56C33A9D">
        <w:rPr>
          <w:rStyle w:val="s1"/>
          <w:rFonts w:ascii="Arial Nova" w:eastAsia="Arial Nova" w:hAnsi="Arial Nova" w:cs="Arial Nova"/>
          <w:sz w:val="22"/>
          <w:szCs w:val="22"/>
        </w:rPr>
        <w:t>accountability,</w:t>
      </w:r>
      <w:r w:rsidRPr="56C33A9D">
        <w:rPr>
          <w:rStyle w:val="s1"/>
          <w:rFonts w:ascii="Arial Nova" w:eastAsia="Arial Nova" w:hAnsi="Arial Nova" w:cs="Arial Nova"/>
          <w:sz w:val="22"/>
          <w:szCs w:val="22"/>
        </w:rPr>
        <w:t xml:space="preserve"> and continuous learning (Ockenden, 2022).</w:t>
      </w:r>
    </w:p>
    <w:p w14:paraId="14410E66" w14:textId="4250C9DB" w:rsidR="000D7784" w:rsidRPr="0027089D" w:rsidRDefault="000D7784" w:rsidP="6C086335">
      <w:pPr>
        <w:pStyle w:val="p2"/>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This report critically evaluates the quality concerns </w:t>
      </w:r>
      <w:r w:rsidR="066C6D53" w:rsidRPr="5DDBE2E8">
        <w:rPr>
          <w:rFonts w:ascii="Arial Nova" w:eastAsia="Arial Nova" w:hAnsi="Arial Nova" w:cs="Arial Nova"/>
          <w:sz w:val="22"/>
          <w:szCs w:val="22"/>
        </w:rPr>
        <w:t>shown</w:t>
      </w:r>
      <w:r w:rsidRPr="56C33A9D">
        <w:rPr>
          <w:rFonts w:ascii="Arial Nova" w:eastAsia="Arial Nova" w:hAnsi="Arial Nova" w:cs="Arial Nova"/>
          <w:sz w:val="22"/>
          <w:szCs w:val="22"/>
        </w:rPr>
        <w:t xml:space="preserve"> within the selected case study before analysing the underlying organisational factors contributing to the failures using recognised quality improvement frameworks. The findings inform evidence-based recommendations and an implementation strategy to support sustainable improvements in patient safety, organisational </w:t>
      </w:r>
      <w:r w:rsidR="00F73040" w:rsidRPr="56C33A9D">
        <w:rPr>
          <w:rFonts w:ascii="Arial Nova" w:eastAsia="Arial Nova" w:hAnsi="Arial Nova" w:cs="Arial Nova"/>
          <w:sz w:val="22"/>
          <w:szCs w:val="22"/>
        </w:rPr>
        <w:t>learning,</w:t>
      </w:r>
      <w:r w:rsidRPr="56C33A9D">
        <w:rPr>
          <w:rFonts w:ascii="Arial Nova" w:eastAsia="Arial Nova" w:hAnsi="Arial Nova" w:cs="Arial Nova"/>
          <w:sz w:val="22"/>
          <w:szCs w:val="22"/>
        </w:rPr>
        <w:t xml:space="preserve"> and the delivery of high-quality maternity services.</w:t>
      </w:r>
    </w:p>
    <w:p w14:paraId="7215F39C" w14:textId="77777777" w:rsidR="00835B91" w:rsidRPr="00B37FDA" w:rsidRDefault="00835B91" w:rsidP="7C9E7632">
      <w:pPr>
        <w:spacing w:before="100" w:beforeAutospacing="1" w:after="100" w:afterAutospacing="1" w:line="360" w:lineRule="auto"/>
        <w:outlineLvl w:val="1"/>
        <w:rPr>
          <w:rFonts w:ascii="Arial Nova" w:eastAsia="Arial Nova" w:hAnsi="Arial Nova" w:cs="Arial Nova"/>
          <w:b/>
          <w:bCs/>
          <w:kern w:val="0"/>
          <w:sz w:val="22"/>
          <w:szCs w:val="22"/>
          <w14:ligatures w14:val="none"/>
        </w:rPr>
      </w:pPr>
      <w:bookmarkStart w:id="10" w:name="_Toc215781926"/>
      <w:r w:rsidRPr="7C9E7632">
        <w:rPr>
          <w:rFonts w:ascii="Arial Nova" w:eastAsia="Arial Nova" w:hAnsi="Arial Nova" w:cs="Arial Nova"/>
          <w:b/>
          <w:bCs/>
          <w:kern w:val="0"/>
          <w:sz w:val="22"/>
          <w:szCs w:val="22"/>
          <w14:ligatures w14:val="none"/>
        </w:rPr>
        <w:t>2.1 Case Study Evaluation</w:t>
      </w:r>
      <w:bookmarkEnd w:id="10"/>
    </w:p>
    <w:p w14:paraId="4F2F972A" w14:textId="36B2CA1E" w:rsidR="00835B91" w:rsidRPr="00B37FDA" w:rsidRDefault="00835B91"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The principal quality issue </w:t>
      </w:r>
      <w:r w:rsidR="00F73040" w:rsidRPr="56C33A9D">
        <w:rPr>
          <w:rFonts w:ascii="Arial Nova" w:eastAsia="Arial Nova" w:hAnsi="Arial Nova" w:cs="Arial Nova"/>
          <w:sz w:val="22"/>
          <w:szCs w:val="22"/>
        </w:rPr>
        <w:t>showed</w:t>
      </w:r>
      <w:r w:rsidRPr="56C33A9D">
        <w:rPr>
          <w:rFonts w:ascii="Arial Nova" w:eastAsia="Arial Nova" w:hAnsi="Arial Nova" w:cs="Arial Nova"/>
          <w:sz w:val="22"/>
          <w:szCs w:val="22"/>
        </w:rPr>
        <w:t xml:space="preserve"> within Shrewsbury and Telford Hospital NHS Trust was the prolonged failure to deliver safe, </w:t>
      </w:r>
      <w:r w:rsidR="00DC0792" w:rsidRPr="56C33A9D">
        <w:rPr>
          <w:rFonts w:ascii="Arial Nova" w:eastAsia="Arial Nova" w:hAnsi="Arial Nova" w:cs="Arial Nova"/>
          <w:sz w:val="22"/>
          <w:szCs w:val="22"/>
        </w:rPr>
        <w:t>effective,</w:t>
      </w:r>
      <w:r w:rsidRPr="56C33A9D">
        <w:rPr>
          <w:rFonts w:ascii="Arial Nova" w:eastAsia="Arial Nova" w:hAnsi="Arial Nova" w:cs="Arial Nova"/>
          <w:sz w:val="22"/>
          <w:szCs w:val="22"/>
        </w:rPr>
        <w:t xml:space="preserve"> and person-centred maternity care. The Ockenden Review found repeated failures in </w:t>
      </w:r>
      <w:r w:rsidR="25D2CBB6" w:rsidRPr="351B8163">
        <w:rPr>
          <w:rFonts w:ascii="Arial Nova" w:eastAsia="Arial Nova" w:hAnsi="Arial Nova" w:cs="Arial Nova"/>
          <w:sz w:val="22"/>
          <w:szCs w:val="22"/>
        </w:rPr>
        <w:t>fatal</w:t>
      </w:r>
      <w:r w:rsidRPr="56C33A9D">
        <w:rPr>
          <w:rFonts w:ascii="Arial Nova" w:eastAsia="Arial Nova" w:hAnsi="Arial Nova" w:cs="Arial Nova"/>
          <w:sz w:val="22"/>
          <w:szCs w:val="22"/>
        </w:rPr>
        <w:t xml:space="preserve"> monitoring, clinical decision-making, communication, escalation of concerns and governance, contributing to avoidable maternal deaths, neonatal deaths and serious birth injuries affecting 1,486 families (Ockenden, 2022). However, these failures should not </w:t>
      </w:r>
      <w:bookmarkStart w:id="11" w:name="_Int_rmK2Oh37"/>
      <w:r w:rsidRPr="56C33A9D">
        <w:rPr>
          <w:rFonts w:ascii="Arial Nova" w:eastAsia="Arial Nova" w:hAnsi="Arial Nova" w:cs="Arial Nova"/>
          <w:sz w:val="22"/>
          <w:szCs w:val="22"/>
        </w:rPr>
        <w:t>be viewed</w:t>
      </w:r>
      <w:bookmarkEnd w:id="11"/>
      <w:r w:rsidRPr="56C33A9D">
        <w:rPr>
          <w:rFonts w:ascii="Arial Nova" w:eastAsia="Arial Nova" w:hAnsi="Arial Nova" w:cs="Arial Nova"/>
          <w:sz w:val="22"/>
          <w:szCs w:val="22"/>
        </w:rPr>
        <w:t xml:space="preserve"> solely as individual clinical errors. Their persistence over almost two decades suggests deeper organisational weaknesses in leadership, </w:t>
      </w:r>
      <w:r w:rsidR="003052A5" w:rsidRPr="56C33A9D">
        <w:rPr>
          <w:rFonts w:ascii="Arial Nova" w:eastAsia="Arial Nova" w:hAnsi="Arial Nova" w:cs="Arial Nova"/>
          <w:sz w:val="22"/>
          <w:szCs w:val="22"/>
        </w:rPr>
        <w:t>governance,</w:t>
      </w:r>
      <w:r w:rsidRPr="56C33A9D">
        <w:rPr>
          <w:rFonts w:ascii="Arial Nova" w:eastAsia="Arial Nova" w:hAnsi="Arial Nova" w:cs="Arial Nova"/>
          <w:sz w:val="22"/>
          <w:szCs w:val="22"/>
        </w:rPr>
        <w:t xml:space="preserve"> and organisational learning, </w:t>
      </w:r>
      <w:bookmarkStart w:id="12" w:name="_Int_bIeEXfYB"/>
      <w:r w:rsidRPr="56C33A9D">
        <w:rPr>
          <w:rFonts w:ascii="Arial Nova" w:eastAsia="Arial Nova" w:hAnsi="Arial Nova" w:cs="Arial Nova"/>
          <w:sz w:val="22"/>
          <w:szCs w:val="22"/>
        </w:rPr>
        <w:t>indicating</w:t>
      </w:r>
      <w:bookmarkEnd w:id="12"/>
      <w:r w:rsidRPr="56C33A9D">
        <w:rPr>
          <w:rFonts w:ascii="Arial Nova" w:eastAsia="Arial Nova" w:hAnsi="Arial Nova" w:cs="Arial Nova"/>
          <w:sz w:val="22"/>
          <w:szCs w:val="22"/>
        </w:rPr>
        <w:t xml:space="preserve"> a systemic failure rather than isolated incidents.</w:t>
      </w:r>
    </w:p>
    <w:p w14:paraId="6FC70AE2" w14:textId="038164BD" w:rsidR="00835B91" w:rsidRPr="00B37FDA" w:rsidRDefault="00835B91"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The failures affected a wide range of stakeholders. Women and babies experienced preventable harm, while families reported poor communication, inadequate involvement in decision-making and a lack of compassion following adverse outcomes (Ockenden, 2022). Healthcare professionals also experienced increased psychological pressure, reduced </w:t>
      </w:r>
      <w:r w:rsidR="00EF6ED4" w:rsidRPr="56C33A9D">
        <w:rPr>
          <w:rFonts w:ascii="Arial Nova" w:eastAsia="Arial Nova" w:hAnsi="Arial Nova" w:cs="Arial Nova"/>
          <w:sz w:val="22"/>
          <w:szCs w:val="22"/>
        </w:rPr>
        <w:t>morale,</w:t>
      </w:r>
      <w:r w:rsidRPr="56C33A9D">
        <w:rPr>
          <w:rFonts w:ascii="Arial Nova" w:eastAsia="Arial Nova" w:hAnsi="Arial Nova" w:cs="Arial Nova"/>
          <w:sz w:val="22"/>
          <w:szCs w:val="22"/>
        </w:rPr>
        <w:t xml:space="preserve"> and professional scrutiny. Furthermore, the Trust faced regulatory intervention, reputational damage and substantial financial costs associated with litigation. Nevertheless, workforce pressures alone cannot explain these failures, as effective leadership and organisational accountability are essential for </w:t>
      </w:r>
      <w:r w:rsidR="00F73040" w:rsidRPr="56C33A9D">
        <w:rPr>
          <w:rFonts w:ascii="Arial Nova" w:eastAsia="Arial Nova" w:hAnsi="Arial Nova" w:cs="Arial Nova"/>
          <w:sz w:val="22"/>
          <w:szCs w:val="22"/>
        </w:rPr>
        <w:t>supporting</w:t>
      </w:r>
      <w:r w:rsidRPr="56C33A9D">
        <w:rPr>
          <w:rFonts w:ascii="Arial Nova" w:eastAsia="Arial Nova" w:hAnsi="Arial Nova" w:cs="Arial Nova"/>
          <w:sz w:val="22"/>
          <w:szCs w:val="22"/>
        </w:rPr>
        <w:t xml:space="preserve"> safe and high-quality maternity services (Mannion and Davies, 2018).</w:t>
      </w:r>
    </w:p>
    <w:p w14:paraId="41F97E22" w14:textId="0A24AF40" w:rsidR="00835B91" w:rsidRPr="00B37FDA" w:rsidRDefault="00835B91" w:rsidP="5DDBE2E8">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Both quantitative and qualitative evidence </w:t>
      </w:r>
      <w:r w:rsidR="007E1A48" w:rsidRPr="56C33A9D">
        <w:rPr>
          <w:rFonts w:ascii="Arial Nova" w:eastAsia="Arial Nova" w:hAnsi="Arial Nova" w:cs="Arial Nova"/>
          <w:sz w:val="22"/>
          <w:szCs w:val="22"/>
        </w:rPr>
        <w:t>prove</w:t>
      </w:r>
      <w:r w:rsidRPr="56C33A9D">
        <w:rPr>
          <w:rFonts w:ascii="Arial Nova" w:eastAsia="Arial Nova" w:hAnsi="Arial Nova" w:cs="Arial Nova"/>
          <w:sz w:val="22"/>
          <w:szCs w:val="22"/>
        </w:rPr>
        <w:t xml:space="preserve"> the seriousness of the quality concern. The Ockenden Review examined 1,592 clinical incidents involving 1,486 families, while the Care Quality Commission (2024) reported that 48% of maternity services inspected in England between 2022 and 2024 </w:t>
      </w:r>
      <w:bookmarkStart w:id="13" w:name="_Int_YEV4xVAR"/>
      <w:r w:rsidRPr="56C33A9D">
        <w:rPr>
          <w:rFonts w:ascii="Arial Nova" w:eastAsia="Arial Nova" w:hAnsi="Arial Nova" w:cs="Arial Nova"/>
          <w:sz w:val="22"/>
          <w:szCs w:val="22"/>
        </w:rPr>
        <w:t>were rated</w:t>
      </w:r>
      <w:bookmarkEnd w:id="13"/>
      <w:r w:rsidRPr="56C33A9D">
        <w:rPr>
          <w:rFonts w:ascii="Arial Nova" w:eastAsia="Arial Nova" w:hAnsi="Arial Nova" w:cs="Arial Nova"/>
          <w:sz w:val="22"/>
          <w:szCs w:val="22"/>
        </w:rPr>
        <w:t xml:space="preserve"> Requires Improvement or Inadequate. Similarly, MBRRACE-UK </w:t>
      </w:r>
      <w:bookmarkStart w:id="14" w:name="_Int_QT4Ngc48"/>
      <w:r w:rsidRPr="56C33A9D">
        <w:rPr>
          <w:rFonts w:ascii="Arial Nova" w:eastAsia="Arial Nova" w:hAnsi="Arial Nova" w:cs="Arial Nova"/>
          <w:sz w:val="22"/>
          <w:szCs w:val="22"/>
        </w:rPr>
        <w:t>identified</w:t>
      </w:r>
      <w:bookmarkEnd w:id="14"/>
      <w:r w:rsidRPr="56C33A9D">
        <w:rPr>
          <w:rFonts w:ascii="Arial Nova" w:eastAsia="Arial Nova" w:hAnsi="Arial Nova" w:cs="Arial Nova"/>
          <w:sz w:val="22"/>
          <w:szCs w:val="22"/>
        </w:rPr>
        <w:t xml:space="preserve"> continuing variation in maternal mortality and perinatal outcomes across the UK (Knight et al., 2024). Qualitative evidence from women, families and staff highlighted recurring themes of poor communication, failure to listen to concerns and ineffective organisational learning. Consequently, combining quantitative and qualitative evidence provides a more comprehensive understanding of healthcare quality than relying on clinical outcome data alone</w:t>
      </w:r>
      <w:r w:rsidR="005D1400" w:rsidRPr="56C33A9D">
        <w:rPr>
          <w:rFonts w:ascii="Arial Nova" w:eastAsia="Arial Nova" w:hAnsi="Arial Nova" w:cs="Arial Nova"/>
          <w:sz w:val="22"/>
          <w:szCs w:val="22"/>
        </w:rPr>
        <w:t xml:space="preserve"> </w:t>
      </w:r>
      <w:r w:rsidR="005D1400" w:rsidRPr="1B0E3B3F">
        <w:rPr>
          <w:rFonts w:ascii="Arial Nova" w:eastAsia="Arial Nova" w:hAnsi="Arial Nova" w:cs="Arial Nova"/>
          <w:sz w:val="22"/>
          <w:szCs w:val="22"/>
        </w:rPr>
        <w:t>(Institute of Medicine, 2001).</w:t>
      </w:r>
    </w:p>
    <w:p w14:paraId="1B68A5C3" w14:textId="38075241" w:rsidR="00835B91" w:rsidRPr="00B37FDA" w:rsidRDefault="00835B91" w:rsidP="6C086335">
      <w:pPr>
        <w:spacing w:before="100" w:beforeAutospacing="1" w:after="100" w:afterAutospacing="1" w:line="360" w:lineRule="auto"/>
      </w:pPr>
      <w:r w:rsidRPr="56C33A9D">
        <w:rPr>
          <w:rFonts w:ascii="Arial Nova" w:eastAsia="Arial Nova" w:hAnsi="Arial Nova" w:cs="Arial Nova"/>
          <w:sz w:val="22"/>
          <w:szCs w:val="22"/>
        </w:rPr>
        <w:t xml:space="preserve">The quality failures created significant risks, including delayed recognition of maternal and </w:t>
      </w:r>
      <w:r w:rsidR="0995EDE3" w:rsidRPr="56C33A9D">
        <w:rPr>
          <w:rFonts w:ascii="Arial Nova" w:eastAsia="Arial Nova" w:hAnsi="Arial Nova" w:cs="Arial Nova"/>
          <w:sz w:val="22"/>
          <w:szCs w:val="22"/>
        </w:rPr>
        <w:t>fatal</w:t>
      </w:r>
      <w:r w:rsidRPr="56C33A9D">
        <w:rPr>
          <w:rFonts w:ascii="Arial Nova" w:eastAsia="Arial Nova" w:hAnsi="Arial Nova" w:cs="Arial Nova"/>
          <w:sz w:val="22"/>
          <w:szCs w:val="22"/>
        </w:rPr>
        <w:t xml:space="preserve"> deterioration, avoidable obstetric complications, neonatal brain </w:t>
      </w:r>
      <w:r w:rsidR="001E1C78" w:rsidRPr="56C33A9D">
        <w:rPr>
          <w:rFonts w:ascii="Arial Nova" w:eastAsia="Arial Nova" w:hAnsi="Arial Nova" w:cs="Arial Nova"/>
          <w:sz w:val="22"/>
          <w:szCs w:val="22"/>
        </w:rPr>
        <w:t>injury,</w:t>
      </w:r>
      <w:r w:rsidRPr="56C33A9D">
        <w:rPr>
          <w:rFonts w:ascii="Arial Nova" w:eastAsia="Arial Nova" w:hAnsi="Arial Nova" w:cs="Arial Nova"/>
          <w:sz w:val="22"/>
          <w:szCs w:val="22"/>
        </w:rPr>
        <w:t xml:space="preserve"> and loss of life. These failures also conflicted with the Health and Social Care Act 2008 (Regulated Activities) Regulations 2014, particularly Regulation 12 (Safe Care and Treatment) and Regulation 20 (Duty of Candour). Furthermore, the issues identified directly relate to national priorities outlined in the NHS Patient Safety Strategy (NHS England, 2019</w:t>
      </w:r>
      <w:r w:rsidR="18D3B7F9" w:rsidRPr="5DDBE2E8">
        <w:rPr>
          <w:rFonts w:ascii="Arial Nova" w:eastAsia="Arial Nova" w:hAnsi="Arial Nova" w:cs="Arial Nova"/>
          <w:sz w:val="22"/>
          <w:szCs w:val="22"/>
        </w:rPr>
        <w:t xml:space="preserve">). </w:t>
      </w:r>
      <w:r w:rsidR="3645EF74" w:rsidRPr="5DDBE2E8">
        <w:rPr>
          <w:rFonts w:ascii="Arial Nova" w:eastAsia="Arial Nova" w:hAnsi="Arial Nova" w:cs="Arial Nova"/>
          <w:sz w:val="22"/>
          <w:szCs w:val="22"/>
        </w:rPr>
        <w:t>T</w:t>
      </w:r>
      <w:r w:rsidR="18D3B7F9" w:rsidRPr="5DDBE2E8">
        <w:rPr>
          <w:rFonts w:ascii="Arial Nova" w:eastAsia="Arial Nova" w:hAnsi="Arial Nova" w:cs="Arial Nova"/>
          <w:sz w:val="22"/>
          <w:szCs w:val="22"/>
        </w:rPr>
        <w:t>he</w:t>
      </w:r>
      <w:r w:rsidR="3E9D8D94" w:rsidRPr="5DDBE2E8">
        <w:rPr>
          <w:rFonts w:ascii="Arial Nova" w:eastAsia="Arial Nova" w:hAnsi="Arial Nova" w:cs="Arial Nova"/>
          <w:sz w:val="22"/>
          <w:szCs w:val="22"/>
        </w:rPr>
        <w:t xml:space="preserve"> </w:t>
      </w:r>
      <w:r w:rsidR="6757E883" w:rsidRPr="5DDBE2E8">
        <w:rPr>
          <w:rFonts w:ascii="Arial Nova" w:eastAsia="Arial Nova" w:hAnsi="Arial Nova" w:cs="Arial Nova"/>
          <w:sz w:val="22"/>
          <w:szCs w:val="22"/>
        </w:rPr>
        <w:t>overarching Maternity</w:t>
      </w:r>
      <w:r w:rsidR="3E9D8D94" w:rsidRPr="5DDBE2E8">
        <w:rPr>
          <w:rFonts w:ascii="Arial Nova" w:eastAsia="Arial Nova" w:hAnsi="Arial Nova" w:cs="Arial Nova"/>
          <w:sz w:val="22"/>
          <w:szCs w:val="22"/>
        </w:rPr>
        <w:t xml:space="preserve"> Safety </w:t>
      </w:r>
      <w:r w:rsidR="105CD37A" w:rsidRPr="5DDBE2E8">
        <w:rPr>
          <w:rFonts w:ascii="Arial Nova" w:eastAsia="Arial Nova" w:hAnsi="Arial Nova" w:cs="Arial Nova"/>
          <w:sz w:val="22"/>
          <w:szCs w:val="22"/>
        </w:rPr>
        <w:t xml:space="preserve">Strategy implementation </w:t>
      </w:r>
      <w:bookmarkStart w:id="15" w:name="_Int_rTg3kHKx"/>
      <w:r w:rsidR="0DA4BD8C" w:rsidRPr="5DDBE2E8">
        <w:rPr>
          <w:rFonts w:ascii="Arial Nova" w:eastAsia="Arial Nova" w:hAnsi="Arial Nova" w:cs="Arial Nova"/>
          <w:sz w:val="22"/>
          <w:szCs w:val="22"/>
        </w:rPr>
        <w:t>update (Department of Health and Social Care 2023)</w:t>
      </w:r>
      <w:bookmarkEnd w:id="15"/>
      <w:r w:rsidRPr="56C33A9D">
        <w:rPr>
          <w:rFonts w:ascii="Arial Nova" w:eastAsia="Arial Nova" w:hAnsi="Arial Nova" w:cs="Arial Nova"/>
          <w:sz w:val="22"/>
          <w:szCs w:val="22"/>
        </w:rPr>
        <w:t xml:space="preserve"> the Three-Year Delivery Plan for Maternity and Neonatal Services (NHS England, 2023) and the National Maternity Safety Improvement Programme (NHS England, 2024), all of which emphasise safety culture, compassionate leadership and organisational learning. Therefore, the Shrewsbury case demonstrates the need to identify and address the underlying organisational causes of poor-quality care, which will be explored using recognised quality improvement frameworks in the following sections.</w:t>
      </w:r>
    </w:p>
    <w:p w14:paraId="2D154161" w14:textId="75FDF3FB" w:rsidR="5DDBE2E8" w:rsidRDefault="5DDBE2E8" w:rsidP="5DDBE2E8">
      <w:pPr>
        <w:spacing w:beforeAutospacing="1" w:afterAutospacing="1" w:line="360" w:lineRule="auto"/>
        <w:rPr>
          <w:rFonts w:ascii="Arial Nova" w:eastAsia="Arial Nova" w:hAnsi="Arial Nova" w:cs="Arial Nova"/>
          <w:sz w:val="22"/>
          <w:szCs w:val="22"/>
        </w:rPr>
      </w:pPr>
    </w:p>
    <w:p w14:paraId="46FEE4D2" w14:textId="16D01FDF" w:rsidR="5DDBE2E8" w:rsidRDefault="5DDBE2E8" w:rsidP="5DDBE2E8">
      <w:pPr>
        <w:spacing w:beforeAutospacing="1" w:afterAutospacing="1" w:line="360" w:lineRule="auto"/>
        <w:rPr>
          <w:rFonts w:ascii="Arial Nova" w:eastAsia="Arial Nova" w:hAnsi="Arial Nova" w:cs="Arial Nova"/>
          <w:sz w:val="22"/>
          <w:szCs w:val="22"/>
        </w:rPr>
      </w:pPr>
    </w:p>
    <w:p w14:paraId="19A500B7" w14:textId="77777777" w:rsidR="0018523E" w:rsidRPr="00A96D56" w:rsidRDefault="0018523E" w:rsidP="7C9E7632">
      <w:pPr>
        <w:spacing w:before="100" w:beforeAutospacing="1" w:after="100" w:afterAutospacing="1" w:line="360" w:lineRule="auto"/>
        <w:outlineLvl w:val="1"/>
        <w:rPr>
          <w:rFonts w:ascii="Arial Nova" w:eastAsia="Arial Nova" w:hAnsi="Arial Nova" w:cs="Arial Nova"/>
          <w:b/>
          <w:bCs/>
          <w:kern w:val="0"/>
          <w:sz w:val="22"/>
          <w:szCs w:val="22"/>
          <w14:ligatures w14:val="none"/>
        </w:rPr>
      </w:pPr>
      <w:bookmarkStart w:id="16" w:name="_Toc1057556700"/>
      <w:r w:rsidRPr="7C9E7632">
        <w:rPr>
          <w:rFonts w:ascii="Arial Nova" w:eastAsia="Arial Nova" w:hAnsi="Arial Nova" w:cs="Arial Nova"/>
          <w:b/>
          <w:bCs/>
          <w:kern w:val="0"/>
          <w:sz w:val="22"/>
          <w:szCs w:val="22"/>
          <w14:ligatures w14:val="none"/>
        </w:rPr>
        <w:t>2.2 Application of the Donabedian Model</w:t>
      </w:r>
      <w:bookmarkEnd w:id="16"/>
    </w:p>
    <w:p w14:paraId="6A192B7E" w14:textId="256FBBD8" w:rsidR="0018523E" w:rsidRPr="00A96D56" w:rsidRDefault="0018523E" w:rsidP="7BB162A8">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The </w:t>
      </w:r>
      <w:r w:rsidRPr="56C33A9D">
        <w:rPr>
          <w:rFonts w:ascii="Arial Nova" w:eastAsia="Arial Nova" w:hAnsi="Arial Nova" w:cs="Arial Nova"/>
          <w:b/>
          <w:sz w:val="22"/>
          <w:szCs w:val="22"/>
        </w:rPr>
        <w:t>Donabedian Model</w:t>
      </w:r>
      <w:r w:rsidRPr="56C33A9D">
        <w:rPr>
          <w:rFonts w:ascii="Arial Nova" w:eastAsia="Arial Nova" w:hAnsi="Arial Nova" w:cs="Arial Nova"/>
          <w:sz w:val="22"/>
          <w:szCs w:val="22"/>
        </w:rPr>
        <w:t xml:space="preserve"> evaluates healthcare quality through three interrelated components: </w:t>
      </w:r>
      <w:r w:rsidRPr="56C33A9D">
        <w:rPr>
          <w:rFonts w:ascii="Arial Nova" w:eastAsia="Arial Nova" w:hAnsi="Arial Nova" w:cs="Arial Nova"/>
          <w:b/>
          <w:sz w:val="22"/>
          <w:szCs w:val="22"/>
        </w:rPr>
        <w:t>structure, process and outcomes</w:t>
      </w:r>
      <w:r w:rsidRPr="56C33A9D">
        <w:rPr>
          <w:rFonts w:ascii="Arial Nova" w:eastAsia="Arial Nova" w:hAnsi="Arial Nova" w:cs="Arial Nova"/>
          <w:sz w:val="22"/>
          <w:szCs w:val="22"/>
        </w:rPr>
        <w:t xml:space="preserve"> (Donabedian, 1988). Although the framework is widely used to assess healthcare quality,</w:t>
      </w:r>
      <w:r w:rsidR="000206A6" w:rsidRPr="1B0E3B3F">
        <w:rPr>
          <w:rFonts w:ascii="Arial Nova" w:eastAsia="Arial Nova" w:hAnsi="Arial Nova" w:cs="Arial Nova"/>
          <w:sz w:val="22"/>
          <w:szCs w:val="22"/>
        </w:rPr>
        <w:t xml:space="preserve"> (Arah et al., 2006)</w:t>
      </w:r>
      <w:r w:rsidR="743D87A3" w:rsidRPr="1B0E3B3F">
        <w:rPr>
          <w:rFonts w:ascii="Arial Nova" w:eastAsia="Arial Nova" w:hAnsi="Arial Nova" w:cs="Arial Nova"/>
          <w:sz w:val="22"/>
          <w:szCs w:val="22"/>
        </w:rPr>
        <w:t xml:space="preserve"> Its</w:t>
      </w:r>
      <w:r w:rsidRPr="56C33A9D">
        <w:rPr>
          <w:rFonts w:ascii="Arial Nova" w:eastAsia="Arial Nova" w:hAnsi="Arial Nova" w:cs="Arial Nova"/>
          <w:sz w:val="22"/>
          <w:szCs w:val="22"/>
        </w:rPr>
        <w:t xml:space="preserve"> greatest strength lies in identifying where failures occur within healthcare systems. Therefore, it provides an appropriate framework for examining the quality failures identified at Shrewsbury and Telford Hospital NHS Trust.</w:t>
      </w:r>
    </w:p>
    <w:p w14:paraId="62A677C2" w14:textId="77777777" w:rsidR="0018523E" w:rsidRPr="00A96D56" w:rsidRDefault="0018523E"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Applying the model to the Shrewsbury case demonstrates that significant </w:t>
      </w:r>
      <w:r w:rsidRPr="56C33A9D">
        <w:rPr>
          <w:rFonts w:ascii="Arial Nova" w:eastAsia="Arial Nova" w:hAnsi="Arial Nova" w:cs="Arial Nova"/>
          <w:b/>
          <w:sz w:val="22"/>
          <w:szCs w:val="22"/>
        </w:rPr>
        <w:t>structural</w:t>
      </w:r>
      <w:r w:rsidRPr="56C33A9D">
        <w:rPr>
          <w:rFonts w:ascii="Arial Nova" w:eastAsia="Arial Nova" w:hAnsi="Arial Nova" w:cs="Arial Nova"/>
          <w:sz w:val="22"/>
          <w:szCs w:val="22"/>
        </w:rPr>
        <w:t xml:space="preserve"> weaknesses contributed to poor-quality maternity care. The Ockenden Review identified ineffective leadership, weak clinical governance, inadequate oversight and a workplace culture that discouraged staff from raising concerns or learning from adverse incidents (Ockenden, 2022). Workforce shortages, variation in staff competence and inconsistent implementation of national maternity guidance further reduced the organisation’s ability to provide safe and effective care. </w:t>
      </w:r>
      <w:r w:rsidRPr="56C33A9D">
        <w:rPr>
          <w:rFonts w:ascii="Arial Nova" w:eastAsia="Arial Nova" w:hAnsi="Arial Nova" w:cs="Arial Nova"/>
          <w:b/>
          <w:sz w:val="22"/>
          <w:szCs w:val="22"/>
        </w:rPr>
        <w:t>However</w:t>
      </w:r>
      <w:r w:rsidRPr="56C33A9D">
        <w:rPr>
          <w:rFonts w:ascii="Arial Nova" w:eastAsia="Arial Nova" w:hAnsi="Arial Nova" w:cs="Arial Nova"/>
          <w:sz w:val="22"/>
          <w:szCs w:val="22"/>
        </w:rPr>
        <w:t>, structural pressures alone cannot fully explain the failures, as other NHS maternity units operating under similar workforce constraints achieved better safety outcomes. This suggests that leadership, governance and organisational culture were more influential than resource limitations alone (Mannion and Davies, 2018).</w:t>
      </w:r>
    </w:p>
    <w:p w14:paraId="274D3867" w14:textId="491B0C28" w:rsidR="0018523E" w:rsidRPr="00A96D56" w:rsidRDefault="0018523E"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These structural deficiencies directly influenced </w:t>
      </w:r>
      <w:r w:rsidRPr="56C33A9D">
        <w:rPr>
          <w:rFonts w:ascii="Arial Nova" w:eastAsia="Arial Nova" w:hAnsi="Arial Nova" w:cs="Arial Nova"/>
          <w:b/>
          <w:sz w:val="22"/>
          <w:szCs w:val="22"/>
        </w:rPr>
        <w:t>clinical processes</w:t>
      </w:r>
      <w:r w:rsidRPr="56C33A9D">
        <w:rPr>
          <w:rFonts w:ascii="Arial Nova" w:eastAsia="Arial Nova" w:hAnsi="Arial Nova" w:cs="Arial Nova"/>
          <w:sz w:val="22"/>
          <w:szCs w:val="22"/>
        </w:rPr>
        <w:t>. The review identified repeated failures in interpreting cardiotocography (CTG), delayed escalation of deteriorating mothers and babies, poor multidisciplinary communication and inconsistent adherence to evidence-based clinical guidelines (</w:t>
      </w:r>
      <w:r w:rsidR="56E94778" w:rsidRPr="5DDBE2E8">
        <w:rPr>
          <w:rFonts w:ascii="Arial Nova" w:eastAsia="Arial Nova" w:hAnsi="Arial Nova" w:cs="Arial Nova"/>
          <w:sz w:val="22"/>
          <w:szCs w:val="22"/>
        </w:rPr>
        <w:t xml:space="preserve">National </w:t>
      </w:r>
      <w:r w:rsidR="514F929B" w:rsidRPr="5DDBE2E8">
        <w:rPr>
          <w:rFonts w:ascii="Arial Nova" w:eastAsia="Arial Nova" w:hAnsi="Arial Nova" w:cs="Arial Nova"/>
          <w:sz w:val="22"/>
          <w:szCs w:val="22"/>
        </w:rPr>
        <w:t>Institute</w:t>
      </w:r>
      <w:r w:rsidR="56E94778" w:rsidRPr="5DDBE2E8">
        <w:rPr>
          <w:rFonts w:ascii="Arial Nova" w:eastAsia="Arial Nova" w:hAnsi="Arial Nova" w:cs="Arial Nova"/>
          <w:sz w:val="22"/>
          <w:szCs w:val="22"/>
        </w:rPr>
        <w:t xml:space="preserve"> for Health and Care Excellence</w:t>
      </w:r>
      <w:r w:rsidRPr="56C33A9D">
        <w:rPr>
          <w:rFonts w:ascii="Arial Nova" w:eastAsia="Arial Nova" w:hAnsi="Arial Nova" w:cs="Arial Nova"/>
          <w:sz w:val="22"/>
          <w:szCs w:val="22"/>
        </w:rPr>
        <w:t>, 2022</w:t>
      </w:r>
      <w:r w:rsidR="56E94778" w:rsidRPr="5DDBE2E8">
        <w:rPr>
          <w:rFonts w:ascii="Arial Nova" w:eastAsia="Arial Nova" w:hAnsi="Arial Nova" w:cs="Arial Nova"/>
          <w:sz w:val="22"/>
          <w:szCs w:val="22"/>
        </w:rPr>
        <w:t>),</w:t>
      </w:r>
      <w:r w:rsidR="5300FC48" w:rsidRPr="5DDBE2E8">
        <w:rPr>
          <w:rFonts w:ascii="Arial Nova" w:eastAsia="Arial Nova" w:hAnsi="Arial Nova" w:cs="Arial Nova"/>
          <w:sz w:val="22"/>
          <w:szCs w:val="22"/>
        </w:rPr>
        <w:t xml:space="preserve"> (Ockenden, 2022).</w:t>
      </w:r>
      <w:r w:rsidRPr="56C33A9D">
        <w:rPr>
          <w:rFonts w:ascii="Arial Nova" w:eastAsia="Arial Nova" w:hAnsi="Arial Nova" w:cs="Arial Nova"/>
          <w:sz w:val="22"/>
          <w:szCs w:val="22"/>
        </w:rPr>
        <w:t xml:space="preserve"> Furthermore, ineffective incident reporting and limited organisational learning allowed similar errors to recur over many years. </w:t>
      </w:r>
      <w:r w:rsidRPr="56C33A9D">
        <w:rPr>
          <w:rFonts w:ascii="Arial Nova" w:eastAsia="Arial Nova" w:hAnsi="Arial Nova" w:cs="Arial Nova"/>
          <w:b/>
          <w:sz w:val="22"/>
          <w:szCs w:val="22"/>
        </w:rPr>
        <w:t>Consequently</w:t>
      </w:r>
      <w:r w:rsidRPr="56C33A9D">
        <w:rPr>
          <w:rFonts w:ascii="Arial Nova" w:eastAsia="Arial Nova" w:hAnsi="Arial Nova" w:cs="Arial Nova"/>
          <w:sz w:val="22"/>
          <w:szCs w:val="22"/>
        </w:rPr>
        <w:t>, poor clinical processes reflected failures within the wider organisational system rather than isolated mistakes made by individual healthcare professionals.</w:t>
      </w:r>
    </w:p>
    <w:p w14:paraId="12C591DC" w14:textId="73D18E58" w:rsidR="00315C5F" w:rsidRDefault="0018523E" w:rsidP="5C51180E">
      <w:pPr>
        <w:pStyle w:val="p1"/>
        <w:spacing w:line="360" w:lineRule="auto"/>
        <w:rPr>
          <w:rFonts w:ascii="Arial Nova" w:eastAsia="Arial Nova" w:hAnsi="Arial Nova" w:cs="Arial Nova"/>
          <w:b/>
          <w:sz w:val="22"/>
          <w:szCs w:val="22"/>
        </w:rPr>
      </w:pPr>
      <w:r w:rsidRPr="56C33A9D">
        <w:rPr>
          <w:rFonts w:ascii="Arial Nova" w:eastAsia="Arial Nova" w:hAnsi="Arial Nova" w:cs="Arial Nova"/>
          <w:sz w:val="22"/>
          <w:szCs w:val="22"/>
        </w:rPr>
        <w:t xml:space="preserve">The combined effect of these structural and process failures resulted in poor </w:t>
      </w:r>
      <w:r w:rsidRPr="56C33A9D">
        <w:rPr>
          <w:rFonts w:ascii="Arial Nova" w:eastAsia="Arial Nova" w:hAnsi="Arial Nova" w:cs="Arial Nova"/>
          <w:b/>
          <w:sz w:val="22"/>
          <w:szCs w:val="22"/>
        </w:rPr>
        <w:t>outcomes</w:t>
      </w:r>
      <w:r w:rsidRPr="56C33A9D">
        <w:rPr>
          <w:rFonts w:ascii="Arial Nova" w:eastAsia="Arial Nova" w:hAnsi="Arial Nova" w:cs="Arial Nova"/>
          <w:sz w:val="22"/>
          <w:szCs w:val="22"/>
        </w:rPr>
        <w:t xml:space="preserve">, including avoidable maternal deaths, neonatal deaths, stillbirths, hypoxic brain injuries and a significant loss of public confidence in NHS maternity services (Ockenden, 2022). These findings are consistent with the </w:t>
      </w:r>
      <w:r w:rsidRPr="56C33A9D">
        <w:rPr>
          <w:rFonts w:ascii="Arial Nova" w:eastAsia="Arial Nova" w:hAnsi="Arial Nova" w:cs="Arial Nova"/>
          <w:b/>
          <w:sz w:val="22"/>
          <w:szCs w:val="22"/>
        </w:rPr>
        <w:t>Care Quality Commission’s (2024)</w:t>
      </w:r>
      <w:r w:rsidRPr="56C33A9D">
        <w:rPr>
          <w:rFonts w:ascii="Arial Nova" w:eastAsia="Arial Nova" w:hAnsi="Arial Nova" w:cs="Arial Nova"/>
          <w:sz w:val="22"/>
          <w:szCs w:val="22"/>
        </w:rPr>
        <w:t xml:space="preserve"> national review, which </w:t>
      </w:r>
      <w:bookmarkStart w:id="17" w:name="_Int_VFIMnagk"/>
      <w:r w:rsidRPr="56C33A9D">
        <w:rPr>
          <w:rFonts w:ascii="Arial Nova" w:eastAsia="Arial Nova" w:hAnsi="Arial Nova" w:cs="Arial Nova"/>
          <w:sz w:val="22"/>
          <w:szCs w:val="22"/>
        </w:rPr>
        <w:t>identified</w:t>
      </w:r>
      <w:bookmarkEnd w:id="17"/>
      <w:r w:rsidRPr="56C33A9D">
        <w:rPr>
          <w:rFonts w:ascii="Arial Nova" w:eastAsia="Arial Nova" w:hAnsi="Arial Nova" w:cs="Arial Nova"/>
          <w:sz w:val="22"/>
          <w:szCs w:val="22"/>
        </w:rPr>
        <w:t xml:space="preserve"> continuing concerns regarding leadership, safety and governance across maternity services in England. </w:t>
      </w:r>
      <w:r w:rsidRPr="56C33A9D">
        <w:rPr>
          <w:rFonts w:ascii="Arial Nova" w:eastAsia="Arial Nova" w:hAnsi="Arial Nova" w:cs="Arial Nova"/>
          <w:b/>
          <w:sz w:val="22"/>
          <w:szCs w:val="22"/>
        </w:rPr>
        <w:t>Nevertheless</w:t>
      </w:r>
      <w:r w:rsidRPr="56C33A9D">
        <w:rPr>
          <w:rFonts w:ascii="Arial Nova" w:eastAsia="Arial Nova" w:hAnsi="Arial Nova" w:cs="Arial Nova"/>
          <w:sz w:val="22"/>
          <w:szCs w:val="22"/>
        </w:rPr>
        <w:t xml:space="preserve">, the Donabedian Model has limitations because it primarily </w:t>
      </w:r>
      <w:bookmarkStart w:id="18" w:name="_Int_BQUP0F7B"/>
      <w:r w:rsidRPr="56C33A9D">
        <w:rPr>
          <w:rFonts w:ascii="Arial Nova" w:eastAsia="Arial Nova" w:hAnsi="Arial Nova" w:cs="Arial Nova"/>
          <w:sz w:val="22"/>
          <w:szCs w:val="22"/>
        </w:rPr>
        <w:t>identifies</w:t>
      </w:r>
      <w:bookmarkEnd w:id="18"/>
      <w:r w:rsidRPr="56C33A9D">
        <w:rPr>
          <w:rFonts w:ascii="Arial Nova" w:eastAsia="Arial Nova" w:hAnsi="Arial Nova" w:cs="Arial Nova"/>
          <w:sz w:val="22"/>
          <w:szCs w:val="22"/>
        </w:rPr>
        <w:t xml:space="preserve"> where quality failures occur rather than explaining why they persist. </w:t>
      </w:r>
      <w:r w:rsidR="714B9595" w:rsidRPr="56C33A9D">
        <w:rPr>
          <w:rFonts w:ascii="Arial Nova" w:eastAsia="Arial Nova" w:hAnsi="Arial Nova" w:cs="Arial Nova"/>
          <w:sz w:val="22"/>
          <w:szCs w:val="22"/>
        </w:rPr>
        <w:t xml:space="preserve">It </w:t>
      </w:r>
      <w:r w:rsidR="2F587690" w:rsidRPr="56C33A9D">
        <w:rPr>
          <w:rFonts w:ascii="Arial Nova" w:eastAsia="Arial Nova" w:hAnsi="Arial Nova" w:cs="Arial Nova"/>
          <w:sz w:val="22"/>
          <w:szCs w:val="22"/>
        </w:rPr>
        <w:t>considers</w:t>
      </w:r>
      <w:r w:rsidRPr="56C33A9D">
        <w:rPr>
          <w:rFonts w:ascii="Arial Nova" w:eastAsia="Arial Nova" w:hAnsi="Arial Nova" w:cs="Arial Nova"/>
          <w:sz w:val="22"/>
          <w:szCs w:val="22"/>
        </w:rPr>
        <w:t xml:space="preserve"> organisational culture, behavioural factors and human interactions, all of which were central to the Shrewsbury case (Mannion and Davies, 2018</w:t>
      </w:r>
      <w:r w:rsidR="714B9595" w:rsidRPr="56C33A9D">
        <w:rPr>
          <w:rFonts w:ascii="Arial Nova" w:eastAsia="Arial Nova" w:hAnsi="Arial Nova" w:cs="Arial Nova"/>
          <w:sz w:val="22"/>
          <w:szCs w:val="22"/>
        </w:rPr>
        <w:t>)</w:t>
      </w:r>
      <w:r w:rsidR="465BBD2D" w:rsidRPr="56C33A9D">
        <w:rPr>
          <w:rFonts w:ascii="Arial Nova" w:eastAsia="Arial Nova" w:hAnsi="Arial Nova" w:cs="Arial Nova"/>
          <w:sz w:val="22"/>
          <w:szCs w:val="22"/>
        </w:rPr>
        <w:t>,</w:t>
      </w:r>
      <w:r w:rsidRPr="56C33A9D">
        <w:rPr>
          <w:rFonts w:ascii="Arial Nova" w:eastAsia="Arial Nova" w:hAnsi="Arial Nova" w:cs="Arial Nova"/>
          <w:sz w:val="22"/>
          <w:szCs w:val="22"/>
        </w:rPr>
        <w:t xml:space="preserve"> </w:t>
      </w:r>
      <w:r w:rsidRPr="56C33A9D">
        <w:rPr>
          <w:rFonts w:ascii="Arial Nova" w:eastAsia="Arial Nova" w:hAnsi="Arial Nova" w:cs="Arial Nova"/>
          <w:b/>
          <w:sz w:val="22"/>
          <w:szCs w:val="22"/>
        </w:rPr>
        <w:t>Therefore</w:t>
      </w:r>
      <w:r w:rsidRPr="56C33A9D">
        <w:rPr>
          <w:rFonts w:ascii="Arial Nova" w:eastAsia="Arial Nova" w:hAnsi="Arial Nova" w:cs="Arial Nova"/>
          <w:sz w:val="22"/>
          <w:szCs w:val="22"/>
        </w:rPr>
        <w:t xml:space="preserve">, while the model provides a valuable framework for evaluating healthcare </w:t>
      </w:r>
      <w:r w:rsidR="006F34BC" w:rsidRPr="56C33A9D">
        <w:rPr>
          <w:rFonts w:ascii="Arial Nova" w:eastAsia="Arial Nova" w:hAnsi="Arial Nova" w:cs="Arial Nova"/>
          <w:sz w:val="22"/>
          <w:szCs w:val="22"/>
        </w:rPr>
        <w:t>quality</w:t>
      </w:r>
      <w:r w:rsidR="006F34BC" w:rsidRPr="1B0E3B3F">
        <w:rPr>
          <w:rFonts w:ascii="Arial Nova" w:eastAsia="Arial Nova" w:hAnsi="Arial Nova" w:cs="Arial Nova"/>
          <w:b/>
          <w:sz w:val="22"/>
          <w:szCs w:val="22"/>
        </w:rPr>
        <w:t xml:space="preserve"> (</w:t>
      </w:r>
      <w:r w:rsidR="00315C5F" w:rsidRPr="1B0E3B3F">
        <w:rPr>
          <w:rFonts w:ascii="Arial Nova" w:eastAsia="Arial Nova" w:hAnsi="Arial Nova" w:cs="Arial Nova"/>
          <w:b/>
          <w:sz w:val="22"/>
          <w:szCs w:val="22"/>
        </w:rPr>
        <w:t>Berwick, 2002).</w:t>
      </w:r>
    </w:p>
    <w:p w14:paraId="48E89DDA" w14:textId="1565E427" w:rsidR="0006683E" w:rsidRPr="00A52DDD" w:rsidRDefault="00315C5F"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 </w:t>
      </w:r>
      <w:r w:rsidR="00E85EA2" w:rsidRPr="56C33A9D">
        <w:rPr>
          <w:rFonts w:ascii="Arial Nova" w:eastAsia="Arial Nova" w:hAnsi="Arial Nova" w:cs="Arial Nova"/>
          <w:sz w:val="22"/>
          <w:szCs w:val="22"/>
        </w:rPr>
        <w:t>A</w:t>
      </w:r>
      <w:r w:rsidR="0018523E" w:rsidRPr="56C33A9D">
        <w:rPr>
          <w:rFonts w:ascii="Arial Nova" w:eastAsia="Arial Nova" w:hAnsi="Arial Nova" w:cs="Arial Nova"/>
          <w:sz w:val="22"/>
          <w:szCs w:val="22"/>
        </w:rPr>
        <w:t xml:space="preserve">dditional root cause analysis is required to understand the underlying reasons for these failures. Consequently, the </w:t>
      </w:r>
      <w:r w:rsidR="0018523E" w:rsidRPr="56C33A9D">
        <w:rPr>
          <w:rFonts w:ascii="Arial Nova" w:eastAsia="Arial Nova" w:hAnsi="Arial Nova" w:cs="Arial Nova"/>
          <w:b/>
          <w:sz w:val="22"/>
          <w:szCs w:val="22"/>
        </w:rPr>
        <w:t>Fishbone Diagram</w:t>
      </w:r>
      <w:r w:rsidR="0018523E" w:rsidRPr="56C33A9D">
        <w:rPr>
          <w:rFonts w:ascii="Arial Nova" w:eastAsia="Arial Nova" w:hAnsi="Arial Nova" w:cs="Arial Nova"/>
          <w:sz w:val="22"/>
          <w:szCs w:val="22"/>
        </w:rPr>
        <w:t xml:space="preserve"> and </w:t>
      </w:r>
      <w:r w:rsidR="0018523E" w:rsidRPr="56C33A9D">
        <w:rPr>
          <w:rFonts w:ascii="Arial Nova" w:eastAsia="Arial Nova" w:hAnsi="Arial Nova" w:cs="Arial Nova"/>
          <w:b/>
          <w:sz w:val="22"/>
          <w:szCs w:val="22"/>
        </w:rPr>
        <w:t>Five Whys</w:t>
      </w:r>
      <w:r w:rsidR="0018523E" w:rsidRPr="56C33A9D">
        <w:rPr>
          <w:rFonts w:ascii="Arial Nova" w:eastAsia="Arial Nova" w:hAnsi="Arial Nova" w:cs="Arial Nova"/>
          <w:sz w:val="22"/>
          <w:szCs w:val="22"/>
        </w:rPr>
        <w:t xml:space="preserve"> will </w:t>
      </w:r>
      <w:bookmarkStart w:id="19" w:name="_Int_RrGi96YJ"/>
      <w:r w:rsidR="0018523E" w:rsidRPr="56C33A9D">
        <w:rPr>
          <w:rFonts w:ascii="Arial Nova" w:eastAsia="Arial Nova" w:hAnsi="Arial Nova" w:cs="Arial Nova"/>
          <w:sz w:val="22"/>
          <w:szCs w:val="22"/>
        </w:rPr>
        <w:t>be applied</w:t>
      </w:r>
      <w:bookmarkEnd w:id="19"/>
      <w:r w:rsidR="0018523E" w:rsidRPr="56C33A9D">
        <w:rPr>
          <w:rFonts w:ascii="Arial Nova" w:eastAsia="Arial Nova" w:hAnsi="Arial Nova" w:cs="Arial Nova"/>
          <w:sz w:val="22"/>
          <w:szCs w:val="22"/>
        </w:rPr>
        <w:t xml:space="preserve"> in the following section to explore these causes in greater depth.</w:t>
      </w:r>
    </w:p>
    <w:p w14:paraId="2EBE6906" w14:textId="77777777" w:rsidR="00C647DC" w:rsidRPr="00A52DDD" w:rsidRDefault="00C647DC" w:rsidP="7C9E7632">
      <w:pPr>
        <w:spacing w:before="100" w:beforeAutospacing="1" w:after="100" w:afterAutospacing="1" w:line="360" w:lineRule="auto"/>
        <w:outlineLvl w:val="2"/>
        <w:rPr>
          <w:rFonts w:ascii="Arial Nova" w:eastAsia="Arial Nova" w:hAnsi="Arial Nova" w:cs="Arial Nova"/>
          <w:b/>
          <w:bCs/>
          <w:kern w:val="0"/>
          <w:sz w:val="22"/>
          <w:szCs w:val="22"/>
          <w14:ligatures w14:val="none"/>
        </w:rPr>
      </w:pPr>
      <w:bookmarkStart w:id="20" w:name="_Toc23771630"/>
      <w:r w:rsidRPr="7C9E7632">
        <w:rPr>
          <w:rFonts w:ascii="Arial Nova" w:eastAsia="Arial Nova" w:hAnsi="Arial Nova" w:cs="Arial Nova"/>
          <w:b/>
          <w:bCs/>
          <w:kern w:val="0"/>
          <w:sz w:val="22"/>
          <w:szCs w:val="22"/>
          <w14:ligatures w14:val="none"/>
        </w:rPr>
        <w:t>2.3 Fishbone Diagram</w:t>
      </w:r>
      <w:bookmarkEnd w:id="20"/>
    </w:p>
    <w:p w14:paraId="491E1FD8" w14:textId="762C9934" w:rsidR="00852E22" w:rsidRDefault="00C647DC" w:rsidP="5C51180E">
      <w:pPr>
        <w:pStyle w:val="p1"/>
        <w:spacing w:line="360" w:lineRule="auto"/>
        <w:rPr>
          <w:rFonts w:ascii="Arial Nova" w:eastAsia="Arial Nova" w:hAnsi="Arial Nova" w:cs="Arial Nova"/>
          <w:b/>
          <w:sz w:val="22"/>
          <w:szCs w:val="22"/>
        </w:rPr>
      </w:pPr>
      <w:r w:rsidRPr="56C33A9D">
        <w:rPr>
          <w:rFonts w:ascii="Arial Nova" w:eastAsia="Arial Nova" w:hAnsi="Arial Nova" w:cs="Arial Nova"/>
          <w:sz w:val="22"/>
          <w:szCs w:val="22"/>
        </w:rPr>
        <w:t xml:space="preserve">The </w:t>
      </w:r>
      <w:r w:rsidRPr="56C33A9D">
        <w:rPr>
          <w:rFonts w:ascii="Arial Nova" w:eastAsia="Arial Nova" w:hAnsi="Arial Nova" w:cs="Arial Nova"/>
          <w:b/>
          <w:sz w:val="22"/>
          <w:szCs w:val="22"/>
        </w:rPr>
        <w:t xml:space="preserve">Fishbone (Ishikawa) </w:t>
      </w:r>
      <w:r w:rsidR="00740753" w:rsidRPr="56C33A9D">
        <w:rPr>
          <w:rFonts w:ascii="Arial Nova" w:eastAsia="Arial Nova" w:hAnsi="Arial Nova" w:cs="Arial Nova"/>
          <w:b/>
          <w:sz w:val="22"/>
          <w:szCs w:val="22"/>
        </w:rPr>
        <w:t>Diagram</w:t>
      </w:r>
      <w:r w:rsidR="00740753" w:rsidRPr="1B0E3B3F">
        <w:rPr>
          <w:rFonts w:ascii="Arial Nova" w:eastAsia="Arial Nova" w:hAnsi="Arial Nova" w:cs="Arial Nova"/>
          <w:b/>
          <w:sz w:val="22"/>
          <w:szCs w:val="22"/>
        </w:rPr>
        <w:t xml:space="preserve"> (</w:t>
      </w:r>
      <w:r w:rsidR="00852E22" w:rsidRPr="1B0E3B3F">
        <w:rPr>
          <w:rFonts w:ascii="Arial Nova" w:eastAsia="Arial Nova" w:hAnsi="Arial Nova" w:cs="Arial Nova"/>
          <w:b/>
          <w:sz w:val="22"/>
          <w:szCs w:val="22"/>
        </w:rPr>
        <w:t>Ishikawa, 1986).</w:t>
      </w:r>
    </w:p>
    <w:p w14:paraId="28D079EC" w14:textId="76F4FB83" w:rsidR="00C34094" w:rsidRDefault="00C647DC" w:rsidP="2F98FB16">
      <w:pPr>
        <w:pStyle w:val="p1"/>
        <w:spacing w:line="360" w:lineRule="auto"/>
      </w:pPr>
      <w:r w:rsidRPr="56C33A9D">
        <w:rPr>
          <w:rFonts w:ascii="Arial Nova" w:eastAsia="Arial Nova" w:hAnsi="Arial Nova" w:cs="Arial Nova"/>
          <w:sz w:val="22"/>
          <w:szCs w:val="22"/>
        </w:rPr>
        <w:t xml:space="preserve"> </w:t>
      </w:r>
      <w:bookmarkStart w:id="21" w:name="_Int_yQHOhies"/>
      <w:r w:rsidRPr="56C33A9D">
        <w:rPr>
          <w:rFonts w:ascii="Arial Nova" w:eastAsia="Arial Nova" w:hAnsi="Arial Nova" w:cs="Arial Nova"/>
          <w:sz w:val="22"/>
          <w:szCs w:val="22"/>
        </w:rPr>
        <w:t>was used</w:t>
      </w:r>
      <w:bookmarkEnd w:id="21"/>
      <w:r w:rsidRPr="56C33A9D">
        <w:rPr>
          <w:rFonts w:ascii="Arial Nova" w:eastAsia="Arial Nova" w:hAnsi="Arial Nova" w:cs="Arial Nova"/>
          <w:sz w:val="22"/>
          <w:szCs w:val="22"/>
        </w:rPr>
        <w:t xml:space="preserve"> to </w:t>
      </w:r>
      <w:bookmarkStart w:id="22" w:name="_Int_qLFZmLgr"/>
      <w:r w:rsidRPr="56C33A9D">
        <w:rPr>
          <w:rFonts w:ascii="Arial Nova" w:eastAsia="Arial Nova" w:hAnsi="Arial Nova" w:cs="Arial Nova"/>
          <w:sz w:val="22"/>
          <w:szCs w:val="22"/>
        </w:rPr>
        <w:t>identify</w:t>
      </w:r>
      <w:bookmarkEnd w:id="22"/>
      <w:r w:rsidRPr="56C33A9D">
        <w:rPr>
          <w:rFonts w:ascii="Arial Nova" w:eastAsia="Arial Nova" w:hAnsi="Arial Nova" w:cs="Arial Nova"/>
          <w:sz w:val="22"/>
          <w:szCs w:val="22"/>
        </w:rPr>
        <w:t xml:space="preserve"> the contributory factors associated with the maternity service failures at Shrewsbury and Telford Hospital NHS Trust. As shown in </w:t>
      </w:r>
      <w:r w:rsidRPr="56C33A9D">
        <w:rPr>
          <w:rFonts w:ascii="Arial Nova" w:eastAsia="Arial Nova" w:hAnsi="Arial Nova" w:cs="Arial Nova"/>
          <w:b/>
          <w:sz w:val="22"/>
          <w:szCs w:val="22"/>
        </w:rPr>
        <w:t>Figure 1</w:t>
      </w:r>
      <w:r w:rsidRPr="56C33A9D">
        <w:rPr>
          <w:rFonts w:ascii="Arial Nova" w:eastAsia="Arial Nova" w:hAnsi="Arial Nova" w:cs="Arial Nova"/>
          <w:sz w:val="22"/>
          <w:szCs w:val="22"/>
        </w:rPr>
        <w:t xml:space="preserve">, the quality concerns resulted from several interconnected organisational factors rather than a single clinical error. Key causes included weaknesses in leadership and governance, ineffective communication, poor clinical processes, inadequate organisational learning, workforce </w:t>
      </w:r>
      <w:r w:rsidR="0096132F" w:rsidRPr="56C33A9D">
        <w:rPr>
          <w:rFonts w:ascii="Arial Nova" w:eastAsia="Arial Nova" w:hAnsi="Arial Nova" w:cs="Arial Nova"/>
          <w:sz w:val="22"/>
          <w:szCs w:val="22"/>
        </w:rPr>
        <w:t>pressures,</w:t>
      </w:r>
      <w:r w:rsidRPr="56C33A9D">
        <w:rPr>
          <w:rFonts w:ascii="Arial Nova" w:eastAsia="Arial Nova" w:hAnsi="Arial Nova" w:cs="Arial Nova"/>
          <w:sz w:val="22"/>
          <w:szCs w:val="22"/>
        </w:rPr>
        <w:t xml:space="preserve"> and inconsistent implementation of national guidance (Ockenden, 2022). </w:t>
      </w:r>
      <w:r w:rsidRPr="56C33A9D">
        <w:rPr>
          <w:rFonts w:ascii="Arial Nova" w:eastAsia="Arial Nova" w:hAnsi="Arial Nova" w:cs="Arial Nova"/>
          <w:b/>
          <w:sz w:val="22"/>
          <w:szCs w:val="22"/>
        </w:rPr>
        <w:t>However</w:t>
      </w:r>
      <w:r w:rsidRPr="56C33A9D">
        <w:rPr>
          <w:rFonts w:ascii="Arial Nova" w:eastAsia="Arial Nova" w:hAnsi="Arial Nova" w:cs="Arial Nova"/>
          <w:sz w:val="22"/>
          <w:szCs w:val="22"/>
        </w:rPr>
        <w:t xml:space="preserve">, although the Fishbone Diagram effectively identifies potential contributory factors, it does not establish which factor was the underlying cause of the failures (Phillips and Simmonds, 2013). </w:t>
      </w:r>
      <w:r w:rsidRPr="56C33A9D">
        <w:rPr>
          <w:rFonts w:ascii="Arial Nova" w:eastAsia="Arial Nova" w:hAnsi="Arial Nova" w:cs="Arial Nova"/>
          <w:b/>
          <w:sz w:val="22"/>
          <w:szCs w:val="22"/>
        </w:rPr>
        <w:t>Therefore</w:t>
      </w:r>
      <w:r w:rsidRPr="56C33A9D">
        <w:rPr>
          <w:rFonts w:ascii="Arial Nova" w:eastAsia="Arial Nova" w:hAnsi="Arial Nova" w:cs="Arial Nova"/>
          <w:sz w:val="22"/>
          <w:szCs w:val="22"/>
        </w:rPr>
        <w:t xml:space="preserve">, the </w:t>
      </w:r>
      <w:r w:rsidRPr="56C33A9D">
        <w:rPr>
          <w:rFonts w:ascii="Arial Nova" w:eastAsia="Arial Nova" w:hAnsi="Arial Nova" w:cs="Arial Nova"/>
          <w:b/>
          <w:sz w:val="22"/>
          <w:szCs w:val="22"/>
        </w:rPr>
        <w:t>Five Whys</w:t>
      </w:r>
      <w:r w:rsidRPr="56C33A9D">
        <w:rPr>
          <w:rFonts w:ascii="Arial Nova" w:eastAsia="Arial Nova" w:hAnsi="Arial Nova" w:cs="Arial Nova"/>
          <w:sz w:val="22"/>
          <w:szCs w:val="22"/>
        </w:rPr>
        <w:t xml:space="preserve"> technique will be applied in the next section to </w:t>
      </w:r>
      <w:bookmarkStart w:id="23" w:name="_Int_E0otIJcF"/>
      <w:r w:rsidRPr="56C33A9D">
        <w:rPr>
          <w:rFonts w:ascii="Arial Nova" w:eastAsia="Arial Nova" w:hAnsi="Arial Nova" w:cs="Arial Nova"/>
          <w:sz w:val="22"/>
          <w:szCs w:val="22"/>
        </w:rPr>
        <w:t>identify</w:t>
      </w:r>
      <w:bookmarkEnd w:id="23"/>
      <w:r w:rsidRPr="56C33A9D">
        <w:rPr>
          <w:rFonts w:ascii="Arial Nova" w:eastAsia="Arial Nova" w:hAnsi="Arial Nova" w:cs="Arial Nova"/>
          <w:sz w:val="22"/>
          <w:szCs w:val="22"/>
        </w:rPr>
        <w:t xml:space="preserve"> the root cause and support the development of targeted quality improvement strategies</w:t>
      </w:r>
      <w:r w:rsidR="00E62FDD" w:rsidRPr="56C33A9D">
        <w:rPr>
          <w:rFonts w:ascii="Arial Nova" w:eastAsia="Arial Nova" w:hAnsi="Arial Nova" w:cs="Arial Nova"/>
          <w:sz w:val="22"/>
          <w:szCs w:val="22"/>
        </w:rPr>
        <w:t xml:space="preserve"> </w:t>
      </w:r>
      <w:r w:rsidR="00E62FDD" w:rsidRPr="1B0E3B3F">
        <w:rPr>
          <w:rFonts w:ascii="Arial Nova" w:eastAsia="Arial Nova" w:hAnsi="Arial Nova" w:cs="Arial Nova"/>
          <w:sz w:val="22"/>
          <w:szCs w:val="22"/>
        </w:rPr>
        <w:t>(NHS England, 2022).</w:t>
      </w:r>
    </w:p>
    <w:p w14:paraId="598A0C9A" w14:textId="3381819F" w:rsidR="22D17269" w:rsidRDefault="22D17269" w:rsidP="22D17269">
      <w:pPr>
        <w:pStyle w:val="p1"/>
        <w:spacing w:line="360" w:lineRule="auto"/>
        <w:rPr>
          <w:rFonts w:ascii="Arial Nova" w:eastAsia="Arial Nova" w:hAnsi="Arial Nova" w:cs="Arial Nova"/>
          <w:sz w:val="22"/>
          <w:szCs w:val="22"/>
        </w:rPr>
      </w:pPr>
    </w:p>
    <w:p w14:paraId="41655B22" w14:textId="08E42383" w:rsidR="796E977E" w:rsidRDefault="796E977E" w:rsidP="796E977E">
      <w:pPr>
        <w:pStyle w:val="p1"/>
        <w:spacing w:line="360" w:lineRule="auto"/>
        <w:rPr>
          <w:rFonts w:ascii="Arial Nova" w:eastAsia="Arial Nova" w:hAnsi="Arial Nova" w:cs="Arial Nova"/>
          <w:sz w:val="22"/>
          <w:szCs w:val="22"/>
        </w:rPr>
      </w:pPr>
    </w:p>
    <w:p w14:paraId="5A68F7F7" w14:textId="1BD17AAB" w:rsidR="796E977E" w:rsidRDefault="796E977E" w:rsidP="796E977E">
      <w:pPr>
        <w:pStyle w:val="p1"/>
        <w:spacing w:line="360" w:lineRule="auto"/>
        <w:rPr>
          <w:rFonts w:ascii="Arial Nova" w:eastAsia="Arial Nova" w:hAnsi="Arial Nova" w:cs="Arial Nova"/>
          <w:sz w:val="22"/>
          <w:szCs w:val="22"/>
        </w:rPr>
      </w:pPr>
    </w:p>
    <w:p w14:paraId="28F53E5B" w14:textId="133AD1A8" w:rsidR="796E977E" w:rsidRDefault="796E977E" w:rsidP="796E977E">
      <w:pPr>
        <w:pStyle w:val="p1"/>
        <w:spacing w:line="360" w:lineRule="auto"/>
        <w:rPr>
          <w:rFonts w:ascii="Arial Nova" w:eastAsia="Arial Nova" w:hAnsi="Arial Nova" w:cs="Arial Nova"/>
          <w:sz w:val="22"/>
          <w:szCs w:val="22"/>
        </w:rPr>
      </w:pPr>
    </w:p>
    <w:p w14:paraId="1F241A48" w14:textId="2A842839" w:rsidR="796E977E" w:rsidRDefault="796E977E" w:rsidP="796E977E">
      <w:pPr>
        <w:pStyle w:val="p1"/>
        <w:spacing w:line="360" w:lineRule="auto"/>
        <w:rPr>
          <w:rFonts w:ascii="Arial Nova" w:eastAsia="Arial Nova" w:hAnsi="Arial Nova" w:cs="Arial Nova"/>
          <w:sz w:val="22"/>
          <w:szCs w:val="22"/>
        </w:rPr>
      </w:pPr>
    </w:p>
    <w:p w14:paraId="3D72FFB9" w14:textId="196F496C" w:rsidR="796E977E" w:rsidRDefault="796E977E" w:rsidP="796E977E">
      <w:pPr>
        <w:pStyle w:val="p1"/>
        <w:spacing w:line="360" w:lineRule="auto"/>
        <w:rPr>
          <w:rFonts w:ascii="Arial Nova" w:eastAsia="Arial Nova" w:hAnsi="Arial Nova" w:cs="Arial Nova"/>
          <w:sz w:val="22"/>
          <w:szCs w:val="22"/>
        </w:rPr>
      </w:pPr>
    </w:p>
    <w:p w14:paraId="04F4EB0B" w14:textId="3B031A4E" w:rsidR="796E977E" w:rsidRDefault="796E977E" w:rsidP="796E977E">
      <w:pPr>
        <w:pStyle w:val="p1"/>
        <w:spacing w:line="360" w:lineRule="auto"/>
        <w:rPr>
          <w:rFonts w:ascii="Arial Nova" w:eastAsia="Arial Nova" w:hAnsi="Arial Nova" w:cs="Arial Nova"/>
          <w:sz w:val="22"/>
          <w:szCs w:val="22"/>
        </w:rPr>
      </w:pPr>
    </w:p>
    <w:p w14:paraId="60C915F0" w14:textId="1FF0C1FA" w:rsidR="796E977E" w:rsidRDefault="796E977E" w:rsidP="796E977E">
      <w:pPr>
        <w:pStyle w:val="p1"/>
        <w:spacing w:line="360" w:lineRule="auto"/>
        <w:rPr>
          <w:rFonts w:ascii="Arial Nova" w:eastAsia="Arial Nova" w:hAnsi="Arial Nova" w:cs="Arial Nova"/>
          <w:sz w:val="22"/>
          <w:szCs w:val="22"/>
        </w:rPr>
      </w:pPr>
    </w:p>
    <w:p w14:paraId="3542E3AB" w14:textId="084CE32C" w:rsidR="00C34094" w:rsidRDefault="57456ED8" w:rsidP="6C7B7F8A">
      <w:pPr>
        <w:pStyle w:val="p1"/>
        <w:spacing w:line="360" w:lineRule="auto"/>
        <w:rPr>
          <w:rFonts w:ascii="Arial Nova" w:eastAsia="Arial Nova" w:hAnsi="Arial Nova" w:cs="Arial Nova"/>
          <w:b/>
          <w:sz w:val="22"/>
          <w:szCs w:val="22"/>
        </w:rPr>
      </w:pPr>
      <w:r w:rsidRPr="6C7B7F8A">
        <w:rPr>
          <w:rFonts w:ascii="Arial Nova" w:eastAsia="Arial Nova" w:hAnsi="Arial Nova" w:cs="Arial Nova"/>
          <w:b/>
          <w:bCs/>
          <w:sz w:val="22"/>
          <w:szCs w:val="22"/>
        </w:rPr>
        <w:t xml:space="preserve">Figure 1. Fishbone (Ishikawa) Diagram illustrating the root causes of maternity service failures at Shrewsbury and Telford Hospital NHS Trust (Adapted from Ishikawa, 1986; Ockenden, 2022).  </w:t>
      </w:r>
    </w:p>
    <w:p w14:paraId="248A3D8D" w14:textId="5AE01BB5" w:rsidR="19E4B582" w:rsidRDefault="7B789069" w:rsidP="6C7B7F8A">
      <w:pPr>
        <w:spacing w:beforeAutospacing="1" w:afterAutospacing="1" w:line="360" w:lineRule="auto"/>
      </w:pPr>
      <w:r>
        <w:rPr>
          <w:noProof/>
        </w:rPr>
        <w:drawing>
          <wp:inline distT="0" distB="0" distL="0" distR="0" wp14:anchorId="45D27F28" wp14:editId="6DE17320">
            <wp:extent cx="6251356" cy="3979092"/>
            <wp:effectExtent l="133350" t="114300" r="111760" b="154940"/>
            <wp:docPr id="13041856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185624" name="Picture 1304185624"/>
                    <pic:cNvPicPr/>
                  </pic:nvPicPr>
                  <pic:blipFill>
                    <a:blip r:embed="rId5">
                      <a:extLst>
                        <a:ext uri="{28A0092B-C50C-407E-A947-70E740481C1C}">
                          <a14:useLocalDpi xmlns:a14="http://schemas.microsoft.com/office/drawing/2010/main"/>
                        </a:ext>
                      </a:extLst>
                    </a:blip>
                    <a:srcRect/>
                    <a:stretch>
                      <a:fillRect/>
                    </a:stretch>
                  </pic:blipFill>
                  <pic:spPr>
                    <a:xfrm>
                      <a:off x="0" y="0"/>
                      <a:ext cx="6251356" cy="39790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5BDEE4" w14:textId="06DF1C0D" w:rsidR="00C34094" w:rsidRDefault="00C34094" w:rsidP="7C9E7632">
      <w:pPr>
        <w:pStyle w:val="Heading2"/>
        <w:rPr>
          <w:rFonts w:ascii="Arial" w:eastAsia="Arial" w:hAnsi="Arial" w:cs="Arial"/>
          <w:b/>
          <w:bCs/>
          <w:color w:val="000000" w:themeColor="text1"/>
          <w:sz w:val="22"/>
          <w:szCs w:val="22"/>
        </w:rPr>
      </w:pPr>
      <w:bookmarkStart w:id="24" w:name="_Toc94023364"/>
      <w:r w:rsidRPr="7C9E7632">
        <w:rPr>
          <w:rFonts w:ascii="Arial" w:eastAsia="Arial" w:hAnsi="Arial" w:cs="Arial"/>
          <w:b/>
          <w:bCs/>
          <w:color w:val="000000" w:themeColor="text1"/>
          <w:sz w:val="22"/>
          <w:szCs w:val="22"/>
        </w:rPr>
        <w:t>2.4 Five Whys Analysis</w:t>
      </w:r>
      <w:bookmarkEnd w:id="24"/>
    </w:p>
    <w:p w14:paraId="11FEE52A" w14:textId="77777777" w:rsidR="00C34094" w:rsidRPr="0001571B" w:rsidRDefault="00C34094" w:rsidP="6C086335">
      <w:pPr>
        <w:spacing w:before="100" w:beforeAutospacing="1" w:after="100" w:afterAutospacing="1" w:line="360" w:lineRule="auto"/>
      </w:pPr>
      <w:r w:rsidRPr="56C33A9D">
        <w:rPr>
          <w:rFonts w:ascii="Arial Nova" w:eastAsia="Arial Nova" w:hAnsi="Arial Nova" w:cs="Arial Nova"/>
          <w:sz w:val="22"/>
          <w:szCs w:val="22"/>
        </w:rPr>
        <w:t xml:space="preserve">The </w:t>
      </w:r>
      <w:r w:rsidRPr="56C33A9D">
        <w:rPr>
          <w:rFonts w:ascii="Arial Nova" w:eastAsia="Arial Nova" w:hAnsi="Arial Nova" w:cs="Arial Nova"/>
          <w:b/>
          <w:sz w:val="22"/>
          <w:szCs w:val="22"/>
        </w:rPr>
        <w:t>Five Whys</w:t>
      </w:r>
      <w:r w:rsidRPr="56C33A9D">
        <w:rPr>
          <w:rFonts w:ascii="Arial Nova" w:eastAsia="Arial Nova" w:hAnsi="Arial Nova" w:cs="Arial Nova"/>
          <w:sz w:val="22"/>
          <w:szCs w:val="22"/>
        </w:rPr>
        <w:t xml:space="preserve"> technique was applied to identify the underlying organisational cause of the maternity service failures identified at Shrewsbury and Telford Hospital NHS Trust. The method systematically asks “why” until the fundamental cause of a problem is identified (Serrat, 2017). </w:t>
      </w:r>
      <w:r w:rsidRPr="56C33A9D">
        <w:rPr>
          <w:rFonts w:ascii="Arial Nova" w:eastAsia="Arial Nova" w:hAnsi="Arial Nova" w:cs="Arial Nova"/>
          <w:b/>
          <w:sz w:val="22"/>
          <w:szCs w:val="22"/>
        </w:rPr>
        <w:t>However</w:t>
      </w:r>
      <w:r w:rsidRPr="56C33A9D">
        <w:rPr>
          <w:rFonts w:ascii="Arial Nova" w:eastAsia="Arial Nova" w:hAnsi="Arial Nova" w:cs="Arial Nova"/>
          <w:sz w:val="22"/>
          <w:szCs w:val="22"/>
        </w:rPr>
        <w:t>, healthcare quality failures are often complex and involve multiple interacting factors; therefore, the Five Whys should be used alongside other root cause analysis tools rather than as a standalone method (Card, 2017). </w:t>
      </w:r>
    </w:p>
    <w:p w14:paraId="550BDE7C" w14:textId="238CF8C3" w:rsidR="5DDBE2E8" w:rsidRDefault="5DDBE2E8" w:rsidP="5DDBE2E8">
      <w:pPr>
        <w:spacing w:beforeAutospacing="1" w:afterAutospacing="1" w:line="360" w:lineRule="auto"/>
        <w:rPr>
          <w:rFonts w:ascii="Arial Nova" w:eastAsia="Arial Nova" w:hAnsi="Arial Nova" w:cs="Arial Nova"/>
          <w:sz w:val="22"/>
          <w:szCs w:val="22"/>
        </w:rPr>
      </w:pPr>
    </w:p>
    <w:p w14:paraId="51B3C312" w14:textId="759E3ECE" w:rsidR="5DDBE2E8" w:rsidRDefault="5DDBE2E8" w:rsidP="5DDBE2E8">
      <w:pPr>
        <w:spacing w:beforeAutospacing="1" w:afterAutospacing="1" w:line="360" w:lineRule="auto"/>
        <w:rPr>
          <w:rFonts w:ascii="Arial Nova" w:eastAsia="Arial Nova" w:hAnsi="Arial Nova" w:cs="Arial Nova"/>
          <w:sz w:val="22"/>
          <w:szCs w:val="22"/>
        </w:rPr>
      </w:pPr>
    </w:p>
    <w:p w14:paraId="337776A6" w14:textId="00507758" w:rsidR="79AB7436" w:rsidRDefault="79AB7436" w:rsidP="5DDBE2E8">
      <w:pPr>
        <w:spacing w:beforeAutospacing="1" w:afterAutospacing="1" w:line="360" w:lineRule="auto"/>
        <w:rPr>
          <w:rFonts w:ascii="Arial Nova" w:eastAsia="Arial Nova" w:hAnsi="Arial Nova" w:cs="Arial Nova"/>
          <w:b/>
          <w:bCs/>
          <w:sz w:val="22"/>
          <w:szCs w:val="22"/>
        </w:rPr>
      </w:pPr>
      <w:r w:rsidRPr="5DDBE2E8">
        <w:rPr>
          <w:rFonts w:ascii="Arial Nova" w:eastAsia="Arial Nova" w:hAnsi="Arial Nova" w:cs="Arial Nova"/>
          <w:b/>
          <w:bCs/>
          <w:sz w:val="22"/>
          <w:szCs w:val="22"/>
        </w:rPr>
        <w:t>Figure 2. Five Whys analysis of the root causes of maternity service failures (Adapted from Expert Program Management, 2019).</w:t>
      </w:r>
    </w:p>
    <w:p w14:paraId="427F448F" w14:textId="2E5666A2" w:rsidR="6C7B7F8A" w:rsidRDefault="69262B42" w:rsidP="265B336F">
      <w:pPr>
        <w:spacing w:beforeAutospacing="1" w:afterAutospacing="1" w:line="360" w:lineRule="auto"/>
      </w:pPr>
      <w:r>
        <w:rPr>
          <w:noProof/>
        </w:rPr>
        <w:drawing>
          <wp:inline distT="0" distB="0" distL="0" distR="0" wp14:anchorId="59014DD8" wp14:editId="656102E8">
            <wp:extent cx="3352800" cy="2621990"/>
            <wp:effectExtent l="0" t="0" r="0" b="0"/>
            <wp:docPr id="5014641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464163" name="Picture 501464163"/>
                    <pic:cNvPicPr/>
                  </pic:nvPicPr>
                  <pic:blipFill>
                    <a:blip r:embed="rId6">
                      <a:extLst>
                        <a:ext uri="{28A0092B-C50C-407E-A947-70E740481C1C}">
                          <a14:useLocalDpi xmlns:a14="http://schemas.microsoft.com/office/drawing/2010/main"/>
                        </a:ext>
                      </a:extLst>
                    </a:blip>
                    <a:stretch>
                      <a:fillRect/>
                    </a:stretch>
                  </pic:blipFill>
                  <pic:spPr>
                    <a:xfrm>
                      <a:off x="0" y="0"/>
                      <a:ext cx="3352800" cy="2621990"/>
                    </a:xfrm>
                    <a:prstGeom prst="rect">
                      <a:avLst/>
                    </a:prstGeom>
                  </pic:spPr>
                </pic:pic>
              </a:graphicData>
            </a:graphic>
          </wp:inline>
        </w:drawing>
      </w:r>
    </w:p>
    <w:p w14:paraId="7AAA27F1"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sz w:val="22"/>
          <w:szCs w:val="22"/>
        </w:rPr>
        <w:t>Why did avoidable maternal and neonatal harm occur?</w:t>
      </w:r>
      <w:r>
        <w:br/>
      </w:r>
      <w:r w:rsidRPr="5DDBE2E8">
        <w:rPr>
          <w:rFonts w:ascii="Arial" w:eastAsia="Arial" w:hAnsi="Arial" w:cs="Arial"/>
          <w:color w:val="000000" w:themeColor="text1"/>
          <w:sz w:val="22"/>
          <w:szCs w:val="22"/>
        </w:rPr>
        <w:t>Because clinical care was compromised by delayed escalation, communication failures and poor clinical decision-making (Ockenden, 2022).</w:t>
      </w:r>
    </w:p>
    <w:p w14:paraId="6CCB356B"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Why were these clinical processes ineffective?</w:t>
      </w:r>
      <w:r>
        <w:br/>
      </w:r>
      <w:r w:rsidRPr="5DDBE2E8">
        <w:rPr>
          <w:rFonts w:ascii="Arial" w:eastAsia="Arial" w:hAnsi="Arial" w:cs="Arial"/>
          <w:color w:val="000000" w:themeColor="text1"/>
          <w:kern w:val="0"/>
          <w:sz w:val="22"/>
          <w:szCs w:val="22"/>
          <w14:ligatures w14:val="none"/>
        </w:rPr>
        <w:t>Because staff did not consistently follow evidence-based guidance and safety concerns were not escalated appropriately (Ockenden, 2022).</w:t>
      </w:r>
    </w:p>
    <w:p w14:paraId="4ACD473A"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sz w:val="22"/>
          <w:szCs w:val="22"/>
        </w:rPr>
        <w:t>Why was safe practice not consistently maintained?</w:t>
      </w:r>
      <w:r>
        <w:br/>
      </w:r>
      <w:r w:rsidRPr="5DDBE2E8">
        <w:rPr>
          <w:rFonts w:ascii="Arial" w:eastAsia="Arial" w:hAnsi="Arial" w:cs="Arial"/>
          <w:color w:val="000000" w:themeColor="text1"/>
          <w:sz w:val="22"/>
          <w:szCs w:val="22"/>
        </w:rPr>
        <w:t>Because clinical governance, leadership and organisational oversight failed to identify and address unsafe practice (Care Quality Commission, 2024).</w:t>
      </w:r>
    </w:p>
    <w:p w14:paraId="40325190"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Why did governance and oversight fail?</w:t>
      </w:r>
      <w:r>
        <w:br/>
      </w:r>
      <w:r w:rsidRPr="5DDBE2E8">
        <w:rPr>
          <w:rFonts w:ascii="Arial" w:eastAsia="Arial" w:hAnsi="Arial" w:cs="Arial"/>
          <w:color w:val="000000" w:themeColor="text1"/>
          <w:kern w:val="0"/>
          <w:sz w:val="22"/>
          <w:szCs w:val="22"/>
          <w14:ligatures w14:val="none"/>
        </w:rPr>
        <w:t>Because incident reporting, clinical audit and organisational learning were ineffective, allowing similar failures to continue over many years (NHS England, 2019; Ockenden, 2022).</w:t>
      </w:r>
    </w:p>
    <w:p w14:paraId="656FE4D1"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sz w:val="22"/>
          <w:szCs w:val="22"/>
        </w:rPr>
        <w:t>Why did organisational learning fail?</w:t>
      </w:r>
      <w:r>
        <w:br/>
      </w:r>
      <w:r w:rsidRPr="5DDBE2E8">
        <w:rPr>
          <w:rFonts w:ascii="Arial" w:eastAsia="Arial" w:hAnsi="Arial" w:cs="Arial"/>
          <w:color w:val="000000" w:themeColor="text1"/>
          <w:sz w:val="22"/>
          <w:szCs w:val="22"/>
        </w:rPr>
        <w:t>Because the Trust lacked an open culture that encouraged accountability, learning from incidents and listening to women, families and frontline staff, resulting in repeated safety failures (Mannion and Davies, 2018; Ockenden, 2022).</w:t>
      </w:r>
    </w:p>
    <w:p w14:paraId="402B4494" w14:textId="06C51A87" w:rsidR="00FE6791" w:rsidRDefault="00FE6791" w:rsidP="6C086335">
      <w:pPr>
        <w:pStyle w:val="p1"/>
        <w:spacing w:line="360" w:lineRule="auto"/>
        <w:rPr>
          <w:rFonts w:ascii="Arial" w:eastAsia="Arial" w:hAnsi="Arial" w:cs="Arial"/>
          <w:color w:val="000000" w:themeColor="text1"/>
          <w:sz w:val="22"/>
          <w:szCs w:val="22"/>
        </w:rPr>
      </w:pPr>
      <w:r w:rsidRPr="5DDBE2E8">
        <w:rPr>
          <w:rFonts w:ascii="Arial" w:eastAsia="Arial" w:hAnsi="Arial" w:cs="Arial"/>
          <w:color w:val="000000" w:themeColor="text1"/>
          <w:sz w:val="22"/>
          <w:szCs w:val="22"/>
        </w:rPr>
        <w:t>Overall, the Five Whys identifies ineffective leadership and organisational culture as the principal root causes of the Shrewsbury failures</w:t>
      </w:r>
      <w:r w:rsidR="052D037F" w:rsidRPr="5DDBE2E8">
        <w:rPr>
          <w:rFonts w:ascii="Arial" w:eastAsia="Arial" w:hAnsi="Arial" w:cs="Arial"/>
          <w:color w:val="000000" w:themeColor="text1"/>
          <w:sz w:val="22"/>
          <w:szCs w:val="22"/>
        </w:rPr>
        <w:t>, consistent</w:t>
      </w:r>
      <w:r w:rsidR="11EA8521" w:rsidRPr="5DDBE2E8">
        <w:rPr>
          <w:rFonts w:ascii="Arial" w:eastAsia="Arial" w:hAnsi="Arial" w:cs="Arial"/>
          <w:color w:val="000000" w:themeColor="text1"/>
          <w:sz w:val="22"/>
          <w:szCs w:val="22"/>
        </w:rPr>
        <w:t xml:space="preserve"> with</w:t>
      </w:r>
      <w:r w:rsidR="62638B4C" w:rsidRPr="5DDBE2E8">
        <w:rPr>
          <w:rFonts w:ascii="Arial" w:eastAsia="Arial" w:hAnsi="Arial" w:cs="Arial"/>
          <w:color w:val="000000" w:themeColor="text1"/>
          <w:sz w:val="22"/>
          <w:szCs w:val="22"/>
        </w:rPr>
        <w:t xml:space="preserve"> wider evidence that</w:t>
      </w:r>
      <w:r w:rsidR="5D3DB6BE" w:rsidRPr="5DDBE2E8">
        <w:rPr>
          <w:rFonts w:ascii="Arial" w:eastAsia="Arial" w:hAnsi="Arial" w:cs="Arial"/>
          <w:color w:val="000000" w:themeColor="text1"/>
          <w:sz w:val="22"/>
          <w:szCs w:val="22"/>
        </w:rPr>
        <w:t xml:space="preserve"> safety culture underpins reliable care</w:t>
      </w:r>
      <w:r w:rsidR="1712B713" w:rsidRPr="5DDBE2E8">
        <w:rPr>
          <w:rFonts w:ascii="Arial" w:eastAsia="Arial" w:hAnsi="Arial" w:cs="Arial"/>
          <w:color w:val="000000" w:themeColor="text1"/>
          <w:sz w:val="22"/>
          <w:szCs w:val="22"/>
        </w:rPr>
        <w:t xml:space="preserve"> (Fin,2018)</w:t>
      </w:r>
      <w:r w:rsidRPr="5DDBE2E8">
        <w:rPr>
          <w:rFonts w:ascii="Arial" w:eastAsia="Arial" w:hAnsi="Arial" w:cs="Arial"/>
          <w:color w:val="000000" w:themeColor="text1"/>
          <w:sz w:val="22"/>
          <w:szCs w:val="22"/>
        </w:rPr>
        <w:t xml:space="preserve"> However, because healthcare incidents are rarely caused by a single factor, the findings should be interpreted alongside the Fishbone Diagram and Donabedian Model to provide a more comprehensive root cause analysis (Card, 2017).</w:t>
      </w:r>
    </w:p>
    <w:p w14:paraId="4E7858BA" w14:textId="77777777" w:rsidR="0097293D" w:rsidRPr="00C936A4" w:rsidRDefault="0097293D" w:rsidP="7C9E7632">
      <w:pPr>
        <w:spacing w:before="100" w:beforeAutospacing="1" w:after="100" w:afterAutospacing="1" w:line="360" w:lineRule="auto"/>
        <w:outlineLvl w:val="1"/>
        <w:rPr>
          <w:rFonts w:ascii="Arial" w:eastAsia="Arial" w:hAnsi="Arial" w:cs="Arial"/>
          <w:b/>
          <w:bCs/>
          <w:color w:val="000000" w:themeColor="text1"/>
          <w:kern w:val="0"/>
          <w:sz w:val="22"/>
          <w:szCs w:val="22"/>
          <w14:ligatures w14:val="none"/>
        </w:rPr>
      </w:pPr>
      <w:bookmarkStart w:id="25" w:name="_Toc1807662340"/>
      <w:r w:rsidRPr="7C9E7632">
        <w:rPr>
          <w:rFonts w:ascii="Arial" w:eastAsia="Arial" w:hAnsi="Arial" w:cs="Arial"/>
          <w:b/>
          <w:bCs/>
          <w:color w:val="000000" w:themeColor="text1"/>
          <w:kern w:val="0"/>
          <w:sz w:val="22"/>
          <w:szCs w:val="22"/>
          <w14:ligatures w14:val="none"/>
        </w:rPr>
        <w:t>2.5 SWOT Analysis</w:t>
      </w:r>
      <w:bookmarkEnd w:id="25"/>
    </w:p>
    <w:p w14:paraId="79F0B288" w14:textId="77777777" w:rsidR="0097293D" w:rsidRPr="00C936A4" w:rsidRDefault="0097293D"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A SWOT analysis was undertaken to evaluate the internal and external factors influencing quality improvement within Shrewsbury and Telford Hospital NHS Trust. Although SWOT provides a structured framework for strategic planning, it has been criticised for oversimplifying complex healthcare systems and failing to prioritise risks (Helms and Nixon, 2010). Nevertheless, when used alongside the Donabedian Model, Fishbone Diagram and Five Whys, it helps identify where improvement efforts should be focused.</w:t>
      </w:r>
    </w:p>
    <w:p w14:paraId="21FDF8E1" w14:textId="77777777" w:rsidR="0097293D" w:rsidRPr="00C936A4" w:rsidRDefault="0097293D"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The Trust’s key strengths include increased national oversight following the Ockenden Review, clear national maternity safety standards and ongoing support through NHS improvement programmes (NHS England, 2023). However, significant weaknesses remain, including ineffective leadership, poor organisational culture, weak governance and communication failures, all of which contributed to repeated patient safety incidents (Ockenden, 2022). Opportunities include strengthening staff training, improving multidisciplinary teamwork, increasing patient involvement and embedding continuous quality improvement. In contrast, continuing workforce shortages, financial pressures and increasing demand for maternity services remain significant threats that could delay sustainable change (Care Quality Commission, 2024).</w:t>
      </w:r>
    </w:p>
    <w:p w14:paraId="274191C0" w14:textId="77777777" w:rsidR="0097293D" w:rsidRPr="0097293D" w:rsidRDefault="0097293D" w:rsidP="6C086335">
      <w:pPr>
        <w:spacing w:before="100" w:beforeAutospacing="1" w:after="100" w:afterAutospacing="1" w:line="360" w:lineRule="auto"/>
      </w:pPr>
      <w:r w:rsidRPr="5DDBE2E8">
        <w:rPr>
          <w:rFonts w:ascii="Arial" w:eastAsia="Arial" w:hAnsi="Arial" w:cs="Arial"/>
          <w:color w:val="000000" w:themeColor="text1"/>
          <w:sz w:val="22"/>
          <w:szCs w:val="22"/>
        </w:rPr>
        <w:t>Overall, the SWOT analysis demonstrates that successful quality improvement will depend on addressing internal organisational weaknesses while capitalising on national support and improvement initiatives. Therefore, the findings provide a strategic foundation for the recommendations presented in the following section.</w:t>
      </w:r>
    </w:p>
    <w:p w14:paraId="73D62528" w14:textId="58F0364E" w:rsidR="5DDBE2E8" w:rsidRDefault="5DDBE2E8" w:rsidP="5DDBE2E8">
      <w:pPr>
        <w:spacing w:beforeAutospacing="1" w:afterAutospacing="1" w:line="360" w:lineRule="auto"/>
        <w:rPr>
          <w:rFonts w:ascii="Arial" w:eastAsia="Arial" w:hAnsi="Arial" w:cs="Arial"/>
          <w:color w:val="000000" w:themeColor="text1"/>
          <w:sz w:val="22"/>
          <w:szCs w:val="22"/>
        </w:rPr>
      </w:pPr>
    </w:p>
    <w:p w14:paraId="4635C956" w14:textId="0AF38708" w:rsidR="5DDBE2E8" w:rsidRDefault="5DDBE2E8" w:rsidP="5DDBE2E8">
      <w:pPr>
        <w:spacing w:beforeAutospacing="1" w:afterAutospacing="1" w:line="360" w:lineRule="auto"/>
        <w:rPr>
          <w:rFonts w:ascii="Arial" w:eastAsia="Arial" w:hAnsi="Arial" w:cs="Arial"/>
          <w:color w:val="000000" w:themeColor="text1"/>
          <w:sz w:val="22"/>
          <w:szCs w:val="22"/>
        </w:rPr>
      </w:pPr>
    </w:p>
    <w:p w14:paraId="18BA2227" w14:textId="0D953A97" w:rsidR="5DDBE2E8" w:rsidRDefault="5DDBE2E8" w:rsidP="5DDBE2E8">
      <w:pPr>
        <w:spacing w:beforeAutospacing="1" w:afterAutospacing="1" w:line="360" w:lineRule="auto"/>
        <w:rPr>
          <w:rFonts w:ascii="Arial" w:eastAsia="Arial" w:hAnsi="Arial" w:cs="Arial"/>
          <w:color w:val="000000" w:themeColor="text1"/>
          <w:sz w:val="22"/>
          <w:szCs w:val="22"/>
        </w:rPr>
      </w:pPr>
    </w:p>
    <w:p w14:paraId="146159ED" w14:textId="5EE43CB2" w:rsidR="5DDBE2E8" w:rsidRDefault="5DDBE2E8" w:rsidP="5DDBE2E8">
      <w:pPr>
        <w:spacing w:beforeAutospacing="1" w:afterAutospacing="1" w:line="360" w:lineRule="auto"/>
        <w:rPr>
          <w:rFonts w:ascii="Arial" w:eastAsia="Arial" w:hAnsi="Arial" w:cs="Arial"/>
          <w:color w:val="000000" w:themeColor="text1"/>
          <w:sz w:val="22"/>
          <w:szCs w:val="22"/>
        </w:rPr>
      </w:pPr>
    </w:p>
    <w:p w14:paraId="6EB60DF9" w14:textId="5C7FC581" w:rsidR="002F5586" w:rsidRPr="00DB073D" w:rsidRDefault="0039517B" w:rsidP="7F777A90">
      <w:pPr>
        <w:pStyle w:val="p1"/>
        <w:spacing w:line="360" w:lineRule="auto"/>
        <w:rPr>
          <w:rFonts w:ascii="Arial" w:eastAsia="Arial" w:hAnsi="Arial" w:cs="Arial"/>
          <w:b/>
          <w:color w:val="000000" w:themeColor="text1"/>
          <w:sz w:val="22"/>
          <w:szCs w:val="22"/>
        </w:rPr>
      </w:pPr>
      <w:r w:rsidRPr="5DDBE2E8">
        <w:rPr>
          <w:rFonts w:ascii="Arial" w:eastAsia="Arial" w:hAnsi="Arial" w:cs="Arial"/>
          <w:b/>
          <w:color w:val="000000" w:themeColor="text1"/>
          <w:sz w:val="22"/>
          <w:szCs w:val="22"/>
        </w:rPr>
        <w:t xml:space="preserve">Figure </w:t>
      </w:r>
      <w:r w:rsidR="7724EE66" w:rsidRPr="5DDBE2E8">
        <w:rPr>
          <w:rFonts w:ascii="Arial" w:eastAsia="Arial" w:hAnsi="Arial" w:cs="Arial"/>
          <w:b/>
          <w:bCs/>
          <w:color w:val="000000" w:themeColor="text1"/>
          <w:sz w:val="22"/>
          <w:szCs w:val="22"/>
        </w:rPr>
        <w:t>3</w:t>
      </w:r>
      <w:r w:rsidRPr="5DDBE2E8">
        <w:rPr>
          <w:rFonts w:ascii="Arial" w:eastAsia="Arial" w:hAnsi="Arial" w:cs="Arial"/>
          <w:b/>
          <w:color w:val="000000" w:themeColor="text1"/>
          <w:sz w:val="22"/>
          <w:szCs w:val="22"/>
        </w:rPr>
        <w:t>. SWOT Matrix evaluating internal and external factors influencing quality improvement at Shrewsbury and Telford Hospital NHS Trust.</w:t>
      </w:r>
    </w:p>
    <w:tbl>
      <w:tblPr>
        <w:tblW w:w="9010" w:type="dxa"/>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590"/>
        <w:gridCol w:w="4420"/>
      </w:tblGrid>
      <w:tr w:rsidR="002F5586" w:rsidRPr="002F5586" w14:paraId="34724E81" w14:textId="77777777" w:rsidTr="6C086335">
        <w:trPr>
          <w:tblHeader/>
        </w:trPr>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951E4E" w14:textId="77777777" w:rsidR="002F5586" w:rsidRPr="002F5586" w:rsidRDefault="002F5586" w:rsidP="6C086335">
            <w:pPr>
              <w:spacing w:before="100" w:beforeAutospacing="1" w:after="100" w:afterAutospacing="1" w:line="360" w:lineRule="auto"/>
              <w:jc w:val="center"/>
              <w:rPr>
                <w:rFonts w:ascii="Arial" w:eastAsia="Arial" w:hAnsi="Arial" w:cs="Arial"/>
                <w:b/>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Strengths</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B867C8" w14:textId="77777777" w:rsidR="002F5586" w:rsidRPr="002F5586" w:rsidRDefault="002F5586" w:rsidP="6C086335">
            <w:pPr>
              <w:spacing w:before="100" w:beforeAutospacing="1" w:after="100" w:afterAutospacing="1" w:line="360" w:lineRule="auto"/>
              <w:jc w:val="center"/>
              <w:rPr>
                <w:rFonts w:ascii="Arial" w:eastAsia="Arial" w:hAnsi="Arial" w:cs="Arial"/>
                <w:b/>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Weaknesses</w:t>
            </w:r>
          </w:p>
        </w:tc>
      </w:tr>
      <w:tr w:rsidR="002F5586" w:rsidRPr="002F5586" w14:paraId="2CCBC51C" w14:textId="77777777" w:rsidTr="6C086335">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3A8574"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National maternity safety programmes</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1E7DC6"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Weak leadership</w:t>
            </w:r>
          </w:p>
        </w:tc>
      </w:tr>
      <w:tr w:rsidR="002F5586" w:rsidRPr="002F5586" w14:paraId="697B83E0" w14:textId="77777777" w:rsidTr="6C086335">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559526"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Ockenden recommendations</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4789BB"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Poor governance</w:t>
            </w:r>
          </w:p>
        </w:tc>
      </w:tr>
      <w:tr w:rsidR="002F5586" w:rsidRPr="002F5586" w14:paraId="6DA69A73" w14:textId="77777777" w:rsidTr="6C086335">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7F2A60"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Increased regulatory oversight</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898456"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Poor organisational culture</w:t>
            </w:r>
          </w:p>
        </w:tc>
      </w:tr>
      <w:tr w:rsidR="002F5586" w:rsidRPr="002F5586" w14:paraId="410F7BC6" w14:textId="77777777" w:rsidTr="6C086335">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802B5C"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NHS improvement support</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0C2C61"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Communication failures</w:t>
            </w:r>
          </w:p>
        </w:tc>
      </w:tr>
    </w:tbl>
    <w:p w14:paraId="59CFD356" w14:textId="53276A4C" w:rsidR="00C647DC" w:rsidRPr="00A52DDD" w:rsidRDefault="00C647DC"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559"/>
        <w:gridCol w:w="4451"/>
      </w:tblGrid>
      <w:tr w:rsidR="00E00C43" w:rsidRPr="00E00C43" w14:paraId="290B976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F78B5C" w14:textId="77777777" w:rsidR="00E00C43" w:rsidRPr="00E00C43" w:rsidRDefault="00E00C43" w:rsidP="6C086335">
            <w:pPr>
              <w:spacing w:before="100" w:beforeAutospacing="1" w:after="100" w:afterAutospacing="1" w:line="360" w:lineRule="auto"/>
              <w:jc w:val="center"/>
              <w:rPr>
                <w:rFonts w:ascii="Arial" w:eastAsia="Arial" w:hAnsi="Arial" w:cs="Arial"/>
                <w:b/>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AA0EEE" w14:textId="77777777" w:rsidR="00E00C43" w:rsidRPr="00E00C43" w:rsidRDefault="00E00C43" w:rsidP="6C086335">
            <w:pPr>
              <w:spacing w:before="100" w:beforeAutospacing="1" w:after="100" w:afterAutospacing="1" w:line="360" w:lineRule="auto"/>
              <w:jc w:val="center"/>
              <w:rPr>
                <w:rFonts w:ascii="Arial" w:eastAsia="Arial" w:hAnsi="Arial" w:cs="Arial"/>
                <w:b/>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Threats</w:t>
            </w:r>
          </w:p>
        </w:tc>
      </w:tr>
      <w:tr w:rsidR="00E00C43" w:rsidRPr="00E00C43" w14:paraId="7CCA2F3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BB32B0"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Staff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946A98"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Workforce shortages</w:t>
            </w:r>
          </w:p>
        </w:tc>
      </w:tr>
      <w:tr w:rsidR="00E00C43" w:rsidRPr="00E00C43" w14:paraId="4F74AD9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81733E"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Stronger MDT working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2F08E2"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Financial pressures</w:t>
            </w:r>
          </w:p>
        </w:tc>
      </w:tr>
      <w:tr w:rsidR="00E00C43" w:rsidRPr="00E00C43" w14:paraId="784CA83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33DAAF"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Digital monitoring systems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595633"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Increasing service demand</w:t>
            </w:r>
          </w:p>
        </w:tc>
      </w:tr>
      <w:tr w:rsidR="00E00C43" w:rsidRPr="00E00C43" w14:paraId="5522F2C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DDF69C"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Greater patient involvement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4A942A"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Staff burnout</w:t>
            </w:r>
          </w:p>
        </w:tc>
      </w:tr>
    </w:tbl>
    <w:p w14:paraId="3BC8E2D7" w14:textId="2A39E62B" w:rsidR="5DDBE2E8" w:rsidRDefault="5DDBE2E8" w:rsidP="5DDBE2E8">
      <w:pPr>
        <w:pStyle w:val="p2"/>
        <w:spacing w:line="360" w:lineRule="auto"/>
        <w:rPr>
          <w:rFonts w:ascii="Arial" w:eastAsia="Arial" w:hAnsi="Arial" w:cs="Arial"/>
          <w:b/>
          <w:bCs/>
          <w:color w:val="000000" w:themeColor="text1"/>
          <w:sz w:val="22"/>
          <w:szCs w:val="22"/>
        </w:rPr>
      </w:pPr>
    </w:p>
    <w:p w14:paraId="2C5F2941" w14:textId="0EE2073A" w:rsidR="30D918A7" w:rsidRDefault="30D918A7" w:rsidP="7C9E7632">
      <w:pPr>
        <w:pStyle w:val="Heading2"/>
        <w:rPr>
          <w:rFonts w:ascii="Arial" w:eastAsia="Arial" w:hAnsi="Arial" w:cs="Arial"/>
          <w:b/>
          <w:bCs/>
          <w:color w:val="000000" w:themeColor="text1"/>
          <w:sz w:val="22"/>
          <w:szCs w:val="22"/>
        </w:rPr>
      </w:pPr>
      <w:bookmarkStart w:id="26" w:name="_Toc818564524"/>
      <w:r w:rsidRPr="7C9E7632">
        <w:rPr>
          <w:rFonts w:ascii="Arial" w:eastAsia="Arial" w:hAnsi="Arial" w:cs="Arial"/>
          <w:b/>
          <w:bCs/>
          <w:color w:val="000000" w:themeColor="text1"/>
          <w:sz w:val="22"/>
          <w:szCs w:val="22"/>
        </w:rPr>
        <w:t>2.6 Challenges to Sustainable Quality Improvement</w:t>
      </w:r>
      <w:bookmarkEnd w:id="26"/>
    </w:p>
    <w:p w14:paraId="5610B8CD" w14:textId="5E7F9E0B" w:rsidR="3A788AA7" w:rsidRDefault="3A788AA7" w:rsidP="7C9E7632">
      <w:pPr>
        <w:pStyle w:val="p2"/>
        <w:spacing w:line="360" w:lineRule="auto"/>
      </w:pPr>
      <w:r w:rsidRPr="7C9E7632">
        <w:rPr>
          <w:rFonts w:ascii="Arial" w:eastAsia="Arial" w:hAnsi="Arial" w:cs="Arial"/>
          <w:color w:val="000000" w:themeColor="text1"/>
          <w:sz w:val="22"/>
          <w:szCs w:val="22"/>
        </w:rPr>
        <w:t>Although the quality improvement tools used in this report provide a structured framework for analysing service failures, none is sufficient when used in isolation. Donabedian primarily evaluates the relationship between structure, process and outcomes but considers organisational behaviour and human factors (Arah et al., 2006). Similarly, the Fishbone Diagram and Five Whys support root cause analysis but may oversimplify complex healthcare systems where multiple interacting factors contribute to adverse outcomes (Card, 2017; Nicolini et al., 2011). Therefore, combining complementary quality improvement tools provides a more comprehensive understanding of patient safety failures and supports the development of evidence-based, sustainable recommendations (Berwick, 2002; Institute of Medicine, 2001).</w:t>
      </w:r>
    </w:p>
    <w:p w14:paraId="0A24F718" w14:textId="77777777" w:rsidR="00B50166" w:rsidRPr="00753CC9" w:rsidRDefault="00B50166" w:rsidP="7C9E7632">
      <w:pPr>
        <w:spacing w:before="100" w:beforeAutospacing="1" w:after="100" w:afterAutospacing="1" w:line="360" w:lineRule="auto"/>
        <w:outlineLvl w:val="1"/>
        <w:rPr>
          <w:rFonts w:ascii="Arial" w:eastAsia="Arial" w:hAnsi="Arial" w:cs="Arial"/>
          <w:b/>
          <w:bCs/>
          <w:color w:val="000000" w:themeColor="text1"/>
          <w:kern w:val="0"/>
          <w:sz w:val="22"/>
          <w:szCs w:val="22"/>
          <w14:ligatures w14:val="none"/>
        </w:rPr>
      </w:pPr>
      <w:bookmarkStart w:id="27" w:name="_Toc1005669944"/>
      <w:r w:rsidRPr="7C9E7632">
        <w:rPr>
          <w:rFonts w:ascii="Arial" w:eastAsia="Arial" w:hAnsi="Arial" w:cs="Arial"/>
          <w:b/>
          <w:bCs/>
          <w:color w:val="000000" w:themeColor="text1"/>
          <w:kern w:val="0"/>
          <w:sz w:val="22"/>
          <w:szCs w:val="22"/>
          <w14:ligatures w14:val="none"/>
        </w:rPr>
        <w:t>3. Recommendations and Implementation (PDSA Cycle)</w:t>
      </w:r>
      <w:bookmarkEnd w:id="27"/>
    </w:p>
    <w:p w14:paraId="472810DC" w14:textId="77777777" w:rsidR="00B50166" w:rsidRPr="00753CC9" w:rsidRDefault="00B5016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The findings from the Donabedian Model, Fishbone Diagram, Five Whys and SWOT analysis demonstrate that improving maternity services requires sustainable organisational change rather than isolated interventions. Therefore, the following recommendations are proposed using the </w:t>
      </w:r>
      <w:r w:rsidRPr="5DDBE2E8">
        <w:rPr>
          <w:rFonts w:ascii="Arial" w:eastAsia="Arial" w:hAnsi="Arial" w:cs="Arial"/>
          <w:b/>
          <w:color w:val="000000" w:themeColor="text1"/>
          <w:sz w:val="22"/>
          <w:szCs w:val="22"/>
        </w:rPr>
        <w:t>Plan-Do-Study-Act (PDSA)</w:t>
      </w:r>
      <w:r w:rsidRPr="5DDBE2E8">
        <w:rPr>
          <w:rFonts w:ascii="Arial" w:eastAsia="Arial" w:hAnsi="Arial" w:cs="Arial"/>
          <w:color w:val="000000" w:themeColor="text1"/>
          <w:sz w:val="22"/>
          <w:szCs w:val="22"/>
        </w:rPr>
        <w:t xml:space="preserve"> cycle, which supports continuous evaluation and refinement of quality improvement initiatives (Langley </w:t>
      </w:r>
      <w:r w:rsidRPr="5DDBE2E8">
        <w:rPr>
          <w:rFonts w:ascii="Arial" w:eastAsia="Arial" w:hAnsi="Arial" w:cs="Arial"/>
          <w:i/>
          <w:color w:val="000000" w:themeColor="text1"/>
          <w:sz w:val="22"/>
          <w:szCs w:val="22"/>
        </w:rPr>
        <w:t>et al.</w:t>
      </w:r>
      <w:r w:rsidRPr="5DDBE2E8">
        <w:rPr>
          <w:rFonts w:ascii="Arial" w:eastAsia="Arial" w:hAnsi="Arial" w:cs="Arial"/>
          <w:color w:val="000000" w:themeColor="text1"/>
          <w:sz w:val="22"/>
          <w:szCs w:val="22"/>
        </w:rPr>
        <w:t xml:space="preserve">, 2009). </w:t>
      </w:r>
      <w:r w:rsidRPr="5DDBE2E8">
        <w:rPr>
          <w:rFonts w:ascii="Arial" w:eastAsia="Arial" w:hAnsi="Arial" w:cs="Arial"/>
          <w:b/>
          <w:color w:val="000000" w:themeColor="text1"/>
          <w:sz w:val="22"/>
          <w:szCs w:val="22"/>
        </w:rPr>
        <w:t>However</w:t>
      </w:r>
      <w:r w:rsidRPr="5DDBE2E8">
        <w:rPr>
          <w:rFonts w:ascii="Arial" w:eastAsia="Arial" w:hAnsi="Arial" w:cs="Arial"/>
          <w:color w:val="000000" w:themeColor="text1"/>
          <w:sz w:val="22"/>
          <w:szCs w:val="22"/>
        </w:rPr>
        <w:t>, successful implementation depends on effective leadership, staff engagement and ongoing monitoring to ensure improvements are embedded into routine practice rather than becoming short-term initiatives.</w:t>
      </w:r>
    </w:p>
    <w:p w14:paraId="671BAA27" w14:textId="3B2280A0" w:rsidR="00B50166" w:rsidRPr="00753CC9" w:rsidRDefault="004A6CE6" w:rsidP="7C9E7632">
      <w:pPr>
        <w:spacing w:before="100" w:beforeAutospacing="1" w:after="100" w:afterAutospacing="1" w:line="360" w:lineRule="auto"/>
        <w:outlineLvl w:val="2"/>
        <w:rPr>
          <w:rFonts w:ascii="Arial" w:eastAsia="Arial" w:hAnsi="Arial" w:cs="Arial"/>
          <w:b/>
          <w:bCs/>
          <w:color w:val="000000" w:themeColor="text1"/>
          <w:kern w:val="0"/>
          <w:sz w:val="22"/>
          <w:szCs w:val="22"/>
          <w14:ligatures w14:val="none"/>
        </w:rPr>
      </w:pPr>
      <w:bookmarkStart w:id="28" w:name="_Toc653602434"/>
      <w:r w:rsidRPr="7C9E7632">
        <w:rPr>
          <w:rFonts w:ascii="Arial" w:eastAsia="Arial" w:hAnsi="Arial" w:cs="Arial"/>
          <w:b/>
          <w:bCs/>
          <w:color w:val="000000" w:themeColor="text1"/>
          <w:kern w:val="0"/>
          <w:sz w:val="22"/>
          <w:szCs w:val="22"/>
          <w14:ligatures w14:val="none"/>
        </w:rPr>
        <w:t xml:space="preserve">3.1 </w:t>
      </w:r>
      <w:r w:rsidR="00B50166" w:rsidRPr="7C9E7632">
        <w:rPr>
          <w:rFonts w:ascii="Arial" w:eastAsia="Arial" w:hAnsi="Arial" w:cs="Arial"/>
          <w:b/>
          <w:bCs/>
          <w:color w:val="000000" w:themeColor="text1"/>
          <w:kern w:val="0"/>
          <w:sz w:val="22"/>
          <w:szCs w:val="22"/>
          <w14:ligatures w14:val="none"/>
        </w:rPr>
        <w:t>Plan</w:t>
      </w:r>
      <w:bookmarkEnd w:id="28"/>
    </w:p>
    <w:p w14:paraId="2B5B7907" w14:textId="5DB13F46" w:rsidR="00B50166" w:rsidRPr="00753CC9" w:rsidRDefault="00B5016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The Trust should strengthen clinical leadership, improve governance arrangements and introduce mandatory multidisciplinary training focused on </w:t>
      </w:r>
      <w:r w:rsidR="42965A36" w:rsidRPr="5DDBE2E8">
        <w:rPr>
          <w:rFonts w:ascii="Arial" w:eastAsia="Arial" w:hAnsi="Arial" w:cs="Arial"/>
          <w:color w:val="000000" w:themeColor="text1"/>
          <w:sz w:val="22"/>
          <w:szCs w:val="22"/>
        </w:rPr>
        <w:t>fatal</w:t>
      </w:r>
      <w:r w:rsidRPr="5DDBE2E8">
        <w:rPr>
          <w:rFonts w:ascii="Arial" w:eastAsia="Arial" w:hAnsi="Arial" w:cs="Arial"/>
          <w:color w:val="000000" w:themeColor="text1"/>
          <w:sz w:val="22"/>
          <w:szCs w:val="22"/>
        </w:rPr>
        <w:t xml:space="preserve"> monitoring, communication, escalation and the Duty of Candour</w:t>
      </w:r>
      <w:r w:rsidR="33EF51E5" w:rsidRPr="5DDBE2E8">
        <w:rPr>
          <w:rFonts w:ascii="Arial" w:eastAsia="Arial" w:hAnsi="Arial" w:cs="Arial"/>
          <w:color w:val="000000" w:themeColor="text1"/>
          <w:sz w:val="22"/>
          <w:szCs w:val="22"/>
        </w:rPr>
        <w:t xml:space="preserve"> alongside standardised safety tools proven to reduce preventable </w:t>
      </w:r>
      <w:r w:rsidR="0D408888" w:rsidRPr="5DDBE2E8">
        <w:rPr>
          <w:rFonts w:ascii="Arial" w:eastAsia="Arial" w:hAnsi="Arial" w:cs="Arial"/>
          <w:color w:val="000000" w:themeColor="text1"/>
          <w:sz w:val="22"/>
          <w:szCs w:val="22"/>
        </w:rPr>
        <w:t>errors</w:t>
      </w:r>
      <w:r w:rsidR="33EF51E5" w:rsidRPr="5DDBE2E8">
        <w:rPr>
          <w:rFonts w:ascii="Arial" w:eastAsia="Arial" w:hAnsi="Arial" w:cs="Arial"/>
          <w:color w:val="000000" w:themeColor="text1"/>
          <w:sz w:val="22"/>
          <w:szCs w:val="22"/>
        </w:rPr>
        <w:t xml:space="preserve"> (</w:t>
      </w:r>
      <w:r w:rsidR="4B3D0D9E" w:rsidRPr="5DDBE2E8">
        <w:rPr>
          <w:rFonts w:ascii="Arial" w:eastAsia="Arial" w:hAnsi="Arial" w:cs="Arial"/>
          <w:color w:val="000000" w:themeColor="text1"/>
          <w:sz w:val="22"/>
          <w:szCs w:val="22"/>
        </w:rPr>
        <w:t>Pronovost and vohr,2010).</w:t>
      </w:r>
      <w:r w:rsidRPr="5DDBE2E8">
        <w:rPr>
          <w:rFonts w:ascii="Arial" w:eastAsia="Arial" w:hAnsi="Arial" w:cs="Arial"/>
          <w:color w:val="000000" w:themeColor="text1"/>
          <w:sz w:val="22"/>
          <w:szCs w:val="22"/>
        </w:rPr>
        <w:t xml:space="preserve"> Clear quality indicators, including incident reporting, patient experience and compliance with national maternity standards, should be established before implementation (NHS England, 2023; Ockenden, 2022).</w:t>
      </w:r>
    </w:p>
    <w:p w14:paraId="6F3ED9BB" w14:textId="24C66932" w:rsidR="00B50166" w:rsidRPr="00753CC9" w:rsidRDefault="004A6CE6" w:rsidP="7C9E7632">
      <w:pPr>
        <w:spacing w:before="100" w:beforeAutospacing="1" w:after="100" w:afterAutospacing="1" w:line="360" w:lineRule="auto"/>
        <w:outlineLvl w:val="2"/>
        <w:rPr>
          <w:rFonts w:ascii="Arial" w:eastAsia="Arial" w:hAnsi="Arial" w:cs="Arial"/>
          <w:b/>
          <w:bCs/>
          <w:color w:val="000000" w:themeColor="text1"/>
          <w:kern w:val="0"/>
          <w:sz w:val="22"/>
          <w:szCs w:val="22"/>
          <w14:ligatures w14:val="none"/>
        </w:rPr>
      </w:pPr>
      <w:bookmarkStart w:id="29" w:name="_Toc318469964"/>
      <w:r w:rsidRPr="7C9E7632">
        <w:rPr>
          <w:rFonts w:ascii="Arial" w:eastAsia="Arial" w:hAnsi="Arial" w:cs="Arial"/>
          <w:b/>
          <w:bCs/>
          <w:color w:val="000000" w:themeColor="text1"/>
          <w:kern w:val="0"/>
          <w:sz w:val="22"/>
          <w:szCs w:val="22"/>
          <w14:ligatures w14:val="none"/>
        </w:rPr>
        <w:t xml:space="preserve">3.2 </w:t>
      </w:r>
      <w:r w:rsidR="00B50166" w:rsidRPr="7C9E7632">
        <w:rPr>
          <w:rFonts w:ascii="Arial" w:eastAsia="Arial" w:hAnsi="Arial" w:cs="Arial"/>
          <w:b/>
          <w:bCs/>
          <w:color w:val="000000" w:themeColor="text1"/>
          <w:kern w:val="0"/>
          <w:sz w:val="22"/>
          <w:szCs w:val="22"/>
          <w14:ligatures w14:val="none"/>
        </w:rPr>
        <w:t>Do</w:t>
      </w:r>
      <w:bookmarkEnd w:id="29"/>
    </w:p>
    <w:p w14:paraId="5933D31E" w14:textId="77777777" w:rsidR="00B50166" w:rsidRPr="00753CC9" w:rsidRDefault="00B5016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The proposed interventions should first be introduced within selected maternity teams before wider implementation. Clinical champions should support staff, while regular audits and multidisciplinary meetings encourage consistent adoption of evidence-based practice.</w:t>
      </w:r>
    </w:p>
    <w:p w14:paraId="34370D3A" w14:textId="1D786C99" w:rsidR="00B50166" w:rsidRPr="00753CC9" w:rsidRDefault="00FE697F" w:rsidP="7C9E7632">
      <w:pPr>
        <w:spacing w:before="100" w:beforeAutospacing="1" w:after="100" w:afterAutospacing="1" w:line="360" w:lineRule="auto"/>
        <w:outlineLvl w:val="2"/>
        <w:rPr>
          <w:rFonts w:ascii="Arial" w:eastAsia="Arial" w:hAnsi="Arial" w:cs="Arial"/>
          <w:b/>
          <w:bCs/>
          <w:color w:val="000000" w:themeColor="text1"/>
          <w:kern w:val="0"/>
          <w:sz w:val="22"/>
          <w:szCs w:val="22"/>
          <w14:ligatures w14:val="none"/>
        </w:rPr>
      </w:pPr>
      <w:bookmarkStart w:id="30" w:name="_Toc420518097"/>
      <w:r w:rsidRPr="7C9E7632">
        <w:rPr>
          <w:rFonts w:ascii="Arial" w:eastAsia="Arial" w:hAnsi="Arial" w:cs="Arial"/>
          <w:b/>
          <w:bCs/>
          <w:color w:val="000000" w:themeColor="text1"/>
          <w:kern w:val="0"/>
          <w:sz w:val="22"/>
          <w:szCs w:val="22"/>
          <w14:ligatures w14:val="none"/>
        </w:rPr>
        <w:t xml:space="preserve">3.3 </w:t>
      </w:r>
      <w:r w:rsidR="00B50166" w:rsidRPr="7C9E7632">
        <w:rPr>
          <w:rFonts w:ascii="Arial" w:eastAsia="Arial" w:hAnsi="Arial" w:cs="Arial"/>
          <w:b/>
          <w:bCs/>
          <w:color w:val="000000" w:themeColor="text1"/>
          <w:kern w:val="0"/>
          <w:sz w:val="22"/>
          <w:szCs w:val="22"/>
          <w14:ligatures w14:val="none"/>
        </w:rPr>
        <w:t>Study</w:t>
      </w:r>
      <w:bookmarkEnd w:id="30"/>
    </w:p>
    <w:p w14:paraId="3F03300E" w14:textId="77777777" w:rsidR="00B50166" w:rsidRPr="00753CC9" w:rsidRDefault="00B50166" w:rsidP="6C086335">
      <w:pPr>
        <w:spacing w:before="100" w:beforeAutospacing="1" w:after="100" w:afterAutospacing="1" w:line="360" w:lineRule="auto"/>
      </w:pPr>
      <w:r w:rsidRPr="5DDBE2E8">
        <w:rPr>
          <w:rFonts w:ascii="Arial" w:eastAsia="Arial" w:hAnsi="Arial" w:cs="Arial"/>
          <w:color w:val="000000" w:themeColor="text1"/>
          <w:sz w:val="22"/>
          <w:szCs w:val="22"/>
        </w:rPr>
        <w:t>Outcomes should be evaluated using clinical audit data, patient feedback, staff surveys, incident reports and maternity safety indicators. Comparing performance before and after implementation will determine whether patient safety and quality of care have improved (Institute for Healthcare Improvement, 2024).</w:t>
      </w:r>
    </w:p>
    <w:p w14:paraId="3B0CCF36" w14:textId="446B14A1" w:rsidR="5DDBE2E8" w:rsidRDefault="5DDBE2E8" w:rsidP="5DDBE2E8">
      <w:pPr>
        <w:spacing w:beforeAutospacing="1" w:afterAutospacing="1" w:line="360" w:lineRule="auto"/>
        <w:rPr>
          <w:rFonts w:ascii="Arial" w:eastAsia="Arial" w:hAnsi="Arial" w:cs="Arial"/>
          <w:color w:val="000000" w:themeColor="text1"/>
          <w:sz w:val="22"/>
          <w:szCs w:val="22"/>
        </w:rPr>
      </w:pPr>
    </w:p>
    <w:p w14:paraId="78575596" w14:textId="310D1D35" w:rsidR="00B50166" w:rsidRPr="00753CC9" w:rsidRDefault="00FE697F" w:rsidP="7C9E7632">
      <w:pPr>
        <w:spacing w:before="100" w:beforeAutospacing="1" w:after="100" w:afterAutospacing="1" w:line="360" w:lineRule="auto"/>
        <w:outlineLvl w:val="2"/>
        <w:rPr>
          <w:rFonts w:ascii="Arial" w:eastAsia="Arial" w:hAnsi="Arial" w:cs="Arial"/>
          <w:b/>
          <w:bCs/>
          <w:color w:val="000000" w:themeColor="text1"/>
          <w:kern w:val="0"/>
          <w:sz w:val="22"/>
          <w:szCs w:val="22"/>
          <w14:ligatures w14:val="none"/>
        </w:rPr>
      </w:pPr>
      <w:bookmarkStart w:id="31" w:name="_Toc153973358"/>
      <w:r w:rsidRPr="7C9E7632">
        <w:rPr>
          <w:rFonts w:ascii="Arial" w:eastAsia="Arial" w:hAnsi="Arial" w:cs="Arial"/>
          <w:b/>
          <w:bCs/>
          <w:color w:val="000000" w:themeColor="text1"/>
          <w:kern w:val="0"/>
          <w:sz w:val="22"/>
          <w:szCs w:val="22"/>
          <w14:ligatures w14:val="none"/>
        </w:rPr>
        <w:t xml:space="preserve">3.4 </w:t>
      </w:r>
      <w:r w:rsidR="00B50166" w:rsidRPr="7C9E7632">
        <w:rPr>
          <w:rFonts w:ascii="Arial" w:eastAsia="Arial" w:hAnsi="Arial" w:cs="Arial"/>
          <w:b/>
          <w:bCs/>
          <w:color w:val="000000" w:themeColor="text1"/>
          <w:kern w:val="0"/>
          <w:sz w:val="22"/>
          <w:szCs w:val="22"/>
          <w14:ligatures w14:val="none"/>
        </w:rPr>
        <w:t>Act</w:t>
      </w:r>
      <w:bookmarkEnd w:id="31"/>
    </w:p>
    <w:p w14:paraId="497B46CA" w14:textId="77777777" w:rsidR="00B50166" w:rsidRDefault="00B5016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Successful interventions should be standardised across the Trust, while any identified shortcomings should inform further PDSA cycles. Continuous monitoring, leadership oversight and organisational learning will help sustain improvements and reduce the risk of repeated failures.</w:t>
      </w:r>
    </w:p>
    <w:p w14:paraId="4031A269" w14:textId="77777777" w:rsidR="00895E2B" w:rsidRDefault="00895E2B" w:rsidP="6C086335">
      <w:pPr>
        <w:pStyle w:val="p1"/>
        <w:spacing w:line="360" w:lineRule="auto"/>
        <w:rPr>
          <w:rFonts w:ascii="Arial" w:eastAsia="Arial" w:hAnsi="Arial" w:cs="Arial"/>
          <w:color w:val="000000" w:themeColor="text1"/>
          <w:sz w:val="22"/>
          <w:szCs w:val="22"/>
        </w:rPr>
      </w:pPr>
      <w:r w:rsidRPr="5DDBE2E8">
        <w:rPr>
          <w:rFonts w:ascii="Arial" w:eastAsia="Arial" w:hAnsi="Arial" w:cs="Arial"/>
          <w:color w:val="000000" w:themeColor="text1"/>
          <w:sz w:val="22"/>
          <w:szCs w:val="22"/>
        </w:rPr>
        <w:t>Despite these recommendations, successful implementation may be challenged by workforce shortages, financial constraints, resistance to organisational change and competing clinical priorities. Strong leadership, staff engagement and continuous monitoring will therefore be essential to ensure improvements are sustained over time rather than becoming short-term initiatives (Kotter, 1996; NHS England, 2023).</w:t>
      </w:r>
    </w:p>
    <w:p w14:paraId="131BDD4A" w14:textId="5BB4570E" w:rsidR="00707F68" w:rsidRPr="00294FB5" w:rsidRDefault="00707F68" w:rsidP="7C9E7632">
      <w:pPr>
        <w:spacing w:before="100" w:beforeAutospacing="1" w:after="100" w:afterAutospacing="1" w:line="360" w:lineRule="auto"/>
        <w:outlineLvl w:val="1"/>
        <w:rPr>
          <w:rFonts w:ascii="Arial" w:eastAsia="Arial" w:hAnsi="Arial" w:cs="Arial"/>
          <w:b/>
          <w:bCs/>
          <w:color w:val="000000" w:themeColor="text1"/>
          <w:kern w:val="0"/>
          <w:sz w:val="22"/>
          <w:szCs w:val="22"/>
          <w14:ligatures w14:val="none"/>
        </w:rPr>
      </w:pPr>
      <w:bookmarkStart w:id="32" w:name="_Toc1664567577"/>
      <w:r w:rsidRPr="7C9E7632">
        <w:rPr>
          <w:rFonts w:ascii="Arial" w:eastAsia="Arial" w:hAnsi="Arial" w:cs="Arial"/>
          <w:b/>
          <w:bCs/>
          <w:color w:val="000000" w:themeColor="text1"/>
          <w:kern w:val="0"/>
          <w:sz w:val="22"/>
          <w:szCs w:val="22"/>
          <w14:ligatures w14:val="none"/>
        </w:rPr>
        <w:t>3.</w:t>
      </w:r>
      <w:r w:rsidR="00FE697F" w:rsidRPr="7C9E7632">
        <w:rPr>
          <w:rFonts w:ascii="Arial" w:eastAsia="Arial" w:hAnsi="Arial" w:cs="Arial"/>
          <w:b/>
          <w:bCs/>
          <w:color w:val="000000" w:themeColor="text1"/>
          <w:kern w:val="0"/>
          <w:sz w:val="22"/>
          <w:szCs w:val="22"/>
          <w14:ligatures w14:val="none"/>
        </w:rPr>
        <w:t>5</w:t>
      </w:r>
      <w:r w:rsidRPr="7C9E7632">
        <w:rPr>
          <w:rFonts w:ascii="Arial" w:eastAsia="Arial" w:hAnsi="Arial" w:cs="Arial"/>
          <w:b/>
          <w:bCs/>
          <w:color w:val="000000" w:themeColor="text1"/>
          <w:kern w:val="0"/>
          <w:sz w:val="22"/>
          <w:szCs w:val="22"/>
          <w14:ligatures w14:val="none"/>
        </w:rPr>
        <w:t xml:space="preserve"> Implementation, Monitoring and Evaluation</w:t>
      </w:r>
      <w:bookmarkEnd w:id="32"/>
    </w:p>
    <w:p w14:paraId="2F0512E9" w14:textId="77777777" w:rsidR="00707F68" w:rsidRPr="00294FB5" w:rsidRDefault="00707F68"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Successful implementation requires clear leadership, measurable outcomes and continuous evaluation. Responsibility should be shared across the </w:t>
      </w:r>
      <w:r w:rsidRPr="5DDBE2E8">
        <w:rPr>
          <w:rFonts w:ascii="Arial" w:eastAsia="Arial" w:hAnsi="Arial" w:cs="Arial"/>
          <w:b/>
          <w:color w:val="000000" w:themeColor="text1"/>
          <w:sz w:val="22"/>
          <w:szCs w:val="22"/>
        </w:rPr>
        <w:t>Trust Board</w:t>
      </w:r>
      <w:r w:rsidRPr="5DDBE2E8">
        <w:rPr>
          <w:rFonts w:ascii="Arial" w:eastAsia="Arial" w:hAnsi="Arial" w:cs="Arial"/>
          <w:color w:val="000000" w:themeColor="text1"/>
          <w:sz w:val="22"/>
          <w:szCs w:val="22"/>
        </w:rPr>
        <w:t xml:space="preserve">, </w:t>
      </w:r>
      <w:r w:rsidRPr="5DDBE2E8">
        <w:rPr>
          <w:rFonts w:ascii="Arial" w:eastAsia="Arial" w:hAnsi="Arial" w:cs="Arial"/>
          <w:b/>
          <w:color w:val="000000" w:themeColor="text1"/>
          <w:sz w:val="22"/>
          <w:szCs w:val="22"/>
        </w:rPr>
        <w:t>Head of Midwifery</w:t>
      </w:r>
      <w:r w:rsidRPr="5DDBE2E8">
        <w:rPr>
          <w:rFonts w:ascii="Arial" w:eastAsia="Arial" w:hAnsi="Arial" w:cs="Arial"/>
          <w:color w:val="000000" w:themeColor="text1"/>
          <w:sz w:val="22"/>
          <w:szCs w:val="22"/>
        </w:rPr>
        <w:t xml:space="preserve">, </w:t>
      </w:r>
      <w:r w:rsidRPr="5DDBE2E8">
        <w:rPr>
          <w:rFonts w:ascii="Arial" w:eastAsia="Arial" w:hAnsi="Arial" w:cs="Arial"/>
          <w:b/>
          <w:color w:val="000000" w:themeColor="text1"/>
          <w:sz w:val="22"/>
          <w:szCs w:val="22"/>
        </w:rPr>
        <w:t>Clinical Governance Team</w:t>
      </w:r>
      <w:r w:rsidRPr="5DDBE2E8">
        <w:rPr>
          <w:rFonts w:ascii="Arial" w:eastAsia="Arial" w:hAnsi="Arial" w:cs="Arial"/>
          <w:color w:val="000000" w:themeColor="text1"/>
          <w:sz w:val="22"/>
          <w:szCs w:val="22"/>
        </w:rPr>
        <w:t xml:space="preserve"> and </w:t>
      </w:r>
      <w:r w:rsidRPr="5DDBE2E8">
        <w:rPr>
          <w:rFonts w:ascii="Arial" w:eastAsia="Arial" w:hAnsi="Arial" w:cs="Arial"/>
          <w:b/>
          <w:color w:val="000000" w:themeColor="text1"/>
          <w:sz w:val="22"/>
          <w:szCs w:val="22"/>
        </w:rPr>
        <w:t>Maternity Safety Champions</w:t>
      </w:r>
      <w:r w:rsidRPr="5DDBE2E8">
        <w:rPr>
          <w:rFonts w:ascii="Arial" w:eastAsia="Arial" w:hAnsi="Arial" w:cs="Arial"/>
          <w:color w:val="000000" w:themeColor="text1"/>
          <w:sz w:val="22"/>
          <w:szCs w:val="22"/>
        </w:rPr>
        <w:t>. For example, the Head of Midwifery could oversee mandatory fetal monitoring (CTG) training, while the Clinical Governance Team reviews incident reports and audit findings to identify recurring safety concerns.</w:t>
      </w:r>
    </w:p>
    <w:p w14:paraId="70B342DE" w14:textId="77777777" w:rsidR="00707F68" w:rsidRPr="00294FB5" w:rsidRDefault="00707F68"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 xml:space="preserve">Success should be evaluated using measurable </w:t>
      </w:r>
      <w:r w:rsidRPr="5DDBE2E8">
        <w:rPr>
          <w:rFonts w:ascii="Arial" w:eastAsia="Arial" w:hAnsi="Arial" w:cs="Arial"/>
          <w:b/>
          <w:color w:val="000000" w:themeColor="text1"/>
          <w:kern w:val="0"/>
          <w:sz w:val="22"/>
          <w:szCs w:val="22"/>
          <w14:ligatures w14:val="none"/>
        </w:rPr>
        <w:t>Key Performance Indicators (KPIs)</w:t>
      </w:r>
      <w:r w:rsidRPr="5DDBE2E8">
        <w:rPr>
          <w:rFonts w:ascii="Arial" w:eastAsia="Arial" w:hAnsi="Arial" w:cs="Arial"/>
          <w:color w:val="000000" w:themeColor="text1"/>
          <w:kern w:val="0"/>
          <w:sz w:val="22"/>
          <w:szCs w:val="22"/>
          <w14:ligatures w14:val="none"/>
        </w:rPr>
        <w:t xml:space="preserve"> rather than relying on policy compliance alone. Examples include:</w:t>
      </w:r>
    </w:p>
    <w:p w14:paraId="281930C4"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a reduction in serious maternity incidents and avoidable harm;</w:t>
      </w:r>
    </w:p>
    <w:p w14:paraId="69709B41"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95% staff completion</w:t>
      </w:r>
      <w:r w:rsidRPr="5DDBE2E8">
        <w:rPr>
          <w:rFonts w:ascii="Arial" w:eastAsia="Arial" w:hAnsi="Arial" w:cs="Arial"/>
          <w:color w:val="000000" w:themeColor="text1"/>
          <w:kern w:val="0"/>
          <w:sz w:val="22"/>
          <w:szCs w:val="22"/>
          <w14:ligatures w14:val="none"/>
        </w:rPr>
        <w:t xml:space="preserve"> of mandatory CTG, emergency obstetric and communication training;</w:t>
      </w:r>
    </w:p>
    <w:p w14:paraId="2000F477"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100% compliance</w:t>
      </w:r>
      <w:r w:rsidRPr="5DDBE2E8">
        <w:rPr>
          <w:rFonts w:ascii="Arial" w:eastAsia="Arial" w:hAnsi="Arial" w:cs="Arial"/>
          <w:color w:val="000000" w:themeColor="text1"/>
          <w:kern w:val="0"/>
          <w:sz w:val="22"/>
          <w:szCs w:val="22"/>
          <w14:ligatures w14:val="none"/>
        </w:rPr>
        <w:t xml:space="preserve"> with the Duty of Candour following reportable incidents;</w:t>
      </w:r>
    </w:p>
    <w:p w14:paraId="5FAF49A0"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 xml:space="preserve">improved patient experience scores from the </w:t>
      </w:r>
      <w:r w:rsidRPr="5DDBE2E8">
        <w:rPr>
          <w:rFonts w:ascii="Arial" w:eastAsia="Arial" w:hAnsi="Arial" w:cs="Arial"/>
          <w:b/>
          <w:color w:val="000000" w:themeColor="text1"/>
          <w:kern w:val="0"/>
          <w:sz w:val="22"/>
          <w:szCs w:val="22"/>
          <w14:ligatures w14:val="none"/>
        </w:rPr>
        <w:t>Maternity Survey</w:t>
      </w:r>
      <w:r w:rsidRPr="5DDBE2E8">
        <w:rPr>
          <w:rFonts w:ascii="Arial" w:eastAsia="Arial" w:hAnsi="Arial" w:cs="Arial"/>
          <w:color w:val="000000" w:themeColor="text1"/>
          <w:kern w:val="0"/>
          <w:sz w:val="22"/>
          <w:szCs w:val="22"/>
          <w14:ligatures w14:val="none"/>
        </w:rPr>
        <w:t xml:space="preserve"> and local Friends and Family Test feedback;</w:t>
      </w:r>
    </w:p>
    <w:p w14:paraId="62A87B81"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increased reporting of patient safety incidents, demonstrating a more open learning culture rather than under-reporting (NHS England, 2023; Care Quality Commission, 2024).</w:t>
      </w:r>
    </w:p>
    <w:p w14:paraId="7496F1C8" w14:textId="77777777" w:rsidR="00707F68" w:rsidRPr="00294FB5" w:rsidRDefault="00707F68"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Implementation should occur in phases. During the </w:t>
      </w:r>
      <w:r w:rsidRPr="5DDBE2E8">
        <w:rPr>
          <w:rFonts w:ascii="Arial" w:eastAsia="Arial" w:hAnsi="Arial" w:cs="Arial"/>
          <w:b/>
          <w:color w:val="000000" w:themeColor="text1"/>
          <w:sz w:val="22"/>
          <w:szCs w:val="22"/>
        </w:rPr>
        <w:t>first three months</w:t>
      </w:r>
      <w:r w:rsidRPr="5DDBE2E8">
        <w:rPr>
          <w:rFonts w:ascii="Arial" w:eastAsia="Arial" w:hAnsi="Arial" w:cs="Arial"/>
          <w:color w:val="000000" w:themeColor="text1"/>
          <w:sz w:val="22"/>
          <w:szCs w:val="22"/>
        </w:rPr>
        <w:t xml:space="preserve">, staff training should be completed, governance policies updated and safety champions appointed. By </w:t>
      </w:r>
      <w:r w:rsidRPr="5DDBE2E8">
        <w:rPr>
          <w:rFonts w:ascii="Arial" w:eastAsia="Arial" w:hAnsi="Arial" w:cs="Arial"/>
          <w:b/>
          <w:color w:val="000000" w:themeColor="text1"/>
          <w:sz w:val="22"/>
          <w:szCs w:val="22"/>
        </w:rPr>
        <w:t>six months</w:t>
      </w:r>
      <w:r w:rsidRPr="5DDBE2E8">
        <w:rPr>
          <w:rFonts w:ascii="Arial" w:eastAsia="Arial" w:hAnsi="Arial" w:cs="Arial"/>
          <w:color w:val="000000" w:themeColor="text1"/>
          <w:sz w:val="22"/>
          <w:szCs w:val="22"/>
        </w:rPr>
        <w:t xml:space="preserve">, clinical audit results, incident trends and patient feedback should be reviewed to identify whether improvements are being achieved. At </w:t>
      </w:r>
      <w:r w:rsidRPr="5DDBE2E8">
        <w:rPr>
          <w:rFonts w:ascii="Arial" w:eastAsia="Arial" w:hAnsi="Arial" w:cs="Arial"/>
          <w:b/>
          <w:color w:val="000000" w:themeColor="text1"/>
          <w:sz w:val="22"/>
          <w:szCs w:val="22"/>
        </w:rPr>
        <w:t>twelve months</w:t>
      </w:r>
      <w:r w:rsidRPr="5DDBE2E8">
        <w:rPr>
          <w:rFonts w:ascii="Arial" w:eastAsia="Arial" w:hAnsi="Arial" w:cs="Arial"/>
          <w:color w:val="000000" w:themeColor="text1"/>
          <w:sz w:val="22"/>
          <w:szCs w:val="22"/>
        </w:rPr>
        <w:t>, a comprehensive evaluation should compare safety indicators with baseline data to determine whether the interventions have reduced avoidable harm and improved the quality of maternity care.</w:t>
      </w:r>
    </w:p>
    <w:p w14:paraId="35A0462A" w14:textId="21EF48E9" w:rsidR="003C6A62" w:rsidRDefault="00707F68"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 xml:space="preserve">Potential barriers include staff shortages, resistance to change and limited financial resources. These challenges can be reduced by providing protected training time, involving frontline staff in decision-making, communicating progress through regular safety meetings and repeating PDSA cycles where targets have not </w:t>
      </w:r>
      <w:bookmarkStart w:id="33" w:name="_Int_2Ja7DTAO"/>
      <w:r w:rsidRPr="5DDBE2E8">
        <w:rPr>
          <w:rFonts w:ascii="Arial" w:eastAsia="Arial" w:hAnsi="Arial" w:cs="Arial"/>
          <w:color w:val="000000" w:themeColor="text1"/>
          <w:kern w:val="0"/>
          <w:sz w:val="22"/>
          <w:szCs w:val="22"/>
          <w14:ligatures w14:val="none"/>
        </w:rPr>
        <w:t>been achieved</w:t>
      </w:r>
      <w:bookmarkEnd w:id="33"/>
      <w:r w:rsidRPr="5DDBE2E8">
        <w:rPr>
          <w:rFonts w:ascii="Arial" w:eastAsia="Arial" w:hAnsi="Arial" w:cs="Arial"/>
          <w:color w:val="000000" w:themeColor="text1"/>
          <w:kern w:val="0"/>
          <w:sz w:val="22"/>
          <w:szCs w:val="22"/>
          <w14:ligatures w14:val="none"/>
        </w:rPr>
        <w:t xml:space="preserve"> (Langley </w:t>
      </w:r>
      <w:r w:rsidRPr="5DDBE2E8">
        <w:rPr>
          <w:rFonts w:ascii="Arial" w:eastAsia="Arial" w:hAnsi="Arial" w:cs="Arial"/>
          <w:i/>
          <w:color w:val="000000" w:themeColor="text1"/>
          <w:kern w:val="0"/>
          <w:sz w:val="22"/>
          <w:szCs w:val="22"/>
          <w14:ligatures w14:val="none"/>
        </w:rPr>
        <w:t>et al.</w:t>
      </w:r>
      <w:r w:rsidRPr="5DDBE2E8">
        <w:rPr>
          <w:rFonts w:ascii="Arial" w:eastAsia="Arial" w:hAnsi="Arial" w:cs="Arial"/>
          <w:color w:val="000000" w:themeColor="text1"/>
          <w:kern w:val="0"/>
          <w:sz w:val="22"/>
          <w:szCs w:val="22"/>
          <w14:ligatures w14:val="none"/>
        </w:rPr>
        <w:t>, 2009; Kotter, 1996).</w:t>
      </w:r>
    </w:p>
    <w:p w14:paraId="248A896B" w14:textId="0BB35AAA" w:rsidR="003C6A62" w:rsidRDefault="0AC95530" w:rsidP="003C6A62">
      <w:pPr>
        <w:spacing w:beforeAutospacing="1" w:afterAutospacing="1" w:line="360" w:lineRule="auto"/>
        <w:rPr>
          <w:rFonts w:ascii="Arial" w:eastAsia="Arial" w:hAnsi="Arial" w:cs="Arial"/>
          <w:b/>
          <w:color w:val="000000" w:themeColor="text1"/>
          <w:sz w:val="22"/>
          <w:szCs w:val="22"/>
        </w:rPr>
      </w:pPr>
      <w:r w:rsidRPr="5DDBE2E8">
        <w:rPr>
          <w:rFonts w:ascii="Arial" w:eastAsia="Arial" w:hAnsi="Arial" w:cs="Arial"/>
          <w:b/>
          <w:color w:val="000000" w:themeColor="text1"/>
          <w:sz w:val="22"/>
          <w:szCs w:val="22"/>
        </w:rPr>
        <w:t>3.6 Challenges and Sustainability of Quality Improvement</w:t>
      </w:r>
    </w:p>
    <w:p w14:paraId="0D03E399" w14:textId="51098BDA" w:rsidR="009375A5" w:rsidRPr="003C6A62" w:rsidRDefault="009375A5" w:rsidP="003C6A62">
      <w:pPr>
        <w:spacing w:beforeAutospacing="1" w:afterAutospacing="1" w:line="360" w:lineRule="auto"/>
        <w:rPr>
          <w:rFonts w:ascii="Arial" w:eastAsia="Arial" w:hAnsi="Arial" w:cs="Arial"/>
          <w:b/>
          <w:color w:val="000000" w:themeColor="text1"/>
          <w:sz w:val="22"/>
          <w:szCs w:val="22"/>
        </w:rPr>
      </w:pPr>
      <w:r w:rsidRPr="5DDBE2E8">
        <w:rPr>
          <w:rFonts w:ascii="Arial" w:eastAsia="Arial" w:hAnsi="Arial" w:cs="Arial"/>
          <w:color w:val="000000" w:themeColor="text1"/>
          <w:sz w:val="22"/>
          <w:szCs w:val="22"/>
        </w:rPr>
        <w:t xml:space="preserve">Although the proposed recommendations have the potential to improve maternity safety, sustaining quality improvement within healthcare organisations </w:t>
      </w:r>
      <w:r w:rsidR="00301F56" w:rsidRPr="5DDBE2E8">
        <w:rPr>
          <w:rFonts w:ascii="Arial" w:eastAsia="Arial" w:hAnsi="Arial" w:cs="Arial"/>
          <w:color w:val="000000" w:themeColor="text1"/>
          <w:sz w:val="22"/>
          <w:szCs w:val="22"/>
        </w:rPr>
        <w:t>is still</w:t>
      </w:r>
      <w:r w:rsidRPr="5DDBE2E8">
        <w:rPr>
          <w:rFonts w:ascii="Arial" w:eastAsia="Arial" w:hAnsi="Arial" w:cs="Arial"/>
          <w:color w:val="000000" w:themeColor="text1"/>
          <w:sz w:val="22"/>
          <w:szCs w:val="22"/>
        </w:rPr>
        <w:t xml:space="preserve"> challenging. Research </w:t>
      </w:r>
      <w:r w:rsidR="008C3AEF" w:rsidRPr="5DDBE2E8">
        <w:rPr>
          <w:rFonts w:ascii="Arial" w:eastAsia="Arial" w:hAnsi="Arial" w:cs="Arial"/>
          <w:color w:val="000000" w:themeColor="text1"/>
          <w:sz w:val="22"/>
          <w:szCs w:val="22"/>
        </w:rPr>
        <w:t>shows</w:t>
      </w:r>
      <w:r w:rsidRPr="5DDBE2E8">
        <w:rPr>
          <w:rFonts w:ascii="Arial" w:eastAsia="Arial" w:hAnsi="Arial" w:cs="Arial"/>
          <w:color w:val="000000" w:themeColor="text1"/>
          <w:sz w:val="22"/>
          <w:szCs w:val="22"/>
        </w:rPr>
        <w:t xml:space="preserve"> that successful implementation requires more than introducing new policies, as organisational culture, staff engagement and leadership commitment strongly influence whether improvements become embedded in routine practice (Schein and Schein, 2021; Edmondson, 2019). Furthermore, workforce shortages, increasing clinical demand and financial constraints continue to affect NHS maternity services and may delay implementation despite national support (NHS Resolution, 2024; World Health Organization, 2021).</w:t>
      </w:r>
    </w:p>
    <w:p w14:paraId="6F56F427" w14:textId="45CCB8C7" w:rsidR="009375A5" w:rsidRDefault="009375A5" w:rsidP="7C9E7632">
      <w:pPr>
        <w:pStyle w:val="p1"/>
        <w:spacing w:line="360" w:lineRule="auto"/>
      </w:pPr>
      <w:r w:rsidRPr="7C9E7632">
        <w:rPr>
          <w:rFonts w:ascii="Arial" w:eastAsia="Arial" w:hAnsi="Arial" w:cs="Arial"/>
          <w:color w:val="000000" w:themeColor="text1"/>
          <w:sz w:val="22"/>
          <w:szCs w:val="22"/>
        </w:rPr>
        <w:t xml:space="preserve">Therefore, continuous evaluation through clinical audit, benchmarking against national standards and regular review of patient safety indicators is essential to ensure that improvements </w:t>
      </w:r>
      <w:r w:rsidR="1133E507" w:rsidRPr="7C9E7632">
        <w:rPr>
          <w:rFonts w:ascii="Arial" w:eastAsia="Arial" w:hAnsi="Arial" w:cs="Arial"/>
          <w:color w:val="000000" w:themeColor="text1"/>
          <w:sz w:val="22"/>
          <w:szCs w:val="22"/>
        </w:rPr>
        <w:t>remain</w:t>
      </w:r>
      <w:r w:rsidRPr="7C9E7632">
        <w:rPr>
          <w:rFonts w:ascii="Arial" w:eastAsia="Arial" w:hAnsi="Arial" w:cs="Arial"/>
          <w:color w:val="000000" w:themeColor="text1"/>
          <w:sz w:val="22"/>
          <w:szCs w:val="22"/>
        </w:rPr>
        <w:t xml:space="preserve"> effective over time (Institute of Medicine, 2001; Arah </w:t>
      </w:r>
      <w:r w:rsidRPr="7C9E7632">
        <w:rPr>
          <w:rStyle w:val="s2"/>
          <w:rFonts w:ascii="Arial" w:eastAsia="Arial" w:hAnsi="Arial" w:cs="Arial"/>
          <w:i/>
          <w:iCs/>
          <w:color w:val="000000" w:themeColor="text1"/>
          <w:sz w:val="22"/>
          <w:szCs w:val="22"/>
        </w:rPr>
        <w:t>et al</w:t>
      </w:r>
      <w:r w:rsidRPr="7C9E7632">
        <w:rPr>
          <w:rStyle w:val="s1"/>
          <w:rFonts w:ascii="Arial" w:eastAsia="Arial" w:hAnsi="Arial" w:cs="Arial"/>
          <w:color w:val="000000" w:themeColor="text1"/>
          <w:sz w:val="22"/>
          <w:szCs w:val="22"/>
        </w:rPr>
        <w:t xml:space="preserve">., 2006). This reinforces the importance of developing a learning organisation that continuously evaluates outcomes, adapts to new </w:t>
      </w:r>
      <w:r w:rsidR="003C6A62" w:rsidRPr="7C9E7632">
        <w:rPr>
          <w:rStyle w:val="s1"/>
          <w:rFonts w:ascii="Arial" w:eastAsia="Arial" w:hAnsi="Arial" w:cs="Arial"/>
          <w:color w:val="000000" w:themeColor="text1"/>
          <w:sz w:val="22"/>
          <w:szCs w:val="22"/>
        </w:rPr>
        <w:t>evidence,</w:t>
      </w:r>
      <w:r w:rsidRPr="7C9E7632">
        <w:rPr>
          <w:rStyle w:val="s1"/>
          <w:rFonts w:ascii="Arial" w:eastAsia="Arial" w:hAnsi="Arial" w:cs="Arial"/>
          <w:color w:val="000000" w:themeColor="text1"/>
          <w:sz w:val="22"/>
          <w:szCs w:val="22"/>
        </w:rPr>
        <w:t xml:space="preserve"> and promotes a culture of continuous quality improvement rather than relying on one-off interventions (Berwick, 2002; West </w:t>
      </w:r>
      <w:r w:rsidRPr="7C9E7632">
        <w:rPr>
          <w:rStyle w:val="s2"/>
          <w:rFonts w:ascii="Arial" w:eastAsia="Arial" w:hAnsi="Arial" w:cs="Arial"/>
          <w:i/>
          <w:iCs/>
          <w:color w:val="000000" w:themeColor="text1"/>
          <w:sz w:val="22"/>
          <w:szCs w:val="22"/>
        </w:rPr>
        <w:t>et al</w:t>
      </w:r>
      <w:r w:rsidRPr="7C9E7632">
        <w:rPr>
          <w:rStyle w:val="s1"/>
          <w:rFonts w:ascii="Arial" w:eastAsia="Arial" w:hAnsi="Arial" w:cs="Arial"/>
          <w:color w:val="000000" w:themeColor="text1"/>
          <w:sz w:val="22"/>
          <w:szCs w:val="22"/>
        </w:rPr>
        <w:t xml:space="preserve">., </w:t>
      </w:r>
      <w:r w:rsidR="259E367A" w:rsidRPr="7C9E7632">
        <w:rPr>
          <w:rStyle w:val="s1"/>
          <w:rFonts w:ascii="Arial" w:eastAsia="Arial" w:hAnsi="Arial" w:cs="Arial"/>
          <w:color w:val="000000" w:themeColor="text1"/>
          <w:sz w:val="22"/>
          <w:szCs w:val="22"/>
        </w:rPr>
        <w:t>2017</w:t>
      </w:r>
      <w:r w:rsidR="566655E7" w:rsidRPr="7C9E7632">
        <w:rPr>
          <w:rStyle w:val="s1"/>
          <w:rFonts w:ascii="Arial" w:eastAsia="Arial" w:hAnsi="Arial" w:cs="Arial"/>
          <w:color w:val="000000" w:themeColor="text1"/>
          <w:sz w:val="22"/>
          <w:szCs w:val="22"/>
        </w:rPr>
        <w:t>; Waring and Bishop, 2020).</w:t>
      </w:r>
    </w:p>
    <w:p w14:paraId="1C05D908" w14:textId="77777777" w:rsidR="00AD150A" w:rsidRPr="004E6D9A" w:rsidRDefault="00AD150A" w:rsidP="7C9E7632">
      <w:pPr>
        <w:spacing w:before="100" w:beforeAutospacing="1" w:after="100" w:afterAutospacing="1" w:line="360" w:lineRule="auto"/>
        <w:outlineLvl w:val="0"/>
        <w:rPr>
          <w:rFonts w:ascii="Arial" w:eastAsia="Arial" w:hAnsi="Arial" w:cs="Arial"/>
          <w:b/>
          <w:bCs/>
          <w:color w:val="000000" w:themeColor="text1"/>
          <w:kern w:val="36"/>
          <w:sz w:val="22"/>
          <w:szCs w:val="22"/>
          <w14:ligatures w14:val="none"/>
        </w:rPr>
      </w:pPr>
      <w:bookmarkStart w:id="34" w:name="_Toc2119289593"/>
      <w:r w:rsidRPr="7C9E7632">
        <w:rPr>
          <w:rFonts w:ascii="Arial" w:eastAsia="Arial" w:hAnsi="Arial" w:cs="Arial"/>
          <w:b/>
          <w:bCs/>
          <w:color w:val="000000" w:themeColor="text1"/>
          <w:kern w:val="36"/>
          <w:sz w:val="22"/>
          <w:szCs w:val="22"/>
          <w14:ligatures w14:val="none"/>
        </w:rPr>
        <w:t>4. Conclusion</w:t>
      </w:r>
      <w:bookmarkEnd w:id="34"/>
    </w:p>
    <w:p w14:paraId="2763D768" w14:textId="25803E19" w:rsidR="00AD150A" w:rsidRPr="004E6D9A" w:rsidRDefault="00AD150A"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This report critically evaluated the maternity service failures at Shrewsbury and Telford Hospital NHS Trust using recognised quality improvement frameworks. The case study </w:t>
      </w:r>
      <w:r w:rsidR="0067757C" w:rsidRPr="5DDBE2E8">
        <w:rPr>
          <w:rFonts w:ascii="Arial" w:eastAsia="Arial" w:hAnsi="Arial" w:cs="Arial"/>
          <w:color w:val="000000" w:themeColor="text1"/>
          <w:sz w:val="22"/>
          <w:szCs w:val="22"/>
        </w:rPr>
        <w:t>proved</w:t>
      </w:r>
      <w:r w:rsidRPr="5DDBE2E8">
        <w:rPr>
          <w:rFonts w:ascii="Arial" w:eastAsia="Arial" w:hAnsi="Arial" w:cs="Arial"/>
          <w:color w:val="000000" w:themeColor="text1"/>
          <w:sz w:val="22"/>
          <w:szCs w:val="22"/>
        </w:rPr>
        <w:t xml:space="preserve"> that the failures were not the result of isolated clinical errors but reflected wider organisational weaknesses in leadership, governance, </w:t>
      </w:r>
      <w:r w:rsidR="00CC1F28" w:rsidRPr="5DDBE2E8">
        <w:rPr>
          <w:rFonts w:ascii="Arial" w:eastAsia="Arial" w:hAnsi="Arial" w:cs="Arial"/>
          <w:color w:val="000000" w:themeColor="text1"/>
          <w:sz w:val="22"/>
          <w:szCs w:val="22"/>
        </w:rPr>
        <w:t>communication,</w:t>
      </w:r>
      <w:r w:rsidRPr="5DDBE2E8">
        <w:rPr>
          <w:rFonts w:ascii="Arial" w:eastAsia="Arial" w:hAnsi="Arial" w:cs="Arial"/>
          <w:color w:val="000000" w:themeColor="text1"/>
          <w:sz w:val="22"/>
          <w:szCs w:val="22"/>
        </w:rPr>
        <w:t xml:space="preserve"> and organisational culture. These weaknesses contributed to unsafe clinical processes and poor patient outcomes, resulting in avoidable maternal and neonatal harm.</w:t>
      </w:r>
    </w:p>
    <w:p w14:paraId="3C4B7FE8" w14:textId="45614799" w:rsidR="00AD150A" w:rsidRPr="004E6D9A" w:rsidRDefault="00AD150A"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The application of the </w:t>
      </w:r>
      <w:r w:rsidRPr="5DDBE2E8">
        <w:rPr>
          <w:rFonts w:ascii="Arial" w:eastAsia="Arial" w:hAnsi="Arial" w:cs="Arial"/>
          <w:b/>
          <w:color w:val="000000" w:themeColor="text1"/>
          <w:sz w:val="22"/>
          <w:szCs w:val="22"/>
        </w:rPr>
        <w:t>Donabedian Model</w:t>
      </w:r>
      <w:r w:rsidRPr="5DDBE2E8">
        <w:rPr>
          <w:rFonts w:ascii="Arial" w:eastAsia="Arial" w:hAnsi="Arial" w:cs="Arial"/>
          <w:color w:val="000000" w:themeColor="text1"/>
          <w:sz w:val="22"/>
          <w:szCs w:val="22"/>
        </w:rPr>
        <w:t xml:space="preserve"> demonstrated the relationship between organisational structures, clinical </w:t>
      </w:r>
      <w:r w:rsidR="00D4472F" w:rsidRPr="5DDBE2E8">
        <w:rPr>
          <w:rFonts w:ascii="Arial" w:eastAsia="Arial" w:hAnsi="Arial" w:cs="Arial"/>
          <w:color w:val="000000" w:themeColor="text1"/>
          <w:sz w:val="22"/>
          <w:szCs w:val="22"/>
        </w:rPr>
        <w:t>processes,</w:t>
      </w:r>
      <w:r w:rsidRPr="5DDBE2E8">
        <w:rPr>
          <w:rFonts w:ascii="Arial" w:eastAsia="Arial" w:hAnsi="Arial" w:cs="Arial"/>
          <w:color w:val="000000" w:themeColor="text1"/>
          <w:sz w:val="22"/>
          <w:szCs w:val="22"/>
        </w:rPr>
        <w:t xml:space="preserve"> and patient outcomes, while the </w:t>
      </w:r>
      <w:r w:rsidRPr="5DDBE2E8">
        <w:rPr>
          <w:rFonts w:ascii="Arial" w:eastAsia="Arial" w:hAnsi="Arial" w:cs="Arial"/>
          <w:b/>
          <w:color w:val="000000" w:themeColor="text1"/>
          <w:sz w:val="22"/>
          <w:szCs w:val="22"/>
        </w:rPr>
        <w:t>Fishbone Diagram</w:t>
      </w:r>
      <w:r w:rsidRPr="5DDBE2E8">
        <w:rPr>
          <w:rFonts w:ascii="Arial" w:eastAsia="Arial" w:hAnsi="Arial" w:cs="Arial"/>
          <w:color w:val="000000" w:themeColor="text1"/>
          <w:sz w:val="22"/>
          <w:szCs w:val="22"/>
        </w:rPr>
        <w:t xml:space="preserve"> and </w:t>
      </w:r>
      <w:r w:rsidRPr="5DDBE2E8">
        <w:rPr>
          <w:rFonts w:ascii="Arial" w:eastAsia="Arial" w:hAnsi="Arial" w:cs="Arial"/>
          <w:b/>
          <w:color w:val="000000" w:themeColor="text1"/>
          <w:sz w:val="22"/>
          <w:szCs w:val="22"/>
        </w:rPr>
        <w:t>Five Whys</w:t>
      </w:r>
      <w:r w:rsidRPr="5DDBE2E8">
        <w:rPr>
          <w:rFonts w:ascii="Arial" w:eastAsia="Arial" w:hAnsi="Arial" w:cs="Arial"/>
          <w:color w:val="000000" w:themeColor="text1"/>
          <w:sz w:val="22"/>
          <w:szCs w:val="22"/>
        </w:rPr>
        <w:t xml:space="preserve"> </w:t>
      </w:r>
      <w:r w:rsidR="00CC1F28" w:rsidRPr="5DDBE2E8">
        <w:rPr>
          <w:rFonts w:ascii="Arial" w:eastAsia="Arial" w:hAnsi="Arial" w:cs="Arial"/>
          <w:color w:val="000000" w:themeColor="text1"/>
          <w:sz w:val="22"/>
          <w:szCs w:val="22"/>
        </w:rPr>
        <w:t>found</w:t>
      </w:r>
      <w:r w:rsidRPr="5DDBE2E8">
        <w:rPr>
          <w:rFonts w:ascii="Arial" w:eastAsia="Arial" w:hAnsi="Arial" w:cs="Arial"/>
          <w:color w:val="000000" w:themeColor="text1"/>
          <w:sz w:val="22"/>
          <w:szCs w:val="22"/>
        </w:rPr>
        <w:t xml:space="preserve"> ineffective leadership, poor governance and a weak learning culture as the principal causes underpinning the failures. Furthermore, the </w:t>
      </w:r>
      <w:r w:rsidRPr="5DDBE2E8">
        <w:rPr>
          <w:rFonts w:ascii="Arial" w:eastAsia="Arial" w:hAnsi="Arial" w:cs="Arial"/>
          <w:b/>
          <w:color w:val="000000" w:themeColor="text1"/>
          <w:sz w:val="22"/>
          <w:szCs w:val="22"/>
        </w:rPr>
        <w:t>SWOT analysis</w:t>
      </w:r>
      <w:r w:rsidRPr="5DDBE2E8">
        <w:rPr>
          <w:rFonts w:ascii="Arial" w:eastAsia="Arial" w:hAnsi="Arial" w:cs="Arial"/>
          <w:color w:val="000000" w:themeColor="text1"/>
          <w:sz w:val="22"/>
          <w:szCs w:val="22"/>
        </w:rPr>
        <w:t xml:space="preserve"> highlighted that although national maternity safety initiatives provide significant opportunities for improvement, sustainable change depends on addressing internal organisational weaknesses rather than relying solely on external regulation.</w:t>
      </w:r>
    </w:p>
    <w:p w14:paraId="3776B9EE" w14:textId="47744724" w:rsidR="00AD150A" w:rsidRPr="004E6D9A" w:rsidRDefault="00AD150A"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The recommendations developed through the </w:t>
      </w:r>
      <w:r w:rsidRPr="5DDBE2E8">
        <w:rPr>
          <w:rFonts w:ascii="Arial" w:eastAsia="Arial" w:hAnsi="Arial" w:cs="Arial"/>
          <w:b/>
          <w:color w:val="000000" w:themeColor="text1"/>
          <w:sz w:val="22"/>
          <w:szCs w:val="22"/>
        </w:rPr>
        <w:t>PDSA cycle</w:t>
      </w:r>
      <w:r w:rsidRPr="5DDBE2E8">
        <w:rPr>
          <w:rFonts w:ascii="Arial" w:eastAsia="Arial" w:hAnsi="Arial" w:cs="Arial"/>
          <w:color w:val="000000" w:themeColor="text1"/>
          <w:sz w:val="22"/>
          <w:szCs w:val="22"/>
        </w:rPr>
        <w:t xml:space="preserve"> emphasise strengthening clinical leadership, improving governance, enhancing staff training, promoting multidisciplinary </w:t>
      </w:r>
      <w:r w:rsidR="00D4472F" w:rsidRPr="5DDBE2E8">
        <w:rPr>
          <w:rFonts w:ascii="Arial" w:eastAsia="Arial" w:hAnsi="Arial" w:cs="Arial"/>
          <w:color w:val="000000" w:themeColor="text1"/>
          <w:sz w:val="22"/>
          <w:szCs w:val="22"/>
        </w:rPr>
        <w:t>communication,</w:t>
      </w:r>
      <w:r w:rsidRPr="5DDBE2E8">
        <w:rPr>
          <w:rFonts w:ascii="Arial" w:eastAsia="Arial" w:hAnsi="Arial" w:cs="Arial"/>
          <w:color w:val="000000" w:themeColor="text1"/>
          <w:sz w:val="22"/>
          <w:szCs w:val="22"/>
        </w:rPr>
        <w:t xml:space="preserve"> and embedding continuous organisational learning. Collectively, these interventions support a proactive approach to quality improvement that aligns with national patient safety priorities and evidence-based practice.</w:t>
      </w:r>
    </w:p>
    <w:p w14:paraId="60C7A059" w14:textId="04BC91DD" w:rsidR="00AD150A" w:rsidRPr="004E6D9A" w:rsidRDefault="00D4472F"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Sustainable</w:t>
      </w:r>
      <w:r w:rsidR="00AD150A" w:rsidRPr="5DDBE2E8">
        <w:rPr>
          <w:rFonts w:ascii="Arial" w:eastAsia="Arial" w:hAnsi="Arial" w:cs="Arial"/>
          <w:color w:val="000000" w:themeColor="text1"/>
          <w:sz w:val="22"/>
          <w:szCs w:val="22"/>
        </w:rPr>
        <w:t xml:space="preserve"> improvements in maternity care require healthcare organisations to move beyond compliance with policies and instead foster a culture of openness, </w:t>
      </w:r>
      <w:r w:rsidRPr="5DDBE2E8">
        <w:rPr>
          <w:rFonts w:ascii="Arial" w:eastAsia="Arial" w:hAnsi="Arial" w:cs="Arial"/>
          <w:color w:val="000000" w:themeColor="text1"/>
          <w:sz w:val="22"/>
          <w:szCs w:val="22"/>
        </w:rPr>
        <w:t>accountability,</w:t>
      </w:r>
      <w:r w:rsidR="00AD150A" w:rsidRPr="5DDBE2E8">
        <w:rPr>
          <w:rFonts w:ascii="Arial" w:eastAsia="Arial" w:hAnsi="Arial" w:cs="Arial"/>
          <w:color w:val="000000" w:themeColor="text1"/>
          <w:sz w:val="22"/>
          <w:szCs w:val="22"/>
        </w:rPr>
        <w:t xml:space="preserve"> and continuous learning. By implementing these recommendations, NHS maternity services will be better positioned to improve patient safety, reduce preventable </w:t>
      </w:r>
      <w:r w:rsidRPr="5DDBE2E8">
        <w:rPr>
          <w:rFonts w:ascii="Arial" w:eastAsia="Arial" w:hAnsi="Arial" w:cs="Arial"/>
          <w:color w:val="000000" w:themeColor="text1"/>
          <w:sz w:val="22"/>
          <w:szCs w:val="22"/>
        </w:rPr>
        <w:t>harm,</w:t>
      </w:r>
      <w:r w:rsidR="00AD150A" w:rsidRPr="5DDBE2E8">
        <w:rPr>
          <w:rFonts w:ascii="Arial" w:eastAsia="Arial" w:hAnsi="Arial" w:cs="Arial"/>
          <w:color w:val="000000" w:themeColor="text1"/>
          <w:sz w:val="22"/>
          <w:szCs w:val="22"/>
        </w:rPr>
        <w:t xml:space="preserve"> and deliver high-quality, person-centred care.</w:t>
      </w:r>
    </w:p>
    <w:p w14:paraId="3CDEEBB1" w14:textId="77777777" w:rsidR="005D4548" w:rsidRDefault="005D4548" w:rsidP="6C086335">
      <w:pPr>
        <w:pStyle w:val="p2"/>
        <w:spacing w:line="360" w:lineRule="auto"/>
        <w:rPr>
          <w:rFonts w:ascii="Arial" w:eastAsia="Arial" w:hAnsi="Arial" w:cs="Arial"/>
          <w:color w:val="000000" w:themeColor="text1"/>
          <w:sz w:val="22"/>
          <w:szCs w:val="22"/>
        </w:rPr>
      </w:pPr>
    </w:p>
    <w:p w14:paraId="031765E9" w14:textId="77777777" w:rsidR="005D4548" w:rsidRDefault="005D4548" w:rsidP="6C086335">
      <w:pPr>
        <w:pStyle w:val="p2"/>
        <w:spacing w:line="360" w:lineRule="auto"/>
        <w:rPr>
          <w:rFonts w:ascii="Arial" w:eastAsia="Arial" w:hAnsi="Arial" w:cs="Arial"/>
          <w:color w:val="000000" w:themeColor="text1"/>
          <w:sz w:val="22"/>
          <w:szCs w:val="22"/>
        </w:rPr>
      </w:pPr>
    </w:p>
    <w:p w14:paraId="1B3FA440" w14:textId="77777777" w:rsidR="005D4548" w:rsidRDefault="005D4548" w:rsidP="6C086335">
      <w:pPr>
        <w:pStyle w:val="p2"/>
        <w:spacing w:line="360" w:lineRule="auto"/>
        <w:rPr>
          <w:rFonts w:ascii="Arial" w:eastAsia="Arial" w:hAnsi="Arial" w:cs="Arial"/>
          <w:color w:val="000000" w:themeColor="text1"/>
          <w:sz w:val="22"/>
          <w:szCs w:val="22"/>
        </w:rPr>
      </w:pPr>
    </w:p>
    <w:p w14:paraId="7D7D406C" w14:textId="77777777" w:rsidR="005D4548" w:rsidRDefault="005D4548" w:rsidP="6C086335">
      <w:pPr>
        <w:pStyle w:val="p2"/>
        <w:spacing w:line="360" w:lineRule="auto"/>
        <w:rPr>
          <w:rFonts w:ascii="Arial" w:eastAsia="Arial" w:hAnsi="Arial" w:cs="Arial"/>
          <w:color w:val="000000" w:themeColor="text1"/>
          <w:sz w:val="22"/>
          <w:szCs w:val="22"/>
        </w:rPr>
      </w:pPr>
    </w:p>
    <w:p w14:paraId="071586C9" w14:textId="77777777" w:rsidR="005D4548" w:rsidRDefault="005D4548" w:rsidP="6C086335">
      <w:pPr>
        <w:pStyle w:val="p2"/>
        <w:spacing w:line="360" w:lineRule="auto"/>
        <w:rPr>
          <w:rFonts w:ascii="Arial" w:eastAsia="Arial" w:hAnsi="Arial" w:cs="Arial"/>
          <w:color w:val="000000" w:themeColor="text1"/>
          <w:sz w:val="22"/>
          <w:szCs w:val="22"/>
        </w:rPr>
      </w:pPr>
    </w:p>
    <w:p w14:paraId="76C76B4F" w14:textId="0A65D292" w:rsidR="7C9E7632" w:rsidRDefault="7C9E7632" w:rsidP="7C9E7632">
      <w:pPr>
        <w:pStyle w:val="p2"/>
        <w:spacing w:line="360" w:lineRule="auto"/>
        <w:rPr>
          <w:rFonts w:ascii="Arial" w:eastAsia="Arial" w:hAnsi="Arial" w:cs="Arial"/>
          <w:color w:val="000000" w:themeColor="text1"/>
          <w:sz w:val="22"/>
          <w:szCs w:val="22"/>
        </w:rPr>
      </w:pPr>
    </w:p>
    <w:p w14:paraId="050BDE4C" w14:textId="27307296" w:rsidR="7C9E7632" w:rsidRDefault="7C9E7632" w:rsidP="7C9E7632">
      <w:pPr>
        <w:pStyle w:val="p2"/>
        <w:spacing w:line="360" w:lineRule="auto"/>
        <w:rPr>
          <w:rFonts w:ascii="Arial" w:eastAsia="Arial" w:hAnsi="Arial" w:cs="Arial"/>
          <w:color w:val="000000" w:themeColor="text1"/>
          <w:sz w:val="22"/>
          <w:szCs w:val="22"/>
        </w:rPr>
      </w:pPr>
    </w:p>
    <w:p w14:paraId="5B1015D7" w14:textId="0C7B4824" w:rsidR="7C9E7632" w:rsidRDefault="7C9E7632" w:rsidP="7C9E7632">
      <w:pPr>
        <w:pStyle w:val="p2"/>
        <w:spacing w:line="360" w:lineRule="auto"/>
        <w:rPr>
          <w:rFonts w:ascii="Arial" w:eastAsia="Arial" w:hAnsi="Arial" w:cs="Arial"/>
          <w:color w:val="000000" w:themeColor="text1"/>
          <w:sz w:val="22"/>
          <w:szCs w:val="22"/>
        </w:rPr>
      </w:pPr>
    </w:p>
    <w:p w14:paraId="1A4E92A9" w14:textId="31BC2BF8" w:rsidR="7C9E7632" w:rsidRDefault="7C9E7632" w:rsidP="7C9E7632">
      <w:pPr>
        <w:pStyle w:val="p2"/>
        <w:spacing w:line="360" w:lineRule="auto"/>
        <w:rPr>
          <w:rFonts w:ascii="Arial" w:eastAsia="Arial" w:hAnsi="Arial" w:cs="Arial"/>
          <w:color w:val="000000" w:themeColor="text1"/>
          <w:sz w:val="22"/>
          <w:szCs w:val="22"/>
        </w:rPr>
      </w:pPr>
    </w:p>
    <w:p w14:paraId="0C88D7C9" w14:textId="2AABF7C2" w:rsidR="5DDBE2E8" w:rsidRDefault="005D4548" w:rsidP="7C9E7632">
      <w:pPr>
        <w:pStyle w:val="Heading2"/>
        <w:spacing w:line="360" w:lineRule="auto"/>
      </w:pPr>
      <w:bookmarkStart w:id="35" w:name="_Toc975983136"/>
      <w:r w:rsidRPr="7C9E7632">
        <w:rPr>
          <w:rFonts w:ascii="Arial" w:eastAsia="Arial" w:hAnsi="Arial" w:cs="Arial"/>
          <w:b/>
          <w:bCs/>
          <w:color w:val="000000" w:themeColor="text1"/>
          <w:sz w:val="22"/>
          <w:szCs w:val="22"/>
        </w:rPr>
        <w:t>Reference</w:t>
      </w:r>
      <w:bookmarkEnd w:id="35"/>
      <w:r>
        <w:t xml:space="preserve"> </w:t>
      </w:r>
    </w:p>
    <w:p w14:paraId="79375839" w14:textId="742E59FC"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Arah, O.A., Westert, G.P., Hurst, J. and Klazinga, N.S. (2006) ‘Conceptual frameworks for health systems performance assessment: a review of the literature’, Health Policy, 79(1), pp. 25–41.</w:t>
      </w:r>
    </w:p>
    <w:p w14:paraId="56A5A279" w14:textId="1CA4FCA3"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Berwick, D.M. (2002) ‘A user’s manual for the IOM’s “Quality Chasm” report’, Health Affairs, 21(3), pp. 80–90.</w:t>
      </w:r>
    </w:p>
    <w:p w14:paraId="40EF7B45" w14:textId="52D38580"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Card, A.J. (2017) ‘The Five Whys technique: applications and limitations in healthcare’, BMJ Quality &amp; Safety, 26(8), pp. 671–673.</w:t>
      </w:r>
    </w:p>
    <w:p w14:paraId="6FBB59AC" w14:textId="1DCFCE57"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Care Quality Commission (2024) Maternity services in England 2022–2024: review of inspection findings. London: Care Quality Commission. Available at: https://www.cqc.org.uk/publications/major-reviews/maternity-services-england-2022-2024 (Accessed: 28 July 2026).</w:t>
      </w:r>
    </w:p>
    <w:p w14:paraId="26A397D5" w14:textId="713E1EC2"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Department of Health and Social Care (2023) Maternity safety strategy implementation update. London: DHSC. Available at: https://www.gov.uk/government/publications/maternity-safety-strategy-implementation-update (Accessed: 28 July 2026).</w:t>
      </w:r>
    </w:p>
    <w:p w14:paraId="64B18AF5" w14:textId="505ECBB5"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Dixon-Woods, M., Baker, R., Charles, K., Dawson, S., Jerzembek, G., Martin, G. et al. (2014) ‘Culture and quality improvement in healthcare: a systematic review’, Journal of Health Services Research &amp; Policy, 19(3), pp. 174–183.</w:t>
      </w:r>
    </w:p>
    <w:p w14:paraId="710C4C2C" w14:textId="4F247239"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Donabedian, A. (1988) ‘The quality of care: how can it be assessed?’, JAMA, 260(12), pp. 1743–1748.</w:t>
      </w:r>
    </w:p>
    <w:p w14:paraId="60FF4FCA" w14:textId="15796240"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Edmondson, A.C. (2019) The fearless organization: creating psychological safety for learning, innovation, and growth. Hoboken: Wiley.</w:t>
      </w:r>
    </w:p>
    <w:p w14:paraId="7C51AAA1" w14:textId="3B14F131"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Expert Program Management (2019) Five Whys analysis guide. Available at: https://expertprogrammanagement.com/2019/05/five-whys/ (Accessed: 21 July 2026).</w:t>
      </w:r>
    </w:p>
    <w:p w14:paraId="640BCA1D" w14:textId="77777777" w:rsidR="00EE2548" w:rsidRPr="00EE2548" w:rsidRDefault="00EE2548" w:rsidP="00EE2548">
      <w:pPr>
        <w:pStyle w:val="p2"/>
        <w:spacing w:line="360" w:lineRule="auto"/>
        <w:rPr>
          <w:rFonts w:ascii="Arial Nova" w:eastAsia="Arial Nova" w:hAnsi="Arial Nova" w:cs="Arial Nova"/>
          <w:sz w:val="22"/>
          <w:szCs w:val="22"/>
        </w:rPr>
      </w:pPr>
      <w:r w:rsidRPr="00EE2548">
        <w:rPr>
          <w:rFonts w:ascii="Arial Nova" w:eastAsia="Arial Nova" w:hAnsi="Arial Nova" w:cs="Arial Nova"/>
          <w:sz w:val="22"/>
          <w:szCs w:val="22"/>
        </w:rPr>
        <w:t>Flin, R. (2018) ‘Safety culture in healthcare: a review of the evidence’, Journal of Patient Safety, 14(3), pp. 167–172.</w:t>
      </w:r>
    </w:p>
    <w:p w14:paraId="33559C78" w14:textId="77777777" w:rsidR="00EE2548" w:rsidRPr="00EE2548" w:rsidRDefault="00EE2548" w:rsidP="00EE2548">
      <w:pPr>
        <w:pStyle w:val="p2"/>
        <w:spacing w:line="360" w:lineRule="auto"/>
        <w:rPr>
          <w:rFonts w:ascii="Arial Nova" w:eastAsia="Arial Nova" w:hAnsi="Arial Nova" w:cs="Arial Nova"/>
          <w:sz w:val="22"/>
          <w:szCs w:val="22"/>
        </w:rPr>
      </w:pPr>
    </w:p>
    <w:p w14:paraId="6BE59870" w14:textId="426B7771"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Helms, M.M. and Nixon, J. (2010) ‘Exploring SWOT analysis – where are we now? A review of academic research’, Journal of Strategy and Management, 3(3), pp. 215–251.</w:t>
      </w:r>
    </w:p>
    <w:p w14:paraId="7FC2CCDE" w14:textId="279E974D"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Institute for Healthcare Improvement (2024) Plan-Do-Study-Act (PDSA) cycle. Available at: https://www.ihi.org/resources/Pages/Tools/PlanDoStudyActCycle.aspx (Accessed: 26 July 2026).</w:t>
      </w:r>
    </w:p>
    <w:p w14:paraId="2BF05066" w14:textId="268C0F0A"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Institute of Medicine (2001) Crossing the quality chasm: a new health system for the 21st century. Washington DC: National Academies Press.</w:t>
      </w:r>
    </w:p>
    <w:p w14:paraId="37A9011D" w14:textId="415E67D2"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Ishikawa, K. (1986) Guide to quality control. Tokyo: Asian Productivity Organization.</w:t>
      </w:r>
    </w:p>
    <w:p w14:paraId="32AE9028" w14:textId="2BDFBC2B"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Knight, M., Bunch, K., Tuffnell, D., Shakespeare, J., Kotnis, R., Kenyon, S. and Kurinczuk, J.J. (eds.) (2024) MBRRACE-UK: saving lives, improving maternal and newborn care – surveillance report for births and deaths in the UK 2022. Oxford: National Perinatal Epidemiology Unit, University of Oxford. Available at: https://www.npeu.ox.ac.uk/mbrrace-uk/reports (Accessed: 27 July 2026).</w:t>
      </w:r>
    </w:p>
    <w:p w14:paraId="56C4A8CE" w14:textId="4D17D9F5"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Kotter, J.P. (1996) Leading change. Boston: Harvard Business School Press.</w:t>
      </w:r>
    </w:p>
    <w:p w14:paraId="22692042" w14:textId="4C83662B"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Langley, G.J., Moen, R.D., Nolan, K.M., Provost, L.P. and Nolan, T.W. (2009) The improvement guide: a practical approach to enhancing organizational performance. 2nd edn. San Francisco: Jossey-Bass.</w:t>
      </w:r>
    </w:p>
    <w:p w14:paraId="52CC766D" w14:textId="52885CD6"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Mannion, R. and Davies, H.T.O. (2018) ‘Organisational culture and healthcare performance: time for a fresh approach’, Journal of Health Organization and Management, 32(3), pp. 354–363.</w:t>
      </w:r>
    </w:p>
    <w:p w14:paraId="4A388946" w14:textId="722B241B"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National Institute for Health and Care Excellence (2022) Maternity and perinatal care: quality standard [QS189]. London: NICE. Available at: https://www.nice.org.uk/standards/quality-standards/qs189 (Accessed: 26 July 2026).</w:t>
      </w:r>
    </w:p>
    <w:p w14:paraId="69CC9659" w14:textId="6A4425BF" w:rsidR="00EE2548" w:rsidRPr="00EE2548" w:rsidRDefault="00EE2548" w:rsidP="00EE2548">
      <w:pPr>
        <w:pStyle w:val="p2"/>
        <w:spacing w:line="360" w:lineRule="auto"/>
      </w:pPr>
      <w:r w:rsidRPr="7C9E7632">
        <w:rPr>
          <w:rFonts w:ascii="Arial Nova" w:eastAsia="Arial Nova" w:hAnsi="Arial Nova" w:cs="Arial Nova"/>
          <w:sz w:val="22"/>
          <w:szCs w:val="22"/>
        </w:rPr>
        <w:t>NHS England (2019) The NHS Patient Safety Strategy: safer care for all. London: NHS England. Available at: https://www.england.nhs.uk/patient-safety/strategy/ (Accessed: 28 July 2026).</w:t>
      </w:r>
    </w:p>
    <w:p w14:paraId="27570865" w14:textId="0FADC584"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NHS England (2022) Root cause analysis: guidance for staff. London: NHS England. Available at: https://www.england.nhs.uk/publication/root-cause-analysis-guidance/ (Accessed: 26 July 2026).</w:t>
      </w:r>
    </w:p>
    <w:p w14:paraId="37E58799" w14:textId="59067A5F"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NHS England (2023) Three-year delivery plan for maternity and neonatal services. London: NHS England. Available at: https://www.england.nhs.uk/publication/three-year-delivery-plan-for-maternity-and-neonatal-services/ (Accessed: 27 July 2026).</w:t>
      </w:r>
    </w:p>
    <w:p w14:paraId="542FB172" w14:textId="4C6AF7A2"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NHS England (2024) National Maternity Safety Improvement Programme: update. London: NHS England. Available at: https://www.england.nhs.uk/maternity/maternity-safety-improvement-programme/ (Accessed: 28 July 2026).</w:t>
      </w:r>
    </w:p>
    <w:p w14:paraId="448F5B49" w14:textId="05962E31"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NHS Resolution (2024) Maternity safety: learning from claims 2024. London: NHS Resolution. Available at: https://www.nhsresolution.org.uk/our-work/learning-from-claims/maternity/ (Accessed: 21 July 2026).</w:t>
      </w:r>
    </w:p>
    <w:p w14:paraId="0A6730E0" w14:textId="4B0E74E5"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Nicolini, D., Waring, J. and Mengis, J. (2011) ‘The challenges of integrating quality improvement in healthcare: the case of the “modernisation agency” in the English NHS’, Social Science &amp; Medicine, 72(8), pp. 1233–1240.</w:t>
      </w:r>
    </w:p>
    <w:p w14:paraId="006C792F" w14:textId="21110D90"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Ockenden, D. (2022) Independent review of maternity services at Shrewsbury and Telford Hospital NHS Trust: final report. London: Department of Health and Social Care. Available at: https://www.gov.uk/government/publications/independent-review-of-maternity-services-at-shrewsbury-and-telford-hospital-nhs-trust-final-report (Accessed: 27 July 2026).</w:t>
      </w:r>
    </w:p>
    <w:p w14:paraId="12102DBE" w14:textId="658DC34E"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Phillips, J. and Simmonds, D. (2013) Root cause analysis: improving performance for service delivery. London: Kogan Page.</w:t>
      </w:r>
    </w:p>
    <w:p w14:paraId="49A024A1" w14:textId="5695044F"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Pronovost, P. and Vohr, E. (2010) Safe patients, smart hospitals: how one doctor’s checklist can change healthcare. New York: Hudson Street Press.</w:t>
      </w:r>
    </w:p>
    <w:p w14:paraId="1FA9FDC5" w14:textId="77777777" w:rsidR="00EE2548" w:rsidRPr="00EE2548" w:rsidRDefault="00EE2548" w:rsidP="00EE2548">
      <w:pPr>
        <w:pStyle w:val="p2"/>
        <w:spacing w:line="360" w:lineRule="auto"/>
        <w:rPr>
          <w:rFonts w:ascii="Arial Nova" w:eastAsia="Arial Nova" w:hAnsi="Arial Nova" w:cs="Arial Nova"/>
          <w:sz w:val="22"/>
          <w:szCs w:val="22"/>
        </w:rPr>
      </w:pPr>
      <w:r w:rsidRPr="00EE2548">
        <w:rPr>
          <w:rFonts w:ascii="Arial Nova" w:eastAsia="Arial Nova" w:hAnsi="Arial Nova" w:cs="Arial Nova"/>
          <w:sz w:val="22"/>
          <w:szCs w:val="22"/>
        </w:rPr>
        <w:t>Reason, J. (2000) ‘Human error: models and management’, British Medical Journal, 320(7237), pp. 768–770.</w:t>
      </w:r>
    </w:p>
    <w:p w14:paraId="57793AC4" w14:textId="77777777" w:rsidR="00EE2548" w:rsidRPr="00EE2548" w:rsidRDefault="00EE2548" w:rsidP="00EE2548">
      <w:pPr>
        <w:pStyle w:val="p2"/>
        <w:spacing w:line="360" w:lineRule="auto"/>
        <w:rPr>
          <w:rFonts w:ascii="Arial Nova" w:eastAsia="Arial Nova" w:hAnsi="Arial Nova" w:cs="Arial Nova"/>
          <w:sz w:val="22"/>
          <w:szCs w:val="22"/>
        </w:rPr>
      </w:pPr>
    </w:p>
    <w:p w14:paraId="1A205AAC" w14:textId="52249817" w:rsidR="7C9E7632" w:rsidRDefault="7C9E7632" w:rsidP="7C9E7632">
      <w:pPr>
        <w:pStyle w:val="p2"/>
        <w:spacing w:line="360" w:lineRule="auto"/>
        <w:rPr>
          <w:rFonts w:ascii="Arial Nova" w:eastAsia="Arial Nova" w:hAnsi="Arial Nova" w:cs="Arial Nova"/>
          <w:sz w:val="22"/>
          <w:szCs w:val="22"/>
        </w:rPr>
      </w:pPr>
    </w:p>
    <w:p w14:paraId="360BE66E" w14:textId="7C6CF48C"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Royal College of Obstetricians and Gynaecologists (2024) Improving maternity safety: standards for clinical practice. London: RCOG. Available at: https://www.rcog.org.uk/guidelines-and-resources/improving-maternity-safety/ (Accessed: 26 July 2026).</w:t>
      </w:r>
    </w:p>
    <w:p w14:paraId="21212673" w14:textId="4D6D834D"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Schein, E.H. and Schein, P. (2021) Organizational culture and leadership. 6th edn. Hoboken: Wiley.</w:t>
      </w:r>
    </w:p>
    <w:p w14:paraId="3EC709CB" w14:textId="3368EBC6"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Serrat, O. (2017) Knowledge solutions: advanced tools and techniques. Singapore: Springer.</w:t>
      </w:r>
    </w:p>
    <w:p w14:paraId="57BE2CE1" w14:textId="5F11408D"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Vincent, C. and Amalberti, R. (2016) Safer healthcare: strategies for improving patient safety. Cambridge: Polity Press.</w:t>
      </w:r>
    </w:p>
    <w:p w14:paraId="04F2A656" w14:textId="1FCDF5E4"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Waring, J. and Bishop, S. (2020) ‘Learning from patient safety incidents in the NHS: progress and challenges’, Sociology of Health &amp; Illness, 42(7), pp. 1512–1527.</w:t>
      </w:r>
    </w:p>
    <w:p w14:paraId="207F7BE1" w14:textId="1B0629C6" w:rsidR="00EE2548" w:rsidRPr="00EE2548" w:rsidRDefault="00EE2548" w:rsidP="00EE2548">
      <w:pPr>
        <w:pStyle w:val="p2"/>
        <w:spacing w:line="360" w:lineRule="auto"/>
        <w:rPr>
          <w:rFonts w:ascii="Arial Nova" w:eastAsia="Arial Nova" w:hAnsi="Arial Nova" w:cs="Arial Nova"/>
          <w:sz w:val="22"/>
          <w:szCs w:val="22"/>
        </w:rPr>
      </w:pPr>
      <w:r w:rsidRPr="7C9E7632">
        <w:rPr>
          <w:rFonts w:ascii="Arial Nova" w:eastAsia="Arial Nova" w:hAnsi="Arial Nova" w:cs="Arial Nova"/>
          <w:sz w:val="22"/>
          <w:szCs w:val="22"/>
        </w:rPr>
        <w:t>West, M.A., Armit, K., Loewenthal, L., Eckert, R., West, T. and Lee, A. (2017) Leadership and leadership development in healthcare: the evidence base. London: Faculty of Medical Leadership and Management.</w:t>
      </w:r>
    </w:p>
    <w:p w14:paraId="076F111D" w14:textId="55C0382F" w:rsidR="005D4548" w:rsidRDefault="00EE2548" w:rsidP="6C086335">
      <w:pPr>
        <w:pStyle w:val="p2"/>
        <w:spacing w:line="360" w:lineRule="auto"/>
        <w:rPr>
          <w:rFonts w:ascii="Arial Nova" w:eastAsia="Arial Nova" w:hAnsi="Arial Nova" w:cs="Arial Nova"/>
          <w:sz w:val="22"/>
          <w:szCs w:val="22"/>
        </w:rPr>
      </w:pPr>
      <w:r w:rsidRPr="00EE2548">
        <w:rPr>
          <w:rFonts w:ascii="Arial Nova" w:eastAsia="Arial Nova" w:hAnsi="Arial Nova" w:cs="Arial Nova"/>
          <w:sz w:val="22"/>
          <w:szCs w:val="22"/>
        </w:rPr>
        <w:t>World Health Organization (2021) Maternal and perinatal health: global status report. Geneva: WHO. Available at: https://www.who.int/publications/i/item/9789240036303 (Accessed: 21 July 2026).</w:t>
      </w:r>
    </w:p>
    <w:p w14:paraId="3B3047E5" w14:textId="77777777" w:rsidR="00B32D14" w:rsidRPr="008C5535" w:rsidRDefault="00B32D14" w:rsidP="6C086335">
      <w:pPr>
        <w:spacing w:line="360" w:lineRule="auto"/>
        <w:rPr>
          <w:rFonts w:ascii="Arial Nova" w:eastAsia="Arial Nova" w:hAnsi="Arial Nova" w:cs="Arial Nova"/>
          <w:sz w:val="22"/>
          <w:szCs w:val="22"/>
        </w:rPr>
      </w:pPr>
    </w:p>
    <w:p w14:paraId="1024F6C2" w14:textId="77777777" w:rsidR="00B32D14" w:rsidRDefault="00B32D14" w:rsidP="6C086335">
      <w:pPr>
        <w:spacing w:line="360" w:lineRule="auto"/>
        <w:rPr>
          <w:rFonts w:ascii="Arial Nova" w:eastAsia="Arial Nova" w:hAnsi="Arial Nova" w:cs="Arial Nova"/>
          <w:sz w:val="22"/>
          <w:szCs w:val="22"/>
        </w:rPr>
      </w:pPr>
    </w:p>
    <w:p w14:paraId="3926D502" w14:textId="4C8F8688" w:rsidR="00B32D14" w:rsidRDefault="00B32D14" w:rsidP="6C086335">
      <w:pPr>
        <w:spacing w:line="360" w:lineRule="auto"/>
        <w:rPr>
          <w:rFonts w:ascii="Arial Nova" w:eastAsia="Arial Nova" w:hAnsi="Arial Nova" w:cs="Arial Nova"/>
          <w:sz w:val="22"/>
          <w:szCs w:val="22"/>
        </w:rPr>
      </w:pPr>
    </w:p>
    <w:p w14:paraId="3B301468" w14:textId="77777777" w:rsidR="00CC69D8" w:rsidRDefault="00CC69D8" w:rsidP="6C086335">
      <w:pPr>
        <w:spacing w:line="360" w:lineRule="auto"/>
        <w:rPr>
          <w:rFonts w:ascii="Arial Nova" w:eastAsia="Arial Nova" w:hAnsi="Arial Nova" w:cs="Arial Nova"/>
          <w:sz w:val="22"/>
          <w:szCs w:val="22"/>
        </w:rPr>
      </w:pPr>
    </w:p>
    <w:sectPr w:rsidR="00CC69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rTg3kHKx" int2:invalidationBookmarkName="" int2:hashCode="CiW6WZExa92kqb" int2:id="OfFYSE5X">
      <int2:state int2:value="Rejected" int2:type="gram"/>
    </int2:bookmark>
    <int2:bookmark int2:bookmarkName="_Int_2Ja7DTAO" int2:invalidationBookmarkName="" int2:hashCode="IM0eUWW2LGpNGn" int2:id="kTs0hP8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C49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8645D"/>
    <w:multiLevelType w:val="multilevel"/>
    <w:tmpl w:val="FFFFFFFF"/>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EF7D84"/>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A02EFA"/>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3C2C34"/>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35DF32"/>
    <w:multiLevelType w:val="hybridMultilevel"/>
    <w:tmpl w:val="FFFFFFFF"/>
    <w:lvl w:ilvl="0" w:tplc="DE6A4CA0">
      <w:start w:val="1"/>
      <w:numFmt w:val="decimal"/>
      <w:lvlText w:val="%1."/>
      <w:lvlJc w:val="left"/>
      <w:pPr>
        <w:ind w:left="720" w:hanging="360"/>
      </w:pPr>
    </w:lvl>
    <w:lvl w:ilvl="1" w:tplc="02CEFE48">
      <w:start w:val="1"/>
      <w:numFmt w:val="lowerLetter"/>
      <w:lvlText w:val="%2."/>
      <w:lvlJc w:val="left"/>
      <w:pPr>
        <w:ind w:left="1440" w:hanging="360"/>
      </w:pPr>
    </w:lvl>
    <w:lvl w:ilvl="2" w:tplc="A5BA57E2">
      <w:start w:val="1"/>
      <w:numFmt w:val="lowerRoman"/>
      <w:lvlText w:val="%3."/>
      <w:lvlJc w:val="right"/>
      <w:pPr>
        <w:ind w:left="2160" w:hanging="180"/>
      </w:pPr>
    </w:lvl>
    <w:lvl w:ilvl="3" w:tplc="CF4E9980">
      <w:start w:val="1"/>
      <w:numFmt w:val="decimal"/>
      <w:lvlText w:val="%4."/>
      <w:lvlJc w:val="left"/>
      <w:pPr>
        <w:ind w:left="2880" w:hanging="360"/>
      </w:pPr>
    </w:lvl>
    <w:lvl w:ilvl="4" w:tplc="328A6012">
      <w:start w:val="1"/>
      <w:numFmt w:val="lowerLetter"/>
      <w:lvlText w:val="%5."/>
      <w:lvlJc w:val="left"/>
      <w:pPr>
        <w:ind w:left="3600" w:hanging="360"/>
      </w:pPr>
    </w:lvl>
    <w:lvl w:ilvl="5" w:tplc="F620E8F0">
      <w:start w:val="1"/>
      <w:numFmt w:val="lowerRoman"/>
      <w:lvlText w:val="%6."/>
      <w:lvlJc w:val="right"/>
      <w:pPr>
        <w:ind w:left="4320" w:hanging="180"/>
      </w:pPr>
    </w:lvl>
    <w:lvl w:ilvl="6" w:tplc="E12E3A08">
      <w:start w:val="1"/>
      <w:numFmt w:val="decimal"/>
      <w:lvlText w:val="%7."/>
      <w:lvlJc w:val="left"/>
      <w:pPr>
        <w:ind w:left="5040" w:hanging="360"/>
      </w:pPr>
    </w:lvl>
    <w:lvl w:ilvl="7" w:tplc="AD82D81C">
      <w:start w:val="1"/>
      <w:numFmt w:val="lowerLetter"/>
      <w:lvlText w:val="%8."/>
      <w:lvlJc w:val="left"/>
      <w:pPr>
        <w:ind w:left="5760" w:hanging="360"/>
      </w:pPr>
    </w:lvl>
    <w:lvl w:ilvl="8" w:tplc="426C7418">
      <w:start w:val="1"/>
      <w:numFmt w:val="lowerRoman"/>
      <w:lvlText w:val="%9."/>
      <w:lvlJc w:val="right"/>
      <w:pPr>
        <w:ind w:left="6480" w:hanging="180"/>
      </w:pPr>
    </w:lvl>
  </w:abstractNum>
  <w:num w:numId="1" w16cid:durableId="171339429">
    <w:abstractNumId w:val="5"/>
  </w:num>
  <w:num w:numId="2" w16cid:durableId="251164205">
    <w:abstractNumId w:val="2"/>
  </w:num>
  <w:num w:numId="3" w16cid:durableId="1923564853">
    <w:abstractNumId w:val="4"/>
  </w:num>
  <w:num w:numId="4" w16cid:durableId="1628468176">
    <w:abstractNumId w:val="3"/>
  </w:num>
  <w:num w:numId="5" w16cid:durableId="529414142">
    <w:abstractNumId w:val="1"/>
  </w:num>
  <w:num w:numId="6" w16cid:durableId="308364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FB0"/>
    <w:rsid w:val="0001571B"/>
    <w:rsid w:val="000206A6"/>
    <w:rsid w:val="00022B58"/>
    <w:rsid w:val="00024F24"/>
    <w:rsid w:val="0006133E"/>
    <w:rsid w:val="00064F4E"/>
    <w:rsid w:val="0006683E"/>
    <w:rsid w:val="0007715D"/>
    <w:rsid w:val="00086379"/>
    <w:rsid w:val="00094873"/>
    <w:rsid w:val="000978EA"/>
    <w:rsid w:val="000A4A3A"/>
    <w:rsid w:val="000B0F83"/>
    <w:rsid w:val="000B2461"/>
    <w:rsid w:val="000C21F1"/>
    <w:rsid w:val="000C6CEE"/>
    <w:rsid w:val="000D2598"/>
    <w:rsid w:val="000D7784"/>
    <w:rsid w:val="000E1E7A"/>
    <w:rsid w:val="0010492A"/>
    <w:rsid w:val="00140E77"/>
    <w:rsid w:val="001472BC"/>
    <w:rsid w:val="0016414E"/>
    <w:rsid w:val="0018523E"/>
    <w:rsid w:val="001A61C8"/>
    <w:rsid w:val="001D5A5C"/>
    <w:rsid w:val="001E1C78"/>
    <w:rsid w:val="001E6C7F"/>
    <w:rsid w:val="001F43CE"/>
    <w:rsid w:val="00201ABA"/>
    <w:rsid w:val="00217BF0"/>
    <w:rsid w:val="00236216"/>
    <w:rsid w:val="00237283"/>
    <w:rsid w:val="00247C2D"/>
    <w:rsid w:val="0025246E"/>
    <w:rsid w:val="0027089D"/>
    <w:rsid w:val="00294FB5"/>
    <w:rsid w:val="002A48D7"/>
    <w:rsid w:val="002B0C72"/>
    <w:rsid w:val="002C047C"/>
    <w:rsid w:val="002D2CEE"/>
    <w:rsid w:val="002E4AC0"/>
    <w:rsid w:val="002E68D7"/>
    <w:rsid w:val="002F5586"/>
    <w:rsid w:val="00301F56"/>
    <w:rsid w:val="003052A5"/>
    <w:rsid w:val="00306270"/>
    <w:rsid w:val="00307E4E"/>
    <w:rsid w:val="00315C5F"/>
    <w:rsid w:val="003242F0"/>
    <w:rsid w:val="003358ED"/>
    <w:rsid w:val="00340C80"/>
    <w:rsid w:val="003667BC"/>
    <w:rsid w:val="003873BD"/>
    <w:rsid w:val="003906B3"/>
    <w:rsid w:val="0039517B"/>
    <w:rsid w:val="003A60B3"/>
    <w:rsid w:val="003B44E4"/>
    <w:rsid w:val="003B54B3"/>
    <w:rsid w:val="003C1CD6"/>
    <w:rsid w:val="003C6A62"/>
    <w:rsid w:val="003D07DB"/>
    <w:rsid w:val="003D0E89"/>
    <w:rsid w:val="003F66C9"/>
    <w:rsid w:val="00400455"/>
    <w:rsid w:val="004313C1"/>
    <w:rsid w:val="00450D1F"/>
    <w:rsid w:val="00451BC0"/>
    <w:rsid w:val="00470838"/>
    <w:rsid w:val="00470F29"/>
    <w:rsid w:val="00473D7C"/>
    <w:rsid w:val="00475CED"/>
    <w:rsid w:val="00487974"/>
    <w:rsid w:val="0049046F"/>
    <w:rsid w:val="0049499D"/>
    <w:rsid w:val="00494D8E"/>
    <w:rsid w:val="00495FFC"/>
    <w:rsid w:val="004A51B2"/>
    <w:rsid w:val="004A6CE6"/>
    <w:rsid w:val="004A7148"/>
    <w:rsid w:val="004B10CA"/>
    <w:rsid w:val="004B3CAF"/>
    <w:rsid w:val="004B5F99"/>
    <w:rsid w:val="004D0F99"/>
    <w:rsid w:val="004E07DE"/>
    <w:rsid w:val="004E6D9A"/>
    <w:rsid w:val="004F02BF"/>
    <w:rsid w:val="004F5EFB"/>
    <w:rsid w:val="00504ACD"/>
    <w:rsid w:val="00520C60"/>
    <w:rsid w:val="00523F77"/>
    <w:rsid w:val="005352F7"/>
    <w:rsid w:val="0054698C"/>
    <w:rsid w:val="00552CBF"/>
    <w:rsid w:val="00553B70"/>
    <w:rsid w:val="00561DBA"/>
    <w:rsid w:val="005661F2"/>
    <w:rsid w:val="00576550"/>
    <w:rsid w:val="00595B4A"/>
    <w:rsid w:val="005A5942"/>
    <w:rsid w:val="005B4148"/>
    <w:rsid w:val="005D1400"/>
    <w:rsid w:val="005D4548"/>
    <w:rsid w:val="005D6489"/>
    <w:rsid w:val="0061053F"/>
    <w:rsid w:val="00613DD9"/>
    <w:rsid w:val="00651BBA"/>
    <w:rsid w:val="006535DA"/>
    <w:rsid w:val="00654C0C"/>
    <w:rsid w:val="006554FA"/>
    <w:rsid w:val="00657545"/>
    <w:rsid w:val="0067757C"/>
    <w:rsid w:val="006B1CF4"/>
    <w:rsid w:val="006D41BC"/>
    <w:rsid w:val="006E0BAC"/>
    <w:rsid w:val="006E16EE"/>
    <w:rsid w:val="006F34BC"/>
    <w:rsid w:val="006F4A83"/>
    <w:rsid w:val="006F63C1"/>
    <w:rsid w:val="006F7BCD"/>
    <w:rsid w:val="00706C23"/>
    <w:rsid w:val="00706D96"/>
    <w:rsid w:val="00707F68"/>
    <w:rsid w:val="00714479"/>
    <w:rsid w:val="00721324"/>
    <w:rsid w:val="00725294"/>
    <w:rsid w:val="0073278A"/>
    <w:rsid w:val="00740753"/>
    <w:rsid w:val="00753CC9"/>
    <w:rsid w:val="0075798D"/>
    <w:rsid w:val="00764819"/>
    <w:rsid w:val="00772A2F"/>
    <w:rsid w:val="007854AE"/>
    <w:rsid w:val="007D0990"/>
    <w:rsid w:val="007D09C4"/>
    <w:rsid w:val="007D48A5"/>
    <w:rsid w:val="007E1A48"/>
    <w:rsid w:val="007E5F65"/>
    <w:rsid w:val="007F20C3"/>
    <w:rsid w:val="008042AB"/>
    <w:rsid w:val="00804757"/>
    <w:rsid w:val="00820322"/>
    <w:rsid w:val="008303ED"/>
    <w:rsid w:val="00830AC5"/>
    <w:rsid w:val="00831134"/>
    <w:rsid w:val="00835B91"/>
    <w:rsid w:val="008373E9"/>
    <w:rsid w:val="0084117C"/>
    <w:rsid w:val="0084254C"/>
    <w:rsid w:val="00852E22"/>
    <w:rsid w:val="00872DF0"/>
    <w:rsid w:val="00886A1C"/>
    <w:rsid w:val="0089335F"/>
    <w:rsid w:val="00895E2B"/>
    <w:rsid w:val="008A04D8"/>
    <w:rsid w:val="008A13AE"/>
    <w:rsid w:val="008B108D"/>
    <w:rsid w:val="008C3AEF"/>
    <w:rsid w:val="008C5535"/>
    <w:rsid w:val="008E7164"/>
    <w:rsid w:val="008F506B"/>
    <w:rsid w:val="009034D4"/>
    <w:rsid w:val="00903F63"/>
    <w:rsid w:val="00915D9A"/>
    <w:rsid w:val="00923AC1"/>
    <w:rsid w:val="00934637"/>
    <w:rsid w:val="009375A5"/>
    <w:rsid w:val="00947E37"/>
    <w:rsid w:val="00950977"/>
    <w:rsid w:val="0096132F"/>
    <w:rsid w:val="00961781"/>
    <w:rsid w:val="0097293D"/>
    <w:rsid w:val="0097775B"/>
    <w:rsid w:val="009A0656"/>
    <w:rsid w:val="009B4F1F"/>
    <w:rsid w:val="009C21E4"/>
    <w:rsid w:val="009C7125"/>
    <w:rsid w:val="009EEE94"/>
    <w:rsid w:val="009F20C0"/>
    <w:rsid w:val="009F66D5"/>
    <w:rsid w:val="009F7504"/>
    <w:rsid w:val="00A05F76"/>
    <w:rsid w:val="00A2725D"/>
    <w:rsid w:val="00A30E9C"/>
    <w:rsid w:val="00A31400"/>
    <w:rsid w:val="00A34F77"/>
    <w:rsid w:val="00A52DDD"/>
    <w:rsid w:val="00A72042"/>
    <w:rsid w:val="00A96D56"/>
    <w:rsid w:val="00AA32BD"/>
    <w:rsid w:val="00AB1103"/>
    <w:rsid w:val="00AB6295"/>
    <w:rsid w:val="00AC1310"/>
    <w:rsid w:val="00AC4C72"/>
    <w:rsid w:val="00AD0069"/>
    <w:rsid w:val="00AD150A"/>
    <w:rsid w:val="00AD6FCF"/>
    <w:rsid w:val="00B13E13"/>
    <w:rsid w:val="00B32D14"/>
    <w:rsid w:val="00B37FDA"/>
    <w:rsid w:val="00B50166"/>
    <w:rsid w:val="00B512F5"/>
    <w:rsid w:val="00B51C62"/>
    <w:rsid w:val="00B526A0"/>
    <w:rsid w:val="00B66531"/>
    <w:rsid w:val="00BB66D9"/>
    <w:rsid w:val="00BC0E9F"/>
    <w:rsid w:val="00BC1F6C"/>
    <w:rsid w:val="00BD1231"/>
    <w:rsid w:val="00BE23F6"/>
    <w:rsid w:val="00BE7D4D"/>
    <w:rsid w:val="00BF06A3"/>
    <w:rsid w:val="00C007A2"/>
    <w:rsid w:val="00C0D583"/>
    <w:rsid w:val="00C17BB3"/>
    <w:rsid w:val="00C22369"/>
    <w:rsid w:val="00C25CBE"/>
    <w:rsid w:val="00C26D2D"/>
    <w:rsid w:val="00C34094"/>
    <w:rsid w:val="00C3AD13"/>
    <w:rsid w:val="00C55D1C"/>
    <w:rsid w:val="00C6318C"/>
    <w:rsid w:val="00C63D1E"/>
    <w:rsid w:val="00C647DC"/>
    <w:rsid w:val="00C71599"/>
    <w:rsid w:val="00C84DE3"/>
    <w:rsid w:val="00C936A4"/>
    <w:rsid w:val="00CA033D"/>
    <w:rsid w:val="00CB2C53"/>
    <w:rsid w:val="00CB585E"/>
    <w:rsid w:val="00CC1F28"/>
    <w:rsid w:val="00CC69D8"/>
    <w:rsid w:val="00CC7650"/>
    <w:rsid w:val="00CD3927"/>
    <w:rsid w:val="00CD489E"/>
    <w:rsid w:val="00CE2C06"/>
    <w:rsid w:val="00CE57A6"/>
    <w:rsid w:val="00CE7E0A"/>
    <w:rsid w:val="00CF22A9"/>
    <w:rsid w:val="00CF3949"/>
    <w:rsid w:val="00CF5485"/>
    <w:rsid w:val="00D17CE9"/>
    <w:rsid w:val="00D20508"/>
    <w:rsid w:val="00D21BC8"/>
    <w:rsid w:val="00D228C0"/>
    <w:rsid w:val="00D446F4"/>
    <w:rsid w:val="00D4472F"/>
    <w:rsid w:val="00D562D9"/>
    <w:rsid w:val="00D57F74"/>
    <w:rsid w:val="00D70335"/>
    <w:rsid w:val="00D741B3"/>
    <w:rsid w:val="00D86A36"/>
    <w:rsid w:val="00D95005"/>
    <w:rsid w:val="00DA3809"/>
    <w:rsid w:val="00DB073D"/>
    <w:rsid w:val="00DB39D2"/>
    <w:rsid w:val="00DB62E8"/>
    <w:rsid w:val="00DC06C4"/>
    <w:rsid w:val="00DC0792"/>
    <w:rsid w:val="00DC1FC9"/>
    <w:rsid w:val="00DD70A6"/>
    <w:rsid w:val="00E00C43"/>
    <w:rsid w:val="00E07665"/>
    <w:rsid w:val="00E07D62"/>
    <w:rsid w:val="00E22C19"/>
    <w:rsid w:val="00E22F4C"/>
    <w:rsid w:val="00E27018"/>
    <w:rsid w:val="00E54C19"/>
    <w:rsid w:val="00E6010A"/>
    <w:rsid w:val="00E62FDD"/>
    <w:rsid w:val="00E64AB3"/>
    <w:rsid w:val="00E71A2E"/>
    <w:rsid w:val="00E83C7D"/>
    <w:rsid w:val="00E85EA2"/>
    <w:rsid w:val="00E865D3"/>
    <w:rsid w:val="00E9304D"/>
    <w:rsid w:val="00E93344"/>
    <w:rsid w:val="00E9628D"/>
    <w:rsid w:val="00E97A04"/>
    <w:rsid w:val="00EA142D"/>
    <w:rsid w:val="00EB5201"/>
    <w:rsid w:val="00EC62C7"/>
    <w:rsid w:val="00ED3A33"/>
    <w:rsid w:val="00EE2548"/>
    <w:rsid w:val="00EF01E0"/>
    <w:rsid w:val="00EF151C"/>
    <w:rsid w:val="00EF50E1"/>
    <w:rsid w:val="00EF6ED4"/>
    <w:rsid w:val="00F064AE"/>
    <w:rsid w:val="00F119B3"/>
    <w:rsid w:val="00F141FA"/>
    <w:rsid w:val="00F200F1"/>
    <w:rsid w:val="00F2713A"/>
    <w:rsid w:val="00F27DC5"/>
    <w:rsid w:val="00F31DAA"/>
    <w:rsid w:val="00F40D29"/>
    <w:rsid w:val="00F45C42"/>
    <w:rsid w:val="00F51B45"/>
    <w:rsid w:val="00F51F40"/>
    <w:rsid w:val="00F522C1"/>
    <w:rsid w:val="00F56FB0"/>
    <w:rsid w:val="00F60E4B"/>
    <w:rsid w:val="00F668B0"/>
    <w:rsid w:val="00F73040"/>
    <w:rsid w:val="00F77BE4"/>
    <w:rsid w:val="00F77C6E"/>
    <w:rsid w:val="00FB2989"/>
    <w:rsid w:val="00FE6791"/>
    <w:rsid w:val="00FE697F"/>
    <w:rsid w:val="00FE6DB3"/>
    <w:rsid w:val="013938A1"/>
    <w:rsid w:val="02C9454F"/>
    <w:rsid w:val="02E0C108"/>
    <w:rsid w:val="036A8239"/>
    <w:rsid w:val="0504C9D7"/>
    <w:rsid w:val="052D037F"/>
    <w:rsid w:val="066C6D53"/>
    <w:rsid w:val="08DF91A7"/>
    <w:rsid w:val="0995EDE3"/>
    <w:rsid w:val="09FEEE63"/>
    <w:rsid w:val="0AC95530"/>
    <w:rsid w:val="0B7FA761"/>
    <w:rsid w:val="0B99F4E3"/>
    <w:rsid w:val="0BB0A3CF"/>
    <w:rsid w:val="0BD50020"/>
    <w:rsid w:val="0BFE24FD"/>
    <w:rsid w:val="0D14C4CB"/>
    <w:rsid w:val="0D408888"/>
    <w:rsid w:val="0DA4BD8C"/>
    <w:rsid w:val="0E2C7238"/>
    <w:rsid w:val="1018DB58"/>
    <w:rsid w:val="105CD37A"/>
    <w:rsid w:val="10D4991C"/>
    <w:rsid w:val="1133E507"/>
    <w:rsid w:val="11EA8521"/>
    <w:rsid w:val="12FA8392"/>
    <w:rsid w:val="14E9839E"/>
    <w:rsid w:val="15B3ED9B"/>
    <w:rsid w:val="1712B713"/>
    <w:rsid w:val="174418F0"/>
    <w:rsid w:val="184CBC9B"/>
    <w:rsid w:val="185E14A7"/>
    <w:rsid w:val="18D3B7F9"/>
    <w:rsid w:val="18DCBA0D"/>
    <w:rsid w:val="19E4B582"/>
    <w:rsid w:val="1A204988"/>
    <w:rsid w:val="1A27E7F7"/>
    <w:rsid w:val="1A69DFF9"/>
    <w:rsid w:val="1A8E0FA9"/>
    <w:rsid w:val="1B0E3B3F"/>
    <w:rsid w:val="1B565E99"/>
    <w:rsid w:val="1B785AD4"/>
    <w:rsid w:val="1B7E61BE"/>
    <w:rsid w:val="1BE2EFC1"/>
    <w:rsid w:val="1BEBA785"/>
    <w:rsid w:val="1BF5707D"/>
    <w:rsid w:val="1DF356A9"/>
    <w:rsid w:val="1E21E22C"/>
    <w:rsid w:val="1F840B61"/>
    <w:rsid w:val="1FB55584"/>
    <w:rsid w:val="1FC7E70E"/>
    <w:rsid w:val="200ED3EE"/>
    <w:rsid w:val="208538A8"/>
    <w:rsid w:val="20A982CD"/>
    <w:rsid w:val="21AD8A86"/>
    <w:rsid w:val="22167CDD"/>
    <w:rsid w:val="22D17269"/>
    <w:rsid w:val="237216CF"/>
    <w:rsid w:val="2385C9A9"/>
    <w:rsid w:val="23ADAE67"/>
    <w:rsid w:val="2444045E"/>
    <w:rsid w:val="24B40277"/>
    <w:rsid w:val="259E367A"/>
    <w:rsid w:val="25D2CBB6"/>
    <w:rsid w:val="25FDB915"/>
    <w:rsid w:val="261382B6"/>
    <w:rsid w:val="265B336F"/>
    <w:rsid w:val="269E57E8"/>
    <w:rsid w:val="2735CB7A"/>
    <w:rsid w:val="2980D2F9"/>
    <w:rsid w:val="29C49994"/>
    <w:rsid w:val="2A70F157"/>
    <w:rsid w:val="2C0725D9"/>
    <w:rsid w:val="2C8C2112"/>
    <w:rsid w:val="2C95ED88"/>
    <w:rsid w:val="2DF933B1"/>
    <w:rsid w:val="2EB7F2DC"/>
    <w:rsid w:val="2F587690"/>
    <w:rsid w:val="2F98FB16"/>
    <w:rsid w:val="30D918A7"/>
    <w:rsid w:val="317EBAEC"/>
    <w:rsid w:val="32C99A7F"/>
    <w:rsid w:val="32D44598"/>
    <w:rsid w:val="32EAA406"/>
    <w:rsid w:val="32F4E925"/>
    <w:rsid w:val="33EF51E5"/>
    <w:rsid w:val="3479BCE9"/>
    <w:rsid w:val="3486B7D5"/>
    <w:rsid w:val="34B016FE"/>
    <w:rsid w:val="351B8163"/>
    <w:rsid w:val="351C0DD9"/>
    <w:rsid w:val="359EF968"/>
    <w:rsid w:val="35B3C538"/>
    <w:rsid w:val="35BE72E1"/>
    <w:rsid w:val="3645EF74"/>
    <w:rsid w:val="370BB47D"/>
    <w:rsid w:val="376DEB7C"/>
    <w:rsid w:val="385DB384"/>
    <w:rsid w:val="386972DC"/>
    <w:rsid w:val="390CA501"/>
    <w:rsid w:val="393E93DA"/>
    <w:rsid w:val="3945B900"/>
    <w:rsid w:val="3A19945A"/>
    <w:rsid w:val="3A511AD4"/>
    <w:rsid w:val="3A788AA7"/>
    <w:rsid w:val="3A7FB228"/>
    <w:rsid w:val="3A84B056"/>
    <w:rsid w:val="3B5C0CE5"/>
    <w:rsid w:val="3B68B236"/>
    <w:rsid w:val="3C65754C"/>
    <w:rsid w:val="3CCD6D6C"/>
    <w:rsid w:val="3D3F8BA1"/>
    <w:rsid w:val="3D5AD4A3"/>
    <w:rsid w:val="3E35C696"/>
    <w:rsid w:val="3E9D8D94"/>
    <w:rsid w:val="3EEE4DD2"/>
    <w:rsid w:val="3EF6FE39"/>
    <w:rsid w:val="3F677B43"/>
    <w:rsid w:val="40012020"/>
    <w:rsid w:val="4014EF78"/>
    <w:rsid w:val="403AD69C"/>
    <w:rsid w:val="405B0659"/>
    <w:rsid w:val="40B40C72"/>
    <w:rsid w:val="412A3B00"/>
    <w:rsid w:val="42014663"/>
    <w:rsid w:val="425EE9DD"/>
    <w:rsid w:val="4272B6EF"/>
    <w:rsid w:val="42965A36"/>
    <w:rsid w:val="438EBE1C"/>
    <w:rsid w:val="45444FE8"/>
    <w:rsid w:val="455111B6"/>
    <w:rsid w:val="465BBD2D"/>
    <w:rsid w:val="470BCFB7"/>
    <w:rsid w:val="4840ACC3"/>
    <w:rsid w:val="4A976E2F"/>
    <w:rsid w:val="4AB79360"/>
    <w:rsid w:val="4B3117C9"/>
    <w:rsid w:val="4B3D0D9E"/>
    <w:rsid w:val="4BE49042"/>
    <w:rsid w:val="4C9A62E5"/>
    <w:rsid w:val="4DA0FF87"/>
    <w:rsid w:val="500E311B"/>
    <w:rsid w:val="51087653"/>
    <w:rsid w:val="514F929B"/>
    <w:rsid w:val="52F35DC3"/>
    <w:rsid w:val="5300FC48"/>
    <w:rsid w:val="53102339"/>
    <w:rsid w:val="53A75B67"/>
    <w:rsid w:val="53AB1509"/>
    <w:rsid w:val="55041CB0"/>
    <w:rsid w:val="55DC5F9D"/>
    <w:rsid w:val="566655E7"/>
    <w:rsid w:val="56AC5D2C"/>
    <w:rsid w:val="56C33A9D"/>
    <w:rsid w:val="56E94778"/>
    <w:rsid w:val="571563E3"/>
    <w:rsid w:val="57456ED8"/>
    <w:rsid w:val="58604934"/>
    <w:rsid w:val="589DDFCE"/>
    <w:rsid w:val="58D45CE5"/>
    <w:rsid w:val="58F0415F"/>
    <w:rsid w:val="595CD33E"/>
    <w:rsid w:val="5AFC56B7"/>
    <w:rsid w:val="5B1F9BE3"/>
    <w:rsid w:val="5B76ED38"/>
    <w:rsid w:val="5C51180E"/>
    <w:rsid w:val="5D101ED7"/>
    <w:rsid w:val="5D3DB6BE"/>
    <w:rsid w:val="5D3F2208"/>
    <w:rsid w:val="5DDBE2E8"/>
    <w:rsid w:val="5F10B9A4"/>
    <w:rsid w:val="5F27F2A8"/>
    <w:rsid w:val="5F2CC484"/>
    <w:rsid w:val="5F33152B"/>
    <w:rsid w:val="613CCB0E"/>
    <w:rsid w:val="61B4CA7E"/>
    <w:rsid w:val="6204290E"/>
    <w:rsid w:val="62638B4C"/>
    <w:rsid w:val="63058709"/>
    <w:rsid w:val="637A9CEA"/>
    <w:rsid w:val="63DD50BD"/>
    <w:rsid w:val="64096605"/>
    <w:rsid w:val="651A09D3"/>
    <w:rsid w:val="652619E8"/>
    <w:rsid w:val="654B0754"/>
    <w:rsid w:val="6555E847"/>
    <w:rsid w:val="656ED760"/>
    <w:rsid w:val="65967225"/>
    <w:rsid w:val="65AD0267"/>
    <w:rsid w:val="66983C4D"/>
    <w:rsid w:val="672E96E3"/>
    <w:rsid w:val="6757E883"/>
    <w:rsid w:val="67F72D22"/>
    <w:rsid w:val="6905B866"/>
    <w:rsid w:val="6923F5FF"/>
    <w:rsid w:val="69262B42"/>
    <w:rsid w:val="69F39A88"/>
    <w:rsid w:val="6C086335"/>
    <w:rsid w:val="6C7B7F8A"/>
    <w:rsid w:val="6D93987F"/>
    <w:rsid w:val="6EBEA089"/>
    <w:rsid w:val="70EAA6B1"/>
    <w:rsid w:val="71499088"/>
    <w:rsid w:val="714B9595"/>
    <w:rsid w:val="71580A8A"/>
    <w:rsid w:val="7175BF7B"/>
    <w:rsid w:val="71FB6F80"/>
    <w:rsid w:val="71FCD74B"/>
    <w:rsid w:val="71FD5F54"/>
    <w:rsid w:val="72597C17"/>
    <w:rsid w:val="72B24DDC"/>
    <w:rsid w:val="73050DE8"/>
    <w:rsid w:val="734BF731"/>
    <w:rsid w:val="73FC3385"/>
    <w:rsid w:val="743D87A3"/>
    <w:rsid w:val="75D2DCC7"/>
    <w:rsid w:val="75E09447"/>
    <w:rsid w:val="76F42ECC"/>
    <w:rsid w:val="7724EE66"/>
    <w:rsid w:val="772755D7"/>
    <w:rsid w:val="7785FB46"/>
    <w:rsid w:val="77ED9ED0"/>
    <w:rsid w:val="78792CCC"/>
    <w:rsid w:val="796E977E"/>
    <w:rsid w:val="79AB7436"/>
    <w:rsid w:val="7A22ACD8"/>
    <w:rsid w:val="7B270FF6"/>
    <w:rsid w:val="7B789069"/>
    <w:rsid w:val="7BB162A8"/>
    <w:rsid w:val="7C73B62E"/>
    <w:rsid w:val="7C9E7632"/>
    <w:rsid w:val="7DC2CB6E"/>
    <w:rsid w:val="7E13C734"/>
    <w:rsid w:val="7F0246AB"/>
    <w:rsid w:val="7F777A90"/>
    <w:rsid w:val="7FF6CBD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4775D"/>
  <w15:chartTrackingRefBased/>
  <w15:docId w15:val="{3C788FC1-7BB7-4FAB-B3B5-EEEC02EE2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F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6F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6F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6F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6F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6F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F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F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F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F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6F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6F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F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F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F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F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F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FB0"/>
    <w:rPr>
      <w:rFonts w:eastAsiaTheme="majorEastAsia" w:cstheme="majorBidi"/>
      <w:color w:val="272727" w:themeColor="text1" w:themeTint="D8"/>
    </w:rPr>
  </w:style>
  <w:style w:type="paragraph" w:styleId="Title">
    <w:name w:val="Title"/>
    <w:basedOn w:val="Normal"/>
    <w:next w:val="Normal"/>
    <w:link w:val="TitleChar"/>
    <w:uiPriority w:val="10"/>
    <w:qFormat/>
    <w:rsid w:val="00F56F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F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F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F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FB0"/>
    <w:pPr>
      <w:spacing w:before="160"/>
      <w:jc w:val="center"/>
    </w:pPr>
    <w:rPr>
      <w:i/>
      <w:iCs/>
      <w:color w:val="404040" w:themeColor="text1" w:themeTint="BF"/>
    </w:rPr>
  </w:style>
  <w:style w:type="character" w:customStyle="1" w:styleId="QuoteChar">
    <w:name w:val="Quote Char"/>
    <w:basedOn w:val="DefaultParagraphFont"/>
    <w:link w:val="Quote"/>
    <w:uiPriority w:val="29"/>
    <w:rsid w:val="00F56FB0"/>
    <w:rPr>
      <w:i/>
      <w:iCs/>
      <w:color w:val="404040" w:themeColor="text1" w:themeTint="BF"/>
    </w:rPr>
  </w:style>
  <w:style w:type="paragraph" w:styleId="ListParagraph">
    <w:name w:val="List Paragraph"/>
    <w:basedOn w:val="Normal"/>
    <w:uiPriority w:val="34"/>
    <w:qFormat/>
    <w:rsid w:val="00F56FB0"/>
    <w:pPr>
      <w:ind w:left="720"/>
      <w:contextualSpacing/>
    </w:pPr>
  </w:style>
  <w:style w:type="character" w:styleId="IntenseEmphasis">
    <w:name w:val="Intense Emphasis"/>
    <w:basedOn w:val="DefaultParagraphFont"/>
    <w:uiPriority w:val="21"/>
    <w:qFormat/>
    <w:rsid w:val="00F56FB0"/>
    <w:rPr>
      <w:i/>
      <w:iCs/>
      <w:color w:val="0F4761" w:themeColor="accent1" w:themeShade="BF"/>
    </w:rPr>
  </w:style>
  <w:style w:type="paragraph" w:styleId="IntenseQuote">
    <w:name w:val="Intense Quote"/>
    <w:basedOn w:val="Normal"/>
    <w:next w:val="Normal"/>
    <w:link w:val="IntenseQuoteChar"/>
    <w:uiPriority w:val="30"/>
    <w:qFormat/>
    <w:rsid w:val="00F56F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6FB0"/>
    <w:rPr>
      <w:i/>
      <w:iCs/>
      <w:color w:val="0F4761" w:themeColor="accent1" w:themeShade="BF"/>
    </w:rPr>
  </w:style>
  <w:style w:type="character" w:styleId="IntenseReference">
    <w:name w:val="Intense Reference"/>
    <w:basedOn w:val="DefaultParagraphFont"/>
    <w:uiPriority w:val="32"/>
    <w:qFormat/>
    <w:rsid w:val="00F56FB0"/>
    <w:rPr>
      <w:b/>
      <w:bCs/>
      <w:smallCaps/>
      <w:color w:val="0F4761" w:themeColor="accent1" w:themeShade="BF"/>
      <w:spacing w:val="5"/>
    </w:rPr>
  </w:style>
  <w:style w:type="character" w:customStyle="1" w:styleId="s1">
    <w:name w:val="s1"/>
    <w:basedOn w:val="DefaultParagraphFont"/>
    <w:rsid w:val="00B66531"/>
  </w:style>
  <w:style w:type="paragraph" w:customStyle="1" w:styleId="p2">
    <w:name w:val="p2"/>
    <w:basedOn w:val="Normal"/>
    <w:rsid w:val="00B6653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66531"/>
  </w:style>
  <w:style w:type="paragraph" w:customStyle="1" w:styleId="p3">
    <w:name w:val="p3"/>
    <w:basedOn w:val="Normal"/>
    <w:rsid w:val="00B66531"/>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0D7784"/>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5D4548"/>
  </w:style>
  <w:style w:type="character" w:customStyle="1" w:styleId="apple-converted-space">
    <w:name w:val="apple-converted-space"/>
    <w:basedOn w:val="DefaultParagraphFont"/>
    <w:rsid w:val="00C34094"/>
  </w:style>
  <w:style w:type="paragraph" w:customStyle="1" w:styleId="p4">
    <w:name w:val="p4"/>
    <w:basedOn w:val="Normal"/>
    <w:rsid w:val="00707F68"/>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6E0BAC"/>
    <w:rPr>
      <w:color w:val="467886"/>
      <w:u w:val="single"/>
    </w:rPr>
  </w:style>
  <w:style w:type="paragraph" w:styleId="TOC1">
    <w:name w:val="toc 1"/>
    <w:basedOn w:val="Normal"/>
    <w:next w:val="Normal"/>
    <w:uiPriority w:val="39"/>
    <w:unhideWhenUsed/>
    <w:rsid w:val="006E0BAC"/>
    <w:pPr>
      <w:spacing w:after="100"/>
    </w:pPr>
  </w:style>
  <w:style w:type="paragraph" w:styleId="TOC2">
    <w:name w:val="toc 2"/>
    <w:basedOn w:val="Normal"/>
    <w:next w:val="Normal"/>
    <w:uiPriority w:val="39"/>
    <w:unhideWhenUsed/>
    <w:rsid w:val="006E0BAC"/>
    <w:pPr>
      <w:spacing w:after="100"/>
      <w:ind w:left="220"/>
    </w:pPr>
  </w:style>
  <w:style w:type="paragraph" w:styleId="TOC3">
    <w:name w:val="toc 3"/>
    <w:basedOn w:val="Normal"/>
    <w:next w:val="Normal"/>
    <w:uiPriority w:val="39"/>
    <w:unhideWhenUsed/>
    <w:rsid w:val="006E0BA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4901</Words>
  <Characters>27940</Characters>
  <Application>Microsoft Office Word</Application>
  <DocSecurity>4</DocSecurity>
  <Lines>232</Lines>
  <Paragraphs>65</Paragraphs>
  <ScaleCrop>false</ScaleCrop>
  <Company/>
  <LinksUpToDate>false</LinksUpToDate>
  <CharactersWithSpaces>32776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Nazish Shazady (2224320)</dc:creator>
  <cp:keywords/>
  <dc:description/>
  <cp:lastModifiedBy>Nazish Shazady (2224320)</cp:lastModifiedBy>
  <cp:revision>214</cp:revision>
  <dcterms:created xsi:type="dcterms:W3CDTF">2026-07-24T18:36:00Z</dcterms:created>
  <dcterms:modified xsi:type="dcterms:W3CDTF">2026-07-28T15:23:00Z</dcterms:modified>
</cp:coreProperties>
</file>