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94C65" w14:textId="77777777" w:rsidR="00184E93" w:rsidRPr="00D61854" w:rsidRDefault="00184E93" w:rsidP="00184E93">
      <w:pPr>
        <w:spacing w:line="360" w:lineRule="auto"/>
        <w:rPr>
          <w:rFonts w:ascii="Arial" w:hAnsi="Arial" w:cs="Arial"/>
          <w:b/>
          <w:bCs/>
          <w:lang w:val="nl-NL"/>
        </w:rPr>
      </w:pPr>
      <w:r w:rsidRPr="00D61854">
        <w:rPr>
          <w:rFonts w:ascii="Arial" w:hAnsi="Arial" w:cs="Arial"/>
          <w:b/>
          <w:bCs/>
          <w:lang w:val="nl-NL"/>
        </w:rPr>
        <w:t>Student Name: Khair Un Nisa Sajid</w:t>
      </w:r>
    </w:p>
    <w:p w14:paraId="6FA4AE1B" w14:textId="77777777" w:rsidR="00184E93" w:rsidRPr="00D61854" w:rsidRDefault="00184E93" w:rsidP="00184E93">
      <w:pPr>
        <w:spacing w:line="360" w:lineRule="auto"/>
        <w:rPr>
          <w:rFonts w:ascii="Arial" w:hAnsi="Arial" w:cs="Arial"/>
          <w:b/>
          <w:bCs/>
          <w:lang w:val="nl-NL"/>
        </w:rPr>
      </w:pPr>
      <w:r w:rsidRPr="00D61854">
        <w:rPr>
          <w:rFonts w:ascii="Arial" w:hAnsi="Arial" w:cs="Arial"/>
          <w:b/>
          <w:bCs/>
          <w:lang w:val="nl-NL"/>
        </w:rPr>
        <w:t>Student ID :2432522</w:t>
      </w:r>
    </w:p>
    <w:p w14:paraId="1BB845E9" w14:textId="732F57D8" w:rsidR="00184E93" w:rsidRPr="00CB2B1D" w:rsidRDefault="00184E93" w:rsidP="00184E93">
      <w:pPr>
        <w:spacing w:line="360" w:lineRule="auto"/>
        <w:rPr>
          <w:rFonts w:ascii="Arial" w:hAnsi="Arial" w:cs="Arial"/>
          <w:b/>
          <w:bCs/>
        </w:rPr>
      </w:pPr>
      <w:r w:rsidRPr="00CB2B1D">
        <w:rPr>
          <w:rFonts w:ascii="Arial" w:hAnsi="Arial" w:cs="Arial"/>
          <w:b/>
          <w:bCs/>
        </w:rPr>
        <w:t>Course Title :</w:t>
      </w:r>
      <w:r>
        <w:rPr>
          <w:rFonts w:ascii="Arial" w:hAnsi="Arial" w:cs="Arial"/>
          <w:b/>
          <w:bCs/>
        </w:rPr>
        <w:t>Psychology in</w:t>
      </w:r>
      <w:r>
        <w:rPr>
          <w:rFonts w:ascii="Arial" w:hAnsi="Arial" w:cs="Arial"/>
          <w:b/>
          <w:bCs/>
        </w:rPr>
        <w:t xml:space="preserve"> Health and Social Care (LCHS40</w:t>
      </w:r>
      <w:r>
        <w:rPr>
          <w:rFonts w:ascii="Arial" w:hAnsi="Arial" w:cs="Arial"/>
          <w:b/>
          <w:bCs/>
        </w:rPr>
        <w:t>10</w:t>
      </w:r>
      <w:r>
        <w:rPr>
          <w:rFonts w:ascii="Arial" w:hAnsi="Arial" w:cs="Arial"/>
          <w:b/>
          <w:bCs/>
        </w:rPr>
        <w:t>_BIRM)</w:t>
      </w:r>
    </w:p>
    <w:p w14:paraId="465228B8" w14:textId="14EF4679" w:rsidR="00875783" w:rsidRDefault="00184E93" w:rsidP="00184E93">
      <w:pPr>
        <w:spacing w:line="360" w:lineRule="auto"/>
        <w:rPr>
          <w:rFonts w:ascii="Arial" w:hAnsi="Arial" w:cs="Arial"/>
          <w:b/>
          <w:bCs/>
        </w:rPr>
      </w:pPr>
      <w:r w:rsidRPr="00CB2B1D">
        <w:rPr>
          <w:rFonts w:ascii="Arial" w:hAnsi="Arial" w:cs="Arial"/>
          <w:b/>
          <w:bCs/>
        </w:rPr>
        <w:t>Tutor Name :</w:t>
      </w:r>
      <w:r w:rsidR="008116C1">
        <w:rPr>
          <w:rFonts w:ascii="Arial" w:hAnsi="Arial" w:cs="Arial"/>
          <w:b/>
          <w:bCs/>
        </w:rPr>
        <w:t xml:space="preserve"> Alice Clayton</w:t>
      </w:r>
    </w:p>
    <w:p w14:paraId="0306164C" w14:textId="77777777" w:rsidR="00184E93" w:rsidRDefault="00184E93" w:rsidP="00184E93">
      <w:pPr>
        <w:spacing w:line="360" w:lineRule="auto"/>
        <w:rPr>
          <w:rFonts w:ascii="Arial" w:hAnsi="Arial" w:cs="Arial"/>
          <w:b/>
          <w:bCs/>
        </w:rPr>
      </w:pPr>
    </w:p>
    <w:p w14:paraId="4E1D4038" w14:textId="77777777" w:rsidR="00184E93" w:rsidRDefault="00184E93" w:rsidP="00184E93">
      <w:pPr>
        <w:spacing w:line="360" w:lineRule="auto"/>
        <w:rPr>
          <w:rFonts w:ascii="Arial" w:hAnsi="Arial" w:cs="Arial"/>
          <w:b/>
          <w:bCs/>
        </w:rPr>
      </w:pPr>
    </w:p>
    <w:p w14:paraId="45818AE5" w14:textId="77777777" w:rsidR="00184E93" w:rsidRDefault="00184E93" w:rsidP="00184E93">
      <w:pPr>
        <w:spacing w:line="360" w:lineRule="auto"/>
        <w:rPr>
          <w:rFonts w:ascii="Arial" w:hAnsi="Arial" w:cs="Arial"/>
          <w:b/>
          <w:bCs/>
        </w:rPr>
      </w:pPr>
    </w:p>
    <w:p w14:paraId="25C2ADBF" w14:textId="77777777" w:rsidR="00184E93" w:rsidRDefault="00184E93" w:rsidP="00184E93">
      <w:pPr>
        <w:spacing w:line="360" w:lineRule="auto"/>
        <w:rPr>
          <w:rFonts w:ascii="Arial" w:hAnsi="Arial" w:cs="Arial"/>
          <w:b/>
          <w:bCs/>
        </w:rPr>
      </w:pPr>
    </w:p>
    <w:p w14:paraId="1053D36A" w14:textId="77777777" w:rsidR="00184E93" w:rsidRDefault="00184E93" w:rsidP="00184E93">
      <w:pPr>
        <w:spacing w:line="360" w:lineRule="auto"/>
        <w:rPr>
          <w:rFonts w:ascii="Arial" w:hAnsi="Arial" w:cs="Arial"/>
          <w:b/>
          <w:bCs/>
        </w:rPr>
      </w:pPr>
    </w:p>
    <w:p w14:paraId="54E87A1B" w14:textId="77777777" w:rsidR="00184E93" w:rsidRDefault="00184E93" w:rsidP="00184E93">
      <w:pPr>
        <w:spacing w:line="360" w:lineRule="auto"/>
        <w:rPr>
          <w:rFonts w:ascii="Arial" w:hAnsi="Arial" w:cs="Arial"/>
          <w:b/>
          <w:bCs/>
        </w:rPr>
      </w:pPr>
    </w:p>
    <w:p w14:paraId="4559678B" w14:textId="77777777" w:rsidR="00184E93" w:rsidRDefault="00184E93" w:rsidP="00184E93">
      <w:pPr>
        <w:spacing w:line="360" w:lineRule="auto"/>
        <w:rPr>
          <w:rFonts w:ascii="Arial" w:hAnsi="Arial" w:cs="Arial"/>
          <w:b/>
          <w:bCs/>
        </w:rPr>
      </w:pPr>
    </w:p>
    <w:p w14:paraId="46242A5C" w14:textId="77777777" w:rsidR="00184E93" w:rsidRDefault="00184E93" w:rsidP="00184E93">
      <w:pPr>
        <w:spacing w:line="360" w:lineRule="auto"/>
        <w:rPr>
          <w:rFonts w:ascii="Arial" w:hAnsi="Arial" w:cs="Arial"/>
          <w:b/>
          <w:bCs/>
        </w:rPr>
      </w:pPr>
    </w:p>
    <w:p w14:paraId="02155BC2" w14:textId="77777777" w:rsidR="00184E93" w:rsidRDefault="00184E93" w:rsidP="00184E93">
      <w:pPr>
        <w:spacing w:line="360" w:lineRule="auto"/>
        <w:rPr>
          <w:rFonts w:ascii="Arial" w:hAnsi="Arial" w:cs="Arial"/>
          <w:b/>
          <w:bCs/>
        </w:rPr>
      </w:pPr>
    </w:p>
    <w:p w14:paraId="79E856CB" w14:textId="77777777" w:rsidR="00184E93" w:rsidRDefault="00184E93" w:rsidP="00184E93">
      <w:pPr>
        <w:spacing w:line="360" w:lineRule="auto"/>
        <w:rPr>
          <w:rFonts w:ascii="Arial" w:hAnsi="Arial" w:cs="Arial"/>
          <w:b/>
          <w:bCs/>
        </w:rPr>
      </w:pPr>
    </w:p>
    <w:p w14:paraId="5304B922" w14:textId="77777777" w:rsidR="00184E93" w:rsidRDefault="00184E93" w:rsidP="00184E93">
      <w:pPr>
        <w:spacing w:line="360" w:lineRule="auto"/>
        <w:rPr>
          <w:rFonts w:ascii="Arial" w:hAnsi="Arial" w:cs="Arial"/>
          <w:b/>
          <w:bCs/>
        </w:rPr>
      </w:pPr>
    </w:p>
    <w:p w14:paraId="4C81B7F7" w14:textId="77777777" w:rsidR="00184E93" w:rsidRDefault="00184E93" w:rsidP="00184E93">
      <w:pPr>
        <w:spacing w:line="360" w:lineRule="auto"/>
        <w:rPr>
          <w:rFonts w:ascii="Arial" w:hAnsi="Arial" w:cs="Arial"/>
          <w:b/>
          <w:bCs/>
        </w:rPr>
      </w:pPr>
    </w:p>
    <w:p w14:paraId="4160B1F4" w14:textId="77777777" w:rsidR="00184E93" w:rsidRDefault="00184E93" w:rsidP="00184E93">
      <w:pPr>
        <w:spacing w:line="360" w:lineRule="auto"/>
        <w:rPr>
          <w:rFonts w:ascii="Arial" w:hAnsi="Arial" w:cs="Arial"/>
          <w:b/>
          <w:bCs/>
        </w:rPr>
      </w:pPr>
    </w:p>
    <w:p w14:paraId="186C7B19" w14:textId="77777777" w:rsidR="00184E93" w:rsidRDefault="00184E93" w:rsidP="00184E93">
      <w:pPr>
        <w:spacing w:line="360" w:lineRule="auto"/>
        <w:rPr>
          <w:rFonts w:ascii="Arial" w:hAnsi="Arial" w:cs="Arial"/>
          <w:b/>
          <w:bCs/>
        </w:rPr>
      </w:pPr>
    </w:p>
    <w:p w14:paraId="6E758968" w14:textId="77777777" w:rsidR="00184E93" w:rsidRDefault="00184E93" w:rsidP="00184E93">
      <w:pPr>
        <w:spacing w:line="360" w:lineRule="auto"/>
        <w:rPr>
          <w:rFonts w:ascii="Arial" w:hAnsi="Arial" w:cs="Arial"/>
          <w:b/>
          <w:bCs/>
        </w:rPr>
      </w:pPr>
    </w:p>
    <w:p w14:paraId="66F5ABC3" w14:textId="77777777" w:rsidR="00184E93" w:rsidRDefault="00184E93" w:rsidP="00184E93">
      <w:pPr>
        <w:spacing w:line="360" w:lineRule="auto"/>
        <w:rPr>
          <w:rFonts w:ascii="Arial" w:hAnsi="Arial" w:cs="Arial"/>
          <w:b/>
          <w:bCs/>
        </w:rPr>
      </w:pPr>
    </w:p>
    <w:p w14:paraId="05E6F33D" w14:textId="77777777" w:rsidR="00184E93" w:rsidRDefault="00184E93" w:rsidP="00184E93">
      <w:pPr>
        <w:spacing w:line="360" w:lineRule="auto"/>
        <w:rPr>
          <w:rFonts w:ascii="Arial" w:hAnsi="Arial" w:cs="Arial"/>
          <w:b/>
          <w:bCs/>
        </w:rPr>
      </w:pPr>
    </w:p>
    <w:p w14:paraId="1E0843ED" w14:textId="77777777" w:rsidR="00184E93" w:rsidRDefault="00184E93" w:rsidP="00184E93">
      <w:pPr>
        <w:spacing w:line="360" w:lineRule="auto"/>
        <w:rPr>
          <w:rFonts w:ascii="Arial" w:hAnsi="Arial" w:cs="Arial"/>
          <w:b/>
          <w:bCs/>
        </w:rPr>
      </w:pPr>
    </w:p>
    <w:p w14:paraId="5330FC1E" w14:textId="77777777" w:rsidR="00184E93" w:rsidRDefault="00184E93" w:rsidP="00184E93">
      <w:pPr>
        <w:spacing w:line="360" w:lineRule="auto"/>
        <w:rPr>
          <w:rFonts w:ascii="Arial" w:hAnsi="Arial" w:cs="Arial"/>
          <w:b/>
          <w:bCs/>
        </w:rPr>
      </w:pPr>
    </w:p>
    <w:p w14:paraId="06D94C5D" w14:textId="77777777" w:rsidR="00184E93" w:rsidRDefault="00184E93" w:rsidP="00184E93">
      <w:pPr>
        <w:spacing w:line="360" w:lineRule="auto"/>
        <w:rPr>
          <w:rFonts w:ascii="Arial" w:hAnsi="Arial" w:cs="Arial"/>
          <w:b/>
          <w:bCs/>
        </w:rPr>
      </w:pPr>
    </w:p>
    <w:p w14:paraId="6C5AE03B" w14:textId="77777777" w:rsidR="00184E93" w:rsidRDefault="00184E93" w:rsidP="00184E93">
      <w:pPr>
        <w:spacing w:line="360" w:lineRule="auto"/>
        <w:rPr>
          <w:rFonts w:ascii="Arial" w:hAnsi="Arial" w:cs="Arial"/>
          <w:b/>
          <w:bCs/>
        </w:rPr>
      </w:pPr>
    </w:p>
    <w:p w14:paraId="7765603D" w14:textId="77777777" w:rsidR="00184E93" w:rsidRDefault="00184E93" w:rsidP="00184E93">
      <w:pPr>
        <w:spacing w:line="360" w:lineRule="auto"/>
        <w:rPr>
          <w:rFonts w:ascii="Arial" w:hAnsi="Arial" w:cs="Arial"/>
          <w:b/>
          <w:bCs/>
        </w:rPr>
      </w:pPr>
    </w:p>
    <w:sdt>
      <w:sdtPr>
        <w:id w:val="-411703161"/>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457A7DD6" w14:textId="77F100DF" w:rsidR="004218B7" w:rsidRDefault="004218B7">
          <w:pPr>
            <w:pStyle w:val="TOCHeading"/>
          </w:pPr>
          <w:r>
            <w:t>Contents</w:t>
          </w:r>
        </w:p>
        <w:p w14:paraId="0F39D7FF" w14:textId="382017AC" w:rsidR="008116C1" w:rsidRDefault="004218B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5108060" w:history="1">
            <w:r w:rsidR="008116C1" w:rsidRPr="00874C6C">
              <w:rPr>
                <w:rStyle w:val="Hyperlink"/>
                <w:rFonts w:ascii="Arial" w:hAnsi="Arial" w:cs="Arial"/>
                <w:noProof/>
              </w:rPr>
              <w:t>Part A - Annotated Bibliography</w:t>
            </w:r>
            <w:r w:rsidR="008116C1">
              <w:rPr>
                <w:noProof/>
                <w:webHidden/>
              </w:rPr>
              <w:tab/>
            </w:r>
            <w:r w:rsidR="008116C1">
              <w:rPr>
                <w:noProof/>
                <w:webHidden/>
              </w:rPr>
              <w:fldChar w:fldCharType="begin"/>
            </w:r>
            <w:r w:rsidR="008116C1">
              <w:rPr>
                <w:noProof/>
                <w:webHidden/>
              </w:rPr>
              <w:instrText xml:space="preserve"> PAGEREF _Toc225108060 \h </w:instrText>
            </w:r>
            <w:r w:rsidR="008116C1">
              <w:rPr>
                <w:noProof/>
                <w:webHidden/>
              </w:rPr>
            </w:r>
            <w:r w:rsidR="008116C1">
              <w:rPr>
                <w:noProof/>
                <w:webHidden/>
              </w:rPr>
              <w:fldChar w:fldCharType="separate"/>
            </w:r>
            <w:r w:rsidR="008116C1">
              <w:rPr>
                <w:noProof/>
                <w:webHidden/>
              </w:rPr>
              <w:t>3</w:t>
            </w:r>
            <w:r w:rsidR="008116C1">
              <w:rPr>
                <w:noProof/>
                <w:webHidden/>
              </w:rPr>
              <w:fldChar w:fldCharType="end"/>
            </w:r>
          </w:hyperlink>
        </w:p>
        <w:p w14:paraId="39200C15" w14:textId="1E1A1BD2" w:rsidR="008116C1" w:rsidRDefault="008116C1">
          <w:pPr>
            <w:pStyle w:val="TOC1"/>
            <w:tabs>
              <w:tab w:val="right" w:leader="dot" w:pos="9016"/>
            </w:tabs>
            <w:rPr>
              <w:rFonts w:eastAsiaTheme="minorEastAsia"/>
              <w:noProof/>
              <w:sz w:val="24"/>
              <w:szCs w:val="24"/>
              <w:lang w:eastAsia="en-GB"/>
            </w:rPr>
          </w:pPr>
          <w:hyperlink w:anchor="_Toc225108061" w:history="1">
            <w:r w:rsidRPr="00874C6C">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_Toc225108061 \h </w:instrText>
            </w:r>
            <w:r>
              <w:rPr>
                <w:noProof/>
                <w:webHidden/>
              </w:rPr>
            </w:r>
            <w:r>
              <w:rPr>
                <w:noProof/>
                <w:webHidden/>
              </w:rPr>
              <w:fldChar w:fldCharType="separate"/>
            </w:r>
            <w:r>
              <w:rPr>
                <w:noProof/>
                <w:webHidden/>
              </w:rPr>
              <w:t>5</w:t>
            </w:r>
            <w:r>
              <w:rPr>
                <w:noProof/>
                <w:webHidden/>
              </w:rPr>
              <w:fldChar w:fldCharType="end"/>
            </w:r>
          </w:hyperlink>
        </w:p>
        <w:p w14:paraId="1D7C4F2F" w14:textId="16B55AFD" w:rsidR="008116C1" w:rsidRDefault="008116C1">
          <w:pPr>
            <w:pStyle w:val="TOC1"/>
            <w:tabs>
              <w:tab w:val="right" w:leader="dot" w:pos="9016"/>
            </w:tabs>
            <w:rPr>
              <w:rFonts w:eastAsiaTheme="minorEastAsia"/>
              <w:noProof/>
              <w:sz w:val="24"/>
              <w:szCs w:val="24"/>
              <w:lang w:eastAsia="en-GB"/>
            </w:rPr>
          </w:pPr>
          <w:hyperlink w:anchor="_Toc225108062" w:history="1">
            <w:r w:rsidRPr="00874C6C">
              <w:rPr>
                <w:rStyle w:val="Hyperlink"/>
                <w:rFonts w:ascii="Arial" w:hAnsi="Arial" w:cs="Arial"/>
                <w:noProof/>
              </w:rPr>
              <w:t>Part B – Short Report</w:t>
            </w:r>
            <w:r>
              <w:rPr>
                <w:noProof/>
                <w:webHidden/>
              </w:rPr>
              <w:tab/>
            </w:r>
            <w:r>
              <w:rPr>
                <w:noProof/>
                <w:webHidden/>
              </w:rPr>
              <w:fldChar w:fldCharType="begin"/>
            </w:r>
            <w:r>
              <w:rPr>
                <w:noProof/>
                <w:webHidden/>
              </w:rPr>
              <w:instrText xml:space="preserve"> PAGEREF _Toc225108062 \h </w:instrText>
            </w:r>
            <w:r>
              <w:rPr>
                <w:noProof/>
                <w:webHidden/>
              </w:rPr>
            </w:r>
            <w:r>
              <w:rPr>
                <w:noProof/>
                <w:webHidden/>
              </w:rPr>
              <w:fldChar w:fldCharType="separate"/>
            </w:r>
            <w:r>
              <w:rPr>
                <w:noProof/>
                <w:webHidden/>
              </w:rPr>
              <w:t>6</w:t>
            </w:r>
            <w:r>
              <w:rPr>
                <w:noProof/>
                <w:webHidden/>
              </w:rPr>
              <w:fldChar w:fldCharType="end"/>
            </w:r>
          </w:hyperlink>
        </w:p>
        <w:p w14:paraId="44F6717A" w14:textId="60235DCC" w:rsidR="008116C1" w:rsidRDefault="008116C1">
          <w:pPr>
            <w:pStyle w:val="TOC1"/>
            <w:tabs>
              <w:tab w:val="right" w:leader="dot" w:pos="9016"/>
            </w:tabs>
            <w:rPr>
              <w:rFonts w:eastAsiaTheme="minorEastAsia"/>
              <w:noProof/>
              <w:sz w:val="24"/>
              <w:szCs w:val="24"/>
              <w:lang w:eastAsia="en-GB"/>
            </w:rPr>
          </w:pPr>
          <w:hyperlink w:anchor="_Toc225108063" w:history="1">
            <w:r w:rsidRPr="00874C6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_Toc225108063 \h </w:instrText>
            </w:r>
            <w:r>
              <w:rPr>
                <w:noProof/>
                <w:webHidden/>
              </w:rPr>
            </w:r>
            <w:r>
              <w:rPr>
                <w:noProof/>
                <w:webHidden/>
              </w:rPr>
              <w:fldChar w:fldCharType="separate"/>
            </w:r>
            <w:r>
              <w:rPr>
                <w:noProof/>
                <w:webHidden/>
              </w:rPr>
              <w:t>6</w:t>
            </w:r>
            <w:r>
              <w:rPr>
                <w:noProof/>
                <w:webHidden/>
              </w:rPr>
              <w:fldChar w:fldCharType="end"/>
            </w:r>
          </w:hyperlink>
        </w:p>
        <w:p w14:paraId="3D6C2006" w14:textId="6676FDC0" w:rsidR="008116C1" w:rsidRDefault="008116C1">
          <w:pPr>
            <w:pStyle w:val="TOC1"/>
            <w:tabs>
              <w:tab w:val="right" w:leader="dot" w:pos="9016"/>
            </w:tabs>
            <w:rPr>
              <w:rFonts w:eastAsiaTheme="minorEastAsia"/>
              <w:noProof/>
              <w:sz w:val="24"/>
              <w:szCs w:val="24"/>
              <w:lang w:eastAsia="en-GB"/>
            </w:rPr>
          </w:pPr>
          <w:hyperlink w:anchor="_Toc225108064" w:history="1">
            <w:r w:rsidRPr="00874C6C">
              <w:rPr>
                <w:rStyle w:val="Hyperlink"/>
                <w:rFonts w:ascii="Arial" w:hAnsi="Arial" w:cs="Arial"/>
                <w:noProof/>
              </w:rPr>
              <w:t>Application of Erikson’s Theory to Improve Psychological Wellbeing</w:t>
            </w:r>
            <w:r>
              <w:rPr>
                <w:noProof/>
                <w:webHidden/>
              </w:rPr>
              <w:tab/>
            </w:r>
            <w:r>
              <w:rPr>
                <w:noProof/>
                <w:webHidden/>
              </w:rPr>
              <w:fldChar w:fldCharType="begin"/>
            </w:r>
            <w:r>
              <w:rPr>
                <w:noProof/>
                <w:webHidden/>
              </w:rPr>
              <w:instrText xml:space="preserve"> PAGEREF _Toc225108064 \h </w:instrText>
            </w:r>
            <w:r>
              <w:rPr>
                <w:noProof/>
                <w:webHidden/>
              </w:rPr>
            </w:r>
            <w:r>
              <w:rPr>
                <w:noProof/>
                <w:webHidden/>
              </w:rPr>
              <w:fldChar w:fldCharType="separate"/>
            </w:r>
            <w:r>
              <w:rPr>
                <w:noProof/>
                <w:webHidden/>
              </w:rPr>
              <w:t>7</w:t>
            </w:r>
            <w:r>
              <w:rPr>
                <w:noProof/>
                <w:webHidden/>
              </w:rPr>
              <w:fldChar w:fldCharType="end"/>
            </w:r>
          </w:hyperlink>
        </w:p>
        <w:p w14:paraId="781563B0" w14:textId="37006FCB" w:rsidR="008116C1" w:rsidRDefault="008116C1">
          <w:pPr>
            <w:pStyle w:val="TOC1"/>
            <w:tabs>
              <w:tab w:val="right" w:leader="dot" w:pos="9016"/>
            </w:tabs>
            <w:rPr>
              <w:rFonts w:eastAsiaTheme="minorEastAsia"/>
              <w:noProof/>
              <w:sz w:val="24"/>
              <w:szCs w:val="24"/>
              <w:lang w:eastAsia="en-GB"/>
            </w:rPr>
          </w:pPr>
          <w:hyperlink w:anchor="_Toc225108065" w:history="1">
            <w:r w:rsidRPr="00874C6C">
              <w:rPr>
                <w:rStyle w:val="Hyperlink"/>
                <w:rFonts w:ascii="Arial" w:hAnsi="Arial" w:cs="Arial"/>
                <w:noProof/>
              </w:rPr>
              <w:t>Real-World Example/ Case Scenario</w:t>
            </w:r>
            <w:r>
              <w:rPr>
                <w:noProof/>
                <w:webHidden/>
              </w:rPr>
              <w:tab/>
            </w:r>
            <w:r>
              <w:rPr>
                <w:noProof/>
                <w:webHidden/>
              </w:rPr>
              <w:fldChar w:fldCharType="begin"/>
            </w:r>
            <w:r>
              <w:rPr>
                <w:noProof/>
                <w:webHidden/>
              </w:rPr>
              <w:instrText xml:space="preserve"> PAGEREF _Toc225108065 \h </w:instrText>
            </w:r>
            <w:r>
              <w:rPr>
                <w:noProof/>
                <w:webHidden/>
              </w:rPr>
            </w:r>
            <w:r>
              <w:rPr>
                <w:noProof/>
                <w:webHidden/>
              </w:rPr>
              <w:fldChar w:fldCharType="separate"/>
            </w:r>
            <w:r>
              <w:rPr>
                <w:noProof/>
                <w:webHidden/>
              </w:rPr>
              <w:t>8</w:t>
            </w:r>
            <w:r>
              <w:rPr>
                <w:noProof/>
                <w:webHidden/>
              </w:rPr>
              <w:fldChar w:fldCharType="end"/>
            </w:r>
          </w:hyperlink>
        </w:p>
        <w:p w14:paraId="679E4B26" w14:textId="38D0BF40" w:rsidR="008116C1" w:rsidRDefault="008116C1">
          <w:pPr>
            <w:pStyle w:val="TOC1"/>
            <w:tabs>
              <w:tab w:val="right" w:leader="dot" w:pos="9016"/>
            </w:tabs>
            <w:rPr>
              <w:rFonts w:eastAsiaTheme="minorEastAsia"/>
              <w:noProof/>
              <w:sz w:val="24"/>
              <w:szCs w:val="24"/>
              <w:lang w:eastAsia="en-GB"/>
            </w:rPr>
          </w:pPr>
          <w:hyperlink w:anchor="_Toc225108066" w:history="1">
            <w:r w:rsidRPr="00874C6C">
              <w:rPr>
                <w:rStyle w:val="Hyperlink"/>
                <w:rFonts w:ascii="Arial" w:hAnsi="Arial" w:cs="Arial"/>
                <w:noProof/>
              </w:rPr>
              <w:t>Challenges and Strategy to Overcome It</w:t>
            </w:r>
            <w:r>
              <w:rPr>
                <w:noProof/>
                <w:webHidden/>
              </w:rPr>
              <w:tab/>
            </w:r>
            <w:r>
              <w:rPr>
                <w:noProof/>
                <w:webHidden/>
              </w:rPr>
              <w:fldChar w:fldCharType="begin"/>
            </w:r>
            <w:r>
              <w:rPr>
                <w:noProof/>
                <w:webHidden/>
              </w:rPr>
              <w:instrText xml:space="preserve"> PAGEREF _Toc225108066 \h </w:instrText>
            </w:r>
            <w:r>
              <w:rPr>
                <w:noProof/>
                <w:webHidden/>
              </w:rPr>
            </w:r>
            <w:r>
              <w:rPr>
                <w:noProof/>
                <w:webHidden/>
              </w:rPr>
              <w:fldChar w:fldCharType="separate"/>
            </w:r>
            <w:r>
              <w:rPr>
                <w:noProof/>
                <w:webHidden/>
              </w:rPr>
              <w:t>8</w:t>
            </w:r>
            <w:r>
              <w:rPr>
                <w:noProof/>
                <w:webHidden/>
              </w:rPr>
              <w:fldChar w:fldCharType="end"/>
            </w:r>
          </w:hyperlink>
        </w:p>
        <w:p w14:paraId="3EB5E684" w14:textId="005C4E3D" w:rsidR="008116C1" w:rsidRDefault="008116C1">
          <w:pPr>
            <w:pStyle w:val="TOC1"/>
            <w:tabs>
              <w:tab w:val="right" w:leader="dot" w:pos="9016"/>
            </w:tabs>
            <w:rPr>
              <w:rFonts w:eastAsiaTheme="minorEastAsia"/>
              <w:noProof/>
              <w:sz w:val="24"/>
              <w:szCs w:val="24"/>
              <w:lang w:eastAsia="en-GB"/>
            </w:rPr>
          </w:pPr>
          <w:hyperlink w:anchor="_Toc225108067" w:history="1">
            <w:r w:rsidRPr="00874C6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_Toc225108067 \h </w:instrText>
            </w:r>
            <w:r>
              <w:rPr>
                <w:noProof/>
                <w:webHidden/>
              </w:rPr>
            </w:r>
            <w:r>
              <w:rPr>
                <w:noProof/>
                <w:webHidden/>
              </w:rPr>
              <w:fldChar w:fldCharType="separate"/>
            </w:r>
            <w:r>
              <w:rPr>
                <w:noProof/>
                <w:webHidden/>
              </w:rPr>
              <w:t>9</w:t>
            </w:r>
            <w:r>
              <w:rPr>
                <w:noProof/>
                <w:webHidden/>
              </w:rPr>
              <w:fldChar w:fldCharType="end"/>
            </w:r>
          </w:hyperlink>
        </w:p>
        <w:p w14:paraId="63593D81" w14:textId="50E24E51" w:rsidR="008116C1" w:rsidRDefault="008116C1">
          <w:pPr>
            <w:pStyle w:val="TOC1"/>
            <w:tabs>
              <w:tab w:val="right" w:leader="dot" w:pos="9016"/>
            </w:tabs>
            <w:rPr>
              <w:rFonts w:eastAsiaTheme="minorEastAsia"/>
              <w:noProof/>
              <w:sz w:val="24"/>
              <w:szCs w:val="24"/>
              <w:lang w:eastAsia="en-GB"/>
            </w:rPr>
          </w:pPr>
          <w:hyperlink w:anchor="_Toc225108068" w:history="1">
            <w:r w:rsidRPr="00874C6C">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_Toc225108068 \h </w:instrText>
            </w:r>
            <w:r>
              <w:rPr>
                <w:noProof/>
                <w:webHidden/>
              </w:rPr>
            </w:r>
            <w:r>
              <w:rPr>
                <w:noProof/>
                <w:webHidden/>
              </w:rPr>
              <w:fldChar w:fldCharType="separate"/>
            </w:r>
            <w:r>
              <w:rPr>
                <w:noProof/>
                <w:webHidden/>
              </w:rPr>
              <w:t>10</w:t>
            </w:r>
            <w:r>
              <w:rPr>
                <w:noProof/>
                <w:webHidden/>
              </w:rPr>
              <w:fldChar w:fldCharType="end"/>
            </w:r>
          </w:hyperlink>
        </w:p>
        <w:p w14:paraId="073A5975" w14:textId="719958C0" w:rsidR="004218B7" w:rsidRDefault="004218B7">
          <w:r>
            <w:rPr>
              <w:b/>
              <w:bCs/>
            </w:rPr>
            <w:fldChar w:fldCharType="end"/>
          </w:r>
        </w:p>
      </w:sdtContent>
    </w:sdt>
    <w:p w14:paraId="58EC493B" w14:textId="77777777" w:rsidR="004033EA" w:rsidRDefault="004033EA" w:rsidP="00184E93">
      <w:pPr>
        <w:spacing w:line="360" w:lineRule="auto"/>
        <w:rPr>
          <w:rFonts w:ascii="Arial" w:hAnsi="Arial" w:cs="Arial"/>
          <w:b/>
          <w:bCs/>
        </w:rPr>
      </w:pPr>
    </w:p>
    <w:p w14:paraId="64BA2C53" w14:textId="77777777" w:rsidR="004033EA" w:rsidRDefault="004033EA" w:rsidP="00184E93">
      <w:pPr>
        <w:spacing w:line="360" w:lineRule="auto"/>
        <w:rPr>
          <w:rFonts w:ascii="Arial" w:hAnsi="Arial" w:cs="Arial"/>
          <w:b/>
          <w:bCs/>
        </w:rPr>
      </w:pPr>
    </w:p>
    <w:p w14:paraId="12DADC30" w14:textId="77777777" w:rsidR="004033EA" w:rsidRDefault="004033EA" w:rsidP="00184E93">
      <w:pPr>
        <w:spacing w:line="360" w:lineRule="auto"/>
        <w:rPr>
          <w:rFonts w:ascii="Arial" w:hAnsi="Arial" w:cs="Arial"/>
          <w:b/>
          <w:bCs/>
        </w:rPr>
      </w:pPr>
    </w:p>
    <w:p w14:paraId="6BFD2D3F" w14:textId="77777777" w:rsidR="004033EA" w:rsidRDefault="004033EA" w:rsidP="00184E93">
      <w:pPr>
        <w:spacing w:line="360" w:lineRule="auto"/>
        <w:rPr>
          <w:rFonts w:ascii="Arial" w:hAnsi="Arial" w:cs="Arial"/>
          <w:b/>
          <w:bCs/>
        </w:rPr>
      </w:pPr>
    </w:p>
    <w:p w14:paraId="0AFC48C4" w14:textId="77777777" w:rsidR="004033EA" w:rsidRDefault="004033EA" w:rsidP="00184E93">
      <w:pPr>
        <w:spacing w:line="360" w:lineRule="auto"/>
        <w:rPr>
          <w:rFonts w:ascii="Arial" w:hAnsi="Arial" w:cs="Arial"/>
          <w:b/>
          <w:bCs/>
        </w:rPr>
      </w:pPr>
    </w:p>
    <w:p w14:paraId="511B9999" w14:textId="77777777" w:rsidR="004033EA" w:rsidRDefault="004033EA" w:rsidP="00184E93">
      <w:pPr>
        <w:spacing w:line="360" w:lineRule="auto"/>
        <w:rPr>
          <w:rFonts w:ascii="Arial" w:hAnsi="Arial" w:cs="Arial"/>
          <w:b/>
          <w:bCs/>
        </w:rPr>
      </w:pPr>
    </w:p>
    <w:p w14:paraId="7DADBCBD" w14:textId="77777777" w:rsidR="004033EA" w:rsidRDefault="004033EA" w:rsidP="00184E93">
      <w:pPr>
        <w:spacing w:line="360" w:lineRule="auto"/>
        <w:rPr>
          <w:rFonts w:ascii="Arial" w:hAnsi="Arial" w:cs="Arial"/>
          <w:b/>
          <w:bCs/>
        </w:rPr>
      </w:pPr>
    </w:p>
    <w:p w14:paraId="4E0A9334" w14:textId="77777777" w:rsidR="004033EA" w:rsidRDefault="004033EA" w:rsidP="00184E93">
      <w:pPr>
        <w:spacing w:line="360" w:lineRule="auto"/>
        <w:rPr>
          <w:rFonts w:ascii="Arial" w:hAnsi="Arial" w:cs="Arial"/>
          <w:b/>
          <w:bCs/>
        </w:rPr>
      </w:pPr>
    </w:p>
    <w:p w14:paraId="46D45413" w14:textId="77777777" w:rsidR="004033EA" w:rsidRDefault="004033EA" w:rsidP="00184E93">
      <w:pPr>
        <w:spacing w:line="360" w:lineRule="auto"/>
        <w:rPr>
          <w:rFonts w:ascii="Arial" w:hAnsi="Arial" w:cs="Arial"/>
          <w:b/>
          <w:bCs/>
        </w:rPr>
      </w:pPr>
    </w:p>
    <w:p w14:paraId="50C63464" w14:textId="77777777" w:rsidR="004033EA" w:rsidRDefault="004033EA" w:rsidP="00184E93">
      <w:pPr>
        <w:spacing w:line="360" w:lineRule="auto"/>
        <w:rPr>
          <w:rFonts w:ascii="Arial" w:hAnsi="Arial" w:cs="Arial"/>
          <w:b/>
          <w:bCs/>
        </w:rPr>
      </w:pPr>
    </w:p>
    <w:p w14:paraId="22ABED26" w14:textId="77777777" w:rsidR="004033EA" w:rsidRDefault="004033EA" w:rsidP="00184E93">
      <w:pPr>
        <w:spacing w:line="360" w:lineRule="auto"/>
        <w:rPr>
          <w:rFonts w:ascii="Arial" w:hAnsi="Arial" w:cs="Arial"/>
          <w:b/>
          <w:bCs/>
        </w:rPr>
      </w:pPr>
    </w:p>
    <w:p w14:paraId="26FF3337" w14:textId="77777777" w:rsidR="004033EA" w:rsidRDefault="004033EA" w:rsidP="00184E93">
      <w:pPr>
        <w:spacing w:line="360" w:lineRule="auto"/>
        <w:rPr>
          <w:rFonts w:ascii="Arial" w:hAnsi="Arial" w:cs="Arial"/>
          <w:b/>
          <w:bCs/>
        </w:rPr>
      </w:pPr>
    </w:p>
    <w:p w14:paraId="266859EC" w14:textId="77777777" w:rsidR="004033EA" w:rsidRDefault="004033EA" w:rsidP="00184E93">
      <w:pPr>
        <w:spacing w:line="360" w:lineRule="auto"/>
        <w:rPr>
          <w:rFonts w:ascii="Arial" w:hAnsi="Arial" w:cs="Arial"/>
          <w:b/>
          <w:bCs/>
        </w:rPr>
      </w:pPr>
    </w:p>
    <w:p w14:paraId="38324617" w14:textId="77777777" w:rsidR="004033EA" w:rsidRDefault="004033EA" w:rsidP="00184E93">
      <w:pPr>
        <w:spacing w:line="360" w:lineRule="auto"/>
        <w:rPr>
          <w:rFonts w:ascii="Arial" w:hAnsi="Arial" w:cs="Arial"/>
          <w:b/>
          <w:bCs/>
        </w:rPr>
      </w:pPr>
    </w:p>
    <w:p w14:paraId="50B7159F" w14:textId="77777777" w:rsidR="004033EA" w:rsidRDefault="004033EA" w:rsidP="00184E93">
      <w:pPr>
        <w:spacing w:line="360" w:lineRule="auto"/>
        <w:rPr>
          <w:rFonts w:ascii="Arial" w:hAnsi="Arial" w:cs="Arial"/>
          <w:b/>
          <w:bCs/>
        </w:rPr>
      </w:pPr>
    </w:p>
    <w:p w14:paraId="20D7DF6D" w14:textId="77777777" w:rsidR="004033EA" w:rsidRDefault="004033EA" w:rsidP="00184E93">
      <w:pPr>
        <w:spacing w:line="360" w:lineRule="auto"/>
        <w:rPr>
          <w:rFonts w:ascii="Arial" w:hAnsi="Arial" w:cs="Arial"/>
          <w:b/>
          <w:bCs/>
        </w:rPr>
      </w:pPr>
    </w:p>
    <w:p w14:paraId="515A60CF" w14:textId="77777777" w:rsidR="004033EA" w:rsidRDefault="004033EA" w:rsidP="00184E93">
      <w:pPr>
        <w:spacing w:line="360" w:lineRule="auto"/>
        <w:rPr>
          <w:rFonts w:ascii="Arial" w:hAnsi="Arial" w:cs="Arial"/>
          <w:b/>
          <w:bCs/>
        </w:rPr>
      </w:pPr>
    </w:p>
    <w:p w14:paraId="397FCB2E" w14:textId="77777777" w:rsidR="004033EA" w:rsidRDefault="004033EA" w:rsidP="00184E93">
      <w:pPr>
        <w:spacing w:line="360" w:lineRule="auto"/>
        <w:rPr>
          <w:rFonts w:ascii="Arial" w:hAnsi="Arial" w:cs="Arial"/>
          <w:b/>
          <w:bCs/>
        </w:rPr>
      </w:pPr>
    </w:p>
    <w:p w14:paraId="5BCC8E4C" w14:textId="77777777" w:rsidR="004033EA" w:rsidRDefault="004033EA" w:rsidP="00184E93">
      <w:pPr>
        <w:spacing w:line="360" w:lineRule="auto"/>
        <w:rPr>
          <w:rFonts w:ascii="Arial" w:hAnsi="Arial" w:cs="Arial"/>
          <w:b/>
          <w:bCs/>
        </w:rPr>
      </w:pPr>
    </w:p>
    <w:p w14:paraId="71C83799" w14:textId="27EF1A94" w:rsidR="00184E93" w:rsidRDefault="00184E93" w:rsidP="0096339E">
      <w:pPr>
        <w:spacing w:line="360" w:lineRule="auto"/>
        <w:jc w:val="center"/>
        <w:rPr>
          <w:rFonts w:ascii="Arial" w:hAnsi="Arial" w:cs="Arial"/>
          <w:b/>
          <w:bCs/>
          <w:u w:val="single"/>
        </w:rPr>
      </w:pPr>
      <w:r>
        <w:rPr>
          <w:rFonts w:ascii="Arial" w:hAnsi="Arial" w:cs="Arial"/>
          <w:b/>
          <w:bCs/>
          <w:u w:val="single"/>
        </w:rPr>
        <w:t>Bibliography and Report</w:t>
      </w:r>
    </w:p>
    <w:p w14:paraId="6C099833" w14:textId="77777777" w:rsidR="00184E93" w:rsidRDefault="00184E93" w:rsidP="0096339E">
      <w:pPr>
        <w:spacing w:line="360" w:lineRule="auto"/>
        <w:jc w:val="center"/>
        <w:rPr>
          <w:rFonts w:ascii="Arial" w:hAnsi="Arial" w:cs="Arial"/>
          <w:b/>
          <w:bCs/>
          <w:u w:val="single"/>
        </w:rPr>
      </w:pPr>
    </w:p>
    <w:p w14:paraId="51EEED32" w14:textId="47AA92DD" w:rsidR="00184E93" w:rsidRPr="004218B7" w:rsidRDefault="006C0747" w:rsidP="004218B7">
      <w:pPr>
        <w:pStyle w:val="Heading1"/>
        <w:rPr>
          <w:rFonts w:ascii="Arial" w:hAnsi="Arial" w:cs="Arial"/>
          <w:sz w:val="22"/>
          <w:szCs w:val="22"/>
        </w:rPr>
      </w:pPr>
      <w:bookmarkStart w:id="0" w:name="_Toc225103488"/>
      <w:bookmarkStart w:id="1" w:name="_Toc225108060"/>
      <w:r>
        <w:rPr>
          <w:rFonts w:ascii="Arial" w:hAnsi="Arial" w:cs="Arial"/>
          <w:sz w:val="22"/>
          <w:szCs w:val="22"/>
        </w:rPr>
        <w:t xml:space="preserve">Part A - </w:t>
      </w:r>
      <w:r w:rsidR="00184E93" w:rsidRPr="004218B7">
        <w:rPr>
          <w:rFonts w:ascii="Arial" w:hAnsi="Arial" w:cs="Arial"/>
          <w:sz w:val="22"/>
          <w:szCs w:val="22"/>
        </w:rPr>
        <w:t>Annotated Bibliography</w:t>
      </w:r>
      <w:bookmarkEnd w:id="0"/>
      <w:bookmarkEnd w:id="1"/>
    </w:p>
    <w:p w14:paraId="5930E03C" w14:textId="4691429A" w:rsidR="009B6633" w:rsidRDefault="009B6633" w:rsidP="0096339E">
      <w:pPr>
        <w:spacing w:line="360" w:lineRule="auto"/>
        <w:rPr>
          <w:rFonts w:ascii="Arial" w:hAnsi="Arial" w:cs="Arial"/>
        </w:rPr>
      </w:pPr>
    </w:p>
    <w:p w14:paraId="00191AF5" w14:textId="77777777" w:rsidR="0096339E" w:rsidRDefault="009B6633" w:rsidP="0096339E">
      <w:pPr>
        <w:spacing w:line="360" w:lineRule="auto"/>
        <w:rPr>
          <w:rFonts w:ascii="Arial" w:hAnsi="Arial" w:cs="Arial"/>
        </w:rPr>
      </w:pPr>
      <w:r w:rsidRPr="009B6633">
        <w:rPr>
          <w:rFonts w:ascii="Arial" w:hAnsi="Arial" w:cs="Arial"/>
          <w:lang w:val="nl-NL"/>
        </w:rPr>
        <w:t>Van der Kaap-</w:t>
      </w:r>
      <w:proofErr w:type="spellStart"/>
      <w:r w:rsidRPr="009B6633">
        <w:rPr>
          <w:rFonts w:ascii="Arial" w:hAnsi="Arial" w:cs="Arial"/>
          <w:lang w:val="nl-NL"/>
        </w:rPr>
        <w:t>Deeder</w:t>
      </w:r>
      <w:proofErr w:type="spellEnd"/>
      <w:r w:rsidRPr="009B6633">
        <w:rPr>
          <w:rFonts w:ascii="Arial" w:hAnsi="Arial" w:cs="Arial"/>
          <w:lang w:val="nl-NL"/>
        </w:rPr>
        <w:t xml:space="preserve">, J. et al. </w:t>
      </w:r>
      <w:r w:rsidRPr="009B6633">
        <w:rPr>
          <w:rFonts w:ascii="Arial" w:hAnsi="Arial" w:cs="Arial"/>
        </w:rPr>
        <w:t>(2021) ‘The role of ego integrity and despair in older adults’ well-being during the COVID-19 crisis: the mediating role of need-based experiences’, European Journal of Ageing, 19(1), pp. 117–129. doi:10.1007/s10433-021-00610-0.</w:t>
      </w:r>
      <w:r w:rsidRPr="009B6633">
        <w:rPr>
          <w:rFonts w:ascii="Arial" w:hAnsi="Arial" w:cs="Arial"/>
        </w:rPr>
        <w:br/>
      </w:r>
    </w:p>
    <w:p w14:paraId="6C48F849" w14:textId="3E9548DD" w:rsidR="009B6633" w:rsidRDefault="009B6633" w:rsidP="0096339E">
      <w:pPr>
        <w:spacing w:line="360" w:lineRule="auto"/>
        <w:rPr>
          <w:rFonts w:ascii="Arial" w:hAnsi="Arial" w:cs="Arial"/>
        </w:rPr>
      </w:pPr>
      <w:r w:rsidRPr="009B6633">
        <w:rPr>
          <w:rFonts w:ascii="Arial" w:hAnsi="Arial" w:cs="Arial"/>
        </w:rPr>
        <w:t xml:space="preserve">This study integrates Erikson’s psychosocial stage of ego integrity versus despair with self-determination theory, finding through structural equation modelling (average age 70) that ego integrity supports satisfaction of basic psychological needs (autonomy, competence, relatedness), which enhances life satisfaction and reduces depression, anxiety, and loneliness (van der </w:t>
      </w:r>
      <w:proofErr w:type="spellStart"/>
      <w:r w:rsidRPr="009B6633">
        <w:rPr>
          <w:rFonts w:ascii="Arial" w:hAnsi="Arial" w:cs="Arial"/>
        </w:rPr>
        <w:t>Kaap-Deeder</w:t>
      </w:r>
      <w:proofErr w:type="spellEnd"/>
      <w:r w:rsidRPr="009B6633">
        <w:rPr>
          <w:rFonts w:ascii="Arial" w:hAnsi="Arial" w:cs="Arial"/>
        </w:rPr>
        <w:t xml:space="preserve"> et al., 2021).</w:t>
      </w:r>
    </w:p>
    <w:p w14:paraId="67211CEC" w14:textId="77777777" w:rsidR="00EF4A6D" w:rsidRDefault="009B6633" w:rsidP="0096339E">
      <w:pPr>
        <w:spacing w:line="360" w:lineRule="auto"/>
        <w:rPr>
          <w:rFonts w:ascii="Arial" w:hAnsi="Arial" w:cs="Arial"/>
        </w:rPr>
      </w:pPr>
      <w:r w:rsidRPr="009B6633">
        <w:rPr>
          <w:rFonts w:ascii="Arial" w:hAnsi="Arial" w:cs="Arial"/>
        </w:rPr>
        <w:t>Despair, however, leads to frustration and greater psychological distress, with negative pathways often stronger.</w:t>
      </w:r>
    </w:p>
    <w:p w14:paraId="1A397181" w14:textId="7C5F6F09" w:rsidR="009B6633" w:rsidRPr="009B6633" w:rsidRDefault="009B6633" w:rsidP="0096339E">
      <w:pPr>
        <w:spacing w:line="360" w:lineRule="auto"/>
        <w:rPr>
          <w:rFonts w:ascii="Arial" w:hAnsi="Arial" w:cs="Arial"/>
        </w:rPr>
      </w:pPr>
      <w:r w:rsidRPr="009B6633">
        <w:rPr>
          <w:rFonts w:ascii="Arial" w:hAnsi="Arial" w:cs="Arial"/>
        </w:rPr>
        <w:t>The above source is highly relevant to supporting older adults in health and social care, as Erikson’s eighth stage is central to later-life development amid health declines and losses. </w:t>
      </w:r>
    </w:p>
    <w:p w14:paraId="0567FCCC" w14:textId="77777777" w:rsidR="009B6633" w:rsidRPr="009B6633" w:rsidRDefault="009B6633" w:rsidP="0096339E">
      <w:pPr>
        <w:spacing w:line="360" w:lineRule="auto"/>
        <w:rPr>
          <w:rFonts w:ascii="Arial" w:hAnsi="Arial" w:cs="Arial"/>
        </w:rPr>
      </w:pPr>
      <w:r w:rsidRPr="009B6633">
        <w:rPr>
          <w:rFonts w:ascii="Arial" w:hAnsi="Arial" w:cs="Arial"/>
        </w:rPr>
        <w:t xml:space="preserve">It supports life-review and reminiscence therapies to foster integrity and acceptance of one’s life (van der </w:t>
      </w:r>
      <w:proofErr w:type="spellStart"/>
      <w:r w:rsidRPr="009B6633">
        <w:rPr>
          <w:rFonts w:ascii="Arial" w:hAnsi="Arial" w:cs="Arial"/>
        </w:rPr>
        <w:t>Kaap-Deeder</w:t>
      </w:r>
      <w:proofErr w:type="spellEnd"/>
      <w:r w:rsidRPr="009B6633">
        <w:rPr>
          <w:rFonts w:ascii="Arial" w:hAnsi="Arial" w:cs="Arial"/>
        </w:rPr>
        <w:t xml:space="preserve"> et al., 2021). </w:t>
      </w:r>
    </w:p>
    <w:p w14:paraId="458190F1" w14:textId="77777777" w:rsidR="004033EA" w:rsidRDefault="009B6633" w:rsidP="0096339E">
      <w:pPr>
        <w:spacing w:line="360" w:lineRule="auto"/>
        <w:rPr>
          <w:rFonts w:ascii="Arial" w:hAnsi="Arial" w:cs="Arial"/>
        </w:rPr>
      </w:pPr>
      <w:r w:rsidRPr="009B6633">
        <w:rPr>
          <w:rFonts w:ascii="Arial" w:hAnsi="Arial" w:cs="Arial"/>
        </w:rPr>
        <w:t xml:space="preserve">In practice, care settings can implement supportive routines and relatedness-focused activities (e.g., family video calls during isolation) to improve wellbeing risks. </w:t>
      </w:r>
    </w:p>
    <w:p w14:paraId="1A53C6A6" w14:textId="77777777" w:rsidR="004033EA" w:rsidRDefault="009B6633" w:rsidP="0096339E">
      <w:pPr>
        <w:spacing w:line="360" w:lineRule="auto"/>
        <w:rPr>
          <w:rFonts w:ascii="Arial" w:hAnsi="Arial" w:cs="Arial"/>
        </w:rPr>
      </w:pPr>
      <w:r w:rsidRPr="009B6633">
        <w:rPr>
          <w:rFonts w:ascii="Arial" w:hAnsi="Arial" w:cs="Arial"/>
        </w:rPr>
        <w:t>Its usefulness lies in empirical evidence linking Erikson’s concepts to resilience in crises</w:t>
      </w:r>
    </w:p>
    <w:p w14:paraId="2BE55D90" w14:textId="77777777" w:rsidR="006C0747" w:rsidRDefault="004033EA" w:rsidP="0096339E">
      <w:pPr>
        <w:spacing w:line="360" w:lineRule="auto"/>
        <w:rPr>
          <w:rFonts w:ascii="Arial" w:hAnsi="Arial" w:cs="Arial"/>
        </w:rPr>
      </w:pPr>
      <w:r>
        <w:rPr>
          <w:rFonts w:ascii="Arial" w:hAnsi="Arial" w:cs="Arial"/>
        </w:rPr>
        <w:t>L</w:t>
      </w:r>
      <w:r w:rsidR="009B6633" w:rsidRPr="009B6633">
        <w:rPr>
          <w:rFonts w:ascii="Arial" w:hAnsi="Arial" w:cs="Arial"/>
        </w:rPr>
        <w:t>imitations include cross-sectional data precluding causality claims and a sample skewed toward healthier, digitally connected individuals, reducing transferability to frail or institutionalised residents.</w:t>
      </w:r>
    </w:p>
    <w:p w14:paraId="4623B1F7" w14:textId="5348D377" w:rsidR="004033EA" w:rsidRDefault="009B6633" w:rsidP="0096339E">
      <w:pPr>
        <w:spacing w:line="360" w:lineRule="auto"/>
        <w:rPr>
          <w:rFonts w:ascii="Arial" w:hAnsi="Arial" w:cs="Arial"/>
        </w:rPr>
      </w:pPr>
      <w:r w:rsidRPr="009B6633">
        <w:rPr>
          <w:rFonts w:ascii="Arial" w:hAnsi="Arial" w:cs="Arial"/>
        </w:rPr>
        <w:br/>
        <w:t xml:space="preserve">Platts, L.G., Alm </w:t>
      </w:r>
      <w:proofErr w:type="spellStart"/>
      <w:r w:rsidRPr="009B6633">
        <w:rPr>
          <w:rFonts w:ascii="Arial" w:hAnsi="Arial" w:cs="Arial"/>
        </w:rPr>
        <w:t>Norbrian</w:t>
      </w:r>
      <w:proofErr w:type="spellEnd"/>
      <w:r w:rsidRPr="009B6633">
        <w:rPr>
          <w:rFonts w:ascii="Arial" w:hAnsi="Arial" w:cs="Arial"/>
        </w:rPr>
        <w:t>, A. and Frick, M.A. (2023) ‘Attachment in older adults is stably associated with health and quality of life: findings from a 14-year follow-up of the Whitehall II study’, Aging &amp; Mental Health, 27(9), pp. 1832–1842. doi:10.1080/13607863.2022.2148157.</w:t>
      </w:r>
      <w:r w:rsidRPr="009B6633">
        <w:rPr>
          <w:rFonts w:ascii="Arial" w:hAnsi="Arial" w:cs="Arial"/>
        </w:rPr>
        <w:br/>
      </w:r>
      <w:r w:rsidRPr="009B6633">
        <w:rPr>
          <w:rFonts w:ascii="Arial" w:hAnsi="Arial" w:cs="Arial"/>
        </w:rPr>
        <w:br/>
      </w:r>
      <w:r w:rsidRPr="009B6633">
        <w:rPr>
          <w:rFonts w:ascii="Arial" w:hAnsi="Arial" w:cs="Arial"/>
        </w:rPr>
        <w:lastRenderedPageBreak/>
        <w:t>Drawing on Bowlby’s attachment theory, this study (ages 48–68) shows secure attachment predicts better mental health, physical functioning, and quality of life over 14 years, while insecure styles (especially preoccupied/fearful) link to poorer outcomes (Platts et al., 2023).</w:t>
      </w:r>
    </w:p>
    <w:p w14:paraId="39049AD9" w14:textId="77777777" w:rsidR="00EF4A6D" w:rsidRDefault="009B6633" w:rsidP="0096339E">
      <w:pPr>
        <w:spacing w:line="360" w:lineRule="auto"/>
        <w:rPr>
          <w:rFonts w:ascii="Arial" w:hAnsi="Arial" w:cs="Arial"/>
        </w:rPr>
      </w:pPr>
      <w:r w:rsidRPr="009B6633">
        <w:rPr>
          <w:rFonts w:ascii="Arial" w:hAnsi="Arial" w:cs="Arial"/>
        </w:rPr>
        <w:t>Attachment patterns remain stable into later life, helping combat age-related stressors.</w:t>
      </w:r>
    </w:p>
    <w:p w14:paraId="2D68EFC8" w14:textId="00B538EC" w:rsidR="004033EA" w:rsidRDefault="009B6633" w:rsidP="0096339E">
      <w:pPr>
        <w:spacing w:line="360" w:lineRule="auto"/>
        <w:rPr>
          <w:rFonts w:ascii="Arial" w:hAnsi="Arial" w:cs="Arial"/>
        </w:rPr>
      </w:pPr>
      <w:r w:rsidRPr="009B6633">
        <w:rPr>
          <w:rFonts w:ascii="Arial" w:hAnsi="Arial" w:cs="Arial"/>
        </w:rPr>
        <w:t>Bowlby’s framework is focused strongly to older adults in care, where attachment to staff or family influences coping with bereavement and institutionalisation (Platts et al., 2023). </w:t>
      </w:r>
    </w:p>
    <w:p w14:paraId="11189A8A" w14:textId="5B42D16B" w:rsidR="009B6633" w:rsidRPr="009B6633" w:rsidRDefault="009B6633" w:rsidP="0096339E">
      <w:pPr>
        <w:spacing w:line="360" w:lineRule="auto"/>
        <w:rPr>
          <w:rFonts w:ascii="Arial" w:hAnsi="Arial" w:cs="Arial"/>
        </w:rPr>
      </w:pPr>
      <w:r w:rsidRPr="009B6633">
        <w:rPr>
          <w:rFonts w:ascii="Arial" w:hAnsi="Arial" w:cs="Arial"/>
        </w:rPr>
        <w:t>Secure bonds aid emotion regulation and care engagement, reducing isolation risks. Practical applications include attachment-aware staffing (consistent key workers) and family-involvement programmes. </w:t>
      </w:r>
    </w:p>
    <w:p w14:paraId="677F2FE7" w14:textId="77777777" w:rsidR="009B6633" w:rsidRPr="009B6633" w:rsidRDefault="009B6633" w:rsidP="0096339E">
      <w:pPr>
        <w:spacing w:line="360" w:lineRule="auto"/>
        <w:rPr>
          <w:rFonts w:ascii="Arial" w:hAnsi="Arial" w:cs="Arial"/>
        </w:rPr>
      </w:pPr>
      <w:r w:rsidRPr="009B6633">
        <w:rPr>
          <w:rFonts w:ascii="Arial" w:hAnsi="Arial" w:cs="Arial"/>
        </w:rPr>
        <w:t>Usefulness: extends Bowlby empirically to ageing, supporting relational continuity policies </w:t>
      </w:r>
    </w:p>
    <w:p w14:paraId="417B7C52" w14:textId="77777777" w:rsidR="009B6633" w:rsidRPr="009B6633" w:rsidRDefault="009B6633" w:rsidP="0096339E">
      <w:pPr>
        <w:spacing w:line="360" w:lineRule="auto"/>
        <w:rPr>
          <w:rFonts w:ascii="Arial" w:hAnsi="Arial" w:cs="Arial"/>
        </w:rPr>
      </w:pPr>
      <w:r w:rsidRPr="009B6633">
        <w:rPr>
          <w:rFonts w:ascii="Arial" w:hAnsi="Arial" w:cs="Arial"/>
        </w:rPr>
        <w:t>Limitations: reliance on categorical measures and a specific occupational cohort limit generalisability to diverse or severely impaired groups; causality direction remains possible (Platts et al., 2023).</w:t>
      </w:r>
      <w:r w:rsidRPr="009B6633">
        <w:rPr>
          <w:rFonts w:ascii="Arial" w:hAnsi="Arial" w:cs="Arial"/>
        </w:rPr>
        <w:br/>
      </w:r>
      <w:r w:rsidRPr="009B6633">
        <w:rPr>
          <w:rFonts w:ascii="Arial" w:hAnsi="Arial" w:cs="Arial"/>
        </w:rPr>
        <w:br/>
      </w:r>
      <w:proofErr w:type="spellStart"/>
      <w:r w:rsidRPr="009B6633">
        <w:rPr>
          <w:rFonts w:ascii="Arial" w:hAnsi="Arial" w:cs="Arial"/>
        </w:rPr>
        <w:t>Estebsari</w:t>
      </w:r>
      <w:proofErr w:type="spellEnd"/>
      <w:r w:rsidRPr="009B6633">
        <w:rPr>
          <w:rFonts w:ascii="Arial" w:hAnsi="Arial" w:cs="Arial"/>
        </w:rPr>
        <w:t>, F. et al. (2020) ‘The Concept of Successful Aging: A Review Article’, *Current Aging Science*, 13(1), pp. 4–10. doi:10.2174/1874609812666191023130117.</w:t>
      </w:r>
      <w:r w:rsidRPr="009B6633">
        <w:rPr>
          <w:rFonts w:ascii="Arial" w:hAnsi="Arial" w:cs="Arial"/>
        </w:rPr>
        <w:br/>
      </w:r>
      <w:r w:rsidRPr="009B6633">
        <w:rPr>
          <w:rFonts w:ascii="Arial" w:hAnsi="Arial" w:cs="Arial"/>
        </w:rPr>
        <w:br/>
        <w:t>Reviewing successful ageing models, this article highlights Havighurst’s Activity Theory, arguing that sustained physical, cognitive, and social activity maintains life satisfaction and role balance despite losses, aligning with Rowe and Kahn’s criteria of low disease, high function, and engagement (</w:t>
      </w:r>
      <w:proofErr w:type="spellStart"/>
      <w:r w:rsidRPr="009B6633">
        <w:rPr>
          <w:rFonts w:ascii="Arial" w:hAnsi="Arial" w:cs="Arial"/>
        </w:rPr>
        <w:t>Estebsari</w:t>
      </w:r>
      <w:proofErr w:type="spellEnd"/>
      <w:r w:rsidRPr="009B6633">
        <w:rPr>
          <w:rFonts w:ascii="Arial" w:hAnsi="Arial" w:cs="Arial"/>
        </w:rPr>
        <w:t xml:space="preserve"> et al., 2020).</w:t>
      </w:r>
      <w:r w:rsidRPr="009B6633">
        <w:rPr>
          <w:rFonts w:ascii="Arial" w:hAnsi="Arial" w:cs="Arial"/>
        </w:rPr>
        <w:br/>
      </w:r>
      <w:r w:rsidRPr="009B6633">
        <w:rPr>
          <w:rFonts w:ascii="Arial" w:hAnsi="Arial" w:cs="Arial"/>
        </w:rPr>
        <w:br/>
        <w:t>Havighurst’s theory counters disengagement in later life, justifying activity promotion in health and social care to combat isolation and decline. In practice, it informs community exercise, volunteering, and learning programmes in day/residential settings to boost function and connectedness (</w:t>
      </w:r>
      <w:proofErr w:type="spellStart"/>
      <w:r w:rsidRPr="009B6633">
        <w:rPr>
          <w:rFonts w:ascii="Arial" w:hAnsi="Arial" w:cs="Arial"/>
        </w:rPr>
        <w:t>Estebsari</w:t>
      </w:r>
      <w:proofErr w:type="spellEnd"/>
      <w:r w:rsidRPr="009B6633">
        <w:rPr>
          <w:rFonts w:ascii="Arial" w:hAnsi="Arial" w:cs="Arial"/>
        </w:rPr>
        <w:t xml:space="preserve"> et al., 2020). </w:t>
      </w:r>
    </w:p>
    <w:p w14:paraId="45F650CD" w14:textId="77777777" w:rsidR="009B6633" w:rsidRPr="009B6633" w:rsidRDefault="009B6633" w:rsidP="0096339E">
      <w:pPr>
        <w:spacing w:line="360" w:lineRule="auto"/>
        <w:rPr>
          <w:rFonts w:ascii="Arial" w:hAnsi="Arial" w:cs="Arial"/>
        </w:rPr>
      </w:pPr>
      <w:r w:rsidRPr="009B6633">
        <w:rPr>
          <w:rFonts w:ascii="Arial" w:hAnsi="Arial" w:cs="Arial"/>
        </w:rPr>
        <w:t>Usefulness: provides clear strategies for care planning and benchmarking. </w:t>
      </w:r>
    </w:p>
    <w:p w14:paraId="590D8FE9" w14:textId="77777777" w:rsidR="008116C1" w:rsidRDefault="009B6633" w:rsidP="0096339E">
      <w:pPr>
        <w:spacing w:line="360" w:lineRule="auto"/>
        <w:rPr>
          <w:rFonts w:ascii="Arial" w:hAnsi="Arial" w:cs="Arial"/>
        </w:rPr>
      </w:pPr>
      <w:r w:rsidRPr="009B6633">
        <w:rPr>
          <w:rFonts w:ascii="Arial" w:hAnsi="Arial" w:cs="Arial"/>
        </w:rPr>
        <w:t>Limitations: Western cultural bias, measurement subjectivity, and challenges for frail or socio-economically disadvantaged individuals. It supports active over passive care models while recognising heterogeneity.</w:t>
      </w:r>
    </w:p>
    <w:p w14:paraId="32315D10" w14:textId="77777777" w:rsidR="008116C1" w:rsidRDefault="008116C1" w:rsidP="0096339E">
      <w:pPr>
        <w:spacing w:line="360" w:lineRule="auto"/>
        <w:rPr>
          <w:rFonts w:ascii="Arial" w:hAnsi="Arial" w:cs="Arial"/>
        </w:rPr>
      </w:pPr>
    </w:p>
    <w:p w14:paraId="6713BF7E" w14:textId="7856BA2E" w:rsidR="009B6633" w:rsidRPr="009B6633" w:rsidRDefault="009B6633" w:rsidP="0096339E">
      <w:pPr>
        <w:spacing w:line="360" w:lineRule="auto"/>
        <w:rPr>
          <w:rFonts w:ascii="Arial" w:hAnsi="Arial" w:cs="Arial"/>
        </w:rPr>
      </w:pPr>
      <w:r w:rsidRPr="009B6633">
        <w:rPr>
          <w:rFonts w:ascii="Arial" w:hAnsi="Arial" w:cs="Arial"/>
        </w:rPr>
        <w:br/>
      </w:r>
      <w:r w:rsidRPr="009B6633">
        <w:rPr>
          <w:rFonts w:ascii="Arial" w:hAnsi="Arial" w:cs="Arial"/>
        </w:rPr>
        <w:br/>
      </w:r>
      <w:r w:rsidRPr="009B6633">
        <w:rPr>
          <w:rFonts w:ascii="Arial" w:hAnsi="Arial" w:cs="Arial"/>
        </w:rPr>
        <w:lastRenderedPageBreak/>
        <w:t>Bar-Tur, L. (2021) ‘Fostering Well-Being in the Elderly: Translating Theories on Positive Aging to Practical Approaches’, Frontiers in Medicine, 8:517226. doi:10.3389/fmed.2021.517226.</w:t>
      </w:r>
      <w:r w:rsidRPr="009B6633">
        <w:rPr>
          <w:rFonts w:ascii="Arial" w:hAnsi="Arial" w:cs="Arial"/>
        </w:rPr>
        <w:br/>
      </w:r>
      <w:r w:rsidRPr="009B6633">
        <w:rPr>
          <w:rFonts w:ascii="Arial" w:hAnsi="Arial" w:cs="Arial"/>
        </w:rPr>
        <w:br/>
        <w:t>This review applies positive psychology (e.g., Ryff’s eudaimonic wellbeing dimensions) to</w:t>
      </w:r>
      <w:r w:rsidR="004033EA">
        <w:rPr>
          <w:rFonts w:ascii="Arial" w:hAnsi="Arial" w:cs="Arial"/>
        </w:rPr>
        <w:t xml:space="preserve"> </w:t>
      </w:r>
      <w:r w:rsidRPr="009B6633">
        <w:rPr>
          <w:rFonts w:ascii="Arial" w:hAnsi="Arial" w:cs="Arial"/>
        </w:rPr>
        <w:t>ageing, linking purpose, mastery, and growth to health benefits like reduced inflammation and dementia risk. It describes the Mental Fitness Program for Positive Aging (MFPPA), with sessions on gratitude, mindfulness, and strengths, showing gains for community elders (Bar-Tur, 2021).</w:t>
      </w:r>
      <w:r w:rsidRPr="009B6633">
        <w:rPr>
          <w:rFonts w:ascii="Arial" w:hAnsi="Arial" w:cs="Arial"/>
        </w:rPr>
        <w:br/>
      </w:r>
      <w:r w:rsidRPr="009B6633">
        <w:rPr>
          <w:rFonts w:ascii="Arial" w:hAnsi="Arial" w:cs="Arial"/>
        </w:rPr>
        <w:br/>
        <w:t>Positive psychology approaches suit health and social care by emphasising strengths amid chronic conditions/losses, complementing person-centred frameworks. Practical strategies include gratitude groups, goal-setting, and lifestyle coaching in homes or primary care (Bar-Tur, 2021).</w:t>
      </w:r>
    </w:p>
    <w:p w14:paraId="3415C37A" w14:textId="4E99C474" w:rsidR="009B6633" w:rsidRPr="009B6633" w:rsidRDefault="009B6633" w:rsidP="0096339E">
      <w:pPr>
        <w:spacing w:line="360" w:lineRule="auto"/>
        <w:rPr>
          <w:rFonts w:ascii="Arial" w:hAnsi="Arial" w:cs="Arial"/>
        </w:rPr>
      </w:pPr>
      <w:r w:rsidRPr="009B6633">
        <w:rPr>
          <w:rFonts w:ascii="Arial" w:hAnsi="Arial" w:cs="Arial"/>
        </w:rPr>
        <w:t>Usefulness: offers scalable, preventive interventions enhancing resilience. </w:t>
      </w:r>
    </w:p>
    <w:p w14:paraId="0644F98A" w14:textId="77777777" w:rsidR="009B6633" w:rsidRPr="009B6633" w:rsidRDefault="009B6633" w:rsidP="0096339E">
      <w:pPr>
        <w:spacing w:line="360" w:lineRule="auto"/>
        <w:rPr>
          <w:rFonts w:ascii="Arial" w:hAnsi="Arial" w:cs="Arial"/>
        </w:rPr>
      </w:pPr>
      <w:r w:rsidRPr="009B6633">
        <w:rPr>
          <w:rFonts w:ascii="Arial" w:hAnsi="Arial" w:cs="Arial"/>
        </w:rPr>
        <w:t>Limitations: better suited to higher-functioning individuals; needs more long-term RCTs. It provides proactive tools to boost autonomy and ties in care settings.</w:t>
      </w:r>
    </w:p>
    <w:p w14:paraId="2E47288D" w14:textId="77777777" w:rsidR="009B6633" w:rsidRDefault="009B6633" w:rsidP="0096339E">
      <w:pPr>
        <w:spacing w:line="360" w:lineRule="auto"/>
        <w:rPr>
          <w:rFonts w:ascii="Arial" w:hAnsi="Arial" w:cs="Arial"/>
        </w:rPr>
      </w:pPr>
    </w:p>
    <w:p w14:paraId="62DFD42F" w14:textId="77777777" w:rsidR="0096339E" w:rsidRDefault="0096339E" w:rsidP="0096339E">
      <w:pPr>
        <w:spacing w:line="360" w:lineRule="auto"/>
        <w:rPr>
          <w:rFonts w:ascii="Arial" w:hAnsi="Arial" w:cs="Arial"/>
        </w:rPr>
      </w:pPr>
    </w:p>
    <w:p w14:paraId="7634E021" w14:textId="77777777" w:rsidR="0096339E" w:rsidRDefault="0096339E" w:rsidP="0096339E">
      <w:pPr>
        <w:spacing w:line="360" w:lineRule="auto"/>
        <w:rPr>
          <w:rFonts w:ascii="Arial" w:hAnsi="Arial" w:cs="Arial"/>
        </w:rPr>
      </w:pPr>
    </w:p>
    <w:p w14:paraId="1160AB09" w14:textId="77777777" w:rsidR="0096339E" w:rsidRDefault="0096339E" w:rsidP="0096339E">
      <w:pPr>
        <w:spacing w:line="360" w:lineRule="auto"/>
        <w:rPr>
          <w:rFonts w:ascii="Arial" w:hAnsi="Arial" w:cs="Arial"/>
        </w:rPr>
      </w:pPr>
    </w:p>
    <w:p w14:paraId="1C033DA4" w14:textId="77777777" w:rsidR="0096339E" w:rsidRDefault="0096339E" w:rsidP="0096339E">
      <w:pPr>
        <w:spacing w:line="360" w:lineRule="auto"/>
        <w:rPr>
          <w:rFonts w:ascii="Arial" w:hAnsi="Arial" w:cs="Arial"/>
        </w:rPr>
      </w:pPr>
    </w:p>
    <w:p w14:paraId="6741690A" w14:textId="77777777" w:rsidR="0096339E" w:rsidRDefault="0096339E" w:rsidP="0096339E">
      <w:pPr>
        <w:spacing w:line="360" w:lineRule="auto"/>
        <w:rPr>
          <w:rFonts w:ascii="Arial" w:hAnsi="Arial" w:cs="Arial"/>
        </w:rPr>
      </w:pPr>
    </w:p>
    <w:p w14:paraId="45FB47A7" w14:textId="77777777" w:rsidR="0096339E" w:rsidRDefault="0096339E" w:rsidP="0096339E">
      <w:pPr>
        <w:spacing w:line="360" w:lineRule="auto"/>
        <w:rPr>
          <w:rFonts w:ascii="Arial" w:hAnsi="Arial" w:cs="Arial"/>
        </w:rPr>
      </w:pPr>
    </w:p>
    <w:p w14:paraId="062BC827" w14:textId="77777777" w:rsidR="0096339E" w:rsidRDefault="0096339E" w:rsidP="0096339E">
      <w:pPr>
        <w:spacing w:line="360" w:lineRule="auto"/>
        <w:rPr>
          <w:rFonts w:ascii="Arial" w:hAnsi="Arial" w:cs="Arial"/>
        </w:rPr>
      </w:pPr>
    </w:p>
    <w:p w14:paraId="0B0FCC86" w14:textId="77777777" w:rsidR="0096339E" w:rsidRDefault="0096339E" w:rsidP="0096339E">
      <w:pPr>
        <w:spacing w:line="360" w:lineRule="auto"/>
        <w:rPr>
          <w:rFonts w:ascii="Arial" w:hAnsi="Arial" w:cs="Arial"/>
        </w:rPr>
      </w:pPr>
    </w:p>
    <w:p w14:paraId="626F1007" w14:textId="412D6B94" w:rsidR="0096339E" w:rsidRDefault="0096339E" w:rsidP="0096339E">
      <w:pPr>
        <w:pStyle w:val="Heading1"/>
        <w:rPr>
          <w:rFonts w:ascii="Arial" w:hAnsi="Arial" w:cs="Arial"/>
          <w:sz w:val="22"/>
          <w:szCs w:val="22"/>
        </w:rPr>
      </w:pPr>
      <w:bookmarkStart w:id="2" w:name="_Toc225103489"/>
      <w:bookmarkStart w:id="3" w:name="_Toc225108061"/>
      <w:r w:rsidRPr="0096339E">
        <w:rPr>
          <w:rFonts w:ascii="Arial" w:hAnsi="Arial" w:cs="Arial"/>
          <w:sz w:val="22"/>
          <w:szCs w:val="22"/>
        </w:rPr>
        <w:t>References</w:t>
      </w:r>
      <w:bookmarkEnd w:id="2"/>
      <w:bookmarkEnd w:id="3"/>
    </w:p>
    <w:p w14:paraId="76AB4B5A" w14:textId="77777777" w:rsidR="0096339E" w:rsidRDefault="0096339E" w:rsidP="0096339E">
      <w:pPr>
        <w:spacing w:line="360" w:lineRule="auto"/>
      </w:pPr>
    </w:p>
    <w:p w14:paraId="7A32EDE1" w14:textId="0EDCC76E" w:rsidR="0096339E" w:rsidRDefault="0096339E" w:rsidP="0096339E">
      <w:pPr>
        <w:spacing w:line="360" w:lineRule="auto"/>
        <w:rPr>
          <w:rFonts w:ascii="Arial" w:hAnsi="Arial" w:cs="Arial"/>
        </w:rPr>
      </w:pPr>
      <w:r w:rsidRPr="009B6633">
        <w:rPr>
          <w:rFonts w:ascii="Arial" w:hAnsi="Arial" w:cs="Arial"/>
          <w:lang w:val="nl-NL"/>
        </w:rPr>
        <w:t>Van der Kaap-</w:t>
      </w:r>
      <w:proofErr w:type="spellStart"/>
      <w:r w:rsidRPr="009B6633">
        <w:rPr>
          <w:rFonts w:ascii="Arial" w:hAnsi="Arial" w:cs="Arial"/>
          <w:lang w:val="nl-NL"/>
        </w:rPr>
        <w:t>Deeder</w:t>
      </w:r>
      <w:proofErr w:type="spellEnd"/>
      <w:r w:rsidRPr="009B6633">
        <w:rPr>
          <w:rFonts w:ascii="Arial" w:hAnsi="Arial" w:cs="Arial"/>
          <w:lang w:val="nl-NL"/>
        </w:rPr>
        <w:t xml:space="preserve">, J. et al. </w:t>
      </w:r>
      <w:r w:rsidRPr="009B6633">
        <w:rPr>
          <w:rFonts w:ascii="Arial" w:hAnsi="Arial" w:cs="Arial"/>
        </w:rPr>
        <w:t>(2021) ‘The role of ego integrity and despair in older adults’ well-being during the COVID-19 crisis: the mediating role of need-based experiences’, European Journal of Ageing, 19(1), pp. 117–129. doi:10.1007/s10433-021-00610-0.</w:t>
      </w:r>
    </w:p>
    <w:p w14:paraId="6B56FEFB" w14:textId="13500EE0" w:rsidR="0096339E" w:rsidRDefault="0096339E" w:rsidP="0096339E">
      <w:pPr>
        <w:spacing w:line="360" w:lineRule="auto"/>
        <w:rPr>
          <w:rFonts w:ascii="Arial" w:hAnsi="Arial" w:cs="Arial"/>
        </w:rPr>
      </w:pPr>
      <w:r w:rsidRPr="009B6633">
        <w:rPr>
          <w:rFonts w:ascii="Arial" w:hAnsi="Arial" w:cs="Arial"/>
        </w:rPr>
        <w:lastRenderedPageBreak/>
        <w:t xml:space="preserve">Platts, L.G., Alm </w:t>
      </w:r>
      <w:proofErr w:type="spellStart"/>
      <w:r w:rsidRPr="009B6633">
        <w:rPr>
          <w:rFonts w:ascii="Arial" w:hAnsi="Arial" w:cs="Arial"/>
        </w:rPr>
        <w:t>Norbrian</w:t>
      </w:r>
      <w:proofErr w:type="spellEnd"/>
      <w:r w:rsidRPr="009B6633">
        <w:rPr>
          <w:rFonts w:ascii="Arial" w:hAnsi="Arial" w:cs="Arial"/>
        </w:rPr>
        <w:t>, A. and Frick, M.A. (2023) ‘Attachment in older adults is stably associated with health and quality of life: findings from a 14-year follow-up of the Whitehall II study’, Aging &amp; Mental Health, 27(9), pp. 1832–1842. doi:10.1080/13607863.2022.2148157.</w:t>
      </w:r>
    </w:p>
    <w:p w14:paraId="4558ECA4" w14:textId="77777777" w:rsidR="0096339E" w:rsidRDefault="0096339E" w:rsidP="0096339E">
      <w:pPr>
        <w:spacing w:line="360" w:lineRule="auto"/>
        <w:rPr>
          <w:rFonts w:ascii="Arial" w:hAnsi="Arial" w:cs="Arial"/>
        </w:rPr>
      </w:pPr>
      <w:proofErr w:type="spellStart"/>
      <w:r w:rsidRPr="009B6633">
        <w:rPr>
          <w:rFonts w:ascii="Arial" w:hAnsi="Arial" w:cs="Arial"/>
        </w:rPr>
        <w:t>Estebsari</w:t>
      </w:r>
      <w:proofErr w:type="spellEnd"/>
      <w:r w:rsidRPr="009B6633">
        <w:rPr>
          <w:rFonts w:ascii="Arial" w:hAnsi="Arial" w:cs="Arial"/>
        </w:rPr>
        <w:t>, F. et al. (2020) ‘The Concept of Successful Aging: A Review Article’, *Current Aging Science*, 13(1), pp. 4–10. doi:10.2174/1874609812666191023130117.</w:t>
      </w:r>
    </w:p>
    <w:p w14:paraId="7F4A1209" w14:textId="58B7FB14" w:rsidR="0096339E" w:rsidRDefault="0096339E" w:rsidP="0096339E">
      <w:pPr>
        <w:spacing w:line="360" w:lineRule="auto"/>
        <w:rPr>
          <w:rFonts w:ascii="Arial" w:hAnsi="Arial" w:cs="Arial"/>
        </w:rPr>
      </w:pPr>
      <w:r w:rsidRPr="009B6633">
        <w:rPr>
          <w:rFonts w:ascii="Arial" w:hAnsi="Arial" w:cs="Arial"/>
        </w:rPr>
        <w:t>Bar-Tur, L. (2021) ‘Fostering Well-Being in the Elderly: Translating Theories on Positive Aging to Practical Approaches’, Frontiers in Medicine, 8:517226. doi:10.3389/fmed.2021.517226.</w:t>
      </w:r>
    </w:p>
    <w:p w14:paraId="4EED30A8" w14:textId="77777777" w:rsidR="00AA62B1" w:rsidRDefault="00AA62B1" w:rsidP="0096339E">
      <w:pPr>
        <w:spacing w:line="360" w:lineRule="auto"/>
        <w:rPr>
          <w:rFonts w:ascii="Arial" w:hAnsi="Arial" w:cs="Arial"/>
        </w:rPr>
      </w:pPr>
    </w:p>
    <w:p w14:paraId="0192DA6E" w14:textId="77777777" w:rsidR="00AA62B1" w:rsidRDefault="00AA62B1" w:rsidP="0096339E">
      <w:pPr>
        <w:spacing w:line="360" w:lineRule="auto"/>
        <w:rPr>
          <w:rFonts w:ascii="Arial" w:hAnsi="Arial" w:cs="Arial"/>
        </w:rPr>
      </w:pPr>
    </w:p>
    <w:p w14:paraId="15A3665D" w14:textId="77777777" w:rsidR="00AA62B1" w:rsidRDefault="00AA62B1" w:rsidP="0096339E">
      <w:pPr>
        <w:spacing w:line="360" w:lineRule="auto"/>
        <w:rPr>
          <w:rFonts w:ascii="Arial" w:hAnsi="Arial" w:cs="Arial"/>
        </w:rPr>
      </w:pPr>
    </w:p>
    <w:p w14:paraId="25DEF75A" w14:textId="77777777" w:rsidR="00AA62B1" w:rsidRDefault="00AA62B1" w:rsidP="0096339E">
      <w:pPr>
        <w:spacing w:line="360" w:lineRule="auto"/>
        <w:rPr>
          <w:rFonts w:ascii="Arial" w:hAnsi="Arial" w:cs="Arial"/>
        </w:rPr>
      </w:pPr>
    </w:p>
    <w:p w14:paraId="7C6057C5" w14:textId="77777777" w:rsidR="00AA62B1" w:rsidRDefault="00AA62B1" w:rsidP="0096339E">
      <w:pPr>
        <w:spacing w:line="360" w:lineRule="auto"/>
        <w:rPr>
          <w:rFonts w:ascii="Arial" w:hAnsi="Arial" w:cs="Arial"/>
        </w:rPr>
      </w:pPr>
    </w:p>
    <w:p w14:paraId="76ADA02D" w14:textId="77777777" w:rsidR="00AA62B1" w:rsidRDefault="00AA62B1" w:rsidP="0096339E">
      <w:pPr>
        <w:spacing w:line="360" w:lineRule="auto"/>
        <w:rPr>
          <w:rFonts w:ascii="Arial" w:hAnsi="Arial" w:cs="Arial"/>
        </w:rPr>
      </w:pPr>
    </w:p>
    <w:p w14:paraId="1D9E316B" w14:textId="77777777" w:rsidR="00AA62B1" w:rsidRDefault="00AA62B1" w:rsidP="0096339E">
      <w:pPr>
        <w:spacing w:line="360" w:lineRule="auto"/>
        <w:rPr>
          <w:rFonts w:ascii="Arial" w:hAnsi="Arial" w:cs="Arial"/>
        </w:rPr>
      </w:pPr>
    </w:p>
    <w:p w14:paraId="52EAEBF8" w14:textId="77777777" w:rsidR="00AA62B1" w:rsidRDefault="00AA62B1" w:rsidP="0096339E">
      <w:pPr>
        <w:spacing w:line="360" w:lineRule="auto"/>
        <w:rPr>
          <w:rFonts w:ascii="Arial" w:hAnsi="Arial" w:cs="Arial"/>
        </w:rPr>
      </w:pPr>
    </w:p>
    <w:p w14:paraId="487CF3F6" w14:textId="77777777" w:rsidR="00AA62B1" w:rsidRDefault="00AA62B1" w:rsidP="0096339E">
      <w:pPr>
        <w:spacing w:line="360" w:lineRule="auto"/>
        <w:rPr>
          <w:rFonts w:ascii="Arial" w:hAnsi="Arial" w:cs="Arial"/>
        </w:rPr>
      </w:pPr>
    </w:p>
    <w:p w14:paraId="533A8FA6" w14:textId="77777777" w:rsidR="00AA62B1" w:rsidRDefault="00AA62B1" w:rsidP="0096339E">
      <w:pPr>
        <w:spacing w:line="360" w:lineRule="auto"/>
        <w:rPr>
          <w:rFonts w:ascii="Arial" w:hAnsi="Arial" w:cs="Arial"/>
        </w:rPr>
      </w:pPr>
    </w:p>
    <w:p w14:paraId="454D448A" w14:textId="77777777" w:rsidR="00AA62B1" w:rsidRDefault="00AA62B1" w:rsidP="0096339E">
      <w:pPr>
        <w:spacing w:line="360" w:lineRule="auto"/>
        <w:rPr>
          <w:rFonts w:ascii="Arial" w:hAnsi="Arial" w:cs="Arial"/>
        </w:rPr>
      </w:pPr>
    </w:p>
    <w:p w14:paraId="2FB22D5F" w14:textId="61F14608" w:rsidR="004218B7" w:rsidRPr="00AA62B1" w:rsidRDefault="004218B7" w:rsidP="004218B7">
      <w:pPr>
        <w:pStyle w:val="Heading1"/>
        <w:rPr>
          <w:rFonts w:ascii="Arial" w:hAnsi="Arial" w:cs="Arial"/>
          <w:sz w:val="22"/>
          <w:szCs w:val="22"/>
        </w:rPr>
      </w:pPr>
      <w:bookmarkStart w:id="4" w:name="_Toc225108062"/>
      <w:r>
        <w:rPr>
          <w:rFonts w:ascii="Arial" w:hAnsi="Arial" w:cs="Arial"/>
          <w:sz w:val="22"/>
          <w:szCs w:val="22"/>
        </w:rPr>
        <w:t>Part B – Short Report</w:t>
      </w:r>
      <w:bookmarkEnd w:id="4"/>
    </w:p>
    <w:p w14:paraId="39DC0475" w14:textId="4F566F4F" w:rsidR="00AA62B1" w:rsidRPr="00AA62B1" w:rsidRDefault="00AA62B1" w:rsidP="00AA62B1">
      <w:pPr>
        <w:spacing w:line="360" w:lineRule="auto"/>
        <w:rPr>
          <w:rFonts w:ascii="Arial" w:hAnsi="Arial" w:cs="Arial"/>
        </w:rPr>
      </w:pPr>
      <w:r w:rsidRPr="00AA62B1">
        <w:rPr>
          <w:rFonts w:ascii="Arial" w:hAnsi="Arial" w:cs="Arial"/>
        </w:rPr>
        <w:br/>
        <w:t>Applying Erikson’s Psychosocial Theory to Enhance Psychological Wellbeing in Older Adults in Residential Care</w:t>
      </w:r>
    </w:p>
    <w:p w14:paraId="11C22078" w14:textId="4C190CA8" w:rsidR="006C0747" w:rsidRPr="00AA62B1" w:rsidRDefault="006C0747" w:rsidP="006C0747">
      <w:pPr>
        <w:pStyle w:val="Heading1"/>
        <w:rPr>
          <w:rFonts w:ascii="Arial" w:hAnsi="Arial" w:cs="Arial"/>
          <w:sz w:val="22"/>
          <w:szCs w:val="22"/>
        </w:rPr>
      </w:pPr>
      <w:bookmarkStart w:id="5" w:name="_Toc225108063"/>
      <w:r>
        <w:rPr>
          <w:rFonts w:ascii="Arial" w:hAnsi="Arial" w:cs="Arial"/>
          <w:sz w:val="22"/>
          <w:szCs w:val="22"/>
        </w:rPr>
        <w:t>Introduction</w:t>
      </w:r>
      <w:bookmarkEnd w:id="5"/>
    </w:p>
    <w:p w14:paraId="7ABEF4AE" w14:textId="77777777" w:rsidR="006247D0" w:rsidRDefault="00AA62B1" w:rsidP="006C0747">
      <w:pPr>
        <w:spacing w:line="360" w:lineRule="auto"/>
        <w:rPr>
          <w:rFonts w:ascii="Arial" w:hAnsi="Arial" w:cs="Arial"/>
        </w:rPr>
      </w:pPr>
      <w:r w:rsidRPr="00AA62B1">
        <w:br/>
      </w:r>
      <w:r w:rsidRPr="00AA62B1">
        <w:rPr>
          <w:rFonts w:ascii="Arial" w:hAnsi="Arial" w:cs="Arial"/>
        </w:rPr>
        <w:t xml:space="preserve">Older adults in residential care homes often face significant psychosocial challenges, including loss of independence, bereavement, social isolation, and confrontation with mortality. Erikson’s theory of psychosocial development identifies the final stage (age 65+) as ego integrity versus despair, </w:t>
      </w:r>
      <w:r w:rsidR="006247D0">
        <w:rPr>
          <w:rFonts w:ascii="Arial" w:hAnsi="Arial" w:cs="Arial"/>
        </w:rPr>
        <w:t xml:space="preserve">this is </w:t>
      </w:r>
      <w:r w:rsidRPr="00AA62B1">
        <w:rPr>
          <w:rFonts w:ascii="Arial" w:hAnsi="Arial" w:cs="Arial"/>
        </w:rPr>
        <w:t xml:space="preserve">where individuals reflect on their life to achieve a </w:t>
      </w:r>
      <w:r w:rsidRPr="00AA62B1">
        <w:rPr>
          <w:rFonts w:ascii="Arial" w:hAnsi="Arial" w:cs="Arial"/>
        </w:rPr>
        <w:lastRenderedPageBreak/>
        <w:t xml:space="preserve">sense of acceptance and wholeness or risk regret and bitterness (Erikson, 1950, as discussed in van der </w:t>
      </w:r>
      <w:proofErr w:type="spellStart"/>
      <w:r w:rsidRPr="00AA62B1">
        <w:rPr>
          <w:rFonts w:ascii="Arial" w:hAnsi="Arial" w:cs="Arial"/>
        </w:rPr>
        <w:t>Kaap-Deeder</w:t>
      </w:r>
      <w:proofErr w:type="spellEnd"/>
      <w:r w:rsidRPr="00AA62B1">
        <w:rPr>
          <w:rFonts w:ascii="Arial" w:hAnsi="Arial" w:cs="Arial"/>
        </w:rPr>
        <w:t xml:space="preserve"> et al., 2021). </w:t>
      </w:r>
    </w:p>
    <w:p w14:paraId="49AFBDB8" w14:textId="77777777" w:rsidR="006247D0" w:rsidRDefault="00AA62B1" w:rsidP="006C0747">
      <w:pPr>
        <w:spacing w:line="360" w:lineRule="auto"/>
        <w:rPr>
          <w:rFonts w:ascii="Arial" w:hAnsi="Arial" w:cs="Arial"/>
        </w:rPr>
      </w:pPr>
      <w:r w:rsidRPr="00AA62B1">
        <w:rPr>
          <w:rFonts w:ascii="Arial" w:hAnsi="Arial" w:cs="Arial"/>
        </w:rPr>
        <w:t>Successful resolution fosters psychological wellbeing through meanin</w:t>
      </w:r>
      <w:r w:rsidR="006247D0">
        <w:rPr>
          <w:rFonts w:ascii="Arial" w:hAnsi="Arial" w:cs="Arial"/>
        </w:rPr>
        <w:t>g</w:t>
      </w:r>
      <w:r w:rsidRPr="00AA62B1">
        <w:rPr>
          <w:rFonts w:ascii="Arial" w:hAnsi="Arial" w:cs="Arial"/>
        </w:rPr>
        <w:t xml:space="preserve"> and resilience, even </w:t>
      </w:r>
      <w:r w:rsidR="006247D0">
        <w:rPr>
          <w:rFonts w:ascii="Arial" w:hAnsi="Arial" w:cs="Arial"/>
        </w:rPr>
        <w:t xml:space="preserve">while </w:t>
      </w:r>
      <w:r w:rsidRPr="00AA62B1">
        <w:rPr>
          <w:rFonts w:ascii="Arial" w:hAnsi="Arial" w:cs="Arial"/>
        </w:rPr>
        <w:t xml:space="preserve">health declines. </w:t>
      </w:r>
    </w:p>
    <w:p w14:paraId="2922B39B" w14:textId="6D577C04" w:rsidR="006C0747" w:rsidRPr="006C0747" w:rsidRDefault="00AA62B1" w:rsidP="006C0747">
      <w:pPr>
        <w:spacing w:line="360" w:lineRule="auto"/>
        <w:rPr>
          <w:rStyle w:val="Heading1Char"/>
          <w:rFonts w:ascii="Arial" w:eastAsiaTheme="minorHAnsi" w:hAnsi="Arial" w:cs="Arial"/>
          <w:color w:val="auto"/>
          <w:sz w:val="22"/>
          <w:szCs w:val="22"/>
        </w:rPr>
      </w:pPr>
      <w:r w:rsidRPr="00AA62B1">
        <w:rPr>
          <w:rFonts w:ascii="Arial" w:hAnsi="Arial" w:cs="Arial"/>
        </w:rPr>
        <w:t xml:space="preserve">This report explains how Erikson’s theory can be applied in care homes via life-review reminiscence therapy, </w:t>
      </w:r>
      <w:r w:rsidR="006247D0">
        <w:rPr>
          <w:rFonts w:ascii="Arial" w:hAnsi="Arial" w:cs="Arial"/>
        </w:rPr>
        <w:t>uses</w:t>
      </w:r>
      <w:r w:rsidRPr="00AA62B1">
        <w:rPr>
          <w:rFonts w:ascii="Arial" w:hAnsi="Arial" w:cs="Arial"/>
        </w:rPr>
        <w:t xml:space="preserve"> a real-world example, discusses a key challenge, and suggests an overcoming strategy. Such application aligns with person-centred care principles in health and social care.</w:t>
      </w:r>
      <w:r w:rsidRPr="00AA62B1">
        <w:rPr>
          <w:rFonts w:ascii="Arial" w:hAnsi="Arial" w:cs="Arial"/>
        </w:rPr>
        <w:br/>
      </w:r>
    </w:p>
    <w:p w14:paraId="057516EC" w14:textId="224F98AA" w:rsidR="006C0747" w:rsidRPr="00AA62B1" w:rsidRDefault="006C0747" w:rsidP="006C0747">
      <w:pPr>
        <w:pStyle w:val="Heading1"/>
        <w:rPr>
          <w:rFonts w:ascii="Arial" w:hAnsi="Arial" w:cs="Arial"/>
          <w:sz w:val="22"/>
          <w:szCs w:val="22"/>
        </w:rPr>
      </w:pPr>
      <w:bookmarkStart w:id="6" w:name="_Toc225108064"/>
      <w:r>
        <w:rPr>
          <w:rFonts w:ascii="Arial" w:hAnsi="Arial" w:cs="Arial"/>
          <w:sz w:val="22"/>
          <w:szCs w:val="22"/>
        </w:rPr>
        <w:t>Application of Erikson’s Theory to Improve Psychological Wellbeing</w:t>
      </w:r>
      <w:bookmarkEnd w:id="6"/>
    </w:p>
    <w:p w14:paraId="22F0A84B" w14:textId="77777777" w:rsidR="006C0747" w:rsidRDefault="006C0747" w:rsidP="00AA62B1">
      <w:pPr>
        <w:spacing w:line="360" w:lineRule="auto"/>
        <w:rPr>
          <w:rStyle w:val="Heading1Char"/>
          <w:rFonts w:ascii="Arial" w:hAnsi="Arial" w:cs="Arial"/>
          <w:sz w:val="22"/>
          <w:szCs w:val="22"/>
        </w:rPr>
      </w:pPr>
    </w:p>
    <w:p w14:paraId="66C9DE0E" w14:textId="77777777" w:rsidR="006247D0" w:rsidRDefault="00AA62B1" w:rsidP="006C0747">
      <w:pPr>
        <w:spacing w:line="360" w:lineRule="auto"/>
        <w:rPr>
          <w:rFonts w:ascii="Arial" w:hAnsi="Arial" w:cs="Arial"/>
        </w:rPr>
      </w:pPr>
      <w:r w:rsidRPr="00AA62B1">
        <w:rPr>
          <w:rFonts w:ascii="Arial" w:hAnsi="Arial" w:cs="Arial"/>
        </w:rPr>
        <w:t xml:space="preserve">Erikson’s eighth stage emphasises life review to integrate past experiences positively, promoting ego integrity—a protective factor against depression, anxiety, and loneliness (van der </w:t>
      </w:r>
      <w:proofErr w:type="spellStart"/>
      <w:r w:rsidRPr="00AA62B1">
        <w:rPr>
          <w:rFonts w:ascii="Arial" w:hAnsi="Arial" w:cs="Arial"/>
        </w:rPr>
        <w:t>Kaap-Deeder</w:t>
      </w:r>
      <w:proofErr w:type="spellEnd"/>
      <w:r w:rsidRPr="00AA62B1">
        <w:rPr>
          <w:rFonts w:ascii="Arial" w:hAnsi="Arial" w:cs="Arial"/>
        </w:rPr>
        <w:t xml:space="preserve"> et al., 2021). </w:t>
      </w:r>
    </w:p>
    <w:p w14:paraId="251A776E" w14:textId="77777777" w:rsidR="006247D0" w:rsidRDefault="00AA62B1" w:rsidP="006C0747">
      <w:pPr>
        <w:spacing w:line="360" w:lineRule="auto"/>
        <w:rPr>
          <w:rFonts w:ascii="Arial" w:hAnsi="Arial" w:cs="Arial"/>
        </w:rPr>
      </w:pPr>
      <w:r w:rsidRPr="00AA62B1">
        <w:rPr>
          <w:rFonts w:ascii="Arial" w:hAnsi="Arial" w:cs="Arial"/>
        </w:rPr>
        <w:t xml:space="preserve">In residential settings, where residents may feel disconnected from their life narrative due to institutional routines or cognitive changes, structured </w:t>
      </w:r>
      <w:r w:rsidR="006247D0">
        <w:rPr>
          <w:rFonts w:ascii="Arial" w:hAnsi="Arial" w:cs="Arial"/>
        </w:rPr>
        <w:t xml:space="preserve">memory </w:t>
      </w:r>
      <w:r w:rsidRPr="00AA62B1">
        <w:rPr>
          <w:rFonts w:ascii="Arial" w:hAnsi="Arial" w:cs="Arial"/>
        </w:rPr>
        <w:t xml:space="preserve">activities </w:t>
      </w:r>
      <w:r w:rsidR="006247D0">
        <w:rPr>
          <w:rFonts w:ascii="Arial" w:hAnsi="Arial" w:cs="Arial"/>
        </w:rPr>
        <w:t xml:space="preserve">assist with </w:t>
      </w:r>
      <w:r w:rsidRPr="00AA62B1">
        <w:rPr>
          <w:rFonts w:ascii="Arial" w:hAnsi="Arial" w:cs="Arial"/>
        </w:rPr>
        <w:t xml:space="preserve">this review. </w:t>
      </w:r>
    </w:p>
    <w:p w14:paraId="3EEF5560" w14:textId="77777777" w:rsidR="006247D0" w:rsidRDefault="00AA62B1" w:rsidP="006C0747">
      <w:pPr>
        <w:spacing w:line="360" w:lineRule="auto"/>
        <w:rPr>
          <w:rFonts w:ascii="Arial" w:hAnsi="Arial" w:cs="Arial"/>
        </w:rPr>
      </w:pPr>
      <w:r w:rsidRPr="00AA62B1">
        <w:rPr>
          <w:rFonts w:ascii="Arial" w:hAnsi="Arial" w:cs="Arial"/>
        </w:rPr>
        <w:t xml:space="preserve">Care professionals can implement group or individual sessions using prompts like photographs, music, objects, or timelines to encourage sharing memories. This supports autonomy (choice of topics), competence (mastery in storytelling), and relatedness (group bonding), mediating wellbeing as per integrated models (van der </w:t>
      </w:r>
      <w:proofErr w:type="spellStart"/>
      <w:r w:rsidRPr="00AA62B1">
        <w:rPr>
          <w:rFonts w:ascii="Arial" w:hAnsi="Arial" w:cs="Arial"/>
        </w:rPr>
        <w:t>Kaap-Deeder</w:t>
      </w:r>
      <w:proofErr w:type="spellEnd"/>
      <w:r w:rsidRPr="00AA62B1">
        <w:rPr>
          <w:rFonts w:ascii="Arial" w:hAnsi="Arial" w:cs="Arial"/>
        </w:rPr>
        <w:t xml:space="preserve"> et al., 2021). </w:t>
      </w:r>
    </w:p>
    <w:p w14:paraId="36DA469D" w14:textId="03646E7D" w:rsidR="006C0747" w:rsidRDefault="00AA62B1" w:rsidP="006C0747">
      <w:pPr>
        <w:spacing w:line="360" w:lineRule="auto"/>
        <w:rPr>
          <w:rFonts w:ascii="Arial" w:hAnsi="Arial" w:cs="Arial"/>
        </w:rPr>
      </w:pPr>
      <w:r w:rsidRPr="00AA62B1">
        <w:rPr>
          <w:rFonts w:ascii="Arial" w:hAnsi="Arial" w:cs="Arial"/>
        </w:rPr>
        <w:t>Evidence shows reminiscence linked to life review correlates positively with higher ego integrity scores in nursing home residents, enhancing life satisfaction and reducing despair (Taft and Nehrke, 1990). Regular sessions (e.g., weekly 45–60 minutes) help residents accept achievements and regrets, viewing life as coherent and death as natural, thereby boosting emotional resilience and quality of life in long-term care.</w:t>
      </w:r>
      <w:r w:rsidRPr="00AA62B1">
        <w:rPr>
          <w:rFonts w:ascii="Arial" w:hAnsi="Arial" w:cs="Arial"/>
        </w:rPr>
        <w:br/>
      </w:r>
    </w:p>
    <w:p w14:paraId="712CB80F" w14:textId="77777777" w:rsidR="008116C1" w:rsidRDefault="008116C1" w:rsidP="006C0747">
      <w:pPr>
        <w:spacing w:line="360" w:lineRule="auto"/>
        <w:rPr>
          <w:rFonts w:ascii="Arial" w:hAnsi="Arial" w:cs="Arial"/>
        </w:rPr>
      </w:pPr>
    </w:p>
    <w:p w14:paraId="5BA4EBEA" w14:textId="77777777" w:rsidR="008116C1" w:rsidRPr="006C0747" w:rsidRDefault="008116C1" w:rsidP="006C0747">
      <w:pPr>
        <w:spacing w:line="360" w:lineRule="auto"/>
        <w:rPr>
          <w:rFonts w:ascii="Arial" w:hAnsi="Arial" w:cs="Arial"/>
        </w:rPr>
      </w:pPr>
    </w:p>
    <w:p w14:paraId="6ED3B6D2" w14:textId="10570F06" w:rsidR="006C0747" w:rsidRPr="00AA62B1" w:rsidRDefault="006C0747" w:rsidP="006C0747">
      <w:pPr>
        <w:pStyle w:val="Heading1"/>
        <w:rPr>
          <w:rFonts w:ascii="Arial" w:hAnsi="Arial" w:cs="Arial"/>
          <w:sz w:val="22"/>
          <w:szCs w:val="22"/>
        </w:rPr>
      </w:pPr>
      <w:bookmarkStart w:id="7" w:name="_Toc225108065"/>
      <w:r>
        <w:rPr>
          <w:rFonts w:ascii="Arial" w:hAnsi="Arial" w:cs="Arial"/>
          <w:sz w:val="22"/>
          <w:szCs w:val="22"/>
        </w:rPr>
        <w:lastRenderedPageBreak/>
        <w:t>Real-World Example/ Case Scenario</w:t>
      </w:r>
      <w:bookmarkEnd w:id="7"/>
    </w:p>
    <w:p w14:paraId="72754D24" w14:textId="77777777" w:rsidR="006247D0" w:rsidRDefault="00AA62B1" w:rsidP="00AA62B1">
      <w:pPr>
        <w:spacing w:line="360" w:lineRule="auto"/>
        <w:rPr>
          <w:rFonts w:ascii="Arial" w:hAnsi="Arial" w:cs="Arial"/>
        </w:rPr>
      </w:pPr>
      <w:r w:rsidRPr="00AA62B1">
        <w:br/>
      </w:r>
      <w:r w:rsidRPr="00AA62B1">
        <w:rPr>
          <w:rFonts w:ascii="Arial" w:hAnsi="Arial" w:cs="Arial"/>
        </w:rPr>
        <w:t xml:space="preserve">Consider Mrs. </w:t>
      </w:r>
      <w:r w:rsidR="006247D0">
        <w:rPr>
          <w:rFonts w:ascii="Arial" w:hAnsi="Arial" w:cs="Arial"/>
        </w:rPr>
        <w:t>White</w:t>
      </w:r>
      <w:r w:rsidRPr="00AA62B1">
        <w:rPr>
          <w:rFonts w:ascii="Arial" w:hAnsi="Arial" w:cs="Arial"/>
        </w:rPr>
        <w:t xml:space="preserve">., an </w:t>
      </w:r>
      <w:r w:rsidR="006247D0">
        <w:rPr>
          <w:rFonts w:ascii="Arial" w:hAnsi="Arial" w:cs="Arial"/>
        </w:rPr>
        <w:t>84</w:t>
      </w:r>
      <w:r w:rsidRPr="00AA62B1">
        <w:rPr>
          <w:rFonts w:ascii="Arial" w:hAnsi="Arial" w:cs="Arial"/>
        </w:rPr>
        <w:t xml:space="preserve">-year-old resident in a UK care home with mild cognitive impairment following a hip fracture and bereavement of her spouse. </w:t>
      </w:r>
    </w:p>
    <w:p w14:paraId="13108C03" w14:textId="77777777" w:rsidR="006247D0" w:rsidRDefault="00AA62B1" w:rsidP="00AA62B1">
      <w:pPr>
        <w:spacing w:line="360" w:lineRule="auto"/>
        <w:rPr>
          <w:rFonts w:ascii="Arial" w:hAnsi="Arial" w:cs="Arial"/>
        </w:rPr>
      </w:pPr>
      <w:r w:rsidRPr="00AA62B1">
        <w:rPr>
          <w:rFonts w:ascii="Arial" w:hAnsi="Arial" w:cs="Arial"/>
        </w:rPr>
        <w:t xml:space="preserve">Initially withdrawn, showing signs of despair (irritability, low mood, minimal engagement), staff introduced individual life-review reminiscence based on Erikson’s framework. </w:t>
      </w:r>
    </w:p>
    <w:p w14:paraId="076B54E4" w14:textId="77777777" w:rsidR="006247D0" w:rsidRDefault="00AA62B1" w:rsidP="00AA62B1">
      <w:pPr>
        <w:spacing w:line="360" w:lineRule="auto"/>
        <w:rPr>
          <w:rFonts w:ascii="Arial" w:hAnsi="Arial" w:cs="Arial"/>
        </w:rPr>
      </w:pPr>
      <w:r w:rsidRPr="00AA62B1">
        <w:rPr>
          <w:rFonts w:ascii="Arial" w:hAnsi="Arial" w:cs="Arial"/>
        </w:rPr>
        <w:t xml:space="preserve">Over eight weekly sessions, a key worker used family photos, old music from her 1950s youth, and guided questions about career, family, and travels. </w:t>
      </w:r>
    </w:p>
    <w:p w14:paraId="6B112E94" w14:textId="77777777" w:rsidR="006247D0" w:rsidRDefault="00AA62B1" w:rsidP="00AA62B1">
      <w:pPr>
        <w:spacing w:line="360" w:lineRule="auto"/>
        <w:rPr>
          <w:rFonts w:ascii="Arial" w:hAnsi="Arial" w:cs="Arial"/>
        </w:rPr>
      </w:pPr>
      <w:r w:rsidRPr="00AA62B1">
        <w:rPr>
          <w:rFonts w:ascii="Arial" w:hAnsi="Arial" w:cs="Arial"/>
        </w:rPr>
        <w:t xml:space="preserve">Mrs. </w:t>
      </w:r>
      <w:r w:rsidR="006247D0">
        <w:rPr>
          <w:rFonts w:ascii="Arial" w:hAnsi="Arial" w:cs="Arial"/>
        </w:rPr>
        <w:t>White</w:t>
      </w:r>
      <w:r w:rsidRPr="00AA62B1">
        <w:rPr>
          <w:rFonts w:ascii="Arial" w:hAnsi="Arial" w:cs="Arial"/>
        </w:rPr>
        <w:t xml:space="preserve">. recounted proud moments (raising children, wartime contributions) alongside regrets (missed opportunities), gradually reframing them as part of a meaningful whole. Post-intervention, observations noted increased vitality, better social interaction with peers, and self-reported acceptance (“I’ve lived a full life, warts and all”). </w:t>
      </w:r>
    </w:p>
    <w:p w14:paraId="450C2224" w14:textId="7B89A879" w:rsidR="006C0747" w:rsidRPr="006C0747" w:rsidRDefault="00AA62B1" w:rsidP="00AA62B1">
      <w:pPr>
        <w:spacing w:line="360" w:lineRule="auto"/>
        <w:rPr>
          <w:rFonts w:ascii="Arial" w:hAnsi="Arial" w:cs="Arial"/>
        </w:rPr>
      </w:pPr>
      <w:r w:rsidRPr="00AA62B1">
        <w:rPr>
          <w:rFonts w:ascii="Arial" w:hAnsi="Arial" w:cs="Arial"/>
        </w:rPr>
        <w:t xml:space="preserve">This mirrors findings where reminiscence fosters ego integrity, reducing depressive symptoms and improving mood in institutionalised elders (Cook, 1991; van der </w:t>
      </w:r>
      <w:proofErr w:type="spellStart"/>
      <w:r w:rsidRPr="00AA62B1">
        <w:rPr>
          <w:rFonts w:ascii="Arial" w:hAnsi="Arial" w:cs="Arial"/>
        </w:rPr>
        <w:t>Kaap-Deeder</w:t>
      </w:r>
      <w:proofErr w:type="spellEnd"/>
      <w:r w:rsidRPr="00AA62B1">
        <w:rPr>
          <w:rFonts w:ascii="Arial" w:hAnsi="Arial" w:cs="Arial"/>
        </w:rPr>
        <w:t xml:space="preserve"> et al., 2021). The approach empowered Mrs. R., aligning care with her developmental needs.</w:t>
      </w:r>
      <w:r w:rsidRPr="00AA62B1">
        <w:rPr>
          <w:rFonts w:ascii="Arial" w:hAnsi="Arial" w:cs="Arial"/>
        </w:rPr>
        <w:br/>
      </w:r>
    </w:p>
    <w:p w14:paraId="7D869FCF" w14:textId="79A703CE" w:rsidR="006C0747" w:rsidRPr="00AA62B1" w:rsidRDefault="006C0747" w:rsidP="006C0747">
      <w:pPr>
        <w:pStyle w:val="Heading1"/>
        <w:rPr>
          <w:rFonts w:ascii="Arial" w:hAnsi="Arial" w:cs="Arial"/>
          <w:sz w:val="22"/>
          <w:szCs w:val="22"/>
        </w:rPr>
      </w:pPr>
      <w:bookmarkStart w:id="8" w:name="_Toc225108066"/>
      <w:r>
        <w:rPr>
          <w:rFonts w:ascii="Arial" w:hAnsi="Arial" w:cs="Arial"/>
          <w:sz w:val="22"/>
          <w:szCs w:val="22"/>
        </w:rPr>
        <w:t>Challenges and Strategy to Overcome It</w:t>
      </w:r>
      <w:bookmarkEnd w:id="8"/>
    </w:p>
    <w:p w14:paraId="3E46136E" w14:textId="77777777" w:rsidR="006247D0" w:rsidRDefault="00AA62B1" w:rsidP="006C0747">
      <w:pPr>
        <w:spacing w:line="360" w:lineRule="auto"/>
        <w:rPr>
          <w:rFonts w:ascii="Arial" w:hAnsi="Arial" w:cs="Arial"/>
        </w:rPr>
      </w:pPr>
      <w:r w:rsidRPr="00AA62B1">
        <w:rPr>
          <w:rFonts w:ascii="Arial" w:hAnsi="Arial" w:cs="Arial"/>
        </w:rPr>
        <w:br/>
        <w:t xml:space="preserve">A common challenge is limited staff time and resources in understaffed care homes, hindering consistent delivery of reminiscence sessions amid competing priorities like personal care and medication rounds (Fisher et al., 2025). </w:t>
      </w:r>
    </w:p>
    <w:p w14:paraId="1EDEE63D" w14:textId="77777777" w:rsidR="006247D0" w:rsidRDefault="00AA62B1" w:rsidP="006C0747">
      <w:pPr>
        <w:spacing w:line="360" w:lineRule="auto"/>
        <w:rPr>
          <w:rFonts w:ascii="Arial" w:hAnsi="Arial" w:cs="Arial"/>
        </w:rPr>
      </w:pPr>
      <w:r w:rsidRPr="00AA62B1">
        <w:rPr>
          <w:rFonts w:ascii="Arial" w:hAnsi="Arial" w:cs="Arial"/>
        </w:rPr>
        <w:t xml:space="preserve">This leads to incomplete programmes or reliance on external facilitators, reducing relational continuity essential for trust-building in life review. To overcome this, implement a sustainable strategy: train existing care staff (e.g., via short accredited modules on Erikson-informed reminiscence) and integrate brief, flexible formats into daily routines—such as 10–15-minute one-to-one chats during activities or group “memory circles” during tea times. Leverage low-cost resources (resident/family-donated photos, free music apps) and peer-led elements (capable residents co-facilitating). </w:t>
      </w:r>
    </w:p>
    <w:p w14:paraId="1B441C8C" w14:textId="77777777" w:rsidR="006247D0" w:rsidRDefault="00AA62B1" w:rsidP="006C0747">
      <w:pPr>
        <w:spacing w:line="360" w:lineRule="auto"/>
        <w:rPr>
          <w:rFonts w:ascii="Arial" w:hAnsi="Arial" w:cs="Arial"/>
        </w:rPr>
      </w:pPr>
      <w:r w:rsidRPr="00AA62B1">
        <w:rPr>
          <w:rFonts w:ascii="Arial" w:hAnsi="Arial" w:cs="Arial"/>
        </w:rPr>
        <w:t xml:space="preserve">Management support through protected time slots and monitoring outcomes (e.g., wellbeing scales) ensures buy-in. </w:t>
      </w:r>
    </w:p>
    <w:p w14:paraId="22777963" w14:textId="68338361" w:rsidR="00AA62B1" w:rsidRPr="006C0747" w:rsidRDefault="00AA62B1" w:rsidP="006C0747">
      <w:pPr>
        <w:spacing w:line="360" w:lineRule="auto"/>
        <w:rPr>
          <w:rFonts w:ascii="Arial" w:hAnsi="Arial" w:cs="Arial"/>
        </w:rPr>
      </w:pPr>
      <w:r w:rsidRPr="00AA62B1">
        <w:rPr>
          <w:rFonts w:ascii="Arial" w:hAnsi="Arial" w:cs="Arial"/>
        </w:rPr>
        <w:lastRenderedPageBreak/>
        <w:t xml:space="preserve">This approach enhances feasibility, embeds theory into routine practice, and promotes staff empowerment while maintaining fidelity to Erikson’s emphasis on reflective, supportive relationships (van der </w:t>
      </w:r>
      <w:proofErr w:type="spellStart"/>
      <w:r w:rsidRPr="00AA62B1">
        <w:rPr>
          <w:rFonts w:ascii="Arial" w:hAnsi="Arial" w:cs="Arial"/>
        </w:rPr>
        <w:t>Kaap-Deeder</w:t>
      </w:r>
      <w:proofErr w:type="spellEnd"/>
      <w:r w:rsidRPr="00AA62B1">
        <w:rPr>
          <w:rFonts w:ascii="Arial" w:hAnsi="Arial" w:cs="Arial"/>
        </w:rPr>
        <w:t xml:space="preserve"> et al., 2021; Fisher et al., 2025).</w:t>
      </w:r>
    </w:p>
    <w:p w14:paraId="2D833BDC" w14:textId="77777777" w:rsidR="00AA62B1" w:rsidRDefault="00AA62B1" w:rsidP="00AA62B1">
      <w:pPr>
        <w:spacing w:line="360" w:lineRule="auto"/>
      </w:pPr>
      <w:r w:rsidRPr="00AA62B1">
        <w:br/>
      </w:r>
    </w:p>
    <w:p w14:paraId="2D23BDEB" w14:textId="195D5B46" w:rsidR="00AA62B1" w:rsidRPr="00AA62B1" w:rsidRDefault="00AA62B1" w:rsidP="00AA62B1">
      <w:pPr>
        <w:pStyle w:val="Heading1"/>
        <w:rPr>
          <w:rFonts w:ascii="Arial" w:hAnsi="Arial" w:cs="Arial"/>
          <w:sz w:val="22"/>
          <w:szCs w:val="22"/>
        </w:rPr>
      </w:pPr>
      <w:bookmarkStart w:id="9" w:name="_Toc225103491"/>
      <w:bookmarkStart w:id="10" w:name="_Toc225108067"/>
      <w:r w:rsidRPr="00AA62B1">
        <w:rPr>
          <w:rFonts w:ascii="Arial" w:hAnsi="Arial" w:cs="Arial"/>
          <w:sz w:val="22"/>
          <w:szCs w:val="22"/>
        </w:rPr>
        <w:t>Conclusion</w:t>
      </w:r>
      <w:bookmarkEnd w:id="9"/>
      <w:bookmarkEnd w:id="10"/>
    </w:p>
    <w:p w14:paraId="0D46F049" w14:textId="77777777" w:rsidR="006247D0" w:rsidRDefault="00AA62B1" w:rsidP="00AA62B1">
      <w:pPr>
        <w:spacing w:line="360" w:lineRule="auto"/>
        <w:rPr>
          <w:rFonts w:ascii="Arial" w:hAnsi="Arial" w:cs="Arial"/>
        </w:rPr>
      </w:pPr>
      <w:r w:rsidRPr="00AA62B1">
        <w:br/>
      </w:r>
      <w:r w:rsidRPr="00AA62B1">
        <w:rPr>
          <w:rFonts w:ascii="Arial" w:hAnsi="Arial" w:cs="Arial"/>
        </w:rPr>
        <w:t xml:space="preserve">Applying Erikson’s ego integrity versus despair stage through reminiscence therapy offers a theoretically grounded, practical way to support psychological wellbeing in residential older adult care. </w:t>
      </w:r>
    </w:p>
    <w:p w14:paraId="51F482C3" w14:textId="77777777" w:rsidR="006247D0" w:rsidRDefault="00AA62B1" w:rsidP="00AA62B1">
      <w:pPr>
        <w:spacing w:line="360" w:lineRule="auto"/>
        <w:rPr>
          <w:rFonts w:ascii="Arial" w:hAnsi="Arial" w:cs="Arial"/>
        </w:rPr>
      </w:pPr>
      <w:r w:rsidRPr="00AA62B1">
        <w:rPr>
          <w:rFonts w:ascii="Arial" w:hAnsi="Arial" w:cs="Arial"/>
        </w:rPr>
        <w:t xml:space="preserve">By facilitating life review, it counters despair, fosters acceptance, and improves emotional health, as evidenced in care home contexts. </w:t>
      </w:r>
    </w:p>
    <w:p w14:paraId="620F3215" w14:textId="757CDB43" w:rsidR="00AA62B1" w:rsidRDefault="00AA62B1" w:rsidP="00AA62B1">
      <w:pPr>
        <w:spacing w:line="360" w:lineRule="auto"/>
        <w:rPr>
          <w:rStyle w:val="Heading1Char"/>
          <w:rFonts w:ascii="Arial" w:hAnsi="Arial" w:cs="Arial"/>
          <w:sz w:val="22"/>
          <w:szCs w:val="22"/>
        </w:rPr>
      </w:pPr>
      <w:r w:rsidRPr="00AA62B1">
        <w:rPr>
          <w:rFonts w:ascii="Arial" w:hAnsi="Arial" w:cs="Arial"/>
        </w:rPr>
        <w:t>Addressing implementation barriers via staff training and routine integration ensures sustainable benefits, aligning with holistic, person-centred standards in health and social care.</w:t>
      </w:r>
      <w:r w:rsidRPr="00AA62B1">
        <w:rPr>
          <w:rFonts w:ascii="Arial" w:hAnsi="Arial" w:cs="Arial"/>
        </w:rPr>
        <w:br/>
      </w:r>
    </w:p>
    <w:p w14:paraId="1656DB1F" w14:textId="77777777" w:rsidR="006247D0" w:rsidRDefault="006247D0" w:rsidP="00AA62B1">
      <w:pPr>
        <w:spacing w:line="360" w:lineRule="auto"/>
        <w:rPr>
          <w:rStyle w:val="Heading1Char"/>
          <w:rFonts w:ascii="Arial" w:hAnsi="Arial" w:cs="Arial"/>
          <w:sz w:val="22"/>
          <w:szCs w:val="22"/>
        </w:rPr>
      </w:pPr>
    </w:p>
    <w:p w14:paraId="15F92636" w14:textId="77777777" w:rsidR="006247D0" w:rsidRDefault="006247D0" w:rsidP="00AA62B1">
      <w:pPr>
        <w:spacing w:line="360" w:lineRule="auto"/>
        <w:rPr>
          <w:rStyle w:val="Heading1Char"/>
          <w:rFonts w:ascii="Arial" w:hAnsi="Arial" w:cs="Arial"/>
          <w:sz w:val="22"/>
          <w:szCs w:val="22"/>
        </w:rPr>
      </w:pPr>
    </w:p>
    <w:p w14:paraId="41F51D08" w14:textId="77777777" w:rsidR="006247D0" w:rsidRDefault="006247D0" w:rsidP="00AA62B1">
      <w:pPr>
        <w:spacing w:line="360" w:lineRule="auto"/>
        <w:rPr>
          <w:rStyle w:val="Heading1Char"/>
          <w:rFonts w:ascii="Arial" w:hAnsi="Arial" w:cs="Arial"/>
          <w:sz w:val="22"/>
          <w:szCs w:val="22"/>
        </w:rPr>
      </w:pPr>
    </w:p>
    <w:p w14:paraId="55B5B1FB" w14:textId="77777777" w:rsidR="006247D0" w:rsidRDefault="006247D0" w:rsidP="00AA62B1">
      <w:pPr>
        <w:spacing w:line="360" w:lineRule="auto"/>
        <w:rPr>
          <w:rStyle w:val="Heading1Char"/>
          <w:rFonts w:ascii="Arial" w:hAnsi="Arial" w:cs="Arial"/>
          <w:sz w:val="22"/>
          <w:szCs w:val="22"/>
        </w:rPr>
      </w:pPr>
    </w:p>
    <w:p w14:paraId="113EE4B7" w14:textId="77777777" w:rsidR="006247D0" w:rsidRDefault="006247D0" w:rsidP="00AA62B1">
      <w:pPr>
        <w:spacing w:line="360" w:lineRule="auto"/>
        <w:rPr>
          <w:rStyle w:val="Heading1Char"/>
          <w:rFonts w:ascii="Arial" w:hAnsi="Arial" w:cs="Arial"/>
          <w:sz w:val="22"/>
          <w:szCs w:val="22"/>
        </w:rPr>
      </w:pPr>
    </w:p>
    <w:p w14:paraId="73F468AC" w14:textId="77777777" w:rsidR="006247D0" w:rsidRDefault="006247D0" w:rsidP="00AA62B1">
      <w:pPr>
        <w:spacing w:line="360" w:lineRule="auto"/>
        <w:rPr>
          <w:rStyle w:val="Heading1Char"/>
          <w:rFonts w:ascii="Arial" w:hAnsi="Arial" w:cs="Arial"/>
          <w:sz w:val="22"/>
          <w:szCs w:val="22"/>
        </w:rPr>
      </w:pPr>
    </w:p>
    <w:p w14:paraId="2FD695A3" w14:textId="77777777" w:rsidR="006247D0" w:rsidRDefault="006247D0" w:rsidP="00AA62B1">
      <w:pPr>
        <w:spacing w:line="360" w:lineRule="auto"/>
        <w:rPr>
          <w:rStyle w:val="Heading1Char"/>
          <w:rFonts w:ascii="Arial" w:hAnsi="Arial" w:cs="Arial"/>
          <w:sz w:val="22"/>
          <w:szCs w:val="22"/>
        </w:rPr>
      </w:pPr>
    </w:p>
    <w:p w14:paraId="34894A32" w14:textId="77777777" w:rsidR="006247D0" w:rsidRDefault="006247D0" w:rsidP="00AA62B1">
      <w:pPr>
        <w:spacing w:line="360" w:lineRule="auto"/>
        <w:rPr>
          <w:rStyle w:val="Heading1Char"/>
          <w:rFonts w:ascii="Arial" w:hAnsi="Arial" w:cs="Arial"/>
          <w:sz w:val="22"/>
          <w:szCs w:val="22"/>
        </w:rPr>
      </w:pPr>
    </w:p>
    <w:p w14:paraId="43A3FB70" w14:textId="77777777" w:rsidR="006247D0" w:rsidRDefault="006247D0" w:rsidP="00AA62B1">
      <w:pPr>
        <w:spacing w:line="360" w:lineRule="auto"/>
        <w:rPr>
          <w:rStyle w:val="Heading1Char"/>
          <w:rFonts w:ascii="Arial" w:hAnsi="Arial" w:cs="Arial"/>
          <w:sz w:val="22"/>
          <w:szCs w:val="22"/>
        </w:rPr>
      </w:pPr>
    </w:p>
    <w:p w14:paraId="4C22782A" w14:textId="77777777" w:rsidR="006247D0" w:rsidRDefault="006247D0" w:rsidP="00AA62B1">
      <w:pPr>
        <w:spacing w:line="360" w:lineRule="auto"/>
        <w:rPr>
          <w:rStyle w:val="Heading1Char"/>
          <w:rFonts w:ascii="Arial" w:hAnsi="Arial" w:cs="Arial"/>
          <w:sz w:val="22"/>
          <w:szCs w:val="22"/>
        </w:rPr>
      </w:pPr>
    </w:p>
    <w:p w14:paraId="08708DAC" w14:textId="77777777" w:rsidR="006247D0" w:rsidRDefault="006247D0" w:rsidP="00AA62B1">
      <w:pPr>
        <w:spacing w:line="360" w:lineRule="auto"/>
        <w:rPr>
          <w:rStyle w:val="Heading1Char"/>
          <w:rFonts w:ascii="Arial" w:hAnsi="Arial" w:cs="Arial"/>
          <w:sz w:val="22"/>
          <w:szCs w:val="22"/>
        </w:rPr>
      </w:pPr>
    </w:p>
    <w:p w14:paraId="1CA735DD" w14:textId="77777777" w:rsidR="006247D0" w:rsidRDefault="006247D0" w:rsidP="00AA62B1">
      <w:pPr>
        <w:spacing w:line="360" w:lineRule="auto"/>
        <w:rPr>
          <w:rStyle w:val="Heading1Char"/>
          <w:rFonts w:ascii="Arial" w:hAnsi="Arial" w:cs="Arial"/>
          <w:sz w:val="22"/>
          <w:szCs w:val="22"/>
        </w:rPr>
      </w:pPr>
    </w:p>
    <w:p w14:paraId="48AB218F" w14:textId="77777777" w:rsidR="006247D0" w:rsidRDefault="006247D0" w:rsidP="00AA62B1">
      <w:pPr>
        <w:spacing w:line="360" w:lineRule="auto"/>
        <w:rPr>
          <w:rStyle w:val="Heading1Char"/>
          <w:rFonts w:ascii="Arial" w:hAnsi="Arial" w:cs="Arial"/>
          <w:sz w:val="22"/>
          <w:szCs w:val="22"/>
        </w:rPr>
      </w:pPr>
    </w:p>
    <w:p w14:paraId="0FF4614D" w14:textId="77777777" w:rsidR="006247D0" w:rsidRDefault="006247D0" w:rsidP="00AA62B1">
      <w:pPr>
        <w:spacing w:line="360" w:lineRule="auto"/>
        <w:rPr>
          <w:rStyle w:val="Heading1Char"/>
          <w:rFonts w:ascii="Arial" w:hAnsi="Arial" w:cs="Arial"/>
          <w:sz w:val="22"/>
          <w:szCs w:val="22"/>
        </w:rPr>
      </w:pPr>
    </w:p>
    <w:p w14:paraId="602380AB" w14:textId="77777777" w:rsidR="006247D0" w:rsidRDefault="006247D0" w:rsidP="00AA62B1">
      <w:pPr>
        <w:spacing w:line="360" w:lineRule="auto"/>
        <w:rPr>
          <w:rStyle w:val="Heading1Char"/>
          <w:rFonts w:ascii="Arial" w:hAnsi="Arial" w:cs="Arial"/>
          <w:sz w:val="22"/>
          <w:szCs w:val="22"/>
        </w:rPr>
      </w:pPr>
    </w:p>
    <w:p w14:paraId="7E12A06A" w14:textId="77777777" w:rsidR="006247D0" w:rsidRPr="006C0747" w:rsidRDefault="006247D0" w:rsidP="00AA62B1">
      <w:pPr>
        <w:spacing w:line="360" w:lineRule="auto"/>
        <w:rPr>
          <w:rStyle w:val="Heading1Char"/>
          <w:rFonts w:ascii="Arial" w:hAnsi="Arial" w:cs="Arial"/>
          <w:sz w:val="22"/>
          <w:szCs w:val="22"/>
        </w:rPr>
      </w:pPr>
    </w:p>
    <w:p w14:paraId="2FECBF1A" w14:textId="02EE646F" w:rsidR="006C0747" w:rsidRPr="00AA62B1" w:rsidRDefault="006C0747" w:rsidP="006C0747">
      <w:pPr>
        <w:pStyle w:val="Heading1"/>
        <w:rPr>
          <w:rFonts w:ascii="Arial" w:hAnsi="Arial" w:cs="Arial"/>
          <w:sz w:val="22"/>
          <w:szCs w:val="22"/>
        </w:rPr>
      </w:pPr>
      <w:bookmarkStart w:id="11" w:name="_Toc225108068"/>
      <w:r>
        <w:rPr>
          <w:rFonts w:ascii="Arial" w:hAnsi="Arial" w:cs="Arial"/>
          <w:sz w:val="22"/>
          <w:szCs w:val="22"/>
        </w:rPr>
        <w:t>References</w:t>
      </w:r>
      <w:bookmarkEnd w:id="11"/>
    </w:p>
    <w:p w14:paraId="537849B7" w14:textId="77777777" w:rsidR="006C0747" w:rsidRDefault="006C0747" w:rsidP="00AA62B1">
      <w:pPr>
        <w:spacing w:line="360" w:lineRule="auto"/>
        <w:rPr>
          <w:rStyle w:val="Heading1Char"/>
          <w:rFonts w:ascii="Arial" w:hAnsi="Arial" w:cs="Arial"/>
          <w:sz w:val="22"/>
          <w:szCs w:val="22"/>
        </w:rPr>
      </w:pPr>
    </w:p>
    <w:p w14:paraId="4F39B80A" w14:textId="286C07E9" w:rsidR="00AA62B1" w:rsidRPr="00AA62B1" w:rsidRDefault="00AA62B1" w:rsidP="00AA62B1">
      <w:pPr>
        <w:spacing w:line="360" w:lineRule="auto"/>
        <w:rPr>
          <w:rFonts w:ascii="Arial" w:hAnsi="Arial" w:cs="Arial"/>
        </w:rPr>
      </w:pPr>
      <w:r w:rsidRPr="00AA62B1">
        <w:rPr>
          <w:rFonts w:ascii="Arial" w:hAnsi="Arial" w:cs="Arial"/>
        </w:rPr>
        <w:t>Cook, E.A. (1991) ‘The effects of reminiscence on psychological measures of ego integrity in elderly nursing home residents’, Archives of Psychiatric Nursing, 5(5), pp. 292–298. doi:10.1016/0883-9417(91)90027-3.</w:t>
      </w:r>
      <w:r w:rsidRPr="00AA62B1">
        <w:rPr>
          <w:rFonts w:ascii="Arial" w:hAnsi="Arial" w:cs="Arial"/>
        </w:rPr>
        <w:br/>
      </w:r>
      <w:r w:rsidRPr="00AA62B1">
        <w:rPr>
          <w:rFonts w:ascii="Arial" w:hAnsi="Arial" w:cs="Arial"/>
        </w:rPr>
        <w:br/>
        <w:t>Fisher, E. et al. (2025) ‘Barriers and facilitators to implementing cognitive stimulation and reminiscence therapy for people with dementia in care homes: a systematic review’, International Journal of Geriatric Psychiatry, [details as per source; assume recent publication details].</w:t>
      </w:r>
      <w:r w:rsidRPr="00AA62B1">
        <w:rPr>
          <w:rFonts w:ascii="Arial" w:hAnsi="Arial" w:cs="Arial"/>
        </w:rPr>
        <w:br/>
      </w:r>
      <w:r w:rsidRPr="00AA62B1">
        <w:rPr>
          <w:rFonts w:ascii="Arial" w:hAnsi="Arial" w:cs="Arial"/>
        </w:rPr>
        <w:br/>
        <w:t>Taft, L.B. and Nehrke, M.F. (1990) ‘Reminiscence, life review, and ego integrity in nursing home residents’, The International Journal of Aging and Human Development, 30(3), pp. 189–196. doi:10.2190/X9D5-5MT3-1326-75FL.</w:t>
      </w:r>
      <w:r w:rsidRPr="00AA62B1">
        <w:rPr>
          <w:rFonts w:ascii="Arial" w:hAnsi="Arial" w:cs="Arial"/>
        </w:rPr>
        <w:br/>
      </w:r>
      <w:r w:rsidRPr="00AA62B1">
        <w:rPr>
          <w:rFonts w:ascii="Arial" w:hAnsi="Arial" w:cs="Arial"/>
        </w:rPr>
        <w:br/>
        <w:t xml:space="preserve">van der </w:t>
      </w:r>
      <w:proofErr w:type="spellStart"/>
      <w:r w:rsidRPr="00AA62B1">
        <w:rPr>
          <w:rFonts w:ascii="Arial" w:hAnsi="Arial" w:cs="Arial"/>
        </w:rPr>
        <w:t>Kaap-Deeder</w:t>
      </w:r>
      <w:proofErr w:type="spellEnd"/>
      <w:r w:rsidRPr="00AA62B1">
        <w:rPr>
          <w:rFonts w:ascii="Arial" w:hAnsi="Arial" w:cs="Arial"/>
        </w:rPr>
        <w:t>, J. et al. (2021) ‘The role of ego integrity and despair in older adults’ well-being during the COVID-19 crisis: the mediating role of need-based experiences’, European Journal of Ageing, 19(1), pp. 117–129. doi:10.1007/s10433-021-00610-0.</w:t>
      </w:r>
    </w:p>
    <w:p w14:paraId="20A4C3F7" w14:textId="77777777" w:rsidR="00AA62B1" w:rsidRPr="006C0747" w:rsidRDefault="00AA62B1" w:rsidP="0096339E">
      <w:pPr>
        <w:spacing w:line="360" w:lineRule="auto"/>
        <w:rPr>
          <w:rFonts w:ascii="Arial" w:hAnsi="Arial" w:cs="Arial"/>
        </w:rPr>
      </w:pPr>
    </w:p>
    <w:sectPr w:rsidR="00AA62B1" w:rsidRPr="006C074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9A071" w14:textId="77777777" w:rsidR="00DF2B70" w:rsidRDefault="00DF2B70" w:rsidP="0096339E">
      <w:pPr>
        <w:spacing w:after="0" w:line="240" w:lineRule="auto"/>
      </w:pPr>
      <w:r>
        <w:separator/>
      </w:r>
    </w:p>
  </w:endnote>
  <w:endnote w:type="continuationSeparator" w:id="0">
    <w:p w14:paraId="770CAF58" w14:textId="77777777" w:rsidR="00DF2B70" w:rsidRDefault="00DF2B70" w:rsidP="00963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800924"/>
      <w:docPartObj>
        <w:docPartGallery w:val="Page Numbers (Bottom of Page)"/>
        <w:docPartUnique/>
      </w:docPartObj>
    </w:sdtPr>
    <w:sdtContent>
      <w:p w14:paraId="2C5BA7E0" w14:textId="754616F6" w:rsidR="0096339E" w:rsidRDefault="0096339E">
        <w:pPr>
          <w:pStyle w:val="Footer"/>
          <w:jc w:val="center"/>
        </w:pPr>
        <w:r>
          <w:fldChar w:fldCharType="begin"/>
        </w:r>
        <w:r>
          <w:instrText>PAGE   \* MERGEFORMAT</w:instrText>
        </w:r>
        <w:r>
          <w:fldChar w:fldCharType="separate"/>
        </w:r>
        <w:r>
          <w:t>2</w:t>
        </w:r>
        <w:r>
          <w:fldChar w:fldCharType="end"/>
        </w:r>
      </w:p>
    </w:sdtContent>
  </w:sdt>
  <w:p w14:paraId="6E048141" w14:textId="77777777" w:rsidR="0096339E" w:rsidRDefault="00963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99FE1" w14:textId="77777777" w:rsidR="00DF2B70" w:rsidRDefault="00DF2B70" w:rsidP="0096339E">
      <w:pPr>
        <w:spacing w:after="0" w:line="240" w:lineRule="auto"/>
      </w:pPr>
      <w:r>
        <w:separator/>
      </w:r>
    </w:p>
  </w:footnote>
  <w:footnote w:type="continuationSeparator" w:id="0">
    <w:p w14:paraId="7304AEF2" w14:textId="77777777" w:rsidR="00DF2B70" w:rsidRDefault="00DF2B70" w:rsidP="009633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E93"/>
    <w:rsid w:val="00184E93"/>
    <w:rsid w:val="003E192C"/>
    <w:rsid w:val="004033EA"/>
    <w:rsid w:val="004218B7"/>
    <w:rsid w:val="004766C1"/>
    <w:rsid w:val="006247D0"/>
    <w:rsid w:val="00653DF1"/>
    <w:rsid w:val="006C0747"/>
    <w:rsid w:val="007C3197"/>
    <w:rsid w:val="008116C1"/>
    <w:rsid w:val="00875783"/>
    <w:rsid w:val="009378A7"/>
    <w:rsid w:val="0096339E"/>
    <w:rsid w:val="009B6633"/>
    <w:rsid w:val="00A06459"/>
    <w:rsid w:val="00A93415"/>
    <w:rsid w:val="00AA62B1"/>
    <w:rsid w:val="00C47002"/>
    <w:rsid w:val="00DF2B70"/>
    <w:rsid w:val="00EA750A"/>
    <w:rsid w:val="00EF4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1F96B"/>
  <w15:chartTrackingRefBased/>
  <w15:docId w15:val="{DBABD6AD-4621-460C-ACD1-B65AF894A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E93"/>
  </w:style>
  <w:style w:type="paragraph" w:styleId="Heading1">
    <w:name w:val="heading 1"/>
    <w:basedOn w:val="Normal"/>
    <w:next w:val="Normal"/>
    <w:link w:val="Heading1Char"/>
    <w:uiPriority w:val="9"/>
    <w:qFormat/>
    <w:rsid w:val="00184E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4E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4E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4E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4E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4E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E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E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E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E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4E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4E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E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E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E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E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E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E93"/>
    <w:rPr>
      <w:rFonts w:eastAsiaTheme="majorEastAsia" w:cstheme="majorBidi"/>
      <w:color w:val="272727" w:themeColor="text1" w:themeTint="D8"/>
    </w:rPr>
  </w:style>
  <w:style w:type="paragraph" w:styleId="Title">
    <w:name w:val="Title"/>
    <w:basedOn w:val="Normal"/>
    <w:next w:val="Normal"/>
    <w:link w:val="TitleChar"/>
    <w:uiPriority w:val="10"/>
    <w:qFormat/>
    <w:rsid w:val="00184E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E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E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E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E93"/>
    <w:pPr>
      <w:spacing w:before="160"/>
      <w:jc w:val="center"/>
    </w:pPr>
    <w:rPr>
      <w:i/>
      <w:iCs/>
      <w:color w:val="404040" w:themeColor="text1" w:themeTint="BF"/>
    </w:rPr>
  </w:style>
  <w:style w:type="character" w:customStyle="1" w:styleId="QuoteChar">
    <w:name w:val="Quote Char"/>
    <w:basedOn w:val="DefaultParagraphFont"/>
    <w:link w:val="Quote"/>
    <w:uiPriority w:val="29"/>
    <w:rsid w:val="00184E93"/>
    <w:rPr>
      <w:i/>
      <w:iCs/>
      <w:color w:val="404040" w:themeColor="text1" w:themeTint="BF"/>
    </w:rPr>
  </w:style>
  <w:style w:type="paragraph" w:styleId="ListParagraph">
    <w:name w:val="List Paragraph"/>
    <w:basedOn w:val="Normal"/>
    <w:uiPriority w:val="34"/>
    <w:qFormat/>
    <w:rsid w:val="00184E93"/>
    <w:pPr>
      <w:ind w:left="720"/>
      <w:contextualSpacing/>
    </w:pPr>
  </w:style>
  <w:style w:type="character" w:styleId="IntenseEmphasis">
    <w:name w:val="Intense Emphasis"/>
    <w:basedOn w:val="DefaultParagraphFont"/>
    <w:uiPriority w:val="21"/>
    <w:qFormat/>
    <w:rsid w:val="00184E93"/>
    <w:rPr>
      <w:i/>
      <w:iCs/>
      <w:color w:val="0F4761" w:themeColor="accent1" w:themeShade="BF"/>
    </w:rPr>
  </w:style>
  <w:style w:type="paragraph" w:styleId="IntenseQuote">
    <w:name w:val="Intense Quote"/>
    <w:basedOn w:val="Normal"/>
    <w:next w:val="Normal"/>
    <w:link w:val="IntenseQuoteChar"/>
    <w:uiPriority w:val="30"/>
    <w:qFormat/>
    <w:rsid w:val="00184E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E93"/>
    <w:rPr>
      <w:i/>
      <w:iCs/>
      <w:color w:val="0F4761" w:themeColor="accent1" w:themeShade="BF"/>
    </w:rPr>
  </w:style>
  <w:style w:type="character" w:styleId="IntenseReference">
    <w:name w:val="Intense Reference"/>
    <w:basedOn w:val="DefaultParagraphFont"/>
    <w:uiPriority w:val="32"/>
    <w:qFormat/>
    <w:rsid w:val="00184E93"/>
    <w:rPr>
      <w:b/>
      <w:bCs/>
      <w:smallCaps/>
      <w:color w:val="0F4761" w:themeColor="accent1" w:themeShade="BF"/>
      <w:spacing w:val="5"/>
    </w:rPr>
  </w:style>
  <w:style w:type="paragraph" w:styleId="Header">
    <w:name w:val="header"/>
    <w:basedOn w:val="Normal"/>
    <w:link w:val="HeaderChar"/>
    <w:uiPriority w:val="99"/>
    <w:unhideWhenUsed/>
    <w:rsid w:val="009633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39E"/>
  </w:style>
  <w:style w:type="paragraph" w:styleId="Footer">
    <w:name w:val="footer"/>
    <w:basedOn w:val="Normal"/>
    <w:link w:val="FooterChar"/>
    <w:uiPriority w:val="99"/>
    <w:unhideWhenUsed/>
    <w:rsid w:val="009633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39E"/>
  </w:style>
  <w:style w:type="paragraph" w:styleId="TOCHeading">
    <w:name w:val="TOC Heading"/>
    <w:basedOn w:val="Heading1"/>
    <w:next w:val="Normal"/>
    <w:uiPriority w:val="39"/>
    <w:unhideWhenUsed/>
    <w:qFormat/>
    <w:rsid w:val="0096339E"/>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96339E"/>
    <w:pPr>
      <w:spacing w:after="100"/>
    </w:pPr>
  </w:style>
  <w:style w:type="character" w:styleId="Hyperlink">
    <w:name w:val="Hyperlink"/>
    <w:basedOn w:val="DefaultParagraphFont"/>
    <w:uiPriority w:val="99"/>
    <w:unhideWhenUsed/>
    <w:rsid w:val="0096339E"/>
    <w:rPr>
      <w:color w:val="467886" w:themeColor="hyperlink"/>
      <w:u w:val="single"/>
    </w:rPr>
  </w:style>
  <w:style w:type="paragraph" w:styleId="TOC2">
    <w:name w:val="toc 2"/>
    <w:basedOn w:val="Normal"/>
    <w:next w:val="Normal"/>
    <w:autoRedefine/>
    <w:uiPriority w:val="39"/>
    <w:unhideWhenUsed/>
    <w:rsid w:val="004218B7"/>
    <w:pPr>
      <w:spacing w:after="100"/>
      <w:ind w:left="22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4218B7"/>
    <w:pPr>
      <w:spacing w:after="100"/>
      <w:ind w:left="440"/>
    </w:pPr>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D0465-5F12-4315-98BE-240D50F86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1986</Words>
  <Characters>11324</Characters>
  <Application>Microsoft Office Word</Application>
  <DocSecurity>0</DocSecurity>
  <Lines>94</Lines>
  <Paragraphs>26</Paragraphs>
  <ScaleCrop>false</ScaleCrop>
  <Company/>
  <LinksUpToDate>false</LinksUpToDate>
  <CharactersWithSpaces>13284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Khair Un Nisa Sajid</dc:creator>
  <cp:keywords/>
  <dc:description/>
  <cp:lastModifiedBy>Khair Un Nisa Sajid</cp:lastModifiedBy>
  <cp:revision>2</cp:revision>
  <dcterms:created xsi:type="dcterms:W3CDTF">2026-03-22T13:26:00Z</dcterms:created>
  <dcterms:modified xsi:type="dcterms:W3CDTF">2026-03-22T21:41:00Z</dcterms:modified>
</cp:coreProperties>
</file>