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37D48" w14:textId="38C04BEC" w:rsidR="007F6AFA" w:rsidRDefault="00AF7391" w:rsidP="007F6AFA">
      <w:pPr>
        <w:jc w:val="center"/>
        <w:rPr>
          <w:rFonts w:cs="Arial"/>
          <w:b/>
          <w:bCs/>
        </w:rPr>
      </w:pPr>
      <w:r w:rsidRPr="00AF7391">
        <w:rPr>
          <w:rFonts w:cs="Arial"/>
          <w:b/>
          <w:bCs/>
        </w:rPr>
        <w:t>Essentials of people practice</w:t>
      </w:r>
      <w:r w:rsidR="007F6AFA">
        <w:rPr>
          <w:rFonts w:cs="Arial"/>
          <w:b/>
          <w:bCs/>
        </w:rPr>
        <w:t xml:space="preserve"> – Task </w:t>
      </w:r>
      <w:r w:rsidR="00057D7E">
        <w:rPr>
          <w:rFonts w:cs="Arial"/>
          <w:b/>
          <w:bCs/>
        </w:rPr>
        <w:t>4</w:t>
      </w:r>
    </w:p>
    <w:p w14:paraId="1C0E7AE6" w14:textId="77777777" w:rsidR="00057D7E" w:rsidRDefault="00057D7E" w:rsidP="007F6AFA">
      <w:pPr>
        <w:jc w:val="center"/>
        <w:rPr>
          <w:rFonts w:cs="Arial"/>
          <w:b/>
          <w:bCs/>
        </w:rPr>
      </w:pPr>
    </w:p>
    <w:p w14:paraId="3D499C4E" w14:textId="62CBB629" w:rsidR="00057D7E" w:rsidRPr="00984968" w:rsidRDefault="00057D7E" w:rsidP="00057D7E">
      <w:pPr>
        <w:rPr>
          <w:rFonts w:cstheme="minorHAnsi"/>
        </w:rPr>
      </w:pPr>
      <w:r w:rsidRPr="00984968">
        <w:rPr>
          <w:rFonts w:cstheme="minorHAnsi"/>
        </w:rPr>
        <w:t>As employers, it is essential to have a thorough understanding of performance management and reward systems. Effective performance management aligns employee efforts with organisational goals, while an appropriate reward system motivates and retains talent. This briefing paper provides a comprehensive overview of these topics, ensuring that Jaspreet and Caroline are well-equipped to manage and reward their sales team effectively.</w:t>
      </w:r>
    </w:p>
    <w:p w14:paraId="098C63F6" w14:textId="0B7F3C9D" w:rsidR="00057D7E" w:rsidRPr="00984968" w:rsidRDefault="00057D7E" w:rsidP="00057D7E">
      <w:pPr>
        <w:rPr>
          <w:rFonts w:cstheme="minorHAnsi"/>
          <w:b/>
          <w:bCs/>
        </w:rPr>
      </w:pPr>
      <w:r w:rsidRPr="00984968">
        <w:rPr>
          <w:rFonts w:cstheme="minorHAnsi"/>
          <w:b/>
          <w:bCs/>
        </w:rPr>
        <w:t>Purpose and components of performance management (AC4.1)</w:t>
      </w:r>
    </w:p>
    <w:p w14:paraId="766811D2" w14:textId="58B64E75" w:rsidR="00301D33" w:rsidRPr="00984968" w:rsidRDefault="00057D7E" w:rsidP="00057D7E">
      <w:pPr>
        <w:rPr>
          <w:rFonts w:cstheme="minorHAnsi"/>
        </w:rPr>
      </w:pPr>
      <w:r w:rsidRPr="00984968">
        <w:rPr>
          <w:rFonts w:cstheme="minorHAnsi"/>
        </w:rPr>
        <w:t>Performance management describes the attempt to maximise the value that employees create. It ensure</w:t>
      </w:r>
      <w:r w:rsidR="00301D33" w:rsidRPr="00984968">
        <w:rPr>
          <w:rFonts w:cstheme="minorHAnsi"/>
        </w:rPr>
        <w:t>s</w:t>
      </w:r>
      <w:r w:rsidRPr="00984968">
        <w:rPr>
          <w:rFonts w:cstheme="minorHAnsi"/>
        </w:rPr>
        <w:t xml:space="preserve"> that high performance levels are maintained, and to improve an employee’s performance in line with an organisation’s objectives and goals.</w:t>
      </w:r>
      <w:r w:rsidR="00301D33" w:rsidRPr="00984968">
        <w:rPr>
          <w:rFonts w:cstheme="minorHAnsi"/>
        </w:rPr>
        <w:t xml:space="preserve"> Whilst there is no standard definition of performance management, it describes </w:t>
      </w:r>
      <w:r w:rsidR="008C3A59" w:rsidRPr="00984968">
        <w:rPr>
          <w:rFonts w:cstheme="minorHAnsi"/>
        </w:rPr>
        <w:t>activities</w:t>
      </w:r>
      <w:r w:rsidR="00301D33" w:rsidRPr="00984968">
        <w:rPr>
          <w:rFonts w:cstheme="minorHAnsi"/>
        </w:rPr>
        <w:t xml:space="preserve"> that establish objectives, improve performance and hold people to account.</w:t>
      </w:r>
      <w:r w:rsidRPr="00984968">
        <w:rPr>
          <w:rFonts w:cstheme="minorHAnsi"/>
        </w:rPr>
        <w:t xml:space="preserve"> (CIPD, 2022) </w:t>
      </w:r>
      <w:r w:rsidR="00301D33" w:rsidRPr="00984968">
        <w:rPr>
          <w:rFonts w:cstheme="minorHAnsi"/>
        </w:rPr>
        <w:t>The main purposes of performance management include:</w:t>
      </w:r>
    </w:p>
    <w:p w14:paraId="700008C0" w14:textId="48852572" w:rsidR="00057D7E" w:rsidRPr="00984968" w:rsidRDefault="00301D33" w:rsidP="00057D7E">
      <w:pPr>
        <w:rPr>
          <w:rFonts w:cstheme="minorHAnsi"/>
        </w:rPr>
      </w:pPr>
      <w:r w:rsidRPr="00984968">
        <w:rPr>
          <w:rFonts w:cstheme="minorHAnsi"/>
          <w:b/>
          <w:bCs/>
        </w:rPr>
        <w:t>Alignment of individual and organisational goals:</w:t>
      </w:r>
      <w:r w:rsidRPr="00984968">
        <w:rPr>
          <w:rFonts w:cstheme="minorHAnsi"/>
        </w:rPr>
        <w:t xml:space="preserve"> </w:t>
      </w:r>
      <w:r w:rsidR="00057D7E" w:rsidRPr="00984968">
        <w:rPr>
          <w:rFonts w:cstheme="minorHAnsi"/>
        </w:rPr>
        <w:t>Aligning goals ensures that individual objectives align with the organisation’s strategic aims, creating a cohesive effort towards achieving business targets. When employees understand how their personal goals fit into the larger picture, it promotes a unified direction and enhanced commitment to organisational success.</w:t>
      </w:r>
      <w:r w:rsidRPr="00984968">
        <w:rPr>
          <w:rFonts w:cstheme="minorHAnsi"/>
        </w:rPr>
        <w:t xml:space="preserve"> (LinkedIn, </w:t>
      </w:r>
      <w:proofErr w:type="spellStart"/>
      <w:r w:rsidRPr="00984968">
        <w:rPr>
          <w:rFonts w:cstheme="minorHAnsi"/>
        </w:rPr>
        <w:t>nd</w:t>
      </w:r>
      <w:proofErr w:type="spellEnd"/>
      <w:r w:rsidRPr="00984968">
        <w:rPr>
          <w:rFonts w:cstheme="minorHAnsi"/>
        </w:rPr>
        <w:t>)</w:t>
      </w:r>
      <w:r w:rsidR="0023173B" w:rsidRPr="00984968">
        <w:rPr>
          <w:rFonts w:cstheme="minorHAnsi"/>
        </w:rPr>
        <w:t xml:space="preserve"> Establishing clear, specific and achievable goals or KPI’s that are aligned with the organisational objectives is the main component of goal alignment. </w:t>
      </w:r>
    </w:p>
    <w:p w14:paraId="4C5CB166" w14:textId="04010F8C" w:rsidR="00057D7E" w:rsidRPr="00984968" w:rsidRDefault="00301D33" w:rsidP="00057D7E">
      <w:pPr>
        <w:pStyle w:val="NormalWeb"/>
        <w:rPr>
          <w:rFonts w:asciiTheme="minorHAnsi" w:hAnsiTheme="minorHAnsi" w:cstheme="minorHAnsi"/>
          <w:sz w:val="22"/>
          <w:szCs w:val="22"/>
        </w:rPr>
      </w:pPr>
      <w:r w:rsidRPr="00984968">
        <w:rPr>
          <w:rFonts w:asciiTheme="minorHAnsi" w:hAnsiTheme="minorHAnsi" w:cstheme="minorHAnsi"/>
          <w:b/>
          <w:bCs/>
          <w:sz w:val="22"/>
          <w:szCs w:val="22"/>
        </w:rPr>
        <w:t>Performance enhancement:</w:t>
      </w:r>
      <w:r w:rsidRPr="00984968">
        <w:rPr>
          <w:rFonts w:asciiTheme="minorHAnsi" w:hAnsiTheme="minorHAnsi" w:cstheme="minorHAnsi"/>
          <w:sz w:val="22"/>
          <w:szCs w:val="22"/>
        </w:rPr>
        <w:t xml:space="preserve"> </w:t>
      </w:r>
      <w:r w:rsidR="00057D7E" w:rsidRPr="00984968">
        <w:rPr>
          <w:rFonts w:asciiTheme="minorHAnsi" w:hAnsiTheme="minorHAnsi" w:cstheme="minorHAnsi"/>
          <w:sz w:val="22"/>
          <w:szCs w:val="22"/>
        </w:rPr>
        <w:t>Enhancing performance is a key outcome, as this approach facilitates continuous improvement in employee performance through feedback, development, and support. By regularly assessing performance and providing constructive feedback, organi</w:t>
      </w:r>
      <w:r w:rsidRPr="00984968">
        <w:rPr>
          <w:rFonts w:asciiTheme="minorHAnsi" w:hAnsiTheme="minorHAnsi" w:cstheme="minorHAnsi"/>
          <w:sz w:val="22"/>
          <w:szCs w:val="22"/>
        </w:rPr>
        <w:t>s</w:t>
      </w:r>
      <w:r w:rsidR="00057D7E" w:rsidRPr="00984968">
        <w:rPr>
          <w:rFonts w:asciiTheme="minorHAnsi" w:hAnsiTheme="minorHAnsi" w:cstheme="minorHAnsi"/>
          <w:sz w:val="22"/>
          <w:szCs w:val="22"/>
        </w:rPr>
        <w:t>ations can help employees reach their full potential and contribute more effectively to business objectives.</w:t>
      </w:r>
      <w:r w:rsidRPr="00984968">
        <w:rPr>
          <w:rFonts w:asciiTheme="minorHAnsi" w:hAnsiTheme="minorHAnsi" w:cstheme="minorHAnsi"/>
          <w:sz w:val="22"/>
          <w:szCs w:val="22"/>
        </w:rPr>
        <w:t xml:space="preserve"> (</w:t>
      </w:r>
      <w:proofErr w:type="spellStart"/>
      <w:r w:rsidRPr="00984968">
        <w:rPr>
          <w:rFonts w:asciiTheme="minorHAnsi" w:hAnsiTheme="minorHAnsi" w:cstheme="minorHAnsi"/>
          <w:sz w:val="22"/>
          <w:szCs w:val="22"/>
        </w:rPr>
        <w:t>Workleap</w:t>
      </w:r>
      <w:proofErr w:type="spellEnd"/>
      <w:r w:rsidRPr="00984968">
        <w:rPr>
          <w:rFonts w:asciiTheme="minorHAnsi" w:hAnsiTheme="minorHAnsi" w:cstheme="minorHAnsi"/>
          <w:sz w:val="22"/>
          <w:szCs w:val="22"/>
        </w:rPr>
        <w:t xml:space="preserve">, 2024) </w:t>
      </w:r>
      <w:r w:rsidR="0023173B" w:rsidRPr="00984968">
        <w:rPr>
          <w:rFonts w:asciiTheme="minorHAnsi" w:hAnsiTheme="minorHAnsi" w:cstheme="minorHAnsi"/>
          <w:sz w:val="22"/>
          <w:szCs w:val="22"/>
        </w:rPr>
        <w:t xml:space="preserve">There are many components to performance enhancement, one of the main ones being continuous feedback. Providing regular feedback to employees through </w:t>
      </w:r>
      <w:proofErr w:type="gramStart"/>
      <w:r w:rsidR="0023173B" w:rsidRPr="00984968">
        <w:rPr>
          <w:rFonts w:asciiTheme="minorHAnsi" w:hAnsiTheme="minorHAnsi" w:cstheme="minorHAnsi"/>
          <w:sz w:val="22"/>
          <w:szCs w:val="22"/>
        </w:rPr>
        <w:t>one-to-one, and</w:t>
      </w:r>
      <w:proofErr w:type="gramEnd"/>
      <w:r w:rsidR="0023173B" w:rsidRPr="00984968">
        <w:rPr>
          <w:rFonts w:asciiTheme="minorHAnsi" w:hAnsiTheme="minorHAnsi" w:cstheme="minorHAnsi"/>
          <w:sz w:val="22"/>
          <w:szCs w:val="22"/>
        </w:rPr>
        <w:t xml:space="preserve"> creating a support network is pivotal to performance enhancement.</w:t>
      </w:r>
    </w:p>
    <w:p w14:paraId="14BC2C4C" w14:textId="3A3C9331" w:rsidR="00057D7E" w:rsidRPr="00984968" w:rsidRDefault="00057D7E" w:rsidP="00057D7E">
      <w:pPr>
        <w:pStyle w:val="NormalWeb"/>
        <w:rPr>
          <w:rFonts w:asciiTheme="minorHAnsi" w:hAnsiTheme="minorHAnsi" w:cstheme="minorHAnsi"/>
          <w:sz w:val="22"/>
          <w:szCs w:val="22"/>
        </w:rPr>
      </w:pPr>
      <w:r w:rsidRPr="00984968">
        <w:rPr>
          <w:rFonts w:asciiTheme="minorHAnsi" w:hAnsiTheme="minorHAnsi" w:cstheme="minorHAnsi"/>
          <w:b/>
          <w:bCs/>
          <w:sz w:val="22"/>
          <w:szCs w:val="22"/>
        </w:rPr>
        <w:t>Identifying training needs</w:t>
      </w:r>
      <w:r w:rsidR="00301D33" w:rsidRPr="00984968">
        <w:rPr>
          <w:rFonts w:asciiTheme="minorHAnsi" w:hAnsiTheme="minorHAnsi" w:cstheme="minorHAnsi"/>
          <w:sz w:val="22"/>
          <w:szCs w:val="22"/>
        </w:rPr>
        <w:t>:</w:t>
      </w:r>
      <w:r w:rsidRPr="00984968">
        <w:rPr>
          <w:rFonts w:asciiTheme="minorHAnsi" w:hAnsiTheme="minorHAnsi" w:cstheme="minorHAnsi"/>
          <w:sz w:val="22"/>
          <w:szCs w:val="22"/>
        </w:rPr>
        <w:t xml:space="preserve"> </w:t>
      </w:r>
      <w:r w:rsidR="00301D33" w:rsidRPr="00984968">
        <w:rPr>
          <w:rFonts w:asciiTheme="minorHAnsi" w:hAnsiTheme="minorHAnsi" w:cstheme="minorHAnsi"/>
          <w:sz w:val="22"/>
          <w:szCs w:val="22"/>
        </w:rPr>
        <w:t>Discovering training needs</w:t>
      </w:r>
      <w:r w:rsidRPr="00984968">
        <w:rPr>
          <w:rFonts w:asciiTheme="minorHAnsi" w:hAnsiTheme="minorHAnsi" w:cstheme="minorHAnsi"/>
          <w:sz w:val="22"/>
          <w:szCs w:val="22"/>
        </w:rPr>
        <w:t xml:space="preserve"> helps pinpoint skill gaps and training requirements, allowing for targeted development initiatives. This ensures that employees have the necessary competencies to perform their roles efficiently and adapt to evolving business demands.</w:t>
      </w:r>
      <w:r w:rsidR="0023173B" w:rsidRPr="00984968">
        <w:rPr>
          <w:rFonts w:asciiTheme="minorHAnsi" w:hAnsiTheme="minorHAnsi" w:cstheme="minorHAnsi"/>
          <w:sz w:val="22"/>
          <w:szCs w:val="22"/>
        </w:rPr>
        <w:t xml:space="preserve"> This also helps with supporting c</w:t>
      </w:r>
      <w:r w:rsidRPr="00984968">
        <w:rPr>
          <w:rFonts w:asciiTheme="minorHAnsi" w:hAnsiTheme="minorHAnsi" w:cstheme="minorHAnsi"/>
          <w:sz w:val="22"/>
          <w:szCs w:val="22"/>
        </w:rPr>
        <w:t>areer</w:t>
      </w:r>
      <w:r w:rsidR="0023173B" w:rsidRPr="00984968">
        <w:rPr>
          <w:rFonts w:asciiTheme="minorHAnsi" w:hAnsiTheme="minorHAnsi" w:cstheme="minorHAnsi"/>
          <w:sz w:val="22"/>
          <w:szCs w:val="22"/>
        </w:rPr>
        <w:t xml:space="preserve"> development</w:t>
      </w:r>
      <w:r w:rsidRPr="00984968">
        <w:rPr>
          <w:rFonts w:asciiTheme="minorHAnsi" w:hAnsiTheme="minorHAnsi" w:cstheme="minorHAnsi"/>
          <w:sz w:val="22"/>
          <w:szCs w:val="22"/>
        </w:rPr>
        <w:t>, as this approach maps out development paths and opportunities for growth. By clearly outlining potential career trajectories, organi</w:t>
      </w:r>
      <w:r w:rsidR="0023173B" w:rsidRPr="00984968">
        <w:rPr>
          <w:rFonts w:asciiTheme="minorHAnsi" w:hAnsiTheme="minorHAnsi" w:cstheme="minorHAnsi"/>
          <w:sz w:val="22"/>
          <w:szCs w:val="22"/>
        </w:rPr>
        <w:t>s</w:t>
      </w:r>
      <w:r w:rsidRPr="00984968">
        <w:rPr>
          <w:rFonts w:asciiTheme="minorHAnsi" w:hAnsiTheme="minorHAnsi" w:cstheme="minorHAnsi"/>
          <w:sz w:val="22"/>
          <w:szCs w:val="22"/>
        </w:rPr>
        <w:t>ations can help employees plan their professional futures and stay motivated to pursue their goals within the company.</w:t>
      </w:r>
      <w:r w:rsidR="0023173B" w:rsidRPr="00984968">
        <w:rPr>
          <w:rFonts w:asciiTheme="minorHAnsi" w:hAnsiTheme="minorHAnsi" w:cstheme="minorHAnsi"/>
          <w:sz w:val="22"/>
          <w:szCs w:val="22"/>
        </w:rPr>
        <w:t xml:space="preserve"> Example of this would be having effective personal development plans put in place for each staff member, understanding where they want to improve and aligning that with the company’s objectives. Performance appraisals are a vital component of identifying training needs, conducting evaluations to assess an employee’s performance against the set KPIs, giving feedback on how they have performed. From this, you can also create personal development plans based on their performance, to help address and improve in required areas, whilst also giving the employee to improve their chances of career progression. </w:t>
      </w:r>
    </w:p>
    <w:p w14:paraId="11FC1496" w14:textId="353ED881" w:rsidR="00057D7E" w:rsidRPr="00984968" w:rsidRDefault="0023173B" w:rsidP="00057D7E">
      <w:pPr>
        <w:pStyle w:val="NormalWeb"/>
        <w:rPr>
          <w:rFonts w:asciiTheme="minorHAnsi" w:hAnsiTheme="minorHAnsi" w:cstheme="minorHAnsi"/>
          <w:sz w:val="22"/>
          <w:szCs w:val="22"/>
        </w:rPr>
      </w:pPr>
      <w:r w:rsidRPr="00984968">
        <w:rPr>
          <w:rFonts w:asciiTheme="minorHAnsi" w:hAnsiTheme="minorHAnsi" w:cstheme="minorHAnsi"/>
          <w:sz w:val="22"/>
          <w:szCs w:val="22"/>
        </w:rPr>
        <w:t>M</w:t>
      </w:r>
      <w:r w:rsidR="00057D7E" w:rsidRPr="00984968">
        <w:rPr>
          <w:rFonts w:asciiTheme="minorHAnsi" w:hAnsiTheme="minorHAnsi" w:cstheme="minorHAnsi"/>
          <w:sz w:val="22"/>
          <w:szCs w:val="22"/>
        </w:rPr>
        <w:t>otivating employees is enhanced through recognition and rewards, fostering a culture of excellence. When employees feel valued and appreciated, their motivation and job satisfaction increase, leading to higher productivity and a positive work environment.</w:t>
      </w:r>
      <w:r w:rsidRPr="00984968">
        <w:rPr>
          <w:rFonts w:asciiTheme="minorHAnsi" w:hAnsiTheme="minorHAnsi" w:cstheme="minorHAnsi"/>
          <w:sz w:val="22"/>
          <w:szCs w:val="22"/>
        </w:rPr>
        <w:t xml:space="preserve"> One of the components to help motivate staff is implementing reward systems that link performance to appropriate incentives, both financial and non-fin</w:t>
      </w:r>
      <w:r w:rsidR="008C3A59" w:rsidRPr="00984968">
        <w:rPr>
          <w:rFonts w:asciiTheme="minorHAnsi" w:hAnsiTheme="minorHAnsi" w:cstheme="minorHAnsi"/>
          <w:sz w:val="22"/>
          <w:szCs w:val="22"/>
        </w:rPr>
        <w:t xml:space="preserve">ancial. An example would be </w:t>
      </w:r>
      <w:proofErr w:type="gramStart"/>
      <w:r w:rsidR="008C3A59" w:rsidRPr="00984968">
        <w:rPr>
          <w:rFonts w:asciiTheme="minorHAnsi" w:hAnsiTheme="minorHAnsi" w:cstheme="minorHAnsi"/>
          <w:sz w:val="22"/>
          <w:szCs w:val="22"/>
        </w:rPr>
        <w:t>performance based</w:t>
      </w:r>
      <w:proofErr w:type="gramEnd"/>
      <w:r w:rsidR="008C3A59" w:rsidRPr="00984968">
        <w:rPr>
          <w:rFonts w:asciiTheme="minorHAnsi" w:hAnsiTheme="minorHAnsi" w:cstheme="minorHAnsi"/>
          <w:sz w:val="22"/>
          <w:szCs w:val="22"/>
        </w:rPr>
        <w:t xml:space="preserve"> bonuses. </w:t>
      </w:r>
    </w:p>
    <w:p w14:paraId="19542243" w14:textId="2BFDA96E" w:rsidR="008C3A59" w:rsidRPr="00984968" w:rsidRDefault="008C3A59" w:rsidP="008C3A59">
      <w:pPr>
        <w:rPr>
          <w:rFonts w:cstheme="minorHAnsi"/>
          <w:b/>
          <w:bCs/>
        </w:rPr>
      </w:pPr>
      <w:r w:rsidRPr="00984968">
        <w:rPr>
          <w:rFonts w:cstheme="minorHAnsi"/>
          <w:b/>
          <w:bCs/>
        </w:rPr>
        <w:lastRenderedPageBreak/>
        <w:t>Main factors to consider when managing performance (AC4.2)</w:t>
      </w:r>
    </w:p>
    <w:p w14:paraId="33D9593E" w14:textId="6DF0D978" w:rsidR="008C3A59" w:rsidRPr="00984968" w:rsidRDefault="008C3A59" w:rsidP="008C3A59">
      <w:pPr>
        <w:rPr>
          <w:rFonts w:cstheme="minorHAnsi"/>
          <w:b/>
          <w:bCs/>
        </w:rPr>
      </w:pPr>
      <w:r w:rsidRPr="00984968">
        <w:rPr>
          <w:rFonts w:cstheme="minorHAnsi"/>
        </w:rPr>
        <w:t xml:space="preserve">Clear objectives are crucial for employees to understand what is expected of them, ensuring everyone is aligned with the organisation's goals. For example, setting specific sales targets helps sales teams focus their efforts. Regular monitoring allows for timely feedback and adjustments, such as weekly check-ins to address any challenges early on. Consistent communication between managers and employees builds trust and clarity, exemplified by open-door policies that encourage honest discussions. Providing necessary training and development opportunities, like workshops or online courses, helps employees meet performance standards and grow their skills. Fair and unbiased performance evaluations ensure accuracy and fairness, fostering a culture of excellence. Engaging employees in the performance management process, such as involving them in setting their own goals, increases their commitment and motivation, leading to higher productivity and job satisfaction. </w:t>
      </w:r>
    </w:p>
    <w:p w14:paraId="25B16F0C" w14:textId="5529320F" w:rsidR="00AA6584" w:rsidRPr="00984968" w:rsidRDefault="00AA6584" w:rsidP="00AA6584">
      <w:pPr>
        <w:pStyle w:val="Listparag"/>
        <w:numPr>
          <w:ilvl w:val="0"/>
          <w:numId w:val="0"/>
        </w:numPr>
        <w:rPr>
          <w:rFonts w:asciiTheme="minorHAnsi" w:hAnsiTheme="minorHAnsi" w:cstheme="minorHAnsi"/>
          <w:b/>
          <w:bCs/>
        </w:rPr>
      </w:pPr>
      <w:r w:rsidRPr="00984968">
        <w:rPr>
          <w:rFonts w:asciiTheme="minorHAnsi" w:hAnsiTheme="minorHAnsi" w:cstheme="minorHAnsi"/>
          <w:b/>
          <w:bCs/>
        </w:rPr>
        <w:t>Different methods of performance review. (AC 4.3)</w:t>
      </w:r>
    </w:p>
    <w:p w14:paraId="7E62F4BC" w14:textId="68E76179" w:rsidR="00AA6584" w:rsidRPr="00984968" w:rsidRDefault="00AA6584" w:rsidP="00AA6584">
      <w:pPr>
        <w:pStyle w:val="Listparag"/>
        <w:numPr>
          <w:ilvl w:val="0"/>
          <w:numId w:val="0"/>
        </w:numPr>
        <w:rPr>
          <w:rFonts w:asciiTheme="minorHAnsi" w:hAnsiTheme="minorHAnsi" w:cstheme="minorHAnsi"/>
        </w:rPr>
      </w:pPr>
      <w:r w:rsidRPr="00984968">
        <w:rPr>
          <w:rFonts w:asciiTheme="minorHAnsi" w:hAnsiTheme="minorHAnsi" w:cstheme="minorHAnsi"/>
        </w:rPr>
        <w:t>There are multiple methods of reviewing an employee’s performance, which all have their positive and negative traits. Different methods include:</w:t>
      </w:r>
    </w:p>
    <w:p w14:paraId="22FE81D8" w14:textId="5C10E684" w:rsidR="00AA6584" w:rsidRPr="00984968" w:rsidRDefault="00AA6584" w:rsidP="00AA6584">
      <w:pPr>
        <w:pStyle w:val="Listparag"/>
        <w:numPr>
          <w:ilvl w:val="0"/>
          <w:numId w:val="0"/>
        </w:numPr>
        <w:rPr>
          <w:rFonts w:asciiTheme="minorHAnsi" w:hAnsiTheme="minorHAnsi" w:cstheme="minorHAnsi"/>
        </w:rPr>
      </w:pPr>
      <w:r w:rsidRPr="00984968">
        <w:rPr>
          <w:rFonts w:asciiTheme="minorHAnsi" w:hAnsiTheme="minorHAnsi" w:cstheme="minorHAnsi"/>
          <w:b/>
          <w:bCs/>
        </w:rPr>
        <w:t>Annual appraisals:</w:t>
      </w:r>
      <w:r w:rsidRPr="00984968">
        <w:rPr>
          <w:rFonts w:asciiTheme="minorHAnsi" w:hAnsiTheme="minorHAnsi" w:cstheme="minorHAnsi"/>
        </w:rPr>
        <w:t xml:space="preserve"> Formal, yearly evaluations of employee performance against pre-determined goals set by an organisation. The value of annual reviews has increasingly been challenged in recent years in favour of more regular one-to-one conversations. Even so, performance appraisals remain an important part of the performance management cycle. (CIPD, 2024)</w:t>
      </w:r>
    </w:p>
    <w:p w14:paraId="164BB290" w14:textId="6CF010B5" w:rsidR="00057D7E" w:rsidRPr="00984968" w:rsidRDefault="00AA6584" w:rsidP="007C388D">
      <w:pPr>
        <w:pStyle w:val="Listparag"/>
        <w:numPr>
          <w:ilvl w:val="0"/>
          <w:numId w:val="0"/>
        </w:numPr>
        <w:rPr>
          <w:rFonts w:asciiTheme="minorHAnsi" w:hAnsiTheme="minorHAnsi" w:cstheme="minorHAnsi"/>
        </w:rPr>
      </w:pPr>
      <w:r w:rsidRPr="00984968">
        <w:rPr>
          <w:rFonts w:asciiTheme="minorHAnsi" w:hAnsiTheme="minorHAnsi" w:cstheme="minorHAnsi"/>
          <w:b/>
          <w:bCs/>
        </w:rPr>
        <w:t xml:space="preserve">Continuous feedback: </w:t>
      </w:r>
      <w:r w:rsidRPr="00984968">
        <w:rPr>
          <w:rFonts w:asciiTheme="minorHAnsi" w:hAnsiTheme="minorHAnsi" w:cstheme="minorHAnsi"/>
        </w:rPr>
        <w:t xml:space="preserve">The opposite to annual appraisals, feedback through regular, informal feedback sessions throughout the year to address issues promptly. This is used much more frequently in organisations. </w:t>
      </w:r>
      <w:r w:rsidR="007C388D" w:rsidRPr="00984968">
        <w:rPr>
          <w:rFonts w:asciiTheme="minorHAnsi" w:hAnsiTheme="minorHAnsi" w:cstheme="minorHAnsi"/>
        </w:rPr>
        <w:t xml:space="preserve">An example of this would be, </w:t>
      </w:r>
      <w:r w:rsidRPr="00984968">
        <w:rPr>
          <w:rFonts w:asciiTheme="minorHAnsi" w:hAnsiTheme="minorHAnsi" w:cstheme="minorHAnsi"/>
        </w:rPr>
        <w:t>Bluestone Resort</w:t>
      </w:r>
      <w:r w:rsidR="007C388D" w:rsidRPr="00984968">
        <w:rPr>
          <w:rFonts w:asciiTheme="minorHAnsi" w:hAnsiTheme="minorHAnsi" w:cstheme="minorHAnsi"/>
        </w:rPr>
        <w:t>. They</w:t>
      </w:r>
      <w:r w:rsidRPr="00984968">
        <w:rPr>
          <w:rFonts w:asciiTheme="minorHAnsi" w:hAnsiTheme="minorHAnsi" w:cstheme="minorHAnsi"/>
        </w:rPr>
        <w:t xml:space="preserve"> have introduced </w:t>
      </w:r>
      <w:r w:rsidR="007C388D" w:rsidRPr="00984968">
        <w:rPr>
          <w:rFonts w:asciiTheme="minorHAnsi" w:hAnsiTheme="minorHAnsi" w:cstheme="minorHAnsi"/>
        </w:rPr>
        <w:t>“Bluestone Way” conversations into their business KPIs, where they report how many Bluestone Way conversations managers have recorded with their staff teams, discussing performance, wellbeing and personal development.</w:t>
      </w:r>
    </w:p>
    <w:p w14:paraId="64ADF6F2" w14:textId="12EC5B85" w:rsidR="00AE1B44" w:rsidRPr="00984968" w:rsidRDefault="007C388D" w:rsidP="007C388D">
      <w:pPr>
        <w:pStyle w:val="Listparag"/>
        <w:numPr>
          <w:ilvl w:val="0"/>
          <w:numId w:val="0"/>
        </w:numPr>
        <w:rPr>
          <w:rFonts w:asciiTheme="minorHAnsi" w:hAnsiTheme="minorHAnsi" w:cstheme="minorHAnsi"/>
        </w:rPr>
      </w:pPr>
      <w:r w:rsidRPr="00984968">
        <w:rPr>
          <w:rFonts w:asciiTheme="minorHAnsi" w:hAnsiTheme="minorHAnsi" w:cstheme="minorHAnsi"/>
          <w:b/>
          <w:bCs/>
        </w:rPr>
        <w:t xml:space="preserve">360-degree feedback: </w:t>
      </w:r>
      <w:r w:rsidR="00AE1B44" w:rsidRPr="00984968">
        <w:rPr>
          <w:rFonts w:asciiTheme="minorHAnsi" w:hAnsiTheme="minorHAnsi" w:cstheme="minorHAnsi"/>
        </w:rPr>
        <w:t xml:space="preserve">The 360-degree feedback model is an assessment system or process in which employees receive confidential, anonymous evaluations from the people who work around them. This typically includes manager, peers and direct reports. (Performance Management Online, </w:t>
      </w:r>
      <w:proofErr w:type="spellStart"/>
      <w:r w:rsidR="00AE1B44" w:rsidRPr="00984968">
        <w:rPr>
          <w:rFonts w:asciiTheme="minorHAnsi" w:hAnsiTheme="minorHAnsi" w:cstheme="minorHAnsi"/>
        </w:rPr>
        <w:t>nd</w:t>
      </w:r>
      <w:proofErr w:type="spellEnd"/>
      <w:r w:rsidR="00AE1B44" w:rsidRPr="00984968">
        <w:rPr>
          <w:rFonts w:asciiTheme="minorHAnsi" w:hAnsiTheme="minorHAnsi" w:cstheme="minorHAnsi"/>
        </w:rPr>
        <w:t xml:space="preserve">) </w:t>
      </w:r>
    </w:p>
    <w:p w14:paraId="00682CDC" w14:textId="3A754BB4" w:rsidR="00AE1B44" w:rsidRPr="00984968" w:rsidRDefault="00D616B0" w:rsidP="007C388D">
      <w:pPr>
        <w:pStyle w:val="Listparag"/>
        <w:numPr>
          <w:ilvl w:val="0"/>
          <w:numId w:val="0"/>
        </w:numPr>
        <w:rPr>
          <w:rFonts w:asciiTheme="minorHAnsi" w:hAnsiTheme="minorHAnsi" w:cstheme="minorHAnsi"/>
        </w:rPr>
      </w:pPr>
      <w:r w:rsidRPr="00984968">
        <w:rPr>
          <w:rFonts w:asciiTheme="minorHAnsi" w:hAnsiTheme="minorHAnsi" w:cstheme="minorHAnsi"/>
          <w:b/>
          <w:bCs/>
        </w:rPr>
        <w:t>Self-assessment</w:t>
      </w:r>
      <w:r w:rsidR="00AE1B44" w:rsidRPr="00984968">
        <w:rPr>
          <w:rFonts w:asciiTheme="minorHAnsi" w:hAnsiTheme="minorHAnsi" w:cstheme="minorHAnsi"/>
          <w:b/>
          <w:bCs/>
        </w:rPr>
        <w:t xml:space="preserve">: </w:t>
      </w:r>
      <w:r w:rsidRPr="00984968">
        <w:rPr>
          <w:rFonts w:asciiTheme="minorHAnsi" w:hAnsiTheme="minorHAnsi" w:cstheme="minorHAnsi"/>
        </w:rPr>
        <w:t xml:space="preserve">Allowing employees to assess their own performance, fostering self-reflection and personal growth. The positives with self-assessments are employees can take more ownership of their performance. Managers are presented with valuable insight into what approach an employee takes with their work, what motivates them and how they think. Cons of self-assessments are that perceptions can be different or self-bias, which can cause conflict when a manager disagrees with an employee’s opinion of their performance. </w:t>
      </w:r>
    </w:p>
    <w:p w14:paraId="54B25A7A" w14:textId="208EF9D6" w:rsidR="00D616B0" w:rsidRPr="00984968" w:rsidRDefault="00D616B0" w:rsidP="007C388D">
      <w:pPr>
        <w:pStyle w:val="Listparag"/>
        <w:numPr>
          <w:ilvl w:val="0"/>
          <w:numId w:val="0"/>
        </w:numPr>
        <w:rPr>
          <w:rFonts w:asciiTheme="minorHAnsi" w:hAnsiTheme="minorHAnsi" w:cstheme="minorHAnsi"/>
        </w:rPr>
      </w:pPr>
    </w:p>
    <w:p w14:paraId="281343F6" w14:textId="77777777" w:rsidR="00D616B0" w:rsidRPr="00984968" w:rsidRDefault="00D616B0">
      <w:pPr>
        <w:rPr>
          <w:rFonts w:eastAsia="Times New Roman" w:cstheme="minorHAnsi"/>
          <w:lang w:eastAsia="en-GB"/>
        </w:rPr>
      </w:pPr>
      <w:r w:rsidRPr="00984968">
        <w:rPr>
          <w:rFonts w:cstheme="minorHAnsi"/>
        </w:rPr>
        <w:br w:type="page"/>
      </w:r>
    </w:p>
    <w:p w14:paraId="6A6FDE4B" w14:textId="3B27C68D" w:rsidR="004A7F41" w:rsidRPr="00984968" w:rsidRDefault="004A7F41" w:rsidP="004A7F41">
      <w:pPr>
        <w:pStyle w:val="Listparag"/>
        <w:numPr>
          <w:ilvl w:val="0"/>
          <w:numId w:val="0"/>
        </w:numPr>
        <w:ind w:left="502" w:hanging="360"/>
        <w:rPr>
          <w:rFonts w:asciiTheme="minorHAnsi" w:hAnsiTheme="minorHAnsi" w:cstheme="minorHAnsi"/>
          <w:b/>
          <w:bCs/>
        </w:rPr>
      </w:pPr>
      <w:r w:rsidRPr="00984968">
        <w:rPr>
          <w:rFonts w:asciiTheme="minorHAnsi" w:hAnsiTheme="minorHAnsi" w:cstheme="minorHAnsi"/>
          <w:b/>
          <w:bCs/>
        </w:rPr>
        <w:lastRenderedPageBreak/>
        <w:t>Key components (financial and non-financial) that are required to achieve an effective total reward system. (AC 5.1)</w:t>
      </w:r>
    </w:p>
    <w:p w14:paraId="10DC4245" w14:textId="6CA9304E" w:rsidR="000032EC" w:rsidRPr="00984968" w:rsidRDefault="000032EC" w:rsidP="000032EC">
      <w:pPr>
        <w:rPr>
          <w:rFonts w:cstheme="minorHAnsi"/>
        </w:rPr>
      </w:pPr>
      <w:r w:rsidRPr="00984968">
        <w:rPr>
          <w:rFonts w:cstheme="minorHAnsi"/>
        </w:rPr>
        <w:t xml:space="preserve">An effective total reward system integrates both financial and non-financial components to attract, motivate, and retain employees. </w:t>
      </w:r>
      <w:r w:rsidR="00082358" w:rsidRPr="00984968">
        <w:rPr>
          <w:rFonts w:cstheme="minorHAnsi"/>
        </w:rPr>
        <w:t xml:space="preserve">(Indeed, </w:t>
      </w:r>
      <w:proofErr w:type="spellStart"/>
      <w:r w:rsidR="00082358" w:rsidRPr="00984968">
        <w:rPr>
          <w:rFonts w:cstheme="minorHAnsi"/>
        </w:rPr>
        <w:t>nd</w:t>
      </w:r>
      <w:proofErr w:type="spellEnd"/>
      <w:r w:rsidR="00082358" w:rsidRPr="00984968">
        <w:rPr>
          <w:rFonts w:cstheme="minorHAnsi"/>
        </w:rPr>
        <w:t xml:space="preserve">) </w:t>
      </w:r>
      <w:r w:rsidRPr="00984968">
        <w:rPr>
          <w:rFonts w:cstheme="minorHAnsi"/>
        </w:rPr>
        <w:t>Some key components include:</w:t>
      </w:r>
    </w:p>
    <w:p w14:paraId="6CE7195F" w14:textId="77777777" w:rsidR="000032EC" w:rsidRPr="00984968" w:rsidRDefault="000032EC" w:rsidP="000032EC">
      <w:pPr>
        <w:rPr>
          <w:rFonts w:cstheme="minorHAnsi"/>
          <w:b/>
          <w:bCs/>
        </w:rPr>
      </w:pPr>
      <w:r w:rsidRPr="00984968">
        <w:rPr>
          <w:rFonts w:cstheme="minorHAnsi"/>
          <w:b/>
          <w:bCs/>
        </w:rPr>
        <w:t xml:space="preserve">Financial components: </w:t>
      </w:r>
    </w:p>
    <w:p w14:paraId="78C53636" w14:textId="6CBE0CAE" w:rsidR="000032EC" w:rsidRPr="00984968" w:rsidRDefault="000032EC" w:rsidP="000032EC">
      <w:pPr>
        <w:rPr>
          <w:rFonts w:cstheme="minorHAnsi"/>
        </w:rPr>
      </w:pPr>
      <w:r w:rsidRPr="00984968">
        <w:rPr>
          <w:rFonts w:cstheme="minorHAnsi"/>
          <w:b/>
          <w:bCs/>
        </w:rPr>
        <w:t>Base salary:</w:t>
      </w:r>
      <w:r w:rsidRPr="00984968">
        <w:rPr>
          <w:rFonts w:cstheme="minorHAnsi"/>
        </w:rPr>
        <w:t xml:space="preserve"> Competitive salary aligned with industry standards and regularly reviewed for adjustments.</w:t>
      </w:r>
    </w:p>
    <w:p w14:paraId="68C9AC1D" w14:textId="1A35B5C5" w:rsidR="000032EC" w:rsidRPr="00984968" w:rsidRDefault="000032EC" w:rsidP="000032EC">
      <w:pPr>
        <w:rPr>
          <w:rFonts w:cstheme="minorHAnsi"/>
        </w:rPr>
      </w:pPr>
      <w:r w:rsidRPr="00984968">
        <w:rPr>
          <w:rFonts w:cstheme="minorHAnsi"/>
          <w:b/>
          <w:bCs/>
        </w:rPr>
        <w:t>Bonuses and incentives:</w:t>
      </w:r>
      <w:r w:rsidRPr="00984968">
        <w:rPr>
          <w:rFonts w:cstheme="minorHAnsi"/>
        </w:rPr>
        <w:t xml:space="preserve"> Performance-based bonuses for meeting individual or team targets, annual performance bonuses, or sales commissions.</w:t>
      </w:r>
    </w:p>
    <w:p w14:paraId="28B46BF2" w14:textId="16C57702" w:rsidR="000032EC" w:rsidRPr="00984968" w:rsidRDefault="000032EC" w:rsidP="000032EC">
      <w:pPr>
        <w:rPr>
          <w:rFonts w:cstheme="minorHAnsi"/>
        </w:rPr>
      </w:pPr>
      <w:r w:rsidRPr="00984968">
        <w:rPr>
          <w:rFonts w:cstheme="minorHAnsi"/>
          <w:b/>
          <w:bCs/>
        </w:rPr>
        <w:t>Benefits:</w:t>
      </w:r>
      <w:r w:rsidRPr="00984968">
        <w:rPr>
          <w:rFonts w:cstheme="minorHAnsi"/>
        </w:rPr>
        <w:t xml:space="preserve"> Health insurance, retirement plans such as pension schemes and paid time off. </w:t>
      </w:r>
    </w:p>
    <w:p w14:paraId="51149BA8" w14:textId="4A70C29E" w:rsidR="000032EC" w:rsidRPr="00984968" w:rsidRDefault="00082358" w:rsidP="000032EC">
      <w:pPr>
        <w:rPr>
          <w:rFonts w:cstheme="minorHAnsi"/>
        </w:rPr>
      </w:pPr>
      <w:r w:rsidRPr="00984968">
        <w:rPr>
          <w:rStyle w:val="Strong"/>
          <w:rFonts w:cstheme="minorHAnsi"/>
        </w:rPr>
        <w:t>Commissions</w:t>
      </w:r>
      <w:r w:rsidRPr="00984968">
        <w:rPr>
          <w:rFonts w:cstheme="minorHAnsi"/>
        </w:rPr>
        <w:t>: For sales assistants, commissions based on sales performance can be a significant motivator.</w:t>
      </w:r>
    </w:p>
    <w:p w14:paraId="4314D54A" w14:textId="6778C085" w:rsidR="00082358" w:rsidRPr="00984968" w:rsidRDefault="00082358" w:rsidP="00082358">
      <w:pPr>
        <w:rPr>
          <w:rFonts w:cstheme="minorHAnsi"/>
          <w:b/>
          <w:bCs/>
        </w:rPr>
      </w:pPr>
      <w:r w:rsidRPr="00984968">
        <w:rPr>
          <w:rFonts w:cstheme="minorHAnsi"/>
          <w:b/>
          <w:bCs/>
        </w:rPr>
        <w:t xml:space="preserve">Non-financial components: </w:t>
      </w:r>
    </w:p>
    <w:p w14:paraId="696D839D" w14:textId="251FEF93" w:rsidR="00082358" w:rsidRPr="00984968" w:rsidRDefault="00082358" w:rsidP="00082358">
      <w:pPr>
        <w:rPr>
          <w:rFonts w:cstheme="minorHAnsi"/>
        </w:rPr>
      </w:pPr>
      <w:r w:rsidRPr="00984968">
        <w:rPr>
          <w:rFonts w:cstheme="minorHAnsi"/>
          <w:b/>
          <w:bCs/>
        </w:rPr>
        <w:t>Recognition programs:</w:t>
      </w:r>
      <w:r w:rsidRPr="00984968">
        <w:rPr>
          <w:rFonts w:cstheme="minorHAnsi"/>
        </w:rPr>
        <w:t xml:space="preserve"> Regularly acknowledging and rewarding employee achievements, both formally through appraisals and informally, through one-to-ones.</w:t>
      </w:r>
    </w:p>
    <w:p w14:paraId="295F0EBB" w14:textId="5FB96640" w:rsidR="00082358" w:rsidRPr="00984968" w:rsidRDefault="00082358" w:rsidP="00082358">
      <w:pPr>
        <w:rPr>
          <w:rFonts w:cstheme="minorHAnsi"/>
        </w:rPr>
      </w:pPr>
      <w:r w:rsidRPr="00984968">
        <w:rPr>
          <w:rFonts w:cstheme="minorHAnsi"/>
          <w:b/>
          <w:bCs/>
        </w:rPr>
        <w:t>Development:</w:t>
      </w:r>
      <w:r w:rsidRPr="00984968">
        <w:rPr>
          <w:rFonts w:cstheme="minorHAnsi"/>
        </w:rPr>
        <w:t xml:space="preserve"> Offering training, career advancements and personal development opportunities </w:t>
      </w:r>
      <w:r w:rsidR="009F6E05" w:rsidRPr="00984968">
        <w:rPr>
          <w:rFonts w:cstheme="minorHAnsi"/>
        </w:rPr>
        <w:t xml:space="preserve">to staff. </w:t>
      </w:r>
    </w:p>
    <w:p w14:paraId="3EC4D69A" w14:textId="3A2A46BC" w:rsidR="00082358" w:rsidRPr="00984968" w:rsidRDefault="009F6E05" w:rsidP="00082358">
      <w:pPr>
        <w:rPr>
          <w:rFonts w:cstheme="minorHAnsi"/>
        </w:rPr>
      </w:pPr>
      <w:r w:rsidRPr="00984968">
        <w:rPr>
          <w:rFonts w:cstheme="minorHAnsi"/>
          <w:b/>
          <w:bCs/>
        </w:rPr>
        <w:t>Work-life balance</w:t>
      </w:r>
      <w:r w:rsidR="00082358" w:rsidRPr="00984968">
        <w:rPr>
          <w:rFonts w:cstheme="minorHAnsi"/>
          <w:b/>
          <w:bCs/>
        </w:rPr>
        <w:t>:</w:t>
      </w:r>
      <w:r w:rsidR="00082358" w:rsidRPr="00984968">
        <w:rPr>
          <w:rFonts w:cstheme="minorHAnsi"/>
        </w:rPr>
        <w:t xml:space="preserve"> </w:t>
      </w:r>
      <w:r w:rsidRPr="00984968">
        <w:rPr>
          <w:rFonts w:cstheme="minorHAnsi"/>
        </w:rPr>
        <w:t>Implementing policies and developing a culture that support work-life balance, such as flexible working hours and remote working hours.</w:t>
      </w:r>
    </w:p>
    <w:p w14:paraId="3BEC0AF7" w14:textId="415D9961" w:rsidR="00082358" w:rsidRPr="00984968" w:rsidRDefault="009F6E05" w:rsidP="009F6E05">
      <w:pPr>
        <w:rPr>
          <w:rFonts w:cstheme="minorHAnsi"/>
        </w:rPr>
      </w:pPr>
      <w:r w:rsidRPr="00984968">
        <w:rPr>
          <w:rStyle w:val="Strong"/>
          <w:rFonts w:cstheme="minorHAnsi"/>
        </w:rPr>
        <w:t>Positive work environment</w:t>
      </w:r>
      <w:r w:rsidR="00082358" w:rsidRPr="00984968">
        <w:rPr>
          <w:rFonts w:cstheme="minorHAnsi"/>
        </w:rPr>
        <w:t xml:space="preserve">: </w:t>
      </w:r>
      <w:proofErr w:type="gramStart"/>
      <w:r w:rsidRPr="00984968">
        <w:rPr>
          <w:rFonts w:cstheme="minorHAnsi"/>
        </w:rPr>
        <w:t>Similar to</w:t>
      </w:r>
      <w:proofErr w:type="gramEnd"/>
      <w:r w:rsidRPr="00984968">
        <w:rPr>
          <w:rFonts w:cstheme="minorHAnsi"/>
        </w:rPr>
        <w:t xml:space="preserve"> work-life balance, staff can feel motivated by have a supportive, inclusive and motivating work environment.</w:t>
      </w:r>
    </w:p>
    <w:p w14:paraId="18A8431F" w14:textId="2FC65B7C" w:rsidR="009F6E05" w:rsidRPr="00984968" w:rsidRDefault="009F6E05" w:rsidP="009F6E05">
      <w:pPr>
        <w:rPr>
          <w:rFonts w:cstheme="minorHAnsi"/>
        </w:rPr>
      </w:pPr>
      <w:r w:rsidRPr="00984968">
        <w:rPr>
          <w:rFonts w:cstheme="minorHAnsi"/>
        </w:rPr>
        <w:t>By thoughtfully combining financial rewards with non-financial incentives, organisations can create a holistic total reward system that enhances employee satisfaction, performance, and loyalty. This balanced approach helps in attracting top talent, reducing turnover, and fostering a motivated and engaged workforce. (Cotton, 2024)</w:t>
      </w:r>
    </w:p>
    <w:p w14:paraId="5D37721E" w14:textId="77777777" w:rsidR="004D6698" w:rsidRPr="00984968" w:rsidRDefault="004D6698" w:rsidP="004D6698">
      <w:pPr>
        <w:pStyle w:val="Listparag"/>
        <w:numPr>
          <w:ilvl w:val="0"/>
          <w:numId w:val="0"/>
        </w:numPr>
        <w:rPr>
          <w:rFonts w:asciiTheme="minorHAnsi" w:hAnsiTheme="minorHAnsi" w:cstheme="minorHAnsi"/>
        </w:rPr>
      </w:pPr>
    </w:p>
    <w:p w14:paraId="0D160922" w14:textId="612ED893" w:rsidR="004D6698" w:rsidRPr="00984968" w:rsidRDefault="004D6698" w:rsidP="004D6698">
      <w:pPr>
        <w:pStyle w:val="Listparag"/>
        <w:numPr>
          <w:ilvl w:val="0"/>
          <w:numId w:val="0"/>
        </w:numPr>
        <w:rPr>
          <w:rFonts w:asciiTheme="minorHAnsi" w:hAnsiTheme="minorHAnsi" w:cstheme="minorHAnsi"/>
          <w:b/>
          <w:bCs/>
        </w:rPr>
      </w:pPr>
      <w:r w:rsidRPr="00984968">
        <w:rPr>
          <w:rFonts w:asciiTheme="minorHAnsi" w:hAnsiTheme="minorHAnsi" w:cstheme="minorHAnsi"/>
          <w:b/>
          <w:bCs/>
        </w:rPr>
        <w:t>The relationship between reward and performance, and the links to motivation. (AC 5.2)</w:t>
      </w:r>
    </w:p>
    <w:p w14:paraId="10892B61" w14:textId="70876DD1" w:rsidR="004D6698" w:rsidRPr="00984968" w:rsidRDefault="004D6698" w:rsidP="004D6698">
      <w:pPr>
        <w:pStyle w:val="Listparag"/>
        <w:numPr>
          <w:ilvl w:val="0"/>
          <w:numId w:val="0"/>
        </w:numPr>
        <w:rPr>
          <w:rFonts w:asciiTheme="minorHAnsi" w:hAnsiTheme="minorHAnsi" w:cstheme="minorHAnsi"/>
        </w:rPr>
      </w:pPr>
      <w:r w:rsidRPr="00984968">
        <w:rPr>
          <w:rFonts w:asciiTheme="minorHAnsi" w:hAnsiTheme="minorHAnsi" w:cstheme="minorHAnsi"/>
        </w:rPr>
        <w:t>Intrinsic motivation is driven by internal rewards such as personal growth, job satisfaction, and a sense of achievement. When employees find their work meaningful and engaging, their intrinsic motivation increases. This type of motivation leads employees to perform well because they genuinely enjoy their work and derive satisfaction from the tasks they complete. On the other hand, extrinsic motivation is driven by external rewards such as salary, bonuses, and other tangible benefits. These rewards are crucial for meeting basic needs and providing financial security. While intrinsic motivation often leads to sustained engagement and long-term satisfaction, extrinsic motivation is essential for ensuring employees feel adequately compensated for their efforts and remain committed to their roles.</w:t>
      </w:r>
      <w:r w:rsidR="00995267" w:rsidRPr="00984968">
        <w:rPr>
          <w:rFonts w:asciiTheme="minorHAnsi" w:hAnsiTheme="minorHAnsi" w:cstheme="minorHAnsi"/>
        </w:rPr>
        <w:t xml:space="preserve"> (CIPD, 2022)</w:t>
      </w:r>
    </w:p>
    <w:p w14:paraId="1FA4B73B" w14:textId="16046CBB" w:rsidR="004D6698" w:rsidRPr="00984968" w:rsidRDefault="004D6698" w:rsidP="009F6E05">
      <w:pPr>
        <w:rPr>
          <w:rFonts w:cstheme="minorHAnsi"/>
        </w:rPr>
      </w:pPr>
      <w:r w:rsidRPr="00984968">
        <w:rPr>
          <w:rFonts w:cstheme="minorHAnsi"/>
        </w:rPr>
        <w:t xml:space="preserve">Adequate rewards, both intrinsic and extrinsic, can significantly enhance performance by motivating employees to achieve their goals. Employees who feel valued and rewarded are more likely to put in extra effort and strive for excellence. This sense of appreciation can boost their morale and drive </w:t>
      </w:r>
      <w:r w:rsidRPr="00984968">
        <w:rPr>
          <w:rFonts w:cstheme="minorHAnsi"/>
        </w:rPr>
        <w:lastRenderedPageBreak/>
        <w:t xml:space="preserve">them to maintain high performance levels. Moreover, competitive and fair reward systems play a crucial role in retaining talented employees. When employees feel they are </w:t>
      </w:r>
      <w:proofErr w:type="gramStart"/>
      <w:r w:rsidRPr="00984968">
        <w:rPr>
          <w:rFonts w:cstheme="minorHAnsi"/>
        </w:rPr>
        <w:t>fairly compensated</w:t>
      </w:r>
      <w:proofErr w:type="gramEnd"/>
      <w:r w:rsidRPr="00984968">
        <w:rPr>
          <w:rFonts w:cstheme="minorHAnsi"/>
        </w:rPr>
        <w:t xml:space="preserve"> and recognised, they are less likely to seek opportunities elsewhere, thereby reducing turnover and the associated costs of recruitment and training. Additionally, a well-structured reward system </w:t>
      </w:r>
      <w:r w:rsidR="002834EF" w:rsidRPr="00984968">
        <w:rPr>
          <w:rFonts w:cstheme="minorHAnsi"/>
        </w:rPr>
        <w:t>creates higher</w:t>
      </w:r>
      <w:r w:rsidRPr="00984968">
        <w:rPr>
          <w:rFonts w:cstheme="minorHAnsi"/>
        </w:rPr>
        <w:t xml:space="preserve"> levels of employee engagement and commitment to the organi</w:t>
      </w:r>
      <w:r w:rsidR="002834EF" w:rsidRPr="00984968">
        <w:rPr>
          <w:rFonts w:cstheme="minorHAnsi"/>
        </w:rPr>
        <w:t>s</w:t>
      </w:r>
      <w:r w:rsidRPr="00984968">
        <w:rPr>
          <w:rFonts w:cstheme="minorHAnsi"/>
        </w:rPr>
        <w:t>ation. Engaged employees are more productive, innovative and contribute positively to the workplace culture</w:t>
      </w:r>
      <w:r w:rsidR="002834EF" w:rsidRPr="00984968">
        <w:rPr>
          <w:rFonts w:cstheme="minorHAnsi"/>
        </w:rPr>
        <w:t>.</w:t>
      </w:r>
      <w:r w:rsidR="00995267" w:rsidRPr="00984968">
        <w:rPr>
          <w:rFonts w:cstheme="minorHAnsi"/>
        </w:rPr>
        <w:t xml:space="preserve"> (Krasinski, </w:t>
      </w:r>
      <w:proofErr w:type="spellStart"/>
      <w:r w:rsidR="00995267" w:rsidRPr="00984968">
        <w:rPr>
          <w:rFonts w:cstheme="minorHAnsi"/>
        </w:rPr>
        <w:t>nd</w:t>
      </w:r>
      <w:proofErr w:type="spellEnd"/>
      <w:r w:rsidR="00995267" w:rsidRPr="00984968">
        <w:rPr>
          <w:rFonts w:cstheme="minorHAnsi"/>
        </w:rPr>
        <w:t>)</w:t>
      </w:r>
    </w:p>
    <w:p w14:paraId="7497026F" w14:textId="77777777" w:rsidR="00995267" w:rsidRPr="00984968" w:rsidRDefault="00995267" w:rsidP="00995267">
      <w:pPr>
        <w:pStyle w:val="Listparag"/>
        <w:numPr>
          <w:ilvl w:val="0"/>
          <w:numId w:val="0"/>
        </w:numPr>
        <w:rPr>
          <w:rFonts w:asciiTheme="minorHAnsi" w:hAnsiTheme="minorHAnsi" w:cstheme="minorHAnsi"/>
        </w:rPr>
      </w:pPr>
    </w:p>
    <w:p w14:paraId="423516A3" w14:textId="789E3B2A" w:rsidR="00995267" w:rsidRPr="00984968" w:rsidRDefault="00995267" w:rsidP="00995267">
      <w:pPr>
        <w:pStyle w:val="Listparag"/>
        <w:numPr>
          <w:ilvl w:val="0"/>
          <w:numId w:val="0"/>
        </w:numPr>
        <w:rPr>
          <w:rFonts w:asciiTheme="minorHAnsi" w:hAnsiTheme="minorHAnsi" w:cstheme="minorHAnsi"/>
          <w:b/>
          <w:bCs/>
        </w:rPr>
      </w:pPr>
      <w:r w:rsidRPr="00984968">
        <w:rPr>
          <w:rFonts w:asciiTheme="minorHAnsi" w:hAnsiTheme="minorHAnsi" w:cstheme="minorHAnsi"/>
          <w:b/>
          <w:bCs/>
        </w:rPr>
        <w:t>At least two reasons for treating employees fairly in relation to pay. (AC 5.3)</w:t>
      </w:r>
    </w:p>
    <w:p w14:paraId="2546DCAB" w14:textId="426AEA62" w:rsidR="00995267" w:rsidRPr="00984968" w:rsidRDefault="00995267" w:rsidP="00995267">
      <w:pPr>
        <w:pStyle w:val="Listparag"/>
        <w:numPr>
          <w:ilvl w:val="0"/>
          <w:numId w:val="0"/>
        </w:numPr>
        <w:rPr>
          <w:rFonts w:asciiTheme="minorHAnsi" w:hAnsiTheme="minorHAnsi" w:cstheme="minorHAnsi"/>
          <w:kern w:val="0"/>
          <w14:ligatures w14:val="none"/>
        </w:rPr>
      </w:pPr>
      <w:r w:rsidRPr="00984968">
        <w:rPr>
          <w:rFonts w:asciiTheme="minorHAnsi" w:hAnsiTheme="minorHAnsi" w:cstheme="minorHAnsi"/>
        </w:rPr>
        <w:t xml:space="preserve">Ensuring fair pay practices is essential for both legal compliance and maintaining high employee morale and retention. Legally, organisations must comply with labour laws and regulations such as equal pay legislation and minimum wage laws to avoid legal issues and penalties. For instance, the UK’s Equality Act 2010 mandates equal pay for equal work, ensuring that men and women receive the same remuneration for comparable roles. (GOV.UK, 2013) Non-compliance can lead to significant legal repercussions and damage to the company’s reputation. On the employee side, fair pay practices are critical for morale and retention. When employees perceive that they are paid fairly for their contributions, they are more likely to feel valued and remain loyal to an organisation. For example, a company that regularly benchmarks its salaries against industry standards and adjusts pay to reflect performance and market rates can create a sense of fairness and equity among its </w:t>
      </w:r>
      <w:proofErr w:type="gramStart"/>
      <w:r w:rsidRPr="00984968">
        <w:rPr>
          <w:rFonts w:asciiTheme="minorHAnsi" w:hAnsiTheme="minorHAnsi" w:cstheme="minorHAnsi"/>
        </w:rPr>
        <w:t>workforce</w:t>
      </w:r>
      <w:proofErr w:type="gramEnd"/>
      <w:r w:rsidRPr="00984968">
        <w:rPr>
          <w:rFonts w:asciiTheme="minorHAnsi" w:hAnsiTheme="minorHAnsi" w:cstheme="minorHAnsi"/>
        </w:rPr>
        <w:t xml:space="preserve">. This in turn fosters a positive work environment, leading to higher levels of job satisfaction, engagement, and reduced turnover. </w:t>
      </w:r>
    </w:p>
    <w:p w14:paraId="3DEB9FAA" w14:textId="48D26F0D" w:rsidR="00C1488E" w:rsidRDefault="00C1488E" w:rsidP="009F6E05">
      <w:pPr>
        <w:rPr>
          <w:rFonts w:cstheme="minorHAnsi"/>
        </w:rPr>
      </w:pPr>
    </w:p>
    <w:p w14:paraId="4BFB30F2" w14:textId="77777777" w:rsidR="00C1488E" w:rsidRDefault="00C1488E">
      <w:pPr>
        <w:rPr>
          <w:rFonts w:cstheme="minorHAnsi"/>
        </w:rPr>
      </w:pPr>
      <w:r>
        <w:rPr>
          <w:rFonts w:cstheme="minorHAnsi"/>
        </w:rPr>
        <w:br w:type="page"/>
      </w:r>
    </w:p>
    <w:p w14:paraId="5D3B5901" w14:textId="522F3EC1" w:rsidR="00995267" w:rsidRDefault="00C1488E" w:rsidP="009F6E05">
      <w:pPr>
        <w:rPr>
          <w:rFonts w:cstheme="minorHAnsi"/>
        </w:rPr>
      </w:pPr>
      <w:r>
        <w:rPr>
          <w:rFonts w:cstheme="minorHAnsi"/>
        </w:rPr>
        <w:lastRenderedPageBreak/>
        <w:t>References</w:t>
      </w:r>
    </w:p>
    <w:p w14:paraId="67C23FBB"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CIPD (2024) </w:t>
      </w:r>
      <w:r w:rsidRPr="00C1488E">
        <w:rPr>
          <w:rFonts w:asciiTheme="minorHAnsi" w:hAnsiTheme="minorHAnsi" w:cstheme="minorHAnsi"/>
          <w:i/>
          <w:iCs/>
          <w:color w:val="000000"/>
          <w:sz w:val="22"/>
          <w:szCs w:val="22"/>
        </w:rPr>
        <w:t>CIPD | Performance Reviews | Factsheets</w:t>
      </w:r>
      <w:r w:rsidRPr="00C1488E">
        <w:rPr>
          <w:rFonts w:asciiTheme="minorHAnsi" w:hAnsiTheme="minorHAnsi" w:cstheme="minorHAnsi"/>
          <w:color w:val="000000"/>
          <w:sz w:val="22"/>
          <w:szCs w:val="22"/>
        </w:rPr>
        <w:t>, </w:t>
      </w:r>
      <w:r w:rsidRPr="00C1488E">
        <w:rPr>
          <w:rFonts w:asciiTheme="minorHAnsi" w:hAnsiTheme="minorHAnsi" w:cstheme="minorHAnsi"/>
          <w:i/>
          <w:iCs/>
          <w:color w:val="000000"/>
          <w:sz w:val="22"/>
          <w:szCs w:val="22"/>
        </w:rPr>
        <w:t>CIPD</w:t>
      </w:r>
      <w:r w:rsidRPr="00C1488E">
        <w:rPr>
          <w:rFonts w:asciiTheme="minorHAnsi" w:hAnsiTheme="minorHAnsi" w:cstheme="minorHAnsi"/>
          <w:color w:val="000000"/>
          <w:sz w:val="22"/>
          <w:szCs w:val="22"/>
        </w:rPr>
        <w:t xml:space="preserve">. Available at: </w:t>
      </w:r>
      <w:hyperlink r:id="rId10" w:anchor="The" w:history="1">
        <w:r w:rsidRPr="00C1488E">
          <w:rPr>
            <w:rStyle w:val="Hyperlink"/>
            <w:rFonts w:asciiTheme="minorHAnsi" w:hAnsiTheme="minorHAnsi" w:cstheme="minorHAnsi"/>
            <w:sz w:val="22"/>
            <w:szCs w:val="22"/>
          </w:rPr>
          <w:t>https://www.cipd.org/uk/knowledge/factsheets/appraisals-factsheet/#The</w:t>
        </w:r>
      </w:hyperlink>
      <w:r w:rsidRPr="00C1488E">
        <w:rPr>
          <w:rFonts w:asciiTheme="minorHAnsi" w:hAnsiTheme="minorHAnsi" w:cstheme="minorHAnsi"/>
          <w:color w:val="000000"/>
          <w:sz w:val="22"/>
          <w:szCs w:val="22"/>
        </w:rPr>
        <w:t>.</w:t>
      </w:r>
    </w:p>
    <w:p w14:paraId="2213D1FC"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6D6B7D59"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CIPD (2022) </w:t>
      </w:r>
      <w:r w:rsidRPr="00C1488E">
        <w:rPr>
          <w:rFonts w:asciiTheme="minorHAnsi" w:hAnsiTheme="minorHAnsi" w:cstheme="minorHAnsi"/>
          <w:i/>
          <w:iCs/>
          <w:color w:val="000000"/>
          <w:sz w:val="22"/>
          <w:szCs w:val="22"/>
        </w:rPr>
        <w:t>CIPD | Performance Management | Factsheets</w:t>
      </w:r>
      <w:r w:rsidRPr="00C1488E">
        <w:rPr>
          <w:rFonts w:asciiTheme="minorHAnsi" w:hAnsiTheme="minorHAnsi" w:cstheme="minorHAnsi"/>
          <w:color w:val="000000"/>
          <w:sz w:val="22"/>
          <w:szCs w:val="22"/>
        </w:rPr>
        <w:t>, </w:t>
      </w:r>
      <w:r w:rsidRPr="00C1488E">
        <w:rPr>
          <w:rFonts w:asciiTheme="minorHAnsi" w:hAnsiTheme="minorHAnsi" w:cstheme="minorHAnsi"/>
          <w:i/>
          <w:iCs/>
          <w:color w:val="000000"/>
          <w:sz w:val="22"/>
          <w:szCs w:val="22"/>
        </w:rPr>
        <w:t>CIPD</w:t>
      </w:r>
      <w:r w:rsidRPr="00C1488E">
        <w:rPr>
          <w:rFonts w:asciiTheme="minorHAnsi" w:hAnsiTheme="minorHAnsi" w:cstheme="minorHAnsi"/>
          <w:color w:val="000000"/>
          <w:sz w:val="22"/>
          <w:szCs w:val="22"/>
        </w:rPr>
        <w:t xml:space="preserve">. Available at: </w:t>
      </w:r>
      <w:hyperlink r:id="rId11" w:anchor=":~:text=%27Performance%20management%27%20describes%20the%20attempt" w:history="1">
        <w:r w:rsidRPr="00C1488E">
          <w:rPr>
            <w:rStyle w:val="Hyperlink"/>
            <w:rFonts w:asciiTheme="minorHAnsi" w:hAnsiTheme="minorHAnsi" w:cstheme="minorHAnsi"/>
            <w:sz w:val="22"/>
            <w:szCs w:val="22"/>
          </w:rPr>
          <w:t>https://www.cipd.org/uk/knowledge/factsheets/performance-factsheet/#:~:text=%27Performance%20management%27%20describes%20the%20attempt</w:t>
        </w:r>
      </w:hyperlink>
      <w:r w:rsidRPr="00C1488E">
        <w:rPr>
          <w:rFonts w:asciiTheme="minorHAnsi" w:hAnsiTheme="minorHAnsi" w:cstheme="minorHAnsi"/>
          <w:color w:val="000000"/>
          <w:sz w:val="22"/>
          <w:szCs w:val="22"/>
        </w:rPr>
        <w:t>.</w:t>
      </w:r>
    </w:p>
    <w:p w14:paraId="4FB4A024"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5F7052A1"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LinkedIn (</w:t>
      </w:r>
      <w:proofErr w:type="spellStart"/>
      <w:r w:rsidRPr="00C1488E">
        <w:rPr>
          <w:rFonts w:asciiTheme="minorHAnsi" w:hAnsiTheme="minorHAnsi" w:cstheme="minorHAnsi"/>
          <w:color w:val="000000"/>
          <w:sz w:val="22"/>
          <w:szCs w:val="22"/>
        </w:rPr>
        <w:t>nd</w:t>
      </w:r>
      <w:proofErr w:type="spellEnd"/>
      <w:r w:rsidRPr="00C1488E">
        <w:rPr>
          <w:rFonts w:asciiTheme="minorHAnsi" w:hAnsiTheme="minorHAnsi" w:cstheme="minorHAnsi"/>
          <w:color w:val="000000"/>
          <w:sz w:val="22"/>
          <w:szCs w:val="22"/>
        </w:rPr>
        <w:t>.) </w:t>
      </w:r>
      <w:hyperlink r:id="rId12" w:history="1">
        <w:r w:rsidRPr="00C1488E">
          <w:rPr>
            <w:rStyle w:val="Hyperlink"/>
            <w:rFonts w:asciiTheme="minorHAnsi" w:hAnsiTheme="minorHAnsi" w:cstheme="minorHAnsi"/>
            <w:i/>
            <w:iCs/>
            <w:sz w:val="22"/>
            <w:szCs w:val="22"/>
          </w:rPr>
          <w:t>www.linkedin.com</w:t>
        </w:r>
      </w:hyperlink>
      <w:r w:rsidRPr="00C1488E">
        <w:rPr>
          <w:rFonts w:asciiTheme="minorHAnsi" w:hAnsiTheme="minorHAnsi" w:cstheme="minorHAnsi"/>
          <w:color w:val="000000"/>
          <w:sz w:val="22"/>
          <w:szCs w:val="22"/>
        </w:rPr>
        <w:t xml:space="preserve">. Available at: </w:t>
      </w:r>
      <w:hyperlink r:id="rId13" w:history="1">
        <w:r w:rsidRPr="00C1488E">
          <w:rPr>
            <w:rStyle w:val="Hyperlink"/>
            <w:rFonts w:asciiTheme="minorHAnsi" w:hAnsiTheme="minorHAnsi" w:cstheme="minorHAnsi"/>
            <w:sz w:val="22"/>
            <w:szCs w:val="22"/>
          </w:rPr>
          <w:t>https://www.linkedin.com/pulse/importance-alignment-between-your-goals-organization-/</w:t>
        </w:r>
      </w:hyperlink>
      <w:r w:rsidRPr="00C1488E">
        <w:rPr>
          <w:rFonts w:asciiTheme="minorHAnsi" w:hAnsiTheme="minorHAnsi" w:cstheme="minorHAnsi"/>
          <w:color w:val="000000"/>
          <w:sz w:val="22"/>
          <w:szCs w:val="22"/>
        </w:rPr>
        <w:t>.</w:t>
      </w:r>
    </w:p>
    <w:p w14:paraId="731EC440"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7E5BBC50"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C1488E">
        <w:rPr>
          <w:rFonts w:asciiTheme="minorHAnsi" w:hAnsiTheme="minorHAnsi" w:cstheme="minorHAnsi"/>
          <w:color w:val="000000"/>
          <w:sz w:val="22"/>
          <w:szCs w:val="22"/>
        </w:rPr>
        <w:t>Workleap</w:t>
      </w:r>
      <w:proofErr w:type="spellEnd"/>
      <w:r w:rsidRPr="00C1488E">
        <w:rPr>
          <w:rFonts w:asciiTheme="minorHAnsi" w:hAnsiTheme="minorHAnsi" w:cstheme="minorHAnsi"/>
          <w:color w:val="000000"/>
          <w:sz w:val="22"/>
          <w:szCs w:val="22"/>
        </w:rPr>
        <w:t xml:space="preserve"> (2024). Available at: </w:t>
      </w:r>
      <w:hyperlink r:id="rId14" w:history="1">
        <w:r w:rsidRPr="00C1488E">
          <w:rPr>
            <w:rStyle w:val="Hyperlink"/>
            <w:rFonts w:asciiTheme="minorHAnsi" w:hAnsiTheme="minorHAnsi" w:cstheme="minorHAnsi"/>
            <w:sz w:val="22"/>
            <w:szCs w:val="22"/>
          </w:rPr>
          <w:t>https://workleap.com/blog/continuous-performance-management-process/</w:t>
        </w:r>
      </w:hyperlink>
      <w:r w:rsidRPr="00C1488E">
        <w:rPr>
          <w:rFonts w:asciiTheme="minorHAnsi" w:hAnsiTheme="minorHAnsi" w:cstheme="minorHAnsi"/>
          <w:color w:val="000000"/>
          <w:sz w:val="22"/>
          <w:szCs w:val="22"/>
        </w:rPr>
        <w:t>.</w:t>
      </w:r>
    </w:p>
    <w:p w14:paraId="20544D03"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i/>
          <w:iCs/>
          <w:color w:val="000000"/>
          <w:sz w:val="22"/>
          <w:szCs w:val="22"/>
        </w:rPr>
      </w:pPr>
    </w:p>
    <w:p w14:paraId="02F8CE7F" w14:textId="36B09B55"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i/>
          <w:iCs/>
          <w:color w:val="000000"/>
          <w:sz w:val="22"/>
          <w:szCs w:val="22"/>
        </w:rPr>
        <w:t xml:space="preserve">Performance Management Online </w:t>
      </w:r>
      <w:r w:rsidRPr="00C1488E">
        <w:rPr>
          <w:rFonts w:asciiTheme="minorHAnsi" w:hAnsiTheme="minorHAnsi" w:cstheme="minorHAnsi"/>
          <w:color w:val="000000"/>
          <w:sz w:val="22"/>
          <w:szCs w:val="22"/>
        </w:rPr>
        <w:t>(no date) </w:t>
      </w:r>
      <w:r w:rsidRPr="00C1488E">
        <w:rPr>
          <w:rFonts w:asciiTheme="minorHAnsi" w:hAnsiTheme="minorHAnsi" w:cstheme="minorHAnsi"/>
          <w:i/>
          <w:iCs/>
          <w:color w:val="000000"/>
          <w:sz w:val="22"/>
          <w:szCs w:val="22"/>
        </w:rPr>
        <w:t>United Kingdom</w:t>
      </w:r>
      <w:r w:rsidRPr="00C1488E">
        <w:rPr>
          <w:rFonts w:asciiTheme="minorHAnsi" w:hAnsiTheme="minorHAnsi" w:cstheme="minorHAnsi"/>
          <w:color w:val="000000"/>
          <w:sz w:val="22"/>
          <w:szCs w:val="22"/>
        </w:rPr>
        <w:t>. Available at: https://employmenthero.com/uk/hr-performance-management/?utm_source=google&amp;utm_medium=ppc&amp;utm_campaign=21163025737&amp;utm_content=163077632360&amp;utm_term=360+manager+evaluation&amp;gclsrc=aw.ds&amp;gad_source=1&amp;gclid=CjwKCAjwnK60BhA9EiwAmpHZw8PS_okqph4ZOvDqUj-kF9OdC8_G5sZ9iRhcRI16QIENjnzWPuLxYRoCeMsQAvD_BwE (Accessed: 8 July 2024).</w:t>
      </w:r>
    </w:p>
    <w:p w14:paraId="7998D5AA"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7749DDF4"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Indeed (</w:t>
      </w:r>
      <w:proofErr w:type="spellStart"/>
      <w:r w:rsidRPr="00C1488E">
        <w:rPr>
          <w:rFonts w:asciiTheme="minorHAnsi" w:hAnsiTheme="minorHAnsi" w:cstheme="minorHAnsi"/>
          <w:color w:val="000000"/>
          <w:sz w:val="22"/>
          <w:szCs w:val="22"/>
        </w:rPr>
        <w:t>nd</w:t>
      </w:r>
      <w:proofErr w:type="spellEnd"/>
      <w:r w:rsidRPr="00C1488E">
        <w:rPr>
          <w:rFonts w:asciiTheme="minorHAnsi" w:hAnsiTheme="minorHAnsi" w:cstheme="minorHAnsi"/>
          <w:color w:val="000000"/>
          <w:sz w:val="22"/>
          <w:szCs w:val="22"/>
        </w:rPr>
        <w:t xml:space="preserve">.) Available at: </w:t>
      </w:r>
      <w:hyperlink r:id="rId15" w:history="1">
        <w:r w:rsidRPr="00C1488E">
          <w:rPr>
            <w:rStyle w:val="Hyperlink"/>
            <w:rFonts w:asciiTheme="minorHAnsi" w:hAnsiTheme="minorHAnsi" w:cstheme="minorHAnsi"/>
            <w:sz w:val="22"/>
            <w:szCs w:val="22"/>
          </w:rPr>
          <w:t>https://uk.indeed.com/career-advice/career-development/what-is-total-reward</w:t>
        </w:r>
      </w:hyperlink>
      <w:r w:rsidRPr="00C1488E">
        <w:rPr>
          <w:rFonts w:asciiTheme="minorHAnsi" w:hAnsiTheme="minorHAnsi" w:cstheme="minorHAnsi"/>
          <w:color w:val="000000"/>
          <w:sz w:val="22"/>
          <w:szCs w:val="22"/>
        </w:rPr>
        <w:t>.</w:t>
      </w:r>
    </w:p>
    <w:p w14:paraId="67D4DBF0"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6C068198"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‌Cotton, C. (2024) </w:t>
      </w:r>
      <w:r w:rsidRPr="00C1488E">
        <w:rPr>
          <w:rFonts w:asciiTheme="minorHAnsi" w:hAnsiTheme="minorHAnsi" w:cstheme="minorHAnsi"/>
          <w:i/>
          <w:iCs/>
          <w:color w:val="000000"/>
          <w:sz w:val="22"/>
          <w:szCs w:val="22"/>
        </w:rPr>
        <w:t>CIPD | Reward | Factsheets</w:t>
      </w:r>
      <w:r w:rsidRPr="00C1488E">
        <w:rPr>
          <w:rFonts w:asciiTheme="minorHAnsi" w:hAnsiTheme="minorHAnsi" w:cstheme="minorHAnsi"/>
          <w:color w:val="000000"/>
          <w:sz w:val="22"/>
          <w:szCs w:val="22"/>
        </w:rPr>
        <w:t>, </w:t>
      </w:r>
      <w:r w:rsidRPr="00C1488E">
        <w:rPr>
          <w:rFonts w:asciiTheme="minorHAnsi" w:hAnsiTheme="minorHAnsi" w:cstheme="minorHAnsi"/>
          <w:i/>
          <w:iCs/>
          <w:color w:val="000000"/>
          <w:sz w:val="22"/>
          <w:szCs w:val="22"/>
        </w:rPr>
        <w:t>CIPD</w:t>
      </w:r>
      <w:r w:rsidRPr="00C1488E">
        <w:rPr>
          <w:rFonts w:asciiTheme="minorHAnsi" w:hAnsiTheme="minorHAnsi" w:cstheme="minorHAnsi"/>
          <w:color w:val="000000"/>
          <w:sz w:val="22"/>
          <w:szCs w:val="22"/>
        </w:rPr>
        <w:t xml:space="preserve">. Available at: </w:t>
      </w:r>
      <w:hyperlink r:id="rId16" w:history="1">
        <w:r w:rsidRPr="00C1488E">
          <w:rPr>
            <w:rStyle w:val="Hyperlink"/>
            <w:rFonts w:asciiTheme="minorHAnsi" w:hAnsiTheme="minorHAnsi" w:cstheme="minorHAnsi"/>
            <w:sz w:val="22"/>
            <w:szCs w:val="22"/>
          </w:rPr>
          <w:t>https://www.cipd.org/uk/knowledge/factsheets/reward-factsheet/</w:t>
        </w:r>
      </w:hyperlink>
      <w:r w:rsidRPr="00C1488E">
        <w:rPr>
          <w:rFonts w:asciiTheme="minorHAnsi" w:hAnsiTheme="minorHAnsi" w:cstheme="minorHAnsi"/>
          <w:color w:val="000000"/>
          <w:sz w:val="22"/>
          <w:szCs w:val="22"/>
        </w:rPr>
        <w:t>.</w:t>
      </w:r>
    </w:p>
    <w:p w14:paraId="50A68447"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1F2D6C8A"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CIPD (2022). </w:t>
      </w:r>
      <w:r w:rsidRPr="00C1488E">
        <w:rPr>
          <w:rFonts w:asciiTheme="minorHAnsi" w:hAnsiTheme="minorHAnsi" w:cstheme="minorHAnsi"/>
          <w:i/>
          <w:iCs/>
          <w:color w:val="000000"/>
          <w:sz w:val="22"/>
          <w:szCs w:val="22"/>
        </w:rPr>
        <w:t xml:space="preserve">An evidence </w:t>
      </w:r>
      <w:proofErr w:type="gramStart"/>
      <w:r w:rsidRPr="00C1488E">
        <w:rPr>
          <w:rFonts w:asciiTheme="minorHAnsi" w:hAnsiTheme="minorHAnsi" w:cstheme="minorHAnsi"/>
          <w:i/>
          <w:iCs/>
          <w:color w:val="000000"/>
          <w:sz w:val="22"/>
          <w:szCs w:val="22"/>
        </w:rPr>
        <w:t>review</w:t>
      </w:r>
      <w:proofErr w:type="gramEnd"/>
      <w:r w:rsidRPr="00C1488E">
        <w:rPr>
          <w:rFonts w:asciiTheme="minorHAnsi" w:hAnsiTheme="minorHAnsi" w:cstheme="minorHAnsi"/>
          <w:i/>
          <w:iCs/>
          <w:color w:val="000000"/>
          <w:sz w:val="22"/>
          <w:szCs w:val="22"/>
        </w:rPr>
        <w:t xml:space="preserve"> INCENTIVES AND RECOGNITION Practice summary and recommendations</w:t>
      </w:r>
      <w:r w:rsidRPr="00C1488E">
        <w:rPr>
          <w:rFonts w:asciiTheme="minorHAnsi" w:hAnsiTheme="minorHAnsi" w:cstheme="minorHAnsi"/>
          <w:color w:val="000000"/>
          <w:sz w:val="22"/>
          <w:szCs w:val="22"/>
        </w:rPr>
        <w:t>. [online] </w:t>
      </w:r>
      <w:r w:rsidRPr="00C1488E">
        <w:rPr>
          <w:rFonts w:asciiTheme="minorHAnsi" w:hAnsiTheme="minorHAnsi" w:cstheme="minorHAnsi"/>
          <w:i/>
          <w:iCs/>
          <w:color w:val="000000"/>
          <w:sz w:val="22"/>
          <w:szCs w:val="22"/>
        </w:rPr>
        <w:t>CIPD</w:t>
      </w:r>
      <w:r w:rsidRPr="00C1488E">
        <w:rPr>
          <w:rFonts w:asciiTheme="minorHAnsi" w:hAnsiTheme="minorHAnsi" w:cstheme="minorHAnsi"/>
          <w:color w:val="000000"/>
          <w:sz w:val="22"/>
          <w:szCs w:val="22"/>
        </w:rPr>
        <w:t xml:space="preserve">. Available at: </w:t>
      </w:r>
      <w:hyperlink r:id="rId17" w:history="1">
        <w:r w:rsidRPr="00C1488E">
          <w:rPr>
            <w:rStyle w:val="Hyperlink"/>
            <w:rFonts w:asciiTheme="minorHAnsi" w:hAnsiTheme="minorHAnsi" w:cstheme="minorHAnsi"/>
            <w:sz w:val="22"/>
            <w:szCs w:val="22"/>
          </w:rPr>
          <w:t>https://www.cipd.org/globalassets/media/knowledge/knowledge-hub/evidence-reviews/incentives-recognition-practice-summary_tcm18-105466.pdf</w:t>
        </w:r>
      </w:hyperlink>
      <w:r w:rsidRPr="00C1488E">
        <w:rPr>
          <w:rFonts w:asciiTheme="minorHAnsi" w:hAnsiTheme="minorHAnsi" w:cstheme="minorHAnsi"/>
          <w:color w:val="000000"/>
          <w:sz w:val="22"/>
          <w:szCs w:val="22"/>
        </w:rPr>
        <w:t>.</w:t>
      </w:r>
    </w:p>
    <w:p w14:paraId="2CA9AE52"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04913E82"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Krasinski, M. (n.d.). </w:t>
      </w:r>
      <w:r w:rsidRPr="00C1488E">
        <w:rPr>
          <w:rFonts w:asciiTheme="minorHAnsi" w:hAnsiTheme="minorHAnsi" w:cstheme="minorHAnsi"/>
          <w:i/>
          <w:iCs/>
          <w:color w:val="000000"/>
          <w:sz w:val="22"/>
          <w:szCs w:val="22"/>
        </w:rPr>
        <w:t>Practice in Performance and Reward Management</w:t>
      </w:r>
      <w:r w:rsidRPr="00C1488E">
        <w:rPr>
          <w:rFonts w:asciiTheme="minorHAnsi" w:hAnsiTheme="minorHAnsi" w:cstheme="minorHAnsi"/>
          <w:color w:val="000000"/>
          <w:sz w:val="22"/>
          <w:szCs w:val="22"/>
        </w:rPr>
        <w:t xml:space="preserve">. [online] </w:t>
      </w:r>
      <w:proofErr w:type="spellStart"/>
      <w:r w:rsidRPr="00C1488E">
        <w:rPr>
          <w:rFonts w:asciiTheme="minorHAnsi" w:hAnsiTheme="minorHAnsi" w:cstheme="minorHAnsi"/>
          <w:color w:val="000000"/>
          <w:sz w:val="22"/>
          <w:szCs w:val="22"/>
        </w:rPr>
        <w:t>HRZone</w:t>
      </w:r>
      <w:proofErr w:type="spellEnd"/>
      <w:r w:rsidRPr="00C1488E">
        <w:rPr>
          <w:rFonts w:asciiTheme="minorHAnsi" w:hAnsiTheme="minorHAnsi" w:cstheme="minorHAnsi"/>
          <w:color w:val="000000"/>
          <w:sz w:val="22"/>
          <w:szCs w:val="22"/>
        </w:rPr>
        <w:t xml:space="preserve">. Available at: </w:t>
      </w:r>
      <w:hyperlink r:id="rId18" w:history="1">
        <w:r w:rsidRPr="00C1488E">
          <w:rPr>
            <w:rStyle w:val="Hyperlink"/>
            <w:rFonts w:asciiTheme="minorHAnsi" w:hAnsiTheme="minorHAnsi" w:cstheme="minorHAnsi"/>
            <w:sz w:val="22"/>
            <w:szCs w:val="22"/>
          </w:rPr>
          <w:t>https://hrzone.com/blog/practice-in-performance-and-reward-management/</w:t>
        </w:r>
      </w:hyperlink>
      <w:r w:rsidRPr="00C1488E">
        <w:rPr>
          <w:rFonts w:asciiTheme="minorHAnsi" w:hAnsiTheme="minorHAnsi" w:cstheme="minorHAnsi"/>
          <w:color w:val="000000"/>
          <w:sz w:val="22"/>
          <w:szCs w:val="22"/>
        </w:rPr>
        <w:t>.</w:t>
      </w:r>
    </w:p>
    <w:p w14:paraId="5317B5FA" w14:textId="77777777"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p>
    <w:p w14:paraId="5711FA75" w14:textId="1B2C4508" w:rsidR="00C1488E" w:rsidRPr="00C1488E" w:rsidRDefault="00C1488E" w:rsidP="00C1488E">
      <w:pPr>
        <w:pStyle w:val="NormalWeb"/>
        <w:spacing w:before="0" w:beforeAutospacing="0" w:after="0" w:afterAutospacing="0" w:line="360" w:lineRule="atLeast"/>
        <w:rPr>
          <w:rFonts w:asciiTheme="minorHAnsi" w:hAnsiTheme="minorHAnsi" w:cstheme="minorHAnsi"/>
          <w:color w:val="000000"/>
          <w:sz w:val="22"/>
          <w:szCs w:val="22"/>
        </w:rPr>
      </w:pPr>
      <w:r w:rsidRPr="00C1488E">
        <w:rPr>
          <w:rFonts w:asciiTheme="minorHAnsi" w:hAnsiTheme="minorHAnsi" w:cstheme="minorHAnsi"/>
          <w:color w:val="000000"/>
          <w:sz w:val="22"/>
          <w:szCs w:val="22"/>
        </w:rPr>
        <w:t>GOV.UK (2013). </w:t>
      </w:r>
      <w:r w:rsidRPr="00C1488E">
        <w:rPr>
          <w:rFonts w:asciiTheme="minorHAnsi" w:hAnsiTheme="minorHAnsi" w:cstheme="minorHAnsi"/>
          <w:i/>
          <w:iCs/>
          <w:color w:val="000000"/>
          <w:sz w:val="22"/>
          <w:szCs w:val="22"/>
        </w:rPr>
        <w:t>Equality Act 2010</w:t>
      </w:r>
      <w:r w:rsidRPr="00C1488E">
        <w:rPr>
          <w:rFonts w:asciiTheme="minorHAnsi" w:hAnsiTheme="minorHAnsi" w:cstheme="minorHAnsi"/>
          <w:color w:val="000000"/>
          <w:sz w:val="22"/>
          <w:szCs w:val="22"/>
        </w:rPr>
        <w:t xml:space="preserve">. [online] Gov.Uk. Available at: </w:t>
      </w:r>
      <w:hyperlink r:id="rId19" w:history="1">
        <w:r w:rsidRPr="00C1488E">
          <w:rPr>
            <w:rStyle w:val="Hyperlink"/>
            <w:rFonts w:asciiTheme="minorHAnsi" w:hAnsiTheme="minorHAnsi" w:cstheme="minorHAnsi"/>
            <w:sz w:val="22"/>
            <w:szCs w:val="22"/>
          </w:rPr>
          <w:t>https://www.gov.uk/guidance/equality-act-2010-guidance</w:t>
        </w:r>
      </w:hyperlink>
      <w:r w:rsidRPr="00C1488E">
        <w:rPr>
          <w:rFonts w:asciiTheme="minorHAnsi" w:hAnsiTheme="minorHAnsi" w:cstheme="minorHAnsi"/>
          <w:color w:val="000000"/>
          <w:sz w:val="22"/>
          <w:szCs w:val="22"/>
        </w:rPr>
        <w:t>.</w:t>
      </w:r>
    </w:p>
    <w:sectPr w:rsidR="00C1488E" w:rsidRPr="00C1488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EB32B" w14:textId="77777777" w:rsidR="005549D6" w:rsidRDefault="005549D6" w:rsidP="00B650B3">
      <w:pPr>
        <w:spacing w:after="0" w:line="240" w:lineRule="auto"/>
      </w:pPr>
      <w:r>
        <w:separator/>
      </w:r>
    </w:p>
  </w:endnote>
  <w:endnote w:type="continuationSeparator" w:id="0">
    <w:p w14:paraId="5491F79A" w14:textId="77777777" w:rsidR="005549D6" w:rsidRDefault="005549D6" w:rsidP="00B65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C492D0" w14:textId="6B7F7B94" w:rsidR="00B650B3" w:rsidRDefault="00B650B3">
    <w:pPr>
      <w:pStyle w:val="Footer"/>
    </w:pPr>
    <w:r>
      <w:t>Carl Jordan Harries</w:t>
    </w:r>
    <w:r>
      <w:ptab w:relativeTo="margin" w:alignment="center" w:leader="none"/>
    </w:r>
    <w:r w:rsidR="0000208C">
      <w:t xml:space="preserve">Word count: </w:t>
    </w:r>
    <w:r w:rsidR="00995267">
      <w:t>1563</w:t>
    </w:r>
    <w:r>
      <w:ptab w:relativeTo="margin" w:alignment="right" w:leader="none"/>
    </w:r>
    <w:r>
      <w:t>2318469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DB9D67" w14:textId="77777777" w:rsidR="005549D6" w:rsidRDefault="005549D6" w:rsidP="00B650B3">
      <w:pPr>
        <w:spacing w:after="0" w:line="240" w:lineRule="auto"/>
      </w:pPr>
      <w:r>
        <w:separator/>
      </w:r>
    </w:p>
  </w:footnote>
  <w:footnote w:type="continuationSeparator" w:id="0">
    <w:p w14:paraId="7BFD2374" w14:textId="77777777" w:rsidR="005549D6" w:rsidRDefault="005549D6" w:rsidP="00B65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A5E89"/>
    <w:multiLevelType w:val="hybridMultilevel"/>
    <w:tmpl w:val="3514C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1830B01"/>
    <w:multiLevelType w:val="hybridMultilevel"/>
    <w:tmpl w:val="2086F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0B39DB"/>
    <w:multiLevelType w:val="hybridMultilevel"/>
    <w:tmpl w:val="E5C68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4D6D1FC8"/>
    <w:multiLevelType w:val="multilevel"/>
    <w:tmpl w:val="F0E8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333652"/>
    <w:multiLevelType w:val="hybridMultilevel"/>
    <w:tmpl w:val="9880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C7142C"/>
    <w:multiLevelType w:val="multilevel"/>
    <w:tmpl w:val="0E10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4054736">
    <w:abstractNumId w:val="4"/>
    <w:lvlOverride w:ilvl="0">
      <w:startOverride w:val="1"/>
    </w:lvlOverride>
    <w:lvlOverride w:ilvl="1"/>
    <w:lvlOverride w:ilvl="2"/>
    <w:lvlOverride w:ilvl="3"/>
    <w:lvlOverride w:ilvl="4"/>
    <w:lvlOverride w:ilvl="5"/>
    <w:lvlOverride w:ilvl="6"/>
    <w:lvlOverride w:ilvl="7"/>
    <w:lvlOverride w:ilvl="8"/>
  </w:num>
  <w:num w:numId="2" w16cid:durableId="1598830085">
    <w:abstractNumId w:val="5"/>
  </w:num>
  <w:num w:numId="3" w16cid:durableId="1724061812">
    <w:abstractNumId w:val="7"/>
  </w:num>
  <w:num w:numId="4" w16cid:durableId="743375604">
    <w:abstractNumId w:val="1"/>
  </w:num>
  <w:num w:numId="5" w16cid:durableId="468595441">
    <w:abstractNumId w:val="6"/>
  </w:num>
  <w:num w:numId="6" w16cid:durableId="2636956">
    <w:abstractNumId w:val="1"/>
  </w:num>
  <w:num w:numId="7" w16cid:durableId="1632982667">
    <w:abstractNumId w:val="4"/>
  </w:num>
  <w:num w:numId="8" w16cid:durableId="1312099408">
    <w:abstractNumId w:val="0"/>
  </w:num>
  <w:num w:numId="9" w16cid:durableId="1090539337">
    <w:abstractNumId w:val="3"/>
  </w:num>
  <w:num w:numId="10" w16cid:durableId="413821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8A6"/>
    <w:rsid w:val="0000208C"/>
    <w:rsid w:val="000032EC"/>
    <w:rsid w:val="000570F0"/>
    <w:rsid w:val="00057D7E"/>
    <w:rsid w:val="00082358"/>
    <w:rsid w:val="000C1036"/>
    <w:rsid w:val="001336DC"/>
    <w:rsid w:val="00161449"/>
    <w:rsid w:val="001927ED"/>
    <w:rsid w:val="001B4DA9"/>
    <w:rsid w:val="001B62B0"/>
    <w:rsid w:val="001E32AE"/>
    <w:rsid w:val="00210045"/>
    <w:rsid w:val="00227108"/>
    <w:rsid w:val="0023173B"/>
    <w:rsid w:val="0024196E"/>
    <w:rsid w:val="0025727F"/>
    <w:rsid w:val="00261F15"/>
    <w:rsid w:val="002834EF"/>
    <w:rsid w:val="002A17DD"/>
    <w:rsid w:val="002E45AE"/>
    <w:rsid w:val="00301D33"/>
    <w:rsid w:val="00305186"/>
    <w:rsid w:val="00307DE8"/>
    <w:rsid w:val="003261CF"/>
    <w:rsid w:val="00331BC4"/>
    <w:rsid w:val="003839D3"/>
    <w:rsid w:val="00385829"/>
    <w:rsid w:val="00386463"/>
    <w:rsid w:val="003F37E9"/>
    <w:rsid w:val="00463943"/>
    <w:rsid w:val="0047735E"/>
    <w:rsid w:val="004A7F41"/>
    <w:rsid w:val="004C6EBA"/>
    <w:rsid w:val="004D6698"/>
    <w:rsid w:val="004E0CF3"/>
    <w:rsid w:val="004E16DF"/>
    <w:rsid w:val="004E530C"/>
    <w:rsid w:val="00522A72"/>
    <w:rsid w:val="005549D6"/>
    <w:rsid w:val="005762EE"/>
    <w:rsid w:val="00597A18"/>
    <w:rsid w:val="005C4C0D"/>
    <w:rsid w:val="005D3BBB"/>
    <w:rsid w:val="00645AF0"/>
    <w:rsid w:val="00647407"/>
    <w:rsid w:val="00654598"/>
    <w:rsid w:val="006A6AF0"/>
    <w:rsid w:val="00726D87"/>
    <w:rsid w:val="00742467"/>
    <w:rsid w:val="0076275F"/>
    <w:rsid w:val="0077351A"/>
    <w:rsid w:val="007774FD"/>
    <w:rsid w:val="00785670"/>
    <w:rsid w:val="007B7CA1"/>
    <w:rsid w:val="007C388D"/>
    <w:rsid w:val="007F6AFA"/>
    <w:rsid w:val="00813AD2"/>
    <w:rsid w:val="008519F2"/>
    <w:rsid w:val="008567C4"/>
    <w:rsid w:val="00892D67"/>
    <w:rsid w:val="008C1F5F"/>
    <w:rsid w:val="008C3A59"/>
    <w:rsid w:val="008D6CE1"/>
    <w:rsid w:val="008E0F2A"/>
    <w:rsid w:val="00912F19"/>
    <w:rsid w:val="00974301"/>
    <w:rsid w:val="0098239C"/>
    <w:rsid w:val="00984968"/>
    <w:rsid w:val="00987FB5"/>
    <w:rsid w:val="00993171"/>
    <w:rsid w:val="00995267"/>
    <w:rsid w:val="0099776B"/>
    <w:rsid w:val="009B1771"/>
    <w:rsid w:val="009B2ABD"/>
    <w:rsid w:val="009F6E05"/>
    <w:rsid w:val="00A11BCE"/>
    <w:rsid w:val="00A14B85"/>
    <w:rsid w:val="00A170A4"/>
    <w:rsid w:val="00A216F8"/>
    <w:rsid w:val="00A52F1D"/>
    <w:rsid w:val="00A71A0F"/>
    <w:rsid w:val="00A908E0"/>
    <w:rsid w:val="00AA6584"/>
    <w:rsid w:val="00AB61E2"/>
    <w:rsid w:val="00AC0251"/>
    <w:rsid w:val="00AE1B44"/>
    <w:rsid w:val="00AE3975"/>
    <w:rsid w:val="00AF7391"/>
    <w:rsid w:val="00B018A6"/>
    <w:rsid w:val="00B32052"/>
    <w:rsid w:val="00B33B0B"/>
    <w:rsid w:val="00B42F6B"/>
    <w:rsid w:val="00B650B3"/>
    <w:rsid w:val="00B709EA"/>
    <w:rsid w:val="00BD7523"/>
    <w:rsid w:val="00C1488E"/>
    <w:rsid w:val="00C35232"/>
    <w:rsid w:val="00C70E8F"/>
    <w:rsid w:val="00C87B89"/>
    <w:rsid w:val="00C87D52"/>
    <w:rsid w:val="00CE00F0"/>
    <w:rsid w:val="00D34D9D"/>
    <w:rsid w:val="00D37237"/>
    <w:rsid w:val="00D616B0"/>
    <w:rsid w:val="00D640D0"/>
    <w:rsid w:val="00D768C1"/>
    <w:rsid w:val="00D91C23"/>
    <w:rsid w:val="00DA22B7"/>
    <w:rsid w:val="00DA251E"/>
    <w:rsid w:val="00DB4A54"/>
    <w:rsid w:val="00DF34C4"/>
    <w:rsid w:val="00E431BB"/>
    <w:rsid w:val="00E6381C"/>
    <w:rsid w:val="00E756F2"/>
    <w:rsid w:val="00E8733A"/>
    <w:rsid w:val="00EA3299"/>
    <w:rsid w:val="00EC113D"/>
    <w:rsid w:val="00F0402D"/>
    <w:rsid w:val="00F2597A"/>
    <w:rsid w:val="00F4674A"/>
    <w:rsid w:val="00FA2B0A"/>
    <w:rsid w:val="00FE6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D826"/>
  <w15:chartTrackingRefBased/>
  <w15:docId w15:val="{97CDA492-9080-4FC0-989C-E74CD7F7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768C1"/>
    <w:rPr>
      <w:rFonts w:ascii="Arial" w:hAnsi="Arial" w:cs="Arial"/>
    </w:rPr>
  </w:style>
  <w:style w:type="paragraph" w:styleId="ListParagraph">
    <w:name w:val="List Paragraph"/>
    <w:basedOn w:val="Normal"/>
    <w:link w:val="ListParagraphChar"/>
    <w:uiPriority w:val="34"/>
    <w:qFormat/>
    <w:rsid w:val="00D768C1"/>
    <w:pPr>
      <w:spacing w:after="0" w:line="256" w:lineRule="auto"/>
      <w:ind w:left="720"/>
      <w:contextualSpacing/>
    </w:pPr>
    <w:rPr>
      <w:rFonts w:ascii="Arial" w:hAnsi="Arial" w:cs="Arial"/>
    </w:rPr>
  </w:style>
  <w:style w:type="paragraph" w:styleId="NormalWeb">
    <w:name w:val="Normal (Web)"/>
    <w:basedOn w:val="Normal"/>
    <w:uiPriority w:val="99"/>
    <w:unhideWhenUsed/>
    <w:rsid w:val="005C4C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19F2"/>
    <w:rPr>
      <w:i/>
      <w:iCs/>
    </w:rPr>
  </w:style>
  <w:style w:type="character" w:styleId="Hyperlink">
    <w:name w:val="Hyperlink"/>
    <w:basedOn w:val="DefaultParagraphFont"/>
    <w:uiPriority w:val="99"/>
    <w:unhideWhenUsed/>
    <w:rsid w:val="00B709EA"/>
    <w:rPr>
      <w:color w:val="0000FF"/>
      <w:u w:val="single"/>
    </w:rPr>
  </w:style>
  <w:style w:type="character" w:styleId="UnresolvedMention">
    <w:name w:val="Unresolved Mention"/>
    <w:basedOn w:val="DefaultParagraphFont"/>
    <w:uiPriority w:val="99"/>
    <w:semiHidden/>
    <w:unhideWhenUsed/>
    <w:rsid w:val="00892D67"/>
    <w:rPr>
      <w:color w:val="605E5C"/>
      <w:shd w:val="clear" w:color="auto" w:fill="E1DFDD"/>
    </w:rPr>
  </w:style>
  <w:style w:type="paragraph" w:styleId="Header">
    <w:name w:val="header"/>
    <w:basedOn w:val="Normal"/>
    <w:link w:val="HeaderChar"/>
    <w:uiPriority w:val="99"/>
    <w:unhideWhenUsed/>
    <w:rsid w:val="00B65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0B3"/>
  </w:style>
  <w:style w:type="paragraph" w:styleId="Footer">
    <w:name w:val="footer"/>
    <w:basedOn w:val="Normal"/>
    <w:link w:val="FooterChar"/>
    <w:uiPriority w:val="99"/>
    <w:unhideWhenUsed/>
    <w:rsid w:val="00B65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0B3"/>
  </w:style>
  <w:style w:type="character" w:customStyle="1" w:styleId="ListparagChar">
    <w:name w:val="List parag Char"/>
    <w:basedOn w:val="DefaultParagraphFont"/>
    <w:link w:val="Listparag"/>
    <w:locked/>
    <w:rsid w:val="00AF7391"/>
    <w:rPr>
      <w:rFonts w:ascii="Arial" w:eastAsia="Times New Roman" w:hAnsi="Arial" w:cs="Arial"/>
      <w:lang w:eastAsia="en-GB"/>
    </w:rPr>
  </w:style>
  <w:style w:type="paragraph" w:customStyle="1" w:styleId="Listparag">
    <w:name w:val="List parag"/>
    <w:basedOn w:val="ListParagraph"/>
    <w:link w:val="ListparagChar"/>
    <w:qFormat/>
    <w:rsid w:val="00AF7391"/>
    <w:pPr>
      <w:numPr>
        <w:numId w:val="4"/>
      </w:numPr>
      <w:spacing w:after="120" w:line="264" w:lineRule="auto"/>
      <w:contextualSpacing w:val="0"/>
    </w:pPr>
    <w:rPr>
      <w:rFonts w:eastAsia="Times New Roman"/>
      <w:lang w:eastAsia="en-GB"/>
    </w:rPr>
  </w:style>
  <w:style w:type="paragraph" w:styleId="NoSpacing">
    <w:name w:val="No Spacing"/>
    <w:uiPriority w:val="1"/>
    <w:qFormat/>
    <w:rsid w:val="007F6AFA"/>
    <w:pPr>
      <w:spacing w:after="0" w:line="240" w:lineRule="auto"/>
    </w:pPr>
  </w:style>
  <w:style w:type="character" w:styleId="Strong">
    <w:name w:val="Strong"/>
    <w:basedOn w:val="DefaultParagraphFont"/>
    <w:uiPriority w:val="22"/>
    <w:qFormat/>
    <w:rsid w:val="00AA658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353116">
      <w:bodyDiv w:val="1"/>
      <w:marLeft w:val="0"/>
      <w:marRight w:val="0"/>
      <w:marTop w:val="0"/>
      <w:marBottom w:val="0"/>
      <w:divBdr>
        <w:top w:val="none" w:sz="0" w:space="0" w:color="auto"/>
        <w:left w:val="none" w:sz="0" w:space="0" w:color="auto"/>
        <w:bottom w:val="none" w:sz="0" w:space="0" w:color="auto"/>
        <w:right w:val="none" w:sz="0" w:space="0" w:color="auto"/>
      </w:divBdr>
    </w:div>
    <w:div w:id="154928883">
      <w:bodyDiv w:val="1"/>
      <w:marLeft w:val="0"/>
      <w:marRight w:val="0"/>
      <w:marTop w:val="0"/>
      <w:marBottom w:val="0"/>
      <w:divBdr>
        <w:top w:val="none" w:sz="0" w:space="0" w:color="auto"/>
        <w:left w:val="none" w:sz="0" w:space="0" w:color="auto"/>
        <w:bottom w:val="none" w:sz="0" w:space="0" w:color="auto"/>
        <w:right w:val="none" w:sz="0" w:space="0" w:color="auto"/>
      </w:divBdr>
    </w:div>
    <w:div w:id="222719587">
      <w:bodyDiv w:val="1"/>
      <w:marLeft w:val="0"/>
      <w:marRight w:val="0"/>
      <w:marTop w:val="0"/>
      <w:marBottom w:val="0"/>
      <w:divBdr>
        <w:top w:val="none" w:sz="0" w:space="0" w:color="auto"/>
        <w:left w:val="none" w:sz="0" w:space="0" w:color="auto"/>
        <w:bottom w:val="none" w:sz="0" w:space="0" w:color="auto"/>
        <w:right w:val="none" w:sz="0" w:space="0" w:color="auto"/>
      </w:divBdr>
    </w:div>
    <w:div w:id="237982803">
      <w:bodyDiv w:val="1"/>
      <w:marLeft w:val="0"/>
      <w:marRight w:val="0"/>
      <w:marTop w:val="0"/>
      <w:marBottom w:val="0"/>
      <w:divBdr>
        <w:top w:val="none" w:sz="0" w:space="0" w:color="auto"/>
        <w:left w:val="none" w:sz="0" w:space="0" w:color="auto"/>
        <w:bottom w:val="none" w:sz="0" w:space="0" w:color="auto"/>
        <w:right w:val="none" w:sz="0" w:space="0" w:color="auto"/>
      </w:divBdr>
    </w:div>
    <w:div w:id="255942053">
      <w:bodyDiv w:val="1"/>
      <w:marLeft w:val="0"/>
      <w:marRight w:val="0"/>
      <w:marTop w:val="0"/>
      <w:marBottom w:val="0"/>
      <w:divBdr>
        <w:top w:val="none" w:sz="0" w:space="0" w:color="auto"/>
        <w:left w:val="none" w:sz="0" w:space="0" w:color="auto"/>
        <w:bottom w:val="none" w:sz="0" w:space="0" w:color="auto"/>
        <w:right w:val="none" w:sz="0" w:space="0" w:color="auto"/>
      </w:divBdr>
    </w:div>
    <w:div w:id="280767912">
      <w:bodyDiv w:val="1"/>
      <w:marLeft w:val="0"/>
      <w:marRight w:val="0"/>
      <w:marTop w:val="0"/>
      <w:marBottom w:val="0"/>
      <w:divBdr>
        <w:top w:val="none" w:sz="0" w:space="0" w:color="auto"/>
        <w:left w:val="none" w:sz="0" w:space="0" w:color="auto"/>
        <w:bottom w:val="none" w:sz="0" w:space="0" w:color="auto"/>
        <w:right w:val="none" w:sz="0" w:space="0" w:color="auto"/>
      </w:divBdr>
    </w:div>
    <w:div w:id="323320746">
      <w:bodyDiv w:val="1"/>
      <w:marLeft w:val="0"/>
      <w:marRight w:val="0"/>
      <w:marTop w:val="0"/>
      <w:marBottom w:val="0"/>
      <w:divBdr>
        <w:top w:val="none" w:sz="0" w:space="0" w:color="auto"/>
        <w:left w:val="none" w:sz="0" w:space="0" w:color="auto"/>
        <w:bottom w:val="none" w:sz="0" w:space="0" w:color="auto"/>
        <w:right w:val="none" w:sz="0" w:space="0" w:color="auto"/>
      </w:divBdr>
    </w:div>
    <w:div w:id="384571315">
      <w:bodyDiv w:val="1"/>
      <w:marLeft w:val="0"/>
      <w:marRight w:val="0"/>
      <w:marTop w:val="0"/>
      <w:marBottom w:val="0"/>
      <w:divBdr>
        <w:top w:val="none" w:sz="0" w:space="0" w:color="auto"/>
        <w:left w:val="none" w:sz="0" w:space="0" w:color="auto"/>
        <w:bottom w:val="none" w:sz="0" w:space="0" w:color="auto"/>
        <w:right w:val="none" w:sz="0" w:space="0" w:color="auto"/>
      </w:divBdr>
    </w:div>
    <w:div w:id="425925186">
      <w:bodyDiv w:val="1"/>
      <w:marLeft w:val="0"/>
      <w:marRight w:val="0"/>
      <w:marTop w:val="0"/>
      <w:marBottom w:val="0"/>
      <w:divBdr>
        <w:top w:val="none" w:sz="0" w:space="0" w:color="auto"/>
        <w:left w:val="none" w:sz="0" w:space="0" w:color="auto"/>
        <w:bottom w:val="none" w:sz="0" w:space="0" w:color="auto"/>
        <w:right w:val="none" w:sz="0" w:space="0" w:color="auto"/>
      </w:divBdr>
    </w:div>
    <w:div w:id="462506140">
      <w:bodyDiv w:val="1"/>
      <w:marLeft w:val="0"/>
      <w:marRight w:val="0"/>
      <w:marTop w:val="0"/>
      <w:marBottom w:val="0"/>
      <w:divBdr>
        <w:top w:val="none" w:sz="0" w:space="0" w:color="auto"/>
        <w:left w:val="none" w:sz="0" w:space="0" w:color="auto"/>
        <w:bottom w:val="none" w:sz="0" w:space="0" w:color="auto"/>
        <w:right w:val="none" w:sz="0" w:space="0" w:color="auto"/>
      </w:divBdr>
    </w:div>
    <w:div w:id="544801989">
      <w:bodyDiv w:val="1"/>
      <w:marLeft w:val="0"/>
      <w:marRight w:val="0"/>
      <w:marTop w:val="0"/>
      <w:marBottom w:val="0"/>
      <w:divBdr>
        <w:top w:val="none" w:sz="0" w:space="0" w:color="auto"/>
        <w:left w:val="none" w:sz="0" w:space="0" w:color="auto"/>
        <w:bottom w:val="none" w:sz="0" w:space="0" w:color="auto"/>
        <w:right w:val="none" w:sz="0" w:space="0" w:color="auto"/>
      </w:divBdr>
    </w:div>
    <w:div w:id="616523731">
      <w:bodyDiv w:val="1"/>
      <w:marLeft w:val="0"/>
      <w:marRight w:val="0"/>
      <w:marTop w:val="0"/>
      <w:marBottom w:val="0"/>
      <w:divBdr>
        <w:top w:val="none" w:sz="0" w:space="0" w:color="auto"/>
        <w:left w:val="none" w:sz="0" w:space="0" w:color="auto"/>
        <w:bottom w:val="none" w:sz="0" w:space="0" w:color="auto"/>
        <w:right w:val="none" w:sz="0" w:space="0" w:color="auto"/>
      </w:divBdr>
    </w:div>
    <w:div w:id="634020219">
      <w:bodyDiv w:val="1"/>
      <w:marLeft w:val="0"/>
      <w:marRight w:val="0"/>
      <w:marTop w:val="0"/>
      <w:marBottom w:val="0"/>
      <w:divBdr>
        <w:top w:val="none" w:sz="0" w:space="0" w:color="auto"/>
        <w:left w:val="none" w:sz="0" w:space="0" w:color="auto"/>
        <w:bottom w:val="none" w:sz="0" w:space="0" w:color="auto"/>
        <w:right w:val="none" w:sz="0" w:space="0" w:color="auto"/>
      </w:divBdr>
    </w:div>
    <w:div w:id="640499142">
      <w:bodyDiv w:val="1"/>
      <w:marLeft w:val="0"/>
      <w:marRight w:val="0"/>
      <w:marTop w:val="0"/>
      <w:marBottom w:val="0"/>
      <w:divBdr>
        <w:top w:val="none" w:sz="0" w:space="0" w:color="auto"/>
        <w:left w:val="none" w:sz="0" w:space="0" w:color="auto"/>
        <w:bottom w:val="none" w:sz="0" w:space="0" w:color="auto"/>
        <w:right w:val="none" w:sz="0" w:space="0" w:color="auto"/>
      </w:divBdr>
    </w:div>
    <w:div w:id="650914486">
      <w:bodyDiv w:val="1"/>
      <w:marLeft w:val="0"/>
      <w:marRight w:val="0"/>
      <w:marTop w:val="0"/>
      <w:marBottom w:val="0"/>
      <w:divBdr>
        <w:top w:val="none" w:sz="0" w:space="0" w:color="auto"/>
        <w:left w:val="none" w:sz="0" w:space="0" w:color="auto"/>
        <w:bottom w:val="none" w:sz="0" w:space="0" w:color="auto"/>
        <w:right w:val="none" w:sz="0" w:space="0" w:color="auto"/>
      </w:divBdr>
    </w:div>
    <w:div w:id="669799735">
      <w:bodyDiv w:val="1"/>
      <w:marLeft w:val="0"/>
      <w:marRight w:val="0"/>
      <w:marTop w:val="0"/>
      <w:marBottom w:val="0"/>
      <w:divBdr>
        <w:top w:val="none" w:sz="0" w:space="0" w:color="auto"/>
        <w:left w:val="none" w:sz="0" w:space="0" w:color="auto"/>
        <w:bottom w:val="none" w:sz="0" w:space="0" w:color="auto"/>
        <w:right w:val="none" w:sz="0" w:space="0" w:color="auto"/>
      </w:divBdr>
    </w:div>
    <w:div w:id="722296120">
      <w:bodyDiv w:val="1"/>
      <w:marLeft w:val="0"/>
      <w:marRight w:val="0"/>
      <w:marTop w:val="0"/>
      <w:marBottom w:val="0"/>
      <w:divBdr>
        <w:top w:val="none" w:sz="0" w:space="0" w:color="auto"/>
        <w:left w:val="none" w:sz="0" w:space="0" w:color="auto"/>
        <w:bottom w:val="none" w:sz="0" w:space="0" w:color="auto"/>
        <w:right w:val="none" w:sz="0" w:space="0" w:color="auto"/>
      </w:divBdr>
    </w:div>
    <w:div w:id="773671406">
      <w:bodyDiv w:val="1"/>
      <w:marLeft w:val="0"/>
      <w:marRight w:val="0"/>
      <w:marTop w:val="0"/>
      <w:marBottom w:val="0"/>
      <w:divBdr>
        <w:top w:val="none" w:sz="0" w:space="0" w:color="auto"/>
        <w:left w:val="none" w:sz="0" w:space="0" w:color="auto"/>
        <w:bottom w:val="none" w:sz="0" w:space="0" w:color="auto"/>
        <w:right w:val="none" w:sz="0" w:space="0" w:color="auto"/>
      </w:divBdr>
    </w:div>
    <w:div w:id="869301847">
      <w:bodyDiv w:val="1"/>
      <w:marLeft w:val="0"/>
      <w:marRight w:val="0"/>
      <w:marTop w:val="0"/>
      <w:marBottom w:val="0"/>
      <w:divBdr>
        <w:top w:val="none" w:sz="0" w:space="0" w:color="auto"/>
        <w:left w:val="none" w:sz="0" w:space="0" w:color="auto"/>
        <w:bottom w:val="none" w:sz="0" w:space="0" w:color="auto"/>
        <w:right w:val="none" w:sz="0" w:space="0" w:color="auto"/>
      </w:divBdr>
    </w:div>
    <w:div w:id="952663937">
      <w:bodyDiv w:val="1"/>
      <w:marLeft w:val="0"/>
      <w:marRight w:val="0"/>
      <w:marTop w:val="0"/>
      <w:marBottom w:val="0"/>
      <w:divBdr>
        <w:top w:val="none" w:sz="0" w:space="0" w:color="auto"/>
        <w:left w:val="none" w:sz="0" w:space="0" w:color="auto"/>
        <w:bottom w:val="none" w:sz="0" w:space="0" w:color="auto"/>
        <w:right w:val="none" w:sz="0" w:space="0" w:color="auto"/>
      </w:divBdr>
    </w:div>
    <w:div w:id="1024289932">
      <w:bodyDiv w:val="1"/>
      <w:marLeft w:val="0"/>
      <w:marRight w:val="0"/>
      <w:marTop w:val="0"/>
      <w:marBottom w:val="0"/>
      <w:divBdr>
        <w:top w:val="none" w:sz="0" w:space="0" w:color="auto"/>
        <w:left w:val="none" w:sz="0" w:space="0" w:color="auto"/>
        <w:bottom w:val="none" w:sz="0" w:space="0" w:color="auto"/>
        <w:right w:val="none" w:sz="0" w:space="0" w:color="auto"/>
      </w:divBdr>
    </w:div>
    <w:div w:id="1099256991">
      <w:bodyDiv w:val="1"/>
      <w:marLeft w:val="0"/>
      <w:marRight w:val="0"/>
      <w:marTop w:val="0"/>
      <w:marBottom w:val="0"/>
      <w:divBdr>
        <w:top w:val="none" w:sz="0" w:space="0" w:color="auto"/>
        <w:left w:val="none" w:sz="0" w:space="0" w:color="auto"/>
        <w:bottom w:val="none" w:sz="0" w:space="0" w:color="auto"/>
        <w:right w:val="none" w:sz="0" w:space="0" w:color="auto"/>
      </w:divBdr>
    </w:div>
    <w:div w:id="1143161909">
      <w:bodyDiv w:val="1"/>
      <w:marLeft w:val="0"/>
      <w:marRight w:val="0"/>
      <w:marTop w:val="0"/>
      <w:marBottom w:val="0"/>
      <w:divBdr>
        <w:top w:val="none" w:sz="0" w:space="0" w:color="auto"/>
        <w:left w:val="none" w:sz="0" w:space="0" w:color="auto"/>
        <w:bottom w:val="none" w:sz="0" w:space="0" w:color="auto"/>
        <w:right w:val="none" w:sz="0" w:space="0" w:color="auto"/>
      </w:divBdr>
    </w:div>
    <w:div w:id="1224291802">
      <w:bodyDiv w:val="1"/>
      <w:marLeft w:val="0"/>
      <w:marRight w:val="0"/>
      <w:marTop w:val="0"/>
      <w:marBottom w:val="0"/>
      <w:divBdr>
        <w:top w:val="none" w:sz="0" w:space="0" w:color="auto"/>
        <w:left w:val="none" w:sz="0" w:space="0" w:color="auto"/>
        <w:bottom w:val="none" w:sz="0" w:space="0" w:color="auto"/>
        <w:right w:val="none" w:sz="0" w:space="0" w:color="auto"/>
      </w:divBdr>
    </w:div>
    <w:div w:id="1388605251">
      <w:bodyDiv w:val="1"/>
      <w:marLeft w:val="0"/>
      <w:marRight w:val="0"/>
      <w:marTop w:val="0"/>
      <w:marBottom w:val="0"/>
      <w:divBdr>
        <w:top w:val="none" w:sz="0" w:space="0" w:color="auto"/>
        <w:left w:val="none" w:sz="0" w:space="0" w:color="auto"/>
        <w:bottom w:val="none" w:sz="0" w:space="0" w:color="auto"/>
        <w:right w:val="none" w:sz="0" w:space="0" w:color="auto"/>
      </w:divBdr>
    </w:div>
    <w:div w:id="1480029009">
      <w:bodyDiv w:val="1"/>
      <w:marLeft w:val="0"/>
      <w:marRight w:val="0"/>
      <w:marTop w:val="0"/>
      <w:marBottom w:val="0"/>
      <w:divBdr>
        <w:top w:val="none" w:sz="0" w:space="0" w:color="auto"/>
        <w:left w:val="none" w:sz="0" w:space="0" w:color="auto"/>
        <w:bottom w:val="none" w:sz="0" w:space="0" w:color="auto"/>
        <w:right w:val="none" w:sz="0" w:space="0" w:color="auto"/>
      </w:divBdr>
    </w:div>
    <w:div w:id="1493179463">
      <w:bodyDiv w:val="1"/>
      <w:marLeft w:val="0"/>
      <w:marRight w:val="0"/>
      <w:marTop w:val="0"/>
      <w:marBottom w:val="0"/>
      <w:divBdr>
        <w:top w:val="none" w:sz="0" w:space="0" w:color="auto"/>
        <w:left w:val="none" w:sz="0" w:space="0" w:color="auto"/>
        <w:bottom w:val="none" w:sz="0" w:space="0" w:color="auto"/>
        <w:right w:val="none" w:sz="0" w:space="0" w:color="auto"/>
      </w:divBdr>
    </w:div>
    <w:div w:id="1666590812">
      <w:bodyDiv w:val="1"/>
      <w:marLeft w:val="0"/>
      <w:marRight w:val="0"/>
      <w:marTop w:val="0"/>
      <w:marBottom w:val="0"/>
      <w:divBdr>
        <w:top w:val="none" w:sz="0" w:space="0" w:color="auto"/>
        <w:left w:val="none" w:sz="0" w:space="0" w:color="auto"/>
        <w:bottom w:val="none" w:sz="0" w:space="0" w:color="auto"/>
        <w:right w:val="none" w:sz="0" w:space="0" w:color="auto"/>
      </w:divBdr>
    </w:div>
    <w:div w:id="1684478168">
      <w:bodyDiv w:val="1"/>
      <w:marLeft w:val="0"/>
      <w:marRight w:val="0"/>
      <w:marTop w:val="0"/>
      <w:marBottom w:val="0"/>
      <w:divBdr>
        <w:top w:val="none" w:sz="0" w:space="0" w:color="auto"/>
        <w:left w:val="none" w:sz="0" w:space="0" w:color="auto"/>
        <w:bottom w:val="none" w:sz="0" w:space="0" w:color="auto"/>
        <w:right w:val="none" w:sz="0" w:space="0" w:color="auto"/>
      </w:divBdr>
    </w:div>
    <w:div w:id="1733457783">
      <w:bodyDiv w:val="1"/>
      <w:marLeft w:val="0"/>
      <w:marRight w:val="0"/>
      <w:marTop w:val="0"/>
      <w:marBottom w:val="0"/>
      <w:divBdr>
        <w:top w:val="none" w:sz="0" w:space="0" w:color="auto"/>
        <w:left w:val="none" w:sz="0" w:space="0" w:color="auto"/>
        <w:bottom w:val="none" w:sz="0" w:space="0" w:color="auto"/>
        <w:right w:val="none" w:sz="0" w:space="0" w:color="auto"/>
      </w:divBdr>
    </w:div>
    <w:div w:id="1780446606">
      <w:bodyDiv w:val="1"/>
      <w:marLeft w:val="0"/>
      <w:marRight w:val="0"/>
      <w:marTop w:val="0"/>
      <w:marBottom w:val="0"/>
      <w:divBdr>
        <w:top w:val="none" w:sz="0" w:space="0" w:color="auto"/>
        <w:left w:val="none" w:sz="0" w:space="0" w:color="auto"/>
        <w:bottom w:val="none" w:sz="0" w:space="0" w:color="auto"/>
        <w:right w:val="none" w:sz="0" w:space="0" w:color="auto"/>
      </w:divBdr>
    </w:div>
    <w:div w:id="1797866075">
      <w:bodyDiv w:val="1"/>
      <w:marLeft w:val="0"/>
      <w:marRight w:val="0"/>
      <w:marTop w:val="0"/>
      <w:marBottom w:val="0"/>
      <w:divBdr>
        <w:top w:val="none" w:sz="0" w:space="0" w:color="auto"/>
        <w:left w:val="none" w:sz="0" w:space="0" w:color="auto"/>
        <w:bottom w:val="none" w:sz="0" w:space="0" w:color="auto"/>
        <w:right w:val="none" w:sz="0" w:space="0" w:color="auto"/>
      </w:divBdr>
    </w:div>
    <w:div w:id="1943029310">
      <w:bodyDiv w:val="1"/>
      <w:marLeft w:val="0"/>
      <w:marRight w:val="0"/>
      <w:marTop w:val="0"/>
      <w:marBottom w:val="0"/>
      <w:divBdr>
        <w:top w:val="none" w:sz="0" w:space="0" w:color="auto"/>
        <w:left w:val="none" w:sz="0" w:space="0" w:color="auto"/>
        <w:bottom w:val="none" w:sz="0" w:space="0" w:color="auto"/>
        <w:right w:val="none" w:sz="0" w:space="0" w:color="auto"/>
      </w:divBdr>
    </w:div>
    <w:div w:id="2026713161">
      <w:bodyDiv w:val="1"/>
      <w:marLeft w:val="0"/>
      <w:marRight w:val="0"/>
      <w:marTop w:val="0"/>
      <w:marBottom w:val="0"/>
      <w:divBdr>
        <w:top w:val="none" w:sz="0" w:space="0" w:color="auto"/>
        <w:left w:val="none" w:sz="0" w:space="0" w:color="auto"/>
        <w:bottom w:val="none" w:sz="0" w:space="0" w:color="auto"/>
        <w:right w:val="none" w:sz="0" w:space="0" w:color="auto"/>
      </w:divBdr>
    </w:div>
    <w:div w:id="210792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inkedin.com/pulse/importance-alignment-between-your-goals-organization-/" TargetMode="External"/><Relationship Id="rId18" Type="http://schemas.openxmlformats.org/officeDocument/2006/relationships/hyperlink" Target="https://hrzone.com/blog/practice-in-performance-and-reward-managemen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www.linkedin.com" TargetMode="External"/><Relationship Id="rId17" Type="http://schemas.openxmlformats.org/officeDocument/2006/relationships/hyperlink" Target="https://www.cipd.org/globalassets/media/knowledge/knowledge-hub/evidence-reviews/incentives-recognition-practice-summary_tcm18-105466.pdf" TargetMode="External"/><Relationship Id="rId2" Type="http://schemas.openxmlformats.org/officeDocument/2006/relationships/customXml" Target="../customXml/item2.xml"/><Relationship Id="rId16" Type="http://schemas.openxmlformats.org/officeDocument/2006/relationships/hyperlink" Target="https://www.cipd.org/uk/knowledge/factsheets/reward-factshe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factsheets/performance-factsheet/" TargetMode="External"/><Relationship Id="rId5" Type="http://schemas.openxmlformats.org/officeDocument/2006/relationships/styles" Target="styles.xml"/><Relationship Id="rId15" Type="http://schemas.openxmlformats.org/officeDocument/2006/relationships/hyperlink" Target="https://uk.indeed.com/career-advice/career-development/what-is-total-reward" TargetMode="External"/><Relationship Id="rId10" Type="http://schemas.openxmlformats.org/officeDocument/2006/relationships/hyperlink" Target="https://www.cipd.org/uk/knowledge/factsheets/appraisals-factsheet/" TargetMode="External"/><Relationship Id="rId19" Type="http://schemas.openxmlformats.org/officeDocument/2006/relationships/hyperlink" Target="https://www.gov.uk/guidance/equality-act-2010-guidan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orkleap.com/blog/continuous-performance-management-proc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F489CD08651AD4698D70519E3B5F547" ma:contentTypeVersion="14" ma:contentTypeDescription="Create a new document." ma:contentTypeScope="" ma:versionID="2b3ccea14f7c2d69bd2722cac6c502d3">
  <xsd:schema xmlns:xsd="http://www.w3.org/2001/XMLSchema" xmlns:xs="http://www.w3.org/2001/XMLSchema" xmlns:p="http://schemas.microsoft.com/office/2006/metadata/properties" xmlns:ns3="fbba99ad-ec09-4e4a-a624-c716ad301614" xmlns:ns4="5b3bf4be-fc2b-4973-a0fc-06d234dd93d9" targetNamespace="http://schemas.microsoft.com/office/2006/metadata/properties" ma:root="true" ma:fieldsID="2b6fdfe4fec592412bd2940763b5c788" ns3:_="" ns4:_="">
    <xsd:import namespace="fbba99ad-ec09-4e4a-a624-c716ad301614"/>
    <xsd:import namespace="5b3bf4be-fc2b-4973-a0fc-06d234dd93d9"/>
    <xsd:element name="properties">
      <xsd:complexType>
        <xsd:sequence>
          <xsd:element name="documentManagement">
            <xsd:complexType>
              <xsd:all>
                <xsd:element ref="ns3:MediaServiceMetadata" minOccurs="0"/>
                <xsd:element ref="ns3:MediaServiceFastMetadata" minOccurs="0"/>
                <xsd:element ref="ns4:SharedWithDetails" minOccurs="0"/>
                <xsd:element ref="ns4:SharingHintHash" minOccurs="0"/>
                <xsd:element ref="ns4:SharedWithUsers" minOccurs="0"/>
                <xsd:element ref="ns3:_activity"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ba99ad-ec09-4e4a-a624-c716ad3016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3bf4be-fc2b-4973-a0fc-06d234dd93d9" elementFormDefault="qualified">
    <xsd:import namespace="http://schemas.microsoft.com/office/2006/documentManagement/types"/>
    <xsd:import namespace="http://schemas.microsoft.com/office/infopath/2007/PartnerControls"/>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bba99ad-ec09-4e4a-a624-c716ad301614" xsi:nil="true"/>
  </documentManagement>
</p:properties>
</file>

<file path=customXml/itemProps1.xml><?xml version="1.0" encoding="utf-8"?>
<ds:datastoreItem xmlns:ds="http://schemas.openxmlformats.org/officeDocument/2006/customXml" ds:itemID="{C64071B1-28E1-4B8F-B887-78025A71E1C1}">
  <ds:schemaRefs>
    <ds:schemaRef ds:uri="http://schemas.microsoft.com/sharepoint/v3/contenttype/forms"/>
  </ds:schemaRefs>
</ds:datastoreItem>
</file>

<file path=customXml/itemProps2.xml><?xml version="1.0" encoding="utf-8"?>
<ds:datastoreItem xmlns:ds="http://schemas.openxmlformats.org/officeDocument/2006/customXml" ds:itemID="{7730EE12-4269-4693-AA70-F333A85D0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ba99ad-ec09-4e4a-a624-c716ad301614"/>
    <ds:schemaRef ds:uri="5b3bf4be-fc2b-4973-a0fc-06d234dd93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E5EDBB-685F-41D2-B6D8-198E72A53B61}">
  <ds:schemaRefs>
    <ds:schemaRef ds:uri="http://schemas.microsoft.com/office/infopath/2007/PartnerControls"/>
    <ds:schemaRef ds:uri="fbba99ad-ec09-4e4a-a624-c716ad301614"/>
    <ds:schemaRef ds:uri="http://purl.org/dc/elements/1.1/"/>
    <ds:schemaRef ds:uri="http://purl.org/dc/terms/"/>
    <ds:schemaRef ds:uri="http://schemas.microsoft.com/office/2006/metadata/properties"/>
    <ds:schemaRef ds:uri="http://schemas.openxmlformats.org/package/2006/metadata/core-properties"/>
    <ds:schemaRef ds:uri="http://schemas.microsoft.com/office/2006/documentManagement/types"/>
    <ds:schemaRef ds:uri="http://purl.org/dc/dcmitype/"/>
    <ds:schemaRef ds:uri="5b3bf4be-fc2b-4973-a0fc-06d234dd93d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2108</Words>
  <Characters>12019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Harries</dc:creator>
  <cp:keywords/>
  <dc:description/>
  <cp:lastModifiedBy>Jordan Harries</cp:lastModifiedBy>
  <cp:revision>2</cp:revision>
  <dcterms:created xsi:type="dcterms:W3CDTF">2024-07-08T22:06:00Z</dcterms:created>
  <dcterms:modified xsi:type="dcterms:W3CDTF">2024-07-08T22:06:00Z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0x0101009F489CD08651AD4698D70519E3B5F547</vt:lpwstr>
  </property>
</Properties>
</file>